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1401" w:rsidR="00E960D8" w:rsidP="00371401" w:rsidRDefault="00CC5350" w14:paraId="751E74F5" w14:textId="6FB2E340">
      <w:pPr>
        <w:pStyle w:val="StandaardAanhef"/>
        <w:suppressAutoHyphens/>
        <w:spacing w:before="0" w:after="0"/>
      </w:pPr>
      <w:r w:rsidRPr="00371401">
        <w:t>Geachte voorzitter,</w:t>
      </w:r>
    </w:p>
    <w:p w:rsidRPr="00371401" w:rsidR="00161C4A" w:rsidP="00371401" w:rsidRDefault="00161C4A" w14:paraId="63336360" w14:textId="77777777">
      <w:pPr>
        <w:suppressAutoHyphens/>
      </w:pPr>
    </w:p>
    <w:p w:rsidRPr="00371401" w:rsidR="003E4259" w:rsidP="00371401" w:rsidRDefault="00FE7A28" w14:paraId="5785546E" w14:textId="3A1ADD64">
      <w:pPr>
        <w:suppressAutoHyphens/>
        <w:rPr>
          <w:rFonts w:eastAsia="Times New Roman" w:cs="Times New Roman"/>
          <w:bCs/>
        </w:rPr>
      </w:pPr>
      <w:r w:rsidRPr="00371401">
        <w:rPr>
          <w:rFonts w:eastAsia="Times New Roman" w:cs="Times New Roman"/>
          <w:bCs/>
        </w:rPr>
        <w:t xml:space="preserve">Met deze brief </w:t>
      </w:r>
      <w:r w:rsidRPr="00371401" w:rsidR="008B3FF5">
        <w:rPr>
          <w:rFonts w:eastAsia="Times New Roman" w:cs="Times New Roman"/>
          <w:bCs/>
        </w:rPr>
        <w:t>informeer</w:t>
      </w:r>
      <w:r w:rsidRPr="00371401" w:rsidR="0097794B">
        <w:rPr>
          <w:rFonts w:eastAsia="Times New Roman" w:cs="Times New Roman"/>
          <w:bCs/>
        </w:rPr>
        <w:t>t het kabinet</w:t>
      </w:r>
      <w:r w:rsidRPr="00371401" w:rsidR="003E4259">
        <w:rPr>
          <w:rFonts w:eastAsia="Times New Roman" w:cs="Times New Roman"/>
          <w:bCs/>
        </w:rPr>
        <w:t xml:space="preserve"> </w:t>
      </w:r>
      <w:r w:rsidRPr="00371401" w:rsidR="006833B4">
        <w:rPr>
          <w:rFonts w:eastAsia="Times New Roman" w:cs="Times New Roman"/>
          <w:bCs/>
        </w:rPr>
        <w:t>de Kamer</w:t>
      </w:r>
      <w:r w:rsidRPr="00371401" w:rsidR="003E4259">
        <w:rPr>
          <w:rFonts w:eastAsia="Times New Roman" w:cs="Times New Roman"/>
          <w:bCs/>
        </w:rPr>
        <w:t xml:space="preserve"> </w:t>
      </w:r>
      <w:r w:rsidRPr="00371401" w:rsidR="008B3FF5">
        <w:rPr>
          <w:rFonts w:eastAsia="Times New Roman" w:cs="Times New Roman"/>
          <w:bCs/>
        </w:rPr>
        <w:t xml:space="preserve">over de </w:t>
      </w:r>
      <w:r w:rsidRPr="00371401" w:rsidR="003E4259">
        <w:rPr>
          <w:rFonts w:eastAsia="Times New Roman" w:cs="Times New Roman"/>
          <w:bCs/>
        </w:rPr>
        <w:t xml:space="preserve">jaarlijkse voortgang </w:t>
      </w:r>
      <w:r w:rsidRPr="00371401" w:rsidR="00DE5654">
        <w:rPr>
          <w:rFonts w:eastAsia="Times New Roman" w:cs="Times New Roman"/>
          <w:bCs/>
        </w:rPr>
        <w:t xml:space="preserve">en de uitkomsten </w:t>
      </w:r>
      <w:r w:rsidRPr="00371401" w:rsidR="003E4259">
        <w:rPr>
          <w:rFonts w:eastAsia="Times New Roman" w:cs="Times New Roman"/>
          <w:bCs/>
        </w:rPr>
        <w:t>van de financiële arrangementen</w:t>
      </w:r>
      <w:r w:rsidRPr="00371401" w:rsidR="00BA3A40">
        <w:rPr>
          <w:rStyle w:val="Voetnootmarkering"/>
          <w:rFonts w:eastAsia="Times New Roman" w:cs="Times New Roman"/>
          <w:bCs/>
        </w:rPr>
        <w:footnoteReference w:id="1"/>
      </w:r>
      <w:r w:rsidRPr="00371401" w:rsidR="000F6417">
        <w:rPr>
          <w:rFonts w:eastAsia="Times New Roman" w:cs="Times New Roman"/>
          <w:bCs/>
        </w:rPr>
        <w:t xml:space="preserve"> voor dure</w:t>
      </w:r>
      <w:r w:rsidRPr="00371401" w:rsidR="00200F0F">
        <w:rPr>
          <w:rFonts w:eastAsia="Times New Roman" w:cs="Times New Roman"/>
          <w:bCs/>
        </w:rPr>
        <w:t xml:space="preserve"> geneesmiddelen</w:t>
      </w:r>
      <w:r w:rsidRPr="00371401" w:rsidR="003E4259">
        <w:rPr>
          <w:rFonts w:eastAsia="Times New Roman" w:cs="Times New Roman"/>
          <w:bCs/>
        </w:rPr>
        <w:t>.</w:t>
      </w:r>
      <w:r w:rsidRPr="00371401" w:rsidR="0077689B">
        <w:rPr>
          <w:rFonts w:eastAsia="Times New Roman" w:cs="Times New Roman"/>
          <w:bCs/>
        </w:rPr>
        <w:t xml:space="preserve"> Omdat, net zoals in voorgaande jaren, de declaratiedata en </w:t>
      </w:r>
      <w:r w:rsidRPr="00371401" w:rsidR="0077689B">
        <w:rPr>
          <w:rFonts w:eastAsia="Times New Roman" w:cs="Times New Roman"/>
        </w:rPr>
        <w:t xml:space="preserve">financiële afwikkeling van financiële arrangementen één à twee jaar achterlopen, </w:t>
      </w:r>
      <w:r w:rsidRPr="00371401" w:rsidR="0077689B">
        <w:rPr>
          <w:rFonts w:eastAsia="Times New Roman" w:cs="Times New Roman"/>
          <w:bCs/>
        </w:rPr>
        <w:t xml:space="preserve">gaat het in deze voortgangsbrief </w:t>
      </w:r>
      <w:r w:rsidRPr="00371401" w:rsidR="0077689B">
        <w:rPr>
          <w:rFonts w:eastAsia="Times New Roman" w:cs="Times New Roman"/>
        </w:rPr>
        <w:t xml:space="preserve">over de financiële uitkomsten voor de jaren 2023 en 2024. </w:t>
      </w:r>
      <w:r w:rsidRPr="00371401" w:rsidR="0077689B">
        <w:rPr>
          <w:rFonts w:eastAsia="Times New Roman" w:cs="Times New Roman"/>
          <w:bCs/>
        </w:rPr>
        <w:t xml:space="preserve"> </w:t>
      </w:r>
    </w:p>
    <w:p w:rsidRPr="00371401" w:rsidR="00CC5350" w:rsidP="00371401" w:rsidRDefault="00CC5350" w14:paraId="078F242B" w14:textId="77777777">
      <w:pPr>
        <w:suppressAutoHyphens/>
        <w:rPr>
          <w:rFonts w:eastAsia="Times New Roman" w:cs="Times New Roman"/>
        </w:rPr>
      </w:pPr>
    </w:p>
    <w:p w:rsidRPr="00371401" w:rsidR="00F70E3C" w:rsidP="00371401" w:rsidRDefault="00CC5350" w14:paraId="04C38FBB" w14:textId="26B3E777">
      <w:pPr>
        <w:suppressAutoHyphens/>
        <w:rPr>
          <w:rFonts w:eastAsia="Times New Roman" w:cs="Times New Roman"/>
          <w:bCs/>
        </w:rPr>
      </w:pPr>
      <w:r w:rsidRPr="00371401">
        <w:rPr>
          <w:rFonts w:eastAsia="Times New Roman" w:cs="Times New Roman"/>
          <w:bCs/>
        </w:rPr>
        <w:t xml:space="preserve">Sinds 2012 worden financiële arrangementen met </w:t>
      </w:r>
      <w:r w:rsidRPr="00371401" w:rsidR="00283073">
        <w:rPr>
          <w:rFonts w:eastAsia="Times New Roman" w:cs="Times New Roman"/>
          <w:bCs/>
        </w:rPr>
        <w:t>leveranciers</w:t>
      </w:r>
      <w:r w:rsidRPr="00371401">
        <w:rPr>
          <w:rFonts w:eastAsia="Times New Roman" w:cs="Times New Roman"/>
          <w:bCs/>
        </w:rPr>
        <w:t xml:space="preserve"> van dure geneesmiddelen afgesloten</w:t>
      </w:r>
      <w:r w:rsidRPr="00371401" w:rsidR="00FE7A28">
        <w:rPr>
          <w:rFonts w:eastAsia="Times New Roman" w:cs="Times New Roman"/>
          <w:bCs/>
        </w:rPr>
        <w:t xml:space="preserve"> </w:t>
      </w:r>
      <w:r w:rsidRPr="00371401" w:rsidR="00560E2F">
        <w:rPr>
          <w:rFonts w:eastAsia="Times New Roman" w:cs="Times New Roman"/>
          <w:bCs/>
        </w:rPr>
        <w:t>als voorwaarde voor</w:t>
      </w:r>
      <w:r w:rsidRPr="00371401" w:rsidR="00FE7A28">
        <w:rPr>
          <w:rFonts w:eastAsia="Times New Roman" w:cs="Times New Roman"/>
          <w:bCs/>
        </w:rPr>
        <w:t xml:space="preserve"> opname in het basispakket van de zorgverzekering</w:t>
      </w:r>
      <w:r w:rsidRPr="00371401">
        <w:rPr>
          <w:rFonts w:eastAsia="Times New Roman" w:cs="Times New Roman"/>
          <w:bCs/>
        </w:rPr>
        <w:t>. Doel is het overeenkomen van een pakketwaardige prijs</w:t>
      </w:r>
      <w:r w:rsidRPr="00371401" w:rsidR="00DE3EFA">
        <w:rPr>
          <w:rStyle w:val="Voetnootmarkering"/>
          <w:rFonts w:eastAsia="Times New Roman" w:cs="Times New Roman"/>
          <w:bCs/>
        </w:rPr>
        <w:footnoteReference w:id="2"/>
      </w:r>
      <w:r w:rsidRPr="00371401">
        <w:rPr>
          <w:rFonts w:eastAsia="Times New Roman" w:cs="Times New Roman"/>
          <w:bCs/>
        </w:rPr>
        <w:t xml:space="preserve"> zodat deze </w:t>
      </w:r>
      <w:r w:rsidRPr="00371401" w:rsidR="00560E2F">
        <w:rPr>
          <w:rFonts w:eastAsia="Times New Roman" w:cs="Times New Roman"/>
          <w:bCs/>
        </w:rPr>
        <w:t>genees</w:t>
      </w:r>
      <w:r w:rsidRPr="00371401">
        <w:rPr>
          <w:rFonts w:eastAsia="Times New Roman" w:cs="Times New Roman"/>
          <w:bCs/>
        </w:rPr>
        <w:t xml:space="preserve">middelen verantwoord kunnen worden opgenomen in het basispakket van de zorgverzekering. </w:t>
      </w:r>
      <w:r w:rsidRPr="00371401" w:rsidR="00477C47">
        <w:rPr>
          <w:rFonts w:eastAsia="Times New Roman" w:cs="Times New Roman"/>
          <w:bCs/>
        </w:rPr>
        <w:t>H</w:t>
      </w:r>
      <w:r w:rsidRPr="00371401" w:rsidR="00EE39C6">
        <w:rPr>
          <w:rFonts w:eastAsia="Times New Roman" w:cs="Times New Roman"/>
          <w:bCs/>
          <w:color w:val="000000" w:themeColor="text1"/>
        </w:rPr>
        <w:t xml:space="preserve">et Zorginstituut beoordeelt </w:t>
      </w:r>
      <w:r w:rsidRPr="00371401" w:rsidR="00477C47">
        <w:rPr>
          <w:rFonts w:eastAsia="Times New Roman" w:cs="Times New Roman"/>
          <w:bCs/>
          <w:color w:val="000000" w:themeColor="text1"/>
        </w:rPr>
        <w:t xml:space="preserve">daartoe </w:t>
      </w:r>
      <w:r w:rsidRPr="00371401" w:rsidR="00EE39C6">
        <w:rPr>
          <w:rFonts w:eastAsia="Times New Roman" w:cs="Times New Roman"/>
          <w:bCs/>
          <w:color w:val="000000" w:themeColor="text1"/>
        </w:rPr>
        <w:t>voor</w:t>
      </w:r>
      <w:r w:rsidRPr="00371401" w:rsidR="00477C47">
        <w:rPr>
          <w:rFonts w:eastAsia="Times New Roman" w:cs="Times New Roman"/>
          <w:bCs/>
          <w:color w:val="000000" w:themeColor="text1"/>
        </w:rPr>
        <w:t>afgaand aan pakketopname of</w:t>
      </w:r>
      <w:r w:rsidRPr="00371401" w:rsidR="00EE39C6">
        <w:rPr>
          <w:rFonts w:eastAsia="Times New Roman" w:cs="Times New Roman"/>
          <w:bCs/>
          <w:color w:val="000000" w:themeColor="text1"/>
        </w:rPr>
        <w:t xml:space="preserve"> geneesmiddelen naar verwachting in de praktijk voldoen aan de vier pakketcriteria:</w:t>
      </w:r>
    </w:p>
    <w:p w:rsidRPr="00371401" w:rsidR="00F70E3C" w:rsidP="00371401" w:rsidRDefault="00F70E3C" w14:paraId="3E487F17" w14:textId="77777777">
      <w:pPr>
        <w:suppressAutoHyphens/>
        <w:rPr>
          <w:rFonts w:eastAsia="Times New Roman" w:cs="Times New Roman"/>
          <w:bCs/>
          <w:color w:val="000000" w:themeColor="text1"/>
        </w:rPr>
      </w:pPr>
    </w:p>
    <w:tbl>
      <w:tblPr>
        <w:tblStyle w:val="StandaardRapportTabelstijl"/>
        <w:tblW w:w="7933" w:type="dxa"/>
        <w:tblInd w:w="5" w:type="dxa"/>
        <w:tblLook w:val="04A0" w:firstRow="1" w:lastRow="0" w:firstColumn="1" w:lastColumn="0" w:noHBand="0" w:noVBand="1"/>
      </w:tblPr>
      <w:tblGrid>
        <w:gridCol w:w="2263"/>
        <w:gridCol w:w="5670"/>
      </w:tblGrid>
      <w:tr w:rsidRPr="00371401" w:rsidR="00F70E3C" w:rsidTr="00DA284A" w14:paraId="1BFD881B" w14:textId="77777777">
        <w:trPr>
          <w:trHeight w:val="567"/>
        </w:trPr>
        <w:tc>
          <w:tcPr>
            <w:tcW w:w="2263" w:type="dxa"/>
          </w:tcPr>
          <w:p w:rsidRPr="00371401" w:rsidR="00F70E3C" w:rsidP="00371401" w:rsidRDefault="00F70E3C" w14:paraId="20859D2B" w14:textId="7A7C6DC8">
            <w:pPr>
              <w:suppressAutoHyphens/>
              <w:rPr>
                <w:rFonts w:eastAsia="Times New Roman" w:cs="Times New Roman"/>
                <w:bCs/>
                <w:color w:val="000000" w:themeColor="text1"/>
              </w:rPr>
            </w:pPr>
            <w:r w:rsidRPr="00371401">
              <w:rPr>
                <w:rFonts w:eastAsia="Times New Roman" w:cs="Times New Roman"/>
                <w:bCs/>
                <w:color w:val="000000" w:themeColor="text1"/>
              </w:rPr>
              <w:t>1. Effectiviteit</w:t>
            </w:r>
          </w:p>
        </w:tc>
        <w:tc>
          <w:tcPr>
            <w:tcW w:w="5670" w:type="dxa"/>
          </w:tcPr>
          <w:p w:rsidRPr="00371401" w:rsidR="00F70E3C" w:rsidP="00371401" w:rsidRDefault="00F70E3C" w14:paraId="788AA42F" w14:textId="05ACAAA5">
            <w:pPr>
              <w:suppressAutoHyphens/>
              <w:rPr>
                <w:rFonts w:eastAsia="Times New Roman" w:cs="Times New Roman"/>
                <w:bCs/>
                <w:color w:val="000000" w:themeColor="text1"/>
              </w:rPr>
            </w:pPr>
            <w:r w:rsidRPr="00371401">
              <w:rPr>
                <w:rFonts w:eastAsia="Times New Roman" w:cs="Times New Roman"/>
                <w:bCs/>
                <w:color w:val="000000" w:themeColor="text1"/>
              </w:rPr>
              <w:t xml:space="preserve">is aangetoond dat het geneesmiddel werkt en werkt </w:t>
            </w:r>
            <w:r w:rsidRPr="00371401" w:rsidR="0049347C">
              <w:rPr>
                <w:rFonts w:eastAsia="Times New Roman" w:cs="Times New Roman"/>
                <w:bCs/>
                <w:color w:val="000000" w:themeColor="text1"/>
              </w:rPr>
              <w:t>het</w:t>
            </w:r>
          </w:p>
          <w:p w:rsidRPr="00371401" w:rsidR="00F70E3C" w:rsidP="00371401" w:rsidRDefault="00F70E3C" w14:paraId="40EB3FDB" w14:textId="79C98FB0">
            <w:pPr>
              <w:suppressAutoHyphens/>
              <w:rPr>
                <w:rFonts w:eastAsia="Times New Roman" w:cs="Times New Roman"/>
                <w:bCs/>
                <w:color w:val="000000" w:themeColor="text1"/>
              </w:rPr>
            </w:pPr>
            <w:r w:rsidRPr="00371401">
              <w:rPr>
                <w:rFonts w:eastAsia="Times New Roman" w:cs="Times New Roman"/>
                <w:bCs/>
                <w:color w:val="000000" w:themeColor="text1"/>
              </w:rPr>
              <w:t>minimaal net zo goed als de standaardbehandeling?</w:t>
            </w:r>
          </w:p>
        </w:tc>
      </w:tr>
      <w:tr w:rsidRPr="00371401" w:rsidR="00F70E3C" w:rsidTr="00DA284A" w14:paraId="0A686290" w14:textId="77777777">
        <w:trPr>
          <w:trHeight w:val="567"/>
        </w:trPr>
        <w:tc>
          <w:tcPr>
            <w:tcW w:w="2263" w:type="dxa"/>
          </w:tcPr>
          <w:p w:rsidRPr="00371401" w:rsidR="00F70E3C" w:rsidP="00371401" w:rsidRDefault="00F70E3C" w14:paraId="685B3B96" w14:textId="1B2AB944">
            <w:pPr>
              <w:suppressAutoHyphens/>
              <w:rPr>
                <w:rFonts w:eastAsia="Times New Roman" w:cs="Times New Roman"/>
                <w:bCs/>
                <w:color w:val="000000" w:themeColor="text1"/>
              </w:rPr>
            </w:pPr>
            <w:r w:rsidRPr="00371401">
              <w:rPr>
                <w:rFonts w:eastAsia="Times New Roman" w:cs="Times New Roman"/>
                <w:bCs/>
                <w:color w:val="000000" w:themeColor="text1"/>
              </w:rPr>
              <w:t>2. Kosteneffectiviteit</w:t>
            </w:r>
          </w:p>
        </w:tc>
        <w:tc>
          <w:tcPr>
            <w:tcW w:w="5670" w:type="dxa"/>
          </w:tcPr>
          <w:p w:rsidRPr="00371401" w:rsidR="00F70E3C" w:rsidP="00371401" w:rsidRDefault="00F70E3C" w14:paraId="0F09EA26" w14:textId="087F84DE">
            <w:pPr>
              <w:suppressAutoHyphens/>
              <w:rPr>
                <w:rFonts w:eastAsia="Times New Roman" w:cs="Times New Roman"/>
                <w:bCs/>
                <w:color w:val="000000" w:themeColor="text1"/>
              </w:rPr>
            </w:pPr>
            <w:r w:rsidRPr="00371401">
              <w:rPr>
                <w:rFonts w:eastAsia="Times New Roman" w:cs="Times New Roman"/>
                <w:bCs/>
                <w:color w:val="000000" w:themeColor="text1"/>
              </w:rPr>
              <w:t>is de verhouding tussen wat het geneesmiddel kost en wat dit oplevert in termen van gezondheidswinst acceptabel?</w:t>
            </w:r>
          </w:p>
        </w:tc>
      </w:tr>
      <w:tr w:rsidRPr="00371401" w:rsidR="00F70E3C" w:rsidTr="00DA284A" w14:paraId="4B77C33B" w14:textId="77777777">
        <w:trPr>
          <w:trHeight w:val="567"/>
        </w:trPr>
        <w:tc>
          <w:tcPr>
            <w:tcW w:w="2263" w:type="dxa"/>
          </w:tcPr>
          <w:p w:rsidRPr="00371401" w:rsidR="00F70E3C" w:rsidP="00371401" w:rsidRDefault="00F70E3C" w14:paraId="6199EEF9" w14:textId="15538889">
            <w:pPr>
              <w:suppressAutoHyphens/>
              <w:rPr>
                <w:rFonts w:eastAsia="Times New Roman" w:cs="Times New Roman"/>
                <w:bCs/>
                <w:color w:val="000000" w:themeColor="text1"/>
              </w:rPr>
            </w:pPr>
            <w:r w:rsidRPr="00371401">
              <w:rPr>
                <w:rFonts w:eastAsia="Times New Roman" w:cs="Times New Roman"/>
                <w:bCs/>
                <w:color w:val="000000" w:themeColor="text1"/>
              </w:rPr>
              <w:t>3. Uitvoerbaarheid</w:t>
            </w:r>
          </w:p>
        </w:tc>
        <w:tc>
          <w:tcPr>
            <w:tcW w:w="5670" w:type="dxa"/>
          </w:tcPr>
          <w:p w:rsidRPr="00371401" w:rsidR="00F70E3C" w:rsidP="00371401" w:rsidRDefault="00F70E3C" w14:paraId="6971BD4B" w14:textId="13789C50">
            <w:pPr>
              <w:suppressAutoHyphens/>
              <w:rPr>
                <w:rFonts w:eastAsia="Times New Roman" w:cs="Times New Roman"/>
                <w:bCs/>
                <w:color w:val="000000" w:themeColor="text1"/>
              </w:rPr>
            </w:pPr>
            <w:r w:rsidRPr="00371401">
              <w:rPr>
                <w:rFonts w:eastAsia="Times New Roman" w:cs="Times New Roman"/>
                <w:bCs/>
                <w:color w:val="000000" w:themeColor="text1"/>
              </w:rPr>
              <w:t xml:space="preserve">is opname van het geneesmiddel in het pakket in de praktijk te realiseren?  </w:t>
            </w:r>
          </w:p>
        </w:tc>
      </w:tr>
      <w:tr w:rsidRPr="00371401" w:rsidR="00F70E3C" w:rsidTr="00DA284A" w14:paraId="423C548C" w14:textId="77777777">
        <w:trPr>
          <w:trHeight w:val="567"/>
        </w:trPr>
        <w:tc>
          <w:tcPr>
            <w:tcW w:w="2263" w:type="dxa"/>
          </w:tcPr>
          <w:p w:rsidRPr="00371401" w:rsidR="00F70E3C" w:rsidP="00371401" w:rsidRDefault="00F70E3C" w14:paraId="4C89983B" w14:textId="7F4B0A38">
            <w:pPr>
              <w:suppressAutoHyphens/>
              <w:rPr>
                <w:rFonts w:eastAsia="Times New Roman" w:cs="Times New Roman"/>
                <w:bCs/>
                <w:color w:val="000000" w:themeColor="text1"/>
              </w:rPr>
            </w:pPr>
            <w:r w:rsidRPr="00371401">
              <w:rPr>
                <w:rFonts w:eastAsia="Times New Roman" w:cs="Times New Roman"/>
                <w:bCs/>
                <w:color w:val="000000" w:themeColor="text1"/>
              </w:rPr>
              <w:t>4. Noodzakelijkheid</w:t>
            </w:r>
          </w:p>
        </w:tc>
        <w:tc>
          <w:tcPr>
            <w:tcW w:w="5670" w:type="dxa"/>
          </w:tcPr>
          <w:p w:rsidRPr="00371401" w:rsidR="00F70E3C" w:rsidP="00371401" w:rsidRDefault="00F70E3C" w14:paraId="55A1FB8E" w14:textId="69C5380E">
            <w:pPr>
              <w:suppressAutoHyphens/>
              <w:rPr>
                <w:rFonts w:eastAsia="Times New Roman" w:cs="Times New Roman"/>
                <w:bCs/>
                <w:color w:val="000000" w:themeColor="text1"/>
              </w:rPr>
            </w:pPr>
            <w:r w:rsidRPr="00371401">
              <w:rPr>
                <w:rFonts w:eastAsia="Times New Roman" w:cs="Times New Roman"/>
                <w:bCs/>
                <w:color w:val="000000" w:themeColor="text1"/>
              </w:rPr>
              <w:t>is de ziekte ernstig genoeg en is het geneesmiddel zo duur dat iemand dit niet zelf kan betalen?</w:t>
            </w:r>
          </w:p>
        </w:tc>
      </w:tr>
    </w:tbl>
    <w:p w:rsidR="00371401" w:rsidP="00371401" w:rsidRDefault="00371401" w14:paraId="301E9A5C" w14:textId="77777777">
      <w:pPr>
        <w:suppressAutoHyphens/>
        <w:rPr>
          <w:rFonts w:eastAsia="Times New Roman" w:cs="Times New Roman"/>
          <w:bCs/>
          <w:color w:val="000000" w:themeColor="text1"/>
        </w:rPr>
      </w:pPr>
    </w:p>
    <w:p w:rsidR="00371401" w:rsidP="00371401" w:rsidRDefault="00E910C3" w14:paraId="44F0CCD5" w14:textId="01157B0F">
      <w:pPr>
        <w:suppressAutoHyphens/>
        <w:rPr>
          <w:rFonts w:eastAsia="Times New Roman" w:cs="Times New Roman"/>
          <w:bCs/>
        </w:rPr>
      </w:pPr>
      <w:r w:rsidRPr="00371401">
        <w:rPr>
          <w:rFonts w:eastAsia="Times New Roman" w:cs="Times New Roman"/>
          <w:bCs/>
          <w:color w:val="000000" w:themeColor="text1"/>
        </w:rPr>
        <w:t xml:space="preserve">In </w:t>
      </w:r>
      <w:r w:rsidRPr="00371401" w:rsidR="0073677A">
        <w:rPr>
          <w:rFonts w:eastAsia="Times New Roman" w:cs="Times New Roman"/>
          <w:bCs/>
          <w:color w:val="000000" w:themeColor="text1"/>
        </w:rPr>
        <w:t xml:space="preserve">het </w:t>
      </w:r>
      <w:r w:rsidRPr="00371401" w:rsidR="00791F62">
        <w:rPr>
          <w:rFonts w:eastAsia="Times New Roman" w:cs="Times New Roman"/>
          <w:bCs/>
          <w:color w:val="000000" w:themeColor="text1"/>
        </w:rPr>
        <w:t>geval</w:t>
      </w:r>
      <w:r w:rsidRPr="00371401" w:rsidR="0073677A">
        <w:rPr>
          <w:rFonts w:eastAsia="Times New Roman" w:cs="Times New Roman"/>
          <w:bCs/>
          <w:color w:val="000000" w:themeColor="text1"/>
        </w:rPr>
        <w:t xml:space="preserve"> dat</w:t>
      </w:r>
      <w:r w:rsidRPr="00371401" w:rsidR="00791F62">
        <w:rPr>
          <w:rFonts w:eastAsia="Times New Roman" w:cs="Times New Roman"/>
          <w:bCs/>
          <w:color w:val="000000" w:themeColor="text1"/>
        </w:rPr>
        <w:t xml:space="preserve"> </w:t>
      </w:r>
      <w:r w:rsidRPr="00371401">
        <w:rPr>
          <w:rFonts w:eastAsia="Times New Roman" w:cs="Times New Roman"/>
          <w:bCs/>
          <w:color w:val="000000" w:themeColor="text1"/>
        </w:rPr>
        <w:t>een geneesmiddel niet kosteneffectief is,</w:t>
      </w:r>
      <w:r w:rsidRPr="00371401" w:rsidR="00EA4EAA">
        <w:rPr>
          <w:rFonts w:eastAsia="Times New Roman" w:cs="Times New Roman"/>
          <w:bCs/>
          <w:color w:val="000000" w:themeColor="text1"/>
        </w:rPr>
        <w:t xml:space="preserve"> </w:t>
      </w:r>
      <w:r w:rsidRPr="00371401" w:rsidR="00E96427">
        <w:rPr>
          <w:rFonts w:eastAsia="Times New Roman" w:cs="Times New Roman"/>
          <w:bCs/>
          <w:color w:val="000000" w:themeColor="text1"/>
        </w:rPr>
        <w:t xml:space="preserve">of </w:t>
      </w:r>
      <w:r w:rsidRPr="00371401" w:rsidR="00791F62">
        <w:rPr>
          <w:rFonts w:eastAsia="Times New Roman" w:cs="Times New Roman"/>
          <w:bCs/>
          <w:color w:val="000000" w:themeColor="text1"/>
        </w:rPr>
        <w:t>gepaard</w:t>
      </w:r>
      <w:r w:rsidRPr="00371401" w:rsidR="00E96427">
        <w:rPr>
          <w:rFonts w:eastAsia="Times New Roman" w:cs="Times New Roman"/>
          <w:bCs/>
          <w:color w:val="000000" w:themeColor="text1"/>
        </w:rPr>
        <w:t xml:space="preserve"> gaat met een zeer hoog </w:t>
      </w:r>
      <w:r w:rsidRPr="00371401" w:rsidR="00E96427">
        <w:t>kostenbeslag</w:t>
      </w:r>
      <w:r w:rsidRPr="00371401" w:rsidR="00EA4EAA">
        <w:rPr>
          <w:rFonts w:eastAsia="Times New Roman" w:cs="Times New Roman"/>
          <w:bCs/>
          <w:color w:val="000000" w:themeColor="text1"/>
        </w:rPr>
        <w:t xml:space="preserve">, </w:t>
      </w:r>
      <w:r w:rsidRPr="00371401">
        <w:rPr>
          <w:rFonts w:eastAsia="Times New Roman" w:cs="Times New Roman"/>
          <w:bCs/>
          <w:color w:val="000000" w:themeColor="text1"/>
        </w:rPr>
        <w:t xml:space="preserve">adviseert het Zorginstituut om met de leverancier een onderhandeling te voeren om een lagere prijs van het geneesmiddel overeen te komen. </w:t>
      </w:r>
      <w:r w:rsidRPr="00371401">
        <w:rPr>
          <w:rFonts w:eastAsia="Times New Roman" w:cs="Times New Roman"/>
          <w:bCs/>
        </w:rPr>
        <w:t>Op basis van dit advies</w:t>
      </w:r>
      <w:r w:rsidRPr="00371401" w:rsidR="00EA4EAA">
        <w:rPr>
          <w:rFonts w:eastAsia="Times New Roman" w:cs="Times New Roman"/>
          <w:bCs/>
        </w:rPr>
        <w:t xml:space="preserve"> kan </w:t>
      </w:r>
      <w:r w:rsidRPr="00371401" w:rsidR="00471BFE">
        <w:rPr>
          <w:rFonts w:eastAsia="Times New Roman" w:cs="Times New Roman"/>
          <w:bCs/>
        </w:rPr>
        <w:t xml:space="preserve">het kabinet </w:t>
      </w:r>
      <w:r w:rsidRPr="00371401">
        <w:rPr>
          <w:rFonts w:eastAsia="Times New Roman" w:cs="Times New Roman"/>
          <w:bCs/>
        </w:rPr>
        <w:t xml:space="preserve">passende maatregelen treffen </w:t>
      </w:r>
    </w:p>
    <w:p w:rsidR="00371401" w:rsidP="00371401" w:rsidRDefault="00371401" w14:paraId="39154C1B" w14:textId="77777777">
      <w:pPr>
        <w:suppressAutoHyphens/>
        <w:rPr>
          <w:rFonts w:eastAsia="Times New Roman" w:cs="Times New Roman"/>
          <w:bCs/>
        </w:rPr>
      </w:pPr>
    </w:p>
    <w:p w:rsidRPr="00371401" w:rsidR="00791F62" w:rsidP="00371401" w:rsidRDefault="00E910C3" w14:paraId="0293ABB3" w14:textId="64EED2AE">
      <w:pPr>
        <w:suppressAutoHyphens/>
        <w:rPr>
          <w:rFonts w:eastAsia="Times New Roman" w:cs="Times New Roman"/>
          <w:bCs/>
        </w:rPr>
      </w:pPr>
      <w:r w:rsidRPr="00371401">
        <w:rPr>
          <w:rFonts w:eastAsia="Times New Roman" w:cs="Times New Roman"/>
          <w:bCs/>
        </w:rPr>
        <w:lastRenderedPageBreak/>
        <w:t xml:space="preserve">voor verantwoorde opname in het basispakket, zoals het afsluiten van een financieel arrangement. </w:t>
      </w:r>
      <w:r w:rsidRPr="00371401" w:rsidR="00B94D51">
        <w:rPr>
          <w:rFonts w:eastAsia="Times New Roman" w:cs="Times New Roman"/>
          <w:bCs/>
        </w:rPr>
        <w:t>Dat betekent dat patiënten toegang krijgen tot nieuwe, dure geneesmiddelen en tegelijkertijd de betaalbaarheid van deze geneesmiddelen wordt gewaarborgd, ook voor de lange termijn.</w:t>
      </w:r>
      <w:r w:rsidRPr="00371401" w:rsidR="00791F62">
        <w:rPr>
          <w:rFonts w:eastAsia="Times New Roman" w:cs="Times New Roman"/>
          <w:bCs/>
        </w:rPr>
        <w:t xml:space="preserve"> </w:t>
      </w:r>
    </w:p>
    <w:p w:rsidRPr="00371401" w:rsidR="0077689B" w:rsidP="00371401" w:rsidRDefault="0077689B" w14:paraId="77D240EA" w14:textId="77777777">
      <w:pPr>
        <w:suppressAutoHyphens/>
        <w:rPr>
          <w:rFonts w:eastAsia="Times New Roman" w:cs="Times New Roman"/>
          <w:bCs/>
        </w:rPr>
      </w:pPr>
    </w:p>
    <w:p w:rsidRPr="00371401" w:rsidR="00E910C3" w:rsidP="00371401" w:rsidRDefault="00E910C3" w14:paraId="23EA9C6F" w14:textId="4AF2E84B">
      <w:pPr>
        <w:suppressAutoHyphens/>
        <w:rPr>
          <w:rFonts w:eastAsia="Times New Roman" w:cs="Times New Roman"/>
          <w:bCs/>
          <w:color w:val="000000" w:themeColor="text1"/>
        </w:rPr>
      </w:pPr>
      <w:r w:rsidRPr="00371401">
        <w:rPr>
          <w:rFonts w:eastAsia="Times New Roman" w:cs="Times New Roman"/>
          <w:bCs/>
          <w:color w:val="000000" w:themeColor="text1"/>
        </w:rPr>
        <w:t>Het is belangrijk dat zorg betaalbaar en kosteneffectief is, omdat</w:t>
      </w:r>
      <w:r w:rsidRPr="00371401" w:rsidR="00EB61A5">
        <w:rPr>
          <w:rFonts w:eastAsia="Times New Roman" w:cs="Times New Roman"/>
          <w:bCs/>
          <w:color w:val="000000" w:themeColor="text1"/>
        </w:rPr>
        <w:t xml:space="preserve"> </w:t>
      </w:r>
      <w:r w:rsidRPr="00371401">
        <w:rPr>
          <w:rFonts w:eastAsia="Times New Roman" w:cs="Times New Roman"/>
          <w:bCs/>
          <w:color w:val="000000" w:themeColor="text1"/>
        </w:rPr>
        <w:t>elke euro maar één keer uit</w:t>
      </w:r>
      <w:r w:rsidRPr="00371401" w:rsidR="0073677A">
        <w:rPr>
          <w:rFonts w:eastAsia="Times New Roman" w:cs="Times New Roman"/>
          <w:bCs/>
          <w:color w:val="000000" w:themeColor="text1"/>
        </w:rPr>
        <w:t>ge</w:t>
      </w:r>
      <w:r w:rsidRPr="00371401">
        <w:rPr>
          <w:rFonts w:eastAsia="Times New Roman" w:cs="Times New Roman"/>
          <w:bCs/>
          <w:color w:val="000000" w:themeColor="text1"/>
        </w:rPr>
        <w:t>geven</w:t>
      </w:r>
      <w:r w:rsidRPr="00371401" w:rsidR="00EB61A5">
        <w:rPr>
          <w:rFonts w:eastAsia="Times New Roman" w:cs="Times New Roman"/>
          <w:bCs/>
          <w:color w:val="000000" w:themeColor="text1"/>
        </w:rPr>
        <w:t xml:space="preserve"> kan worden</w:t>
      </w:r>
      <w:r w:rsidRPr="00371401">
        <w:rPr>
          <w:rFonts w:eastAsia="Times New Roman" w:cs="Times New Roman"/>
          <w:bCs/>
          <w:color w:val="000000" w:themeColor="text1"/>
        </w:rPr>
        <w:t>. Als we veel geld uitgeven aan zorg die niet kosteneffectief is, dan hadden we dat geld beter aan andere, wel kosteneffectieve zorg kunnen besteden</w:t>
      </w:r>
      <w:r w:rsidRPr="00371401" w:rsidR="004F5081">
        <w:rPr>
          <w:rFonts w:eastAsia="Times New Roman" w:cs="Times New Roman"/>
          <w:bCs/>
          <w:color w:val="000000" w:themeColor="text1"/>
        </w:rPr>
        <w:t>.</w:t>
      </w:r>
      <w:r w:rsidRPr="00371401">
        <w:rPr>
          <w:rFonts w:eastAsia="Times New Roman" w:cs="Times New Roman"/>
          <w:bCs/>
          <w:color w:val="000000" w:themeColor="text1"/>
        </w:rPr>
        <w:t xml:space="preserve"> </w:t>
      </w:r>
      <w:r w:rsidRPr="00371401" w:rsidR="004F5081">
        <w:rPr>
          <w:rFonts w:eastAsia="Times New Roman" w:cs="Times New Roman"/>
          <w:bCs/>
          <w:color w:val="000000" w:themeColor="text1"/>
        </w:rPr>
        <w:t>V</w:t>
      </w:r>
      <w:r w:rsidRPr="00371401">
        <w:rPr>
          <w:rFonts w:eastAsia="Times New Roman" w:cs="Times New Roman"/>
          <w:bCs/>
          <w:color w:val="000000" w:themeColor="text1"/>
        </w:rPr>
        <w:t>oor dezelfde euro</w:t>
      </w:r>
      <w:r w:rsidRPr="00371401" w:rsidR="004F5081">
        <w:rPr>
          <w:rFonts w:eastAsia="Times New Roman" w:cs="Times New Roman"/>
          <w:bCs/>
          <w:color w:val="000000" w:themeColor="text1"/>
        </w:rPr>
        <w:t>’</w:t>
      </w:r>
      <w:r w:rsidRPr="00371401">
        <w:rPr>
          <w:rFonts w:eastAsia="Times New Roman" w:cs="Times New Roman"/>
          <w:bCs/>
          <w:color w:val="000000" w:themeColor="text1"/>
        </w:rPr>
        <w:t xml:space="preserve">s </w:t>
      </w:r>
      <w:r w:rsidRPr="00371401" w:rsidR="004F5081">
        <w:rPr>
          <w:rFonts w:eastAsia="Times New Roman" w:cs="Times New Roman"/>
          <w:bCs/>
          <w:color w:val="000000" w:themeColor="text1"/>
        </w:rPr>
        <w:t xml:space="preserve">had dat </w:t>
      </w:r>
      <w:r w:rsidRPr="00371401">
        <w:rPr>
          <w:rFonts w:eastAsia="Times New Roman" w:cs="Times New Roman"/>
          <w:bCs/>
          <w:color w:val="000000" w:themeColor="text1"/>
        </w:rPr>
        <w:t>meer gezondheidswinst voor de Nederlandse patiënt opgeleverd. Deze aanpak sluit ook aan bij de doelstelling van het kabinet om passende zorg de norm te maken</w:t>
      </w:r>
      <w:r w:rsidRPr="00371401" w:rsidR="00D933A0">
        <w:rPr>
          <w:rFonts w:eastAsia="Times New Roman" w:cs="Times New Roman"/>
          <w:bCs/>
          <w:color w:val="000000" w:themeColor="text1"/>
        </w:rPr>
        <w:t xml:space="preserve"> en scherpere eisen te </w:t>
      </w:r>
      <w:r w:rsidRPr="00371401" w:rsidR="00701006">
        <w:rPr>
          <w:rFonts w:eastAsia="Times New Roman" w:cs="Times New Roman"/>
          <w:bCs/>
          <w:color w:val="000000" w:themeColor="text1"/>
        </w:rPr>
        <w:t>stellen aan de pakketwaardigheid van zorg</w:t>
      </w:r>
      <w:r w:rsidRPr="00371401" w:rsidR="00701006">
        <w:rPr>
          <w:rStyle w:val="Voetnootmarkering"/>
          <w:rFonts w:eastAsia="Times New Roman" w:cs="Times New Roman"/>
          <w:bCs/>
          <w:color w:val="000000" w:themeColor="text1"/>
        </w:rPr>
        <w:footnoteReference w:id="3"/>
      </w:r>
      <w:r w:rsidRPr="00371401">
        <w:rPr>
          <w:rFonts w:eastAsia="Times New Roman" w:cs="Times New Roman"/>
          <w:bCs/>
          <w:color w:val="000000" w:themeColor="text1"/>
        </w:rPr>
        <w:t xml:space="preserve">. Eén van de principes van passende zorg is </w:t>
      </w:r>
      <w:r w:rsidRPr="00371401" w:rsidR="00F1036D">
        <w:rPr>
          <w:rFonts w:eastAsia="Times New Roman" w:cs="Times New Roman"/>
          <w:bCs/>
          <w:color w:val="000000" w:themeColor="text1"/>
        </w:rPr>
        <w:t xml:space="preserve">namelijk </w:t>
      </w:r>
      <w:r w:rsidRPr="00371401">
        <w:rPr>
          <w:rFonts w:eastAsia="Times New Roman" w:cs="Times New Roman"/>
          <w:bCs/>
          <w:color w:val="000000" w:themeColor="text1"/>
        </w:rPr>
        <w:t>zorg die werkt tegen een redelijke prijs</w:t>
      </w:r>
      <w:r w:rsidRPr="00371401" w:rsidR="00701006">
        <w:rPr>
          <w:rStyle w:val="Voetnootmarkering"/>
          <w:rFonts w:eastAsia="Times New Roman" w:cs="Times New Roman"/>
          <w:bCs/>
          <w:color w:val="000000" w:themeColor="text1"/>
        </w:rPr>
        <w:footnoteReference w:id="4"/>
      </w:r>
      <w:r w:rsidRPr="00371401" w:rsidR="00701006">
        <w:rPr>
          <w:rFonts w:eastAsia="Times New Roman" w:cs="Times New Roman"/>
          <w:bCs/>
          <w:color w:val="000000" w:themeColor="text1"/>
        </w:rPr>
        <w:t>.</w:t>
      </w:r>
    </w:p>
    <w:p w:rsidRPr="00371401" w:rsidR="00BA4F5B" w:rsidP="00371401" w:rsidRDefault="00BA4F5B" w14:paraId="7DEA2622" w14:textId="77777777">
      <w:pPr>
        <w:suppressAutoHyphens/>
        <w:rPr>
          <w:rFonts w:eastAsia="Times New Roman" w:cs="Times New Roman"/>
          <w:bCs/>
          <w:color w:val="000000" w:themeColor="text1"/>
        </w:rPr>
      </w:pPr>
    </w:p>
    <w:p w:rsidRPr="00371401" w:rsidR="00BA4F5B" w:rsidP="00371401" w:rsidRDefault="00791F62" w14:paraId="500C90F8" w14:textId="5C042CFF">
      <w:pPr>
        <w:suppressAutoHyphens/>
        <w:rPr>
          <w:rFonts w:eastAsia="Times New Roman" w:cs="Times New Roman"/>
          <w:bCs/>
          <w:color w:val="000000" w:themeColor="text1"/>
        </w:rPr>
      </w:pPr>
      <w:r w:rsidRPr="00371401">
        <w:rPr>
          <w:rFonts w:eastAsia="Times New Roman" w:cs="Times New Roman"/>
          <w:bCs/>
          <w:color w:val="000000" w:themeColor="text1"/>
        </w:rPr>
        <w:t xml:space="preserve">In deze brief wordt </w:t>
      </w:r>
      <w:r w:rsidRPr="00371401" w:rsidR="006833B4">
        <w:rPr>
          <w:rFonts w:eastAsia="Times New Roman" w:cs="Times New Roman"/>
          <w:bCs/>
          <w:color w:val="000000" w:themeColor="text1"/>
        </w:rPr>
        <w:t>de Kamer</w:t>
      </w:r>
      <w:r w:rsidRPr="00371401">
        <w:rPr>
          <w:rFonts w:eastAsia="Times New Roman" w:cs="Times New Roman"/>
          <w:bCs/>
          <w:color w:val="000000" w:themeColor="text1"/>
        </w:rPr>
        <w:t xml:space="preserve"> geïnformeerd over de (financiële) uitkomsten van de arrangementen voor dure geneesmiddelen. </w:t>
      </w:r>
      <w:r w:rsidRPr="00371401" w:rsidR="00471BFE">
        <w:rPr>
          <w:rFonts w:eastAsia="Times New Roman" w:cs="Times New Roman"/>
          <w:bCs/>
          <w:color w:val="000000" w:themeColor="text1"/>
        </w:rPr>
        <w:t xml:space="preserve">Het kabinet </w:t>
      </w:r>
      <w:r w:rsidRPr="00371401" w:rsidR="004F5081">
        <w:rPr>
          <w:rFonts w:eastAsia="Times New Roman" w:cs="Times New Roman"/>
          <w:bCs/>
          <w:color w:val="000000" w:themeColor="text1"/>
        </w:rPr>
        <w:t>vindt</w:t>
      </w:r>
      <w:r w:rsidRPr="00371401" w:rsidR="00471BFE">
        <w:rPr>
          <w:rFonts w:eastAsia="Times New Roman" w:cs="Times New Roman"/>
          <w:bCs/>
          <w:color w:val="000000" w:themeColor="text1"/>
        </w:rPr>
        <w:t xml:space="preserve"> </w:t>
      </w:r>
      <w:r w:rsidRPr="00371401" w:rsidR="00BA4F5B">
        <w:rPr>
          <w:rFonts w:eastAsia="Times New Roman" w:cs="Times New Roman"/>
          <w:bCs/>
          <w:color w:val="000000" w:themeColor="text1"/>
        </w:rPr>
        <w:t xml:space="preserve">het belangrijk om te streven naar meer transparantie over de onderhandelde en werkelijk betaalde prijzen voor geneesmiddelen. In de praktijk blijkt dat leveranciers doorgaans niet bereid zijn om tot openbare prijsafspraken te komen, die door </w:t>
      </w:r>
      <w:r w:rsidRPr="00371401" w:rsidR="00471BFE">
        <w:rPr>
          <w:rFonts w:eastAsia="Times New Roman" w:cs="Times New Roman"/>
          <w:bCs/>
          <w:color w:val="000000" w:themeColor="text1"/>
        </w:rPr>
        <w:t xml:space="preserve">het kabinet </w:t>
      </w:r>
      <w:r w:rsidRPr="00371401" w:rsidR="00BA4F5B">
        <w:rPr>
          <w:rFonts w:eastAsia="Times New Roman" w:cs="Times New Roman"/>
          <w:bCs/>
          <w:color w:val="000000" w:themeColor="text1"/>
        </w:rPr>
        <w:t xml:space="preserve">acceptabel worden geacht. Omdat toegang tot geneesmiddelen voor de patiënt belangrijk </w:t>
      </w:r>
      <w:r w:rsidRPr="00371401" w:rsidR="00471BFE">
        <w:rPr>
          <w:rFonts w:eastAsia="Times New Roman" w:cs="Times New Roman"/>
          <w:bCs/>
          <w:color w:val="000000" w:themeColor="text1"/>
        </w:rPr>
        <w:t>is</w:t>
      </w:r>
      <w:r w:rsidRPr="00371401" w:rsidR="00BA4F5B">
        <w:rPr>
          <w:rFonts w:eastAsia="Times New Roman" w:cs="Times New Roman"/>
          <w:bCs/>
          <w:color w:val="000000" w:themeColor="text1"/>
        </w:rPr>
        <w:t xml:space="preserve">, </w:t>
      </w:r>
      <w:r w:rsidRPr="00371401" w:rsidR="00471BFE">
        <w:rPr>
          <w:rFonts w:eastAsia="Times New Roman" w:cs="Times New Roman"/>
          <w:bCs/>
          <w:color w:val="000000" w:themeColor="text1"/>
        </w:rPr>
        <w:t>gaat het kabinet</w:t>
      </w:r>
      <w:r w:rsidRPr="00371401" w:rsidR="00BA4F5B">
        <w:rPr>
          <w:rFonts w:eastAsia="Times New Roman" w:cs="Times New Roman"/>
          <w:bCs/>
          <w:color w:val="000000" w:themeColor="text1"/>
        </w:rPr>
        <w:t xml:space="preserve"> daarom akkoord met </w:t>
      </w:r>
      <w:r w:rsidRPr="00371401" w:rsidR="00BA4F5B">
        <w:rPr>
          <w:rFonts w:eastAsia="Times New Roman" w:cs="Times New Roman"/>
          <w:bCs/>
          <w:i/>
          <w:iCs/>
          <w:color w:val="000000" w:themeColor="text1"/>
        </w:rPr>
        <w:t xml:space="preserve">vertrouwelijke </w:t>
      </w:r>
      <w:r w:rsidRPr="00371401" w:rsidR="00BA4F5B">
        <w:rPr>
          <w:rFonts w:eastAsia="Times New Roman" w:cs="Times New Roman"/>
          <w:bCs/>
          <w:color w:val="000000" w:themeColor="text1"/>
        </w:rPr>
        <w:t>prijsafspraken.</w:t>
      </w:r>
    </w:p>
    <w:p w:rsidRPr="00371401" w:rsidR="006B3ECD" w:rsidP="00371401" w:rsidRDefault="006B3ECD" w14:paraId="4DAFF6EA" w14:textId="35A37CFA">
      <w:pPr>
        <w:suppressAutoHyphens/>
        <w:rPr>
          <w:rFonts w:eastAsia="Times New Roman" w:cs="Times New Roman"/>
          <w:bCs/>
          <w:color w:val="000000" w:themeColor="text1"/>
        </w:rPr>
      </w:pPr>
    </w:p>
    <w:p w:rsidRPr="00371401" w:rsidR="00BA4F5B" w:rsidP="00371401" w:rsidRDefault="006B3ECD" w14:paraId="7616D56A" w14:textId="78615A3F">
      <w:pPr>
        <w:suppressAutoHyphens/>
        <w:rPr>
          <w:rFonts w:eastAsia="Times New Roman" w:cs="Times New Roman"/>
          <w:bCs/>
          <w:color w:val="000000" w:themeColor="text1"/>
        </w:rPr>
      </w:pPr>
      <w:r w:rsidRPr="00371401">
        <w:rPr>
          <w:rFonts w:eastAsia="Times New Roman" w:cs="Times New Roman"/>
          <w:bCs/>
          <w:color w:val="000000" w:themeColor="text1"/>
        </w:rPr>
        <w:t>In deze brief</w:t>
      </w:r>
      <w:r w:rsidRPr="00371401" w:rsidR="00471BFE">
        <w:rPr>
          <w:rFonts w:eastAsia="Times New Roman" w:cs="Times New Roman"/>
          <w:bCs/>
          <w:color w:val="000000" w:themeColor="text1"/>
        </w:rPr>
        <w:t xml:space="preserve"> wordt </w:t>
      </w:r>
      <w:r w:rsidRPr="00371401">
        <w:rPr>
          <w:rFonts w:eastAsia="Times New Roman" w:cs="Times New Roman"/>
          <w:bCs/>
          <w:color w:val="000000" w:themeColor="text1"/>
        </w:rPr>
        <w:t xml:space="preserve">nader </w:t>
      </w:r>
      <w:r w:rsidRPr="00371401" w:rsidR="00AD546F">
        <w:rPr>
          <w:rFonts w:eastAsia="Times New Roman" w:cs="Times New Roman"/>
          <w:bCs/>
          <w:color w:val="000000" w:themeColor="text1"/>
        </w:rPr>
        <w:t>ingegaan</w:t>
      </w:r>
      <w:r w:rsidRPr="00371401" w:rsidR="00471BFE">
        <w:rPr>
          <w:rFonts w:eastAsia="Times New Roman" w:cs="Times New Roman"/>
          <w:bCs/>
          <w:color w:val="000000" w:themeColor="text1"/>
        </w:rPr>
        <w:t xml:space="preserve"> </w:t>
      </w:r>
      <w:r w:rsidRPr="00371401">
        <w:rPr>
          <w:rFonts w:eastAsia="Times New Roman" w:cs="Times New Roman"/>
          <w:bCs/>
          <w:color w:val="000000" w:themeColor="text1"/>
        </w:rPr>
        <w:t>op:</w:t>
      </w:r>
    </w:p>
    <w:p w:rsidRPr="00371401" w:rsidR="00BC17C5" w:rsidP="00371401" w:rsidRDefault="007A3A5B" w14:paraId="4584E4EB" w14:textId="666955BF">
      <w:pPr>
        <w:pStyle w:val="Lijstalinea"/>
        <w:numPr>
          <w:ilvl w:val="0"/>
          <w:numId w:val="25"/>
        </w:numPr>
        <w:suppressAutoHyphens/>
        <w:spacing w:line="240" w:lineRule="exact"/>
        <w:rPr>
          <w:rFonts w:ascii="Verdana" w:hAnsi="Verdana" w:eastAsia="Times New Roman" w:cs="Times New Roman"/>
          <w:bCs/>
          <w:color w:val="000000" w:themeColor="text1"/>
          <w:sz w:val="18"/>
          <w:szCs w:val="18"/>
        </w:rPr>
      </w:pPr>
      <w:r w:rsidRPr="00371401">
        <w:rPr>
          <w:rFonts w:ascii="Verdana" w:hAnsi="Verdana" w:eastAsia="Times New Roman" w:cs="Times New Roman"/>
          <w:bCs/>
          <w:color w:val="000000" w:themeColor="text1"/>
          <w:sz w:val="18"/>
          <w:szCs w:val="18"/>
        </w:rPr>
        <w:t>G</w:t>
      </w:r>
      <w:r w:rsidRPr="00371401" w:rsidR="00791F62">
        <w:rPr>
          <w:rFonts w:ascii="Verdana" w:hAnsi="Verdana" w:eastAsia="Times New Roman" w:cs="Times New Roman"/>
          <w:bCs/>
          <w:color w:val="000000" w:themeColor="text1"/>
          <w:sz w:val="18"/>
          <w:szCs w:val="18"/>
        </w:rPr>
        <w:t>ehanteerde begrippen en data</w:t>
      </w:r>
    </w:p>
    <w:p w:rsidRPr="00371401" w:rsidR="00360460" w:rsidP="00371401" w:rsidRDefault="007A3A5B" w14:paraId="62A13242" w14:textId="3B0C7829">
      <w:pPr>
        <w:pStyle w:val="Lijstalinea"/>
        <w:numPr>
          <w:ilvl w:val="0"/>
          <w:numId w:val="25"/>
        </w:numPr>
        <w:suppressAutoHyphens/>
        <w:spacing w:line="240" w:lineRule="exact"/>
        <w:rPr>
          <w:rFonts w:ascii="Verdana" w:hAnsi="Verdana" w:eastAsia="Times New Roman" w:cs="Times New Roman"/>
          <w:bCs/>
          <w:color w:val="000000" w:themeColor="text1"/>
          <w:sz w:val="18"/>
          <w:szCs w:val="18"/>
        </w:rPr>
      </w:pPr>
      <w:r w:rsidRPr="00371401">
        <w:rPr>
          <w:rFonts w:ascii="Verdana" w:hAnsi="Verdana" w:eastAsia="Times New Roman" w:cs="Times New Roman"/>
          <w:bCs/>
          <w:color w:val="000000" w:themeColor="text1"/>
          <w:sz w:val="18"/>
          <w:szCs w:val="18"/>
        </w:rPr>
        <w:t>O</w:t>
      </w:r>
      <w:r w:rsidRPr="00371401" w:rsidR="00BA4F5B">
        <w:rPr>
          <w:rFonts w:ascii="Verdana" w:hAnsi="Verdana" w:eastAsia="Times New Roman" w:cs="Times New Roman"/>
          <w:bCs/>
          <w:color w:val="000000" w:themeColor="text1"/>
          <w:sz w:val="18"/>
          <w:szCs w:val="18"/>
        </w:rPr>
        <w:t>ntwikkeling van arrangementen en uitgaven</w:t>
      </w:r>
      <w:r w:rsidRPr="00371401" w:rsidR="00360460">
        <w:rPr>
          <w:rFonts w:ascii="Verdana" w:hAnsi="Verdana" w:eastAsia="Times New Roman" w:cs="Times New Roman"/>
          <w:bCs/>
          <w:color w:val="000000" w:themeColor="text1"/>
          <w:sz w:val="18"/>
          <w:szCs w:val="18"/>
        </w:rPr>
        <w:t xml:space="preserve"> </w:t>
      </w:r>
    </w:p>
    <w:p w:rsidRPr="00371401" w:rsidR="00360460" w:rsidP="00371401" w:rsidRDefault="007A3A5B" w14:paraId="450769D4" w14:textId="68C7B322">
      <w:pPr>
        <w:pStyle w:val="Lijstalinea"/>
        <w:numPr>
          <w:ilvl w:val="0"/>
          <w:numId w:val="25"/>
        </w:numPr>
        <w:suppressAutoHyphens/>
        <w:spacing w:line="240" w:lineRule="exact"/>
        <w:rPr>
          <w:rFonts w:ascii="Verdana" w:hAnsi="Verdana" w:eastAsia="Times New Roman" w:cs="Times New Roman"/>
          <w:bCs/>
          <w:color w:val="000000" w:themeColor="text1"/>
          <w:sz w:val="18"/>
          <w:szCs w:val="18"/>
        </w:rPr>
      </w:pPr>
      <w:r w:rsidRPr="00371401">
        <w:rPr>
          <w:rFonts w:ascii="Verdana" w:hAnsi="Verdana" w:eastAsia="Times New Roman" w:cs="Times New Roman"/>
          <w:bCs/>
          <w:color w:val="000000" w:themeColor="text1"/>
          <w:sz w:val="18"/>
          <w:szCs w:val="18"/>
        </w:rPr>
        <w:t xml:space="preserve">Uitgavenverlagingen </w:t>
      </w:r>
      <w:r w:rsidRPr="00371401" w:rsidR="00BA4F5B">
        <w:rPr>
          <w:rFonts w:ascii="Verdana" w:hAnsi="Verdana" w:eastAsia="Times New Roman" w:cs="Times New Roman"/>
          <w:bCs/>
          <w:color w:val="000000" w:themeColor="text1"/>
          <w:sz w:val="18"/>
          <w:szCs w:val="18"/>
        </w:rPr>
        <w:t>door de financiële arrangementen</w:t>
      </w:r>
    </w:p>
    <w:p w:rsidRPr="00371401" w:rsidR="00BA4F5B" w:rsidP="00371401" w:rsidRDefault="007A3A5B" w14:paraId="1CE97C75" w14:textId="5D956B6A">
      <w:pPr>
        <w:pStyle w:val="Lijstalinea"/>
        <w:numPr>
          <w:ilvl w:val="0"/>
          <w:numId w:val="25"/>
        </w:numPr>
        <w:suppressAutoHyphens/>
        <w:spacing w:line="240" w:lineRule="exact"/>
        <w:rPr>
          <w:rFonts w:ascii="Verdana" w:hAnsi="Verdana" w:eastAsia="Times New Roman" w:cs="Times New Roman"/>
          <w:bCs/>
          <w:color w:val="000000" w:themeColor="text1"/>
          <w:sz w:val="18"/>
          <w:szCs w:val="18"/>
        </w:rPr>
      </w:pPr>
      <w:r w:rsidRPr="00371401">
        <w:rPr>
          <w:rFonts w:ascii="Verdana" w:hAnsi="Verdana" w:eastAsia="Times New Roman" w:cs="Times New Roman"/>
          <w:bCs/>
          <w:color w:val="000000" w:themeColor="text1"/>
          <w:sz w:val="18"/>
          <w:szCs w:val="18"/>
        </w:rPr>
        <w:t xml:space="preserve">Transparantie </w:t>
      </w:r>
      <w:r w:rsidRPr="00371401" w:rsidR="00BA4F5B">
        <w:rPr>
          <w:rFonts w:ascii="Verdana" w:hAnsi="Verdana" w:eastAsia="Times New Roman" w:cs="Times New Roman"/>
          <w:bCs/>
          <w:color w:val="000000" w:themeColor="text1"/>
          <w:sz w:val="18"/>
          <w:szCs w:val="18"/>
        </w:rPr>
        <w:t xml:space="preserve">van de onderhandelde prijzen </w:t>
      </w:r>
    </w:p>
    <w:p w:rsidRPr="00371401" w:rsidR="00BA4F5B" w:rsidP="00371401" w:rsidRDefault="007A3A5B" w14:paraId="5686409F" w14:textId="5921273A">
      <w:pPr>
        <w:pStyle w:val="Lijstalinea"/>
        <w:numPr>
          <w:ilvl w:val="0"/>
          <w:numId w:val="25"/>
        </w:numPr>
        <w:suppressAutoHyphens/>
        <w:spacing w:line="240" w:lineRule="exact"/>
        <w:rPr>
          <w:rFonts w:ascii="Verdana" w:hAnsi="Verdana" w:eastAsia="Times New Roman" w:cs="Times New Roman"/>
          <w:bCs/>
          <w:color w:val="000000" w:themeColor="text1"/>
          <w:sz w:val="18"/>
          <w:szCs w:val="18"/>
        </w:rPr>
      </w:pPr>
      <w:r w:rsidRPr="00371401">
        <w:rPr>
          <w:rFonts w:ascii="Verdana" w:hAnsi="Verdana" w:eastAsia="Times New Roman" w:cs="Times New Roman"/>
          <w:bCs/>
          <w:color w:val="000000" w:themeColor="text1"/>
          <w:sz w:val="18"/>
          <w:szCs w:val="18"/>
        </w:rPr>
        <w:t>S</w:t>
      </w:r>
      <w:r w:rsidRPr="00371401" w:rsidR="00BA4F5B">
        <w:rPr>
          <w:rFonts w:ascii="Verdana" w:hAnsi="Verdana" w:eastAsia="Times New Roman" w:cs="Times New Roman"/>
          <w:bCs/>
          <w:color w:val="000000" w:themeColor="text1"/>
          <w:sz w:val="18"/>
          <w:szCs w:val="18"/>
        </w:rPr>
        <w:t xml:space="preserve">pecifieke </w:t>
      </w:r>
      <w:r w:rsidRPr="00371401">
        <w:rPr>
          <w:rFonts w:ascii="Verdana" w:hAnsi="Verdana" w:eastAsia="Times New Roman" w:cs="Times New Roman"/>
          <w:bCs/>
          <w:color w:val="000000" w:themeColor="text1"/>
          <w:sz w:val="18"/>
          <w:szCs w:val="18"/>
        </w:rPr>
        <w:t xml:space="preserve">casuïstiek </w:t>
      </w:r>
      <w:r w:rsidRPr="00371401" w:rsidR="00BA4F5B">
        <w:rPr>
          <w:rFonts w:ascii="Verdana" w:hAnsi="Verdana" w:eastAsia="Times New Roman" w:cs="Times New Roman"/>
          <w:bCs/>
          <w:color w:val="000000" w:themeColor="text1"/>
          <w:sz w:val="18"/>
          <w:szCs w:val="18"/>
        </w:rPr>
        <w:t>sinds de vorige voortgangsbrief</w:t>
      </w:r>
    </w:p>
    <w:p w:rsidRPr="00371401" w:rsidR="008931EA" w:rsidP="00371401" w:rsidRDefault="007A3A5B" w14:paraId="5838E807" w14:textId="22C09461">
      <w:pPr>
        <w:pStyle w:val="Lijstalinea"/>
        <w:numPr>
          <w:ilvl w:val="0"/>
          <w:numId w:val="25"/>
        </w:numPr>
        <w:suppressAutoHyphens/>
        <w:spacing w:line="240" w:lineRule="exact"/>
        <w:rPr>
          <w:rFonts w:ascii="Verdana" w:hAnsi="Verdana" w:eastAsia="Times New Roman" w:cs="Times New Roman"/>
          <w:bCs/>
          <w:color w:val="000000" w:themeColor="text1"/>
          <w:sz w:val="18"/>
          <w:szCs w:val="18"/>
        </w:rPr>
      </w:pPr>
      <w:r w:rsidRPr="00371401">
        <w:rPr>
          <w:rFonts w:ascii="Verdana" w:hAnsi="Verdana" w:eastAsia="Times New Roman" w:cs="Times New Roman"/>
          <w:bCs/>
          <w:color w:val="000000" w:themeColor="text1"/>
          <w:sz w:val="18"/>
          <w:szCs w:val="18"/>
        </w:rPr>
        <w:t xml:space="preserve">Doorlooptijden </w:t>
      </w:r>
      <w:r w:rsidRPr="00371401" w:rsidR="00BA4F5B">
        <w:rPr>
          <w:rFonts w:ascii="Verdana" w:hAnsi="Verdana" w:eastAsia="Times New Roman" w:cs="Times New Roman"/>
          <w:bCs/>
          <w:color w:val="000000" w:themeColor="text1"/>
          <w:sz w:val="18"/>
          <w:szCs w:val="18"/>
        </w:rPr>
        <w:t xml:space="preserve">van geneesmiddelen met </w:t>
      </w:r>
      <w:r w:rsidRPr="00371401" w:rsidR="0073677A">
        <w:rPr>
          <w:rFonts w:ascii="Verdana" w:hAnsi="Verdana" w:eastAsia="Times New Roman" w:cs="Times New Roman"/>
          <w:bCs/>
          <w:color w:val="000000" w:themeColor="text1"/>
          <w:sz w:val="18"/>
          <w:szCs w:val="18"/>
        </w:rPr>
        <w:t xml:space="preserve">een </w:t>
      </w:r>
      <w:r w:rsidRPr="00371401" w:rsidR="00BA4F5B">
        <w:rPr>
          <w:rFonts w:ascii="Verdana" w:hAnsi="Verdana" w:eastAsia="Times New Roman" w:cs="Times New Roman"/>
          <w:bCs/>
          <w:color w:val="000000" w:themeColor="text1"/>
          <w:sz w:val="18"/>
          <w:szCs w:val="18"/>
        </w:rPr>
        <w:t xml:space="preserve">financieel arrangement </w:t>
      </w:r>
    </w:p>
    <w:p w:rsidRPr="00371401" w:rsidR="000F4444" w:rsidP="00371401" w:rsidRDefault="000F4444" w14:paraId="4E90757B" w14:textId="77777777">
      <w:pPr>
        <w:suppressAutoHyphens/>
        <w:rPr>
          <w:rFonts w:eastAsia="Times New Roman" w:cs="Times New Roman"/>
          <w:bCs/>
          <w:color w:val="000000" w:themeColor="text1"/>
        </w:rPr>
      </w:pPr>
    </w:p>
    <w:p w:rsidRPr="00371401" w:rsidR="00F1036D" w:rsidP="00371401" w:rsidRDefault="00F1036D" w14:paraId="6826FFB1" w14:textId="5273A919">
      <w:pPr>
        <w:suppressAutoHyphens/>
        <w:rPr>
          <w:rFonts w:eastAsia="Times New Roman" w:cs="Times New Roman"/>
          <w:b/>
          <w:bCs/>
        </w:rPr>
      </w:pPr>
      <w:r w:rsidRPr="00371401">
        <w:rPr>
          <w:rFonts w:eastAsia="Times New Roman" w:cs="Times New Roman"/>
          <w:b/>
          <w:bCs/>
        </w:rPr>
        <w:t xml:space="preserve">1. </w:t>
      </w:r>
      <w:r w:rsidRPr="00371401" w:rsidR="007A3A5B">
        <w:rPr>
          <w:rFonts w:eastAsia="Times New Roman" w:cs="Times New Roman"/>
          <w:b/>
          <w:bCs/>
        </w:rPr>
        <w:t xml:space="preserve">Gehanteerde </w:t>
      </w:r>
      <w:r w:rsidRPr="00371401" w:rsidR="00791F62">
        <w:rPr>
          <w:rFonts w:eastAsia="Times New Roman" w:cs="Times New Roman"/>
          <w:b/>
          <w:bCs/>
        </w:rPr>
        <w:t>begrippen en data</w:t>
      </w:r>
    </w:p>
    <w:p w:rsidRPr="00371401" w:rsidR="00F1036D" w:rsidP="00371401" w:rsidRDefault="008B3487" w14:paraId="233A997B" w14:textId="427773E2">
      <w:pPr>
        <w:suppressAutoHyphens/>
        <w:rPr>
          <w:rFonts w:eastAsia="Times New Roman" w:cs="Times New Roman"/>
        </w:rPr>
      </w:pPr>
      <w:r w:rsidRPr="00371401">
        <w:rPr>
          <w:rFonts w:eastAsia="Times New Roman" w:cs="Times New Roman"/>
        </w:rPr>
        <w:t xml:space="preserve">De gerapporteerde cijfers zijn vastgesteld op basis van de zorgdeclaraties in Nederland. </w:t>
      </w:r>
      <w:r w:rsidRPr="00371401" w:rsidR="00791F62">
        <w:rPr>
          <w:rFonts w:eastAsia="Times New Roman" w:cs="Times New Roman"/>
        </w:rPr>
        <w:t>In</w:t>
      </w:r>
      <w:r w:rsidRPr="00371401" w:rsidR="00F1036D">
        <w:rPr>
          <w:rFonts w:eastAsia="Times New Roman" w:cs="Times New Roman"/>
        </w:rPr>
        <w:t xml:space="preserve"> veel gevallen wordt er onderscheid </w:t>
      </w:r>
      <w:r w:rsidRPr="00371401" w:rsidR="00EB61A5">
        <w:rPr>
          <w:rFonts w:eastAsia="Times New Roman" w:cs="Times New Roman"/>
        </w:rPr>
        <w:t>gemaakt</w:t>
      </w:r>
      <w:r w:rsidRPr="00371401" w:rsidR="00F1036D">
        <w:rPr>
          <w:rFonts w:eastAsia="Times New Roman" w:cs="Times New Roman"/>
        </w:rPr>
        <w:t xml:space="preserve"> tussen arrangementen voor </w:t>
      </w:r>
      <w:r w:rsidRPr="00371401" w:rsidR="00102330">
        <w:rPr>
          <w:rFonts w:eastAsia="Times New Roman" w:cs="Times New Roman"/>
        </w:rPr>
        <w:t>intramurale en extramurale</w:t>
      </w:r>
      <w:r w:rsidRPr="00371401" w:rsidR="00F1036D">
        <w:rPr>
          <w:rFonts w:eastAsia="Times New Roman" w:cs="Times New Roman"/>
        </w:rPr>
        <w:t xml:space="preserve"> geneesmiddelen. </w:t>
      </w:r>
    </w:p>
    <w:p w:rsidRPr="00371401" w:rsidR="00F1036D" w:rsidP="00371401" w:rsidRDefault="00F1036D" w14:paraId="1A1EC89F" w14:textId="77777777">
      <w:pPr>
        <w:suppressAutoHyphens/>
        <w:rPr>
          <w:rFonts w:eastAsia="Times New Roman" w:cs="Times New Roman"/>
        </w:rPr>
      </w:pPr>
    </w:p>
    <w:p w:rsidRPr="00371401" w:rsidR="001C3033" w:rsidP="00371401" w:rsidRDefault="00F1036D" w14:paraId="0998FE1F" w14:textId="079FE5FB">
      <w:pPr>
        <w:suppressAutoHyphens/>
        <w:rPr>
          <w:rFonts w:eastAsia="Times New Roman" w:cs="Times New Roman"/>
        </w:rPr>
      </w:pPr>
      <w:r w:rsidRPr="00371401">
        <w:rPr>
          <w:rFonts w:eastAsia="Times New Roman" w:cs="Times New Roman"/>
        </w:rPr>
        <w:t>Intramurale geneesmiddelen worden</w:t>
      </w:r>
      <w:r w:rsidRPr="00371401" w:rsidR="001C3033">
        <w:rPr>
          <w:rFonts w:eastAsia="Times New Roman" w:cs="Times New Roman"/>
        </w:rPr>
        <w:t xml:space="preserve"> in het ziekenhuis </w:t>
      </w:r>
      <w:r w:rsidRPr="00371401" w:rsidR="00102330">
        <w:rPr>
          <w:rFonts w:eastAsia="Times New Roman" w:cs="Times New Roman"/>
        </w:rPr>
        <w:t xml:space="preserve">– </w:t>
      </w:r>
      <w:r w:rsidRPr="00371401" w:rsidR="001C3033">
        <w:rPr>
          <w:rFonts w:eastAsia="Times New Roman" w:cs="Times New Roman"/>
        </w:rPr>
        <w:t>of soms thuis onder verantwoordelijkheid van de medisch specialist –</w:t>
      </w:r>
      <w:r w:rsidRPr="00371401" w:rsidR="0059479B">
        <w:rPr>
          <w:rFonts w:eastAsia="Times New Roman" w:cs="Times New Roman"/>
        </w:rPr>
        <w:t xml:space="preserve"> </w:t>
      </w:r>
      <w:r w:rsidRPr="00371401" w:rsidR="001C3033">
        <w:rPr>
          <w:rFonts w:eastAsia="Times New Roman" w:cs="Times New Roman"/>
        </w:rPr>
        <w:t>toegediend of verstrekt aan de patiënt. I</w:t>
      </w:r>
      <w:r w:rsidRPr="00371401">
        <w:rPr>
          <w:rFonts w:eastAsia="Times New Roman" w:cs="Times New Roman"/>
        </w:rPr>
        <w:t>n het geval</w:t>
      </w:r>
      <w:r w:rsidRPr="00371401" w:rsidR="0059479B">
        <w:rPr>
          <w:rFonts w:eastAsia="Times New Roman" w:cs="Times New Roman"/>
        </w:rPr>
        <w:t xml:space="preserve"> </w:t>
      </w:r>
      <w:r w:rsidRPr="00371401" w:rsidR="007A3A5B">
        <w:rPr>
          <w:rFonts w:eastAsia="Times New Roman" w:cs="Times New Roman"/>
        </w:rPr>
        <w:t xml:space="preserve">dat </w:t>
      </w:r>
      <w:r w:rsidRPr="00371401" w:rsidR="0059479B">
        <w:rPr>
          <w:rFonts w:eastAsia="Times New Roman" w:cs="Times New Roman"/>
        </w:rPr>
        <w:t xml:space="preserve">nieuwe </w:t>
      </w:r>
      <w:r w:rsidRPr="00371401" w:rsidR="00EB61A5">
        <w:rPr>
          <w:rFonts w:eastAsia="Times New Roman" w:cs="Times New Roman"/>
        </w:rPr>
        <w:t xml:space="preserve">intramurale </w:t>
      </w:r>
      <w:r w:rsidRPr="00371401" w:rsidR="0059479B">
        <w:rPr>
          <w:rFonts w:eastAsia="Times New Roman" w:cs="Times New Roman"/>
        </w:rPr>
        <w:t>geneesmiddelen of indicaties tot hoge uitgaven kunnen leiden,</w:t>
      </w:r>
      <w:r w:rsidRPr="00371401" w:rsidR="001C3033">
        <w:rPr>
          <w:rFonts w:eastAsia="Times New Roman" w:cs="Times New Roman"/>
        </w:rPr>
        <w:t xml:space="preserve"> worden deze </w:t>
      </w:r>
      <w:r w:rsidRPr="00371401">
        <w:rPr>
          <w:rFonts w:eastAsia="Times New Roman" w:cs="Times New Roman"/>
        </w:rPr>
        <w:t>in de sluis geplaatst</w:t>
      </w:r>
      <w:r w:rsidRPr="00371401" w:rsidR="007A3A5B">
        <w:rPr>
          <w:rFonts w:eastAsia="Times New Roman" w:cs="Times New Roman"/>
        </w:rPr>
        <w:t xml:space="preserve">. Hierdoor kan </w:t>
      </w:r>
      <w:r w:rsidRPr="00371401" w:rsidR="00701006">
        <w:rPr>
          <w:rFonts w:eastAsia="Times New Roman" w:cs="Times New Roman"/>
        </w:rPr>
        <w:t>het kabinet</w:t>
      </w:r>
      <w:r w:rsidRPr="00371401" w:rsidR="007A3A5B">
        <w:rPr>
          <w:rFonts w:eastAsia="Times New Roman" w:cs="Times New Roman"/>
        </w:rPr>
        <w:t xml:space="preserve"> </w:t>
      </w:r>
      <w:r w:rsidRPr="00371401" w:rsidR="001C3033">
        <w:rPr>
          <w:rFonts w:eastAsia="Times New Roman" w:cs="Times New Roman"/>
        </w:rPr>
        <w:t xml:space="preserve">het Zorginstituut </w:t>
      </w:r>
      <w:r w:rsidRPr="00371401" w:rsidR="00701006">
        <w:rPr>
          <w:rFonts w:eastAsia="Times New Roman" w:cs="Times New Roman"/>
        </w:rPr>
        <w:t xml:space="preserve">om </w:t>
      </w:r>
      <w:r w:rsidRPr="00371401" w:rsidR="007A3A5B">
        <w:rPr>
          <w:rFonts w:eastAsia="Times New Roman" w:cs="Times New Roman"/>
        </w:rPr>
        <w:t xml:space="preserve">advies vragen over de pakketwaardigheid </w:t>
      </w:r>
      <w:r w:rsidRPr="00371401" w:rsidR="001C3033">
        <w:rPr>
          <w:rFonts w:eastAsia="Times New Roman" w:cs="Times New Roman"/>
        </w:rPr>
        <w:t xml:space="preserve">voordat </w:t>
      </w:r>
      <w:r w:rsidRPr="00371401" w:rsidR="007C0116">
        <w:rPr>
          <w:rFonts w:eastAsia="Times New Roman" w:cs="Times New Roman"/>
        </w:rPr>
        <w:t>het kabinet</w:t>
      </w:r>
      <w:r w:rsidRPr="00371401" w:rsidR="001C3033">
        <w:rPr>
          <w:rFonts w:eastAsia="Times New Roman" w:cs="Times New Roman"/>
        </w:rPr>
        <w:t xml:space="preserve"> besluit over pakketopname</w:t>
      </w:r>
      <w:r w:rsidRPr="00371401" w:rsidR="00DA284A">
        <w:rPr>
          <w:rStyle w:val="Voetnootmarkering"/>
          <w:rFonts w:eastAsia="Times New Roman" w:cs="Times New Roman"/>
        </w:rPr>
        <w:footnoteReference w:id="5"/>
      </w:r>
      <w:r w:rsidRPr="00371401">
        <w:rPr>
          <w:rFonts w:eastAsia="Times New Roman" w:cs="Times New Roman"/>
        </w:rPr>
        <w:t xml:space="preserve">. </w:t>
      </w:r>
    </w:p>
    <w:p w:rsidRPr="00371401" w:rsidR="00EB61A5" w:rsidP="00371401" w:rsidRDefault="00EB61A5" w14:paraId="163B1F55" w14:textId="77777777">
      <w:pPr>
        <w:suppressAutoHyphens/>
        <w:rPr>
          <w:rFonts w:eastAsia="Times New Roman" w:cs="Times New Roman"/>
        </w:rPr>
      </w:pPr>
    </w:p>
    <w:p w:rsidRPr="00371401" w:rsidR="00F1036D" w:rsidP="00371401" w:rsidRDefault="0059479B" w14:paraId="57D90197" w14:textId="56A1A016">
      <w:pPr>
        <w:suppressAutoHyphens/>
        <w:rPr>
          <w:rFonts w:eastAsia="Times New Roman" w:cs="Times New Roman"/>
        </w:rPr>
      </w:pPr>
      <w:r w:rsidRPr="00371401">
        <w:rPr>
          <w:rFonts w:eastAsia="Times New Roman" w:cs="Times New Roman"/>
        </w:rPr>
        <w:t xml:space="preserve">Extramurale geneesmiddelen zijn geneesmiddelen die door de openbare apotheek worden verstrekt en buiten het ziekenhuis worden gebruikt. Deze </w:t>
      </w:r>
      <w:r w:rsidRPr="00371401" w:rsidR="00701006">
        <w:rPr>
          <w:rFonts w:eastAsia="Times New Roman" w:cs="Times New Roman"/>
        </w:rPr>
        <w:t>genees</w:t>
      </w:r>
      <w:r w:rsidRPr="00371401">
        <w:rPr>
          <w:rFonts w:eastAsia="Times New Roman" w:cs="Times New Roman"/>
        </w:rPr>
        <w:t xml:space="preserve">middelen behoren tot het ‘gesloten’ deel van het </w:t>
      </w:r>
      <w:r w:rsidRPr="00371401" w:rsidR="0073677A">
        <w:rPr>
          <w:rFonts w:eastAsia="Times New Roman" w:cs="Times New Roman"/>
        </w:rPr>
        <w:t>basis</w:t>
      </w:r>
      <w:r w:rsidRPr="00371401">
        <w:rPr>
          <w:rFonts w:eastAsia="Times New Roman" w:cs="Times New Roman"/>
        </w:rPr>
        <w:t xml:space="preserve">pakket. Dit betekent dat </w:t>
      </w:r>
      <w:r w:rsidRPr="00371401" w:rsidR="007C0116">
        <w:rPr>
          <w:rFonts w:eastAsia="Times New Roman" w:cs="Times New Roman"/>
        </w:rPr>
        <w:t>het kabinet</w:t>
      </w:r>
      <w:r w:rsidRPr="00371401">
        <w:rPr>
          <w:rFonts w:eastAsia="Times New Roman" w:cs="Times New Roman"/>
        </w:rPr>
        <w:t>, voorafgaand aan opname in het GVS, expliciet besluit over opname in het basispakket.</w:t>
      </w:r>
    </w:p>
    <w:p w:rsidRPr="00371401" w:rsidR="0059479B" w:rsidP="00371401" w:rsidRDefault="0059479B" w14:paraId="1BE1F017" w14:textId="77777777">
      <w:pPr>
        <w:suppressAutoHyphens/>
        <w:rPr>
          <w:rFonts w:eastAsia="Times New Roman" w:cs="Times New Roman"/>
        </w:rPr>
      </w:pPr>
    </w:p>
    <w:p w:rsidRPr="00371401" w:rsidR="00AD546F" w:rsidP="00371401" w:rsidRDefault="008A2C8E" w14:paraId="3E774748" w14:textId="77777777">
      <w:pPr>
        <w:suppressAutoHyphens/>
        <w:rPr>
          <w:rFonts w:eastAsia="Times New Roman" w:cs="Times New Roman"/>
        </w:rPr>
      </w:pPr>
      <w:r w:rsidRPr="00371401">
        <w:rPr>
          <w:rFonts w:eastAsia="Times New Roman" w:cs="Times New Roman"/>
        </w:rPr>
        <w:lastRenderedPageBreak/>
        <w:t xml:space="preserve">De uitkomsten voor intramurale geneesmiddelen voor 2024 zijn vastgesteld op basis van voorlopige declaratiegegevens. </w:t>
      </w:r>
    </w:p>
    <w:p w:rsidRPr="00371401" w:rsidR="00AD546F" w:rsidP="00371401" w:rsidRDefault="00AD546F" w14:paraId="06D0F80C" w14:textId="77777777">
      <w:pPr>
        <w:suppressAutoHyphens/>
        <w:rPr>
          <w:rFonts w:eastAsia="Times New Roman" w:cs="Times New Roman"/>
        </w:rPr>
      </w:pPr>
    </w:p>
    <w:p w:rsidRPr="00371401" w:rsidR="008A2C8E" w:rsidP="00371401" w:rsidRDefault="008A2C8E" w14:paraId="34010639" w14:textId="00F66017">
      <w:pPr>
        <w:suppressAutoHyphens/>
        <w:rPr>
          <w:rFonts w:eastAsia="Times New Roman" w:cs="Times New Roman"/>
        </w:rPr>
      </w:pPr>
      <w:r w:rsidRPr="00371401">
        <w:rPr>
          <w:rFonts w:eastAsia="Times New Roman" w:cs="Times New Roman"/>
        </w:rPr>
        <w:t xml:space="preserve">Daarnaast hebben ten opzichte van de voortgangsbrief van vorig jaar enkele (kleine) bijstellingen plaatsgevonden voor de jaren 2021, 2022 en 2023. Hieronder staat een toelichting op de begrippen die </w:t>
      </w:r>
      <w:r w:rsidRPr="00371401" w:rsidR="00862800">
        <w:rPr>
          <w:rFonts w:eastAsia="Times New Roman" w:cs="Times New Roman"/>
        </w:rPr>
        <w:t>in de tekst, figuren en tabellen met financiële uitkomsten worden gehanteerd.</w:t>
      </w:r>
    </w:p>
    <w:p w:rsidRPr="00371401" w:rsidR="008A2C8E" w:rsidP="00371401" w:rsidRDefault="008A2C8E" w14:paraId="4A6EB6E5" w14:textId="77777777">
      <w:pPr>
        <w:suppressAutoHyphens/>
        <w:rPr>
          <w:color w:val="auto"/>
        </w:rPr>
      </w:pPr>
    </w:p>
    <w:p w:rsidRPr="00371401" w:rsidR="008A2C8E" w:rsidP="00371401" w:rsidRDefault="008A2C8E" w14:paraId="00C108A9" w14:textId="77777777">
      <w:pPr>
        <w:suppressAutoHyphens/>
        <w:rPr>
          <w:rFonts w:eastAsia="Times New Roman" w:cs="Times New Roman"/>
          <w:iCs/>
        </w:rPr>
      </w:pPr>
      <w:r w:rsidRPr="00371401">
        <w:rPr>
          <w:rFonts w:eastAsia="Times New Roman" w:cs="Times New Roman"/>
          <w:iCs/>
          <w:u w:val="single"/>
        </w:rPr>
        <w:t>Uitgaven zonder arrangement:</w:t>
      </w:r>
      <w:r w:rsidRPr="00371401">
        <w:rPr>
          <w:rFonts w:eastAsia="Times New Roman" w:cs="Times New Roman"/>
          <w:iCs/>
        </w:rPr>
        <w:t xml:space="preserve"> de (fictieve) uitgaven aan een geneesmiddel op basis van de gedeclareerde volumes en de door de leverancier ingediende prijs op het moment van de vergoedingsaanvraag. Met andere woorden: de uitgaven die potentieel zouden worden gemaakt op basis van de prijs die de leverancier vraagt zonder verlaging.</w:t>
      </w:r>
    </w:p>
    <w:p w:rsidRPr="00371401" w:rsidR="00161C4A" w:rsidP="00371401" w:rsidRDefault="00161C4A" w14:paraId="4C0EF65C" w14:textId="77777777">
      <w:pPr>
        <w:suppressAutoHyphens/>
        <w:rPr>
          <w:rFonts w:eastAsia="Times New Roman" w:cs="Times New Roman"/>
          <w:iCs/>
        </w:rPr>
      </w:pPr>
    </w:p>
    <w:p w:rsidRPr="00371401" w:rsidR="008A2C8E" w:rsidP="00371401" w:rsidRDefault="008A2C8E" w14:paraId="0875EF53" w14:textId="77777777">
      <w:pPr>
        <w:suppressAutoHyphens/>
        <w:rPr>
          <w:rFonts w:eastAsia="Times New Roman" w:cs="Times New Roman"/>
          <w:iCs/>
        </w:rPr>
      </w:pPr>
      <w:r w:rsidRPr="00371401">
        <w:rPr>
          <w:rFonts w:eastAsia="Times New Roman" w:cs="Times New Roman"/>
          <w:iCs/>
          <w:u w:val="single"/>
        </w:rPr>
        <w:t>Openbare uitgavenverlaging</w:t>
      </w:r>
      <w:r w:rsidRPr="00371401">
        <w:rPr>
          <w:rFonts w:eastAsia="Times New Roman" w:cs="Times New Roman"/>
          <w:iCs/>
        </w:rPr>
        <w:t>: de verlaagde uitgaven door een openbare lijstprijsverlaging ten opzichte van de door de leverancier ingediende prijs op het moment van de vergoedingsaanvraag; dit kan het resultaat zijn van de onderhandelingen, de Wet geneesmiddelenprijzen (</w:t>
      </w:r>
      <w:proofErr w:type="spellStart"/>
      <w:r w:rsidRPr="00371401">
        <w:rPr>
          <w:rFonts w:eastAsia="Times New Roman" w:cs="Times New Roman"/>
          <w:iCs/>
        </w:rPr>
        <w:t>Wgp</w:t>
      </w:r>
      <w:proofErr w:type="spellEnd"/>
      <w:r w:rsidRPr="00371401">
        <w:rPr>
          <w:rFonts w:eastAsia="Times New Roman" w:cs="Times New Roman"/>
          <w:iCs/>
        </w:rPr>
        <w:t>) of op initiatief van de leverancier zelf.</w:t>
      </w:r>
    </w:p>
    <w:p w:rsidRPr="00371401" w:rsidR="00161C4A" w:rsidP="00371401" w:rsidRDefault="00161C4A" w14:paraId="36672C99" w14:textId="77777777">
      <w:pPr>
        <w:suppressAutoHyphens/>
        <w:rPr>
          <w:rFonts w:eastAsia="Times New Roman" w:cs="Times New Roman"/>
          <w:iCs/>
        </w:rPr>
      </w:pPr>
    </w:p>
    <w:p w:rsidRPr="00371401" w:rsidR="008A2C8E" w:rsidP="00371401" w:rsidRDefault="008A2C8E" w14:paraId="2F6AF1E9" w14:textId="77777777">
      <w:pPr>
        <w:suppressAutoHyphens/>
        <w:rPr>
          <w:rFonts w:eastAsia="Times New Roman" w:cs="Times New Roman"/>
          <w:iCs/>
        </w:rPr>
      </w:pPr>
      <w:r w:rsidRPr="00371401">
        <w:rPr>
          <w:rFonts w:eastAsia="Times New Roman" w:cs="Times New Roman"/>
          <w:iCs/>
          <w:u w:val="single"/>
        </w:rPr>
        <w:t>Gerealiseerde uitgaven</w:t>
      </w:r>
      <w:r w:rsidRPr="00371401">
        <w:rPr>
          <w:rFonts w:eastAsia="Times New Roman" w:cs="Times New Roman"/>
          <w:iCs/>
        </w:rPr>
        <w:t>: de gerealiseerde uitgaven op basis van de door zorgaanbieders aan zorgverzekeraars gedeclareerde volumes en de actuele openbare lijstprijzen.</w:t>
      </w:r>
    </w:p>
    <w:p w:rsidRPr="00371401" w:rsidR="00161C4A" w:rsidP="00371401" w:rsidRDefault="00161C4A" w14:paraId="7B4C6D1D" w14:textId="77777777">
      <w:pPr>
        <w:suppressAutoHyphens/>
        <w:rPr>
          <w:rFonts w:eastAsia="Times New Roman" w:cs="Times New Roman"/>
          <w:iCs/>
        </w:rPr>
      </w:pPr>
    </w:p>
    <w:p w:rsidRPr="00371401" w:rsidR="008A2C8E" w:rsidP="00371401" w:rsidRDefault="008A2C8E" w14:paraId="34CF43CF" w14:textId="77777777">
      <w:pPr>
        <w:suppressAutoHyphens/>
        <w:rPr>
          <w:rFonts w:eastAsia="Times New Roman" w:cs="Times New Roman"/>
          <w:iCs/>
        </w:rPr>
      </w:pPr>
      <w:r w:rsidRPr="00371401">
        <w:rPr>
          <w:rFonts w:eastAsia="Times New Roman" w:cs="Times New Roman"/>
          <w:iCs/>
          <w:u w:val="single"/>
        </w:rPr>
        <w:t>Vertrouwelijke uitgavenverlaging</w:t>
      </w:r>
      <w:r w:rsidRPr="00371401">
        <w:rPr>
          <w:rFonts w:eastAsia="Times New Roman" w:cs="Times New Roman"/>
          <w:iCs/>
        </w:rPr>
        <w:t>: het totaal aan terugbetaalde kortingen (door leveranciers aan zorgverzekeraars) op basis van de vertrouwelijke afspraken in de financiële arrangementen. De vertrouwelijke uitgavenverlaging is vrijgesteld van btw.</w:t>
      </w:r>
    </w:p>
    <w:p w:rsidRPr="00371401" w:rsidR="00161C4A" w:rsidP="00371401" w:rsidRDefault="00161C4A" w14:paraId="0FBC0B89" w14:textId="77777777">
      <w:pPr>
        <w:suppressAutoHyphens/>
        <w:rPr>
          <w:rFonts w:eastAsia="Times New Roman" w:cs="Times New Roman"/>
          <w:iCs/>
        </w:rPr>
      </w:pPr>
    </w:p>
    <w:p w:rsidRPr="00371401" w:rsidR="008A2C8E" w:rsidP="00371401" w:rsidRDefault="008A2C8E" w14:paraId="0E693B53" w14:textId="77777777">
      <w:pPr>
        <w:suppressAutoHyphens/>
        <w:rPr>
          <w:rFonts w:eastAsia="Times New Roman" w:cs="Times New Roman"/>
          <w:iCs/>
        </w:rPr>
      </w:pPr>
      <w:r w:rsidRPr="00371401">
        <w:rPr>
          <w:rFonts w:eastAsia="Times New Roman" w:cs="Times New Roman"/>
          <w:iCs/>
          <w:u w:val="single"/>
        </w:rPr>
        <w:t>Uitgaven met arrangement</w:t>
      </w:r>
      <w:r w:rsidRPr="00371401">
        <w:rPr>
          <w:rFonts w:eastAsia="Times New Roman" w:cs="Times New Roman"/>
          <w:iCs/>
        </w:rPr>
        <w:t>: de gerealiseerde uitgaven minus de vertrouwelijke uitgavenverlaging.</w:t>
      </w:r>
    </w:p>
    <w:p w:rsidRPr="00371401" w:rsidR="00161C4A" w:rsidP="00371401" w:rsidRDefault="00161C4A" w14:paraId="47EDBD39" w14:textId="77777777">
      <w:pPr>
        <w:suppressAutoHyphens/>
        <w:rPr>
          <w:rFonts w:eastAsia="Times New Roman" w:cs="Times New Roman"/>
          <w:iCs/>
        </w:rPr>
      </w:pPr>
    </w:p>
    <w:p w:rsidRPr="00371401" w:rsidR="008A2C8E" w:rsidP="00371401" w:rsidRDefault="008A2C8E" w14:paraId="7615962F" w14:textId="77777777">
      <w:pPr>
        <w:suppressAutoHyphens/>
        <w:rPr>
          <w:rFonts w:eastAsia="Times New Roman" w:cs="Times New Roman"/>
          <w:iCs/>
        </w:rPr>
      </w:pPr>
      <w:r w:rsidRPr="00371401">
        <w:rPr>
          <w:rFonts w:eastAsia="Times New Roman" w:cs="Times New Roman"/>
          <w:iCs/>
          <w:u w:val="single"/>
        </w:rPr>
        <w:t>Totale uitgavenverlaging</w:t>
      </w:r>
      <w:r w:rsidRPr="00371401">
        <w:rPr>
          <w:rFonts w:eastAsia="Times New Roman" w:cs="Times New Roman"/>
          <w:iCs/>
        </w:rPr>
        <w:t>: de optelsom van de openbare uitgavenverlaging en de vertrouwelijke uitgavenverlaging.</w:t>
      </w:r>
    </w:p>
    <w:p w:rsidRPr="00371401" w:rsidR="008A2C8E" w:rsidP="00371401" w:rsidRDefault="008A2C8E" w14:paraId="74221360" w14:textId="77777777">
      <w:pPr>
        <w:suppressAutoHyphens/>
        <w:rPr>
          <w:rFonts w:eastAsia="Times New Roman" w:cs="Times New Roman"/>
        </w:rPr>
      </w:pPr>
    </w:p>
    <w:p w:rsidRPr="00371401" w:rsidR="008931EA" w:rsidP="00371401" w:rsidRDefault="00F1036D" w14:paraId="73B16F15" w14:textId="2C9E684B">
      <w:pPr>
        <w:suppressAutoHyphens/>
        <w:rPr>
          <w:rFonts w:eastAsia="Times New Roman" w:cs="Times New Roman"/>
          <w:b/>
          <w:bCs/>
        </w:rPr>
      </w:pPr>
      <w:r w:rsidRPr="00371401">
        <w:rPr>
          <w:rFonts w:eastAsia="Times New Roman" w:cs="Times New Roman"/>
          <w:b/>
          <w:bCs/>
        </w:rPr>
        <w:t xml:space="preserve">2. </w:t>
      </w:r>
      <w:r w:rsidRPr="00371401" w:rsidR="008931EA">
        <w:rPr>
          <w:rFonts w:eastAsia="Times New Roman" w:cs="Times New Roman"/>
          <w:b/>
          <w:bCs/>
        </w:rPr>
        <w:t>Ontwikkeling arrangementen en uitgaven</w:t>
      </w:r>
    </w:p>
    <w:p w:rsidRPr="00371401" w:rsidR="00301ACB" w:rsidP="00371401" w:rsidRDefault="00D672D9" w14:paraId="6D02E807" w14:textId="7F8A01D6">
      <w:pPr>
        <w:suppressAutoHyphens/>
        <w:rPr>
          <w:color w:val="auto"/>
        </w:rPr>
      </w:pPr>
      <w:r w:rsidRPr="00371401">
        <w:rPr>
          <w:color w:val="auto"/>
        </w:rPr>
        <w:t>De</w:t>
      </w:r>
      <w:r w:rsidRPr="00371401" w:rsidR="00301ACB">
        <w:rPr>
          <w:color w:val="auto"/>
        </w:rPr>
        <w:t xml:space="preserve"> Kamer wordt jaarlijks geïnformeerd over de ontwikkeling van de uitgaven en de uitgavenverlagingen als gevolg van de financiële arrangementen voor geneesmiddelen.</w:t>
      </w:r>
    </w:p>
    <w:p w:rsidRPr="00371401" w:rsidR="00301ACB" w:rsidP="00371401" w:rsidRDefault="00301ACB" w14:paraId="238C4756" w14:textId="77777777">
      <w:pPr>
        <w:suppressAutoHyphens/>
        <w:rPr>
          <w:color w:val="auto"/>
        </w:rPr>
      </w:pPr>
    </w:p>
    <w:p w:rsidRPr="00371401" w:rsidR="005E5BE6" w:rsidP="00371401" w:rsidRDefault="00301ACB" w14:paraId="2E266191" w14:textId="4B339469">
      <w:pPr>
        <w:suppressAutoHyphens/>
        <w:rPr>
          <w:rFonts w:eastAsia="Times New Roman" w:cs="Times New Roman"/>
        </w:rPr>
      </w:pPr>
      <w:r w:rsidRPr="00371401">
        <w:rPr>
          <w:color w:val="auto"/>
        </w:rPr>
        <w:t xml:space="preserve">Dit jaar worden </w:t>
      </w:r>
      <w:r w:rsidRPr="00371401" w:rsidR="007551AB">
        <w:rPr>
          <w:color w:val="auto"/>
        </w:rPr>
        <w:t>de ontwikkelingen in de uitgaven uitgebreider toegelicht</w:t>
      </w:r>
      <w:r w:rsidRPr="00371401">
        <w:rPr>
          <w:color w:val="auto"/>
        </w:rPr>
        <w:t xml:space="preserve"> om meer transparantie te geven over de factoren achter de veranderingen in de</w:t>
      </w:r>
      <w:r w:rsidRPr="00371401" w:rsidR="00862800">
        <w:rPr>
          <w:color w:val="auto"/>
        </w:rPr>
        <w:t xml:space="preserve"> gerealiseerde</w:t>
      </w:r>
      <w:r w:rsidRPr="00371401">
        <w:rPr>
          <w:color w:val="auto"/>
        </w:rPr>
        <w:t xml:space="preserve"> uitgaven. </w:t>
      </w:r>
      <w:r w:rsidRPr="00371401" w:rsidR="00EB61A5">
        <w:rPr>
          <w:rFonts w:eastAsia="Times New Roman" w:cs="Times New Roman"/>
        </w:rPr>
        <w:t xml:space="preserve">In bijlage </w:t>
      </w:r>
      <w:r w:rsidRPr="00371401" w:rsidR="00E7745E">
        <w:rPr>
          <w:rFonts w:eastAsia="Times New Roman" w:cs="Times New Roman"/>
        </w:rPr>
        <w:t>1</w:t>
      </w:r>
      <w:r w:rsidRPr="00371401" w:rsidR="00EB61A5">
        <w:rPr>
          <w:rFonts w:eastAsia="Times New Roman" w:cs="Times New Roman"/>
        </w:rPr>
        <w:t xml:space="preserve"> is een overzicht opgenomen met de</w:t>
      </w:r>
      <w:r w:rsidRPr="00371401" w:rsidR="0049347C">
        <w:rPr>
          <w:rFonts w:eastAsia="Times New Roman" w:cs="Times New Roman"/>
        </w:rPr>
        <w:t xml:space="preserve"> uitgaven zonder arrangement en de</w:t>
      </w:r>
      <w:r w:rsidRPr="00371401" w:rsidR="00EB61A5">
        <w:rPr>
          <w:rFonts w:eastAsia="Times New Roman" w:cs="Times New Roman"/>
        </w:rPr>
        <w:t xml:space="preserve"> </w:t>
      </w:r>
      <w:r w:rsidRPr="00371401" w:rsidR="00DA284A">
        <w:rPr>
          <w:rFonts w:eastAsia="Times New Roman" w:cs="Times New Roman"/>
        </w:rPr>
        <w:t xml:space="preserve">gerealiseerde </w:t>
      </w:r>
      <w:r w:rsidRPr="00371401" w:rsidR="00EB61A5">
        <w:rPr>
          <w:rFonts w:eastAsia="Times New Roman" w:cs="Times New Roman"/>
        </w:rPr>
        <w:t xml:space="preserve">uitgaven per geneesmiddel. </w:t>
      </w:r>
    </w:p>
    <w:p w:rsidRPr="00371401" w:rsidR="00301ACB" w:rsidP="00371401" w:rsidRDefault="00301ACB" w14:paraId="2931070A" w14:textId="77777777">
      <w:pPr>
        <w:suppressAutoHyphens/>
        <w:rPr>
          <w:color w:val="auto"/>
        </w:rPr>
      </w:pPr>
    </w:p>
    <w:p w:rsidRPr="00371401" w:rsidR="00301ACB" w:rsidP="00371401" w:rsidRDefault="00301ACB" w14:paraId="29BA23B6" w14:textId="18E8DDAC">
      <w:pPr>
        <w:suppressAutoHyphens/>
        <w:rPr>
          <w:rFonts w:eastAsia="Times New Roman" w:cs="Times New Roman"/>
          <w:bCs/>
          <w:color w:val="000000" w:themeColor="text1"/>
        </w:rPr>
      </w:pPr>
      <w:r w:rsidRPr="00371401">
        <w:rPr>
          <w:rFonts w:eastAsia="Times New Roman" w:cs="Times New Roman"/>
          <w:bCs/>
          <w:color w:val="000000" w:themeColor="text1"/>
        </w:rPr>
        <w:t xml:space="preserve">Door de steeds hogere prijzen, hoge patiëntvolumes en </w:t>
      </w:r>
      <w:r w:rsidRPr="00371401" w:rsidR="00DF68BE">
        <w:rPr>
          <w:rFonts w:eastAsia="Times New Roman" w:cs="Times New Roman"/>
          <w:bCs/>
          <w:color w:val="000000" w:themeColor="text1"/>
        </w:rPr>
        <w:t xml:space="preserve">het </w:t>
      </w:r>
      <w:r w:rsidRPr="00371401" w:rsidR="00B86221">
        <w:rPr>
          <w:rFonts w:eastAsia="Times New Roman" w:cs="Times New Roman"/>
          <w:bCs/>
          <w:color w:val="000000" w:themeColor="text1"/>
        </w:rPr>
        <w:t>daarmee toenemende risico op hoge (en potentieel niet-kosteneffectieve) uitgaven</w:t>
      </w:r>
      <w:r w:rsidRPr="00371401">
        <w:rPr>
          <w:rFonts w:eastAsia="Times New Roman" w:cs="Times New Roman"/>
          <w:bCs/>
          <w:color w:val="000000" w:themeColor="text1"/>
        </w:rPr>
        <w:t xml:space="preserve">, neemt </w:t>
      </w:r>
      <w:r w:rsidRPr="00371401" w:rsidR="00345A2C">
        <w:rPr>
          <w:rFonts w:eastAsia="Times New Roman" w:cs="Times New Roman"/>
          <w:bCs/>
          <w:color w:val="000000" w:themeColor="text1"/>
        </w:rPr>
        <w:t xml:space="preserve">ook </w:t>
      </w:r>
      <w:r w:rsidRPr="00371401">
        <w:rPr>
          <w:rFonts w:eastAsia="Times New Roman" w:cs="Times New Roman"/>
          <w:bCs/>
          <w:color w:val="000000" w:themeColor="text1"/>
        </w:rPr>
        <w:t>het aantal</w:t>
      </w:r>
      <w:r w:rsidRPr="00371401" w:rsidR="00345A2C">
        <w:rPr>
          <w:rFonts w:eastAsia="Times New Roman" w:cs="Times New Roman"/>
          <w:bCs/>
          <w:color w:val="000000" w:themeColor="text1"/>
        </w:rPr>
        <w:t xml:space="preserve"> financiële</w:t>
      </w:r>
      <w:r w:rsidRPr="00371401">
        <w:rPr>
          <w:rFonts w:eastAsia="Times New Roman" w:cs="Times New Roman"/>
          <w:bCs/>
          <w:color w:val="000000" w:themeColor="text1"/>
        </w:rPr>
        <w:t xml:space="preserve"> arrangementen toe. Het </w:t>
      </w:r>
      <w:r w:rsidRPr="00371401" w:rsidR="002869F3">
        <w:rPr>
          <w:rFonts w:eastAsia="Times New Roman" w:cs="Times New Roman"/>
          <w:bCs/>
          <w:color w:val="000000" w:themeColor="text1"/>
        </w:rPr>
        <w:t xml:space="preserve">totale </w:t>
      </w:r>
      <w:r w:rsidRPr="00371401">
        <w:rPr>
          <w:rFonts w:eastAsia="Times New Roman" w:cs="Times New Roman"/>
          <w:bCs/>
          <w:color w:val="000000" w:themeColor="text1"/>
        </w:rPr>
        <w:t xml:space="preserve">aantal </w:t>
      </w:r>
      <w:r w:rsidRPr="00371401" w:rsidR="002869F3">
        <w:rPr>
          <w:rFonts w:eastAsia="Times New Roman" w:cs="Times New Roman"/>
          <w:bCs/>
          <w:color w:val="000000" w:themeColor="text1"/>
        </w:rPr>
        <w:t xml:space="preserve">intramurale en extramurale </w:t>
      </w:r>
      <w:r w:rsidRPr="00371401" w:rsidR="00856FC6">
        <w:rPr>
          <w:rFonts w:eastAsia="Times New Roman" w:cs="Times New Roman"/>
          <w:bCs/>
          <w:color w:val="000000" w:themeColor="text1"/>
        </w:rPr>
        <w:t>genees</w:t>
      </w:r>
      <w:r w:rsidRPr="00371401">
        <w:rPr>
          <w:rFonts w:eastAsia="Times New Roman" w:cs="Times New Roman"/>
          <w:bCs/>
          <w:color w:val="000000" w:themeColor="text1"/>
        </w:rPr>
        <w:t xml:space="preserve">middelen met een arrangement steeg in 2024 van 56 naar 58. De </w:t>
      </w:r>
      <w:r w:rsidRPr="00371401" w:rsidR="00EB61A5">
        <w:rPr>
          <w:rFonts w:eastAsia="Times New Roman" w:cs="Times New Roman"/>
          <w:bCs/>
          <w:color w:val="000000" w:themeColor="text1"/>
        </w:rPr>
        <w:t xml:space="preserve">gerealiseerde </w:t>
      </w:r>
      <w:r w:rsidRPr="00371401">
        <w:rPr>
          <w:rFonts w:eastAsia="Times New Roman" w:cs="Times New Roman"/>
          <w:bCs/>
          <w:color w:val="000000" w:themeColor="text1"/>
        </w:rPr>
        <w:t xml:space="preserve">uitgaven </w:t>
      </w:r>
      <w:r w:rsidRPr="00371401" w:rsidR="007C0116">
        <w:rPr>
          <w:rFonts w:eastAsia="Times New Roman" w:cs="Times New Roman"/>
          <w:bCs/>
          <w:color w:val="000000" w:themeColor="text1"/>
        </w:rPr>
        <w:t xml:space="preserve">inclusief btw </w:t>
      </w:r>
      <w:r w:rsidRPr="00371401">
        <w:rPr>
          <w:rFonts w:eastAsia="Times New Roman" w:cs="Times New Roman"/>
          <w:bCs/>
          <w:color w:val="000000" w:themeColor="text1"/>
        </w:rPr>
        <w:t xml:space="preserve">aan deze specifieke </w:t>
      </w:r>
      <w:r w:rsidRPr="00371401" w:rsidR="00856FC6">
        <w:rPr>
          <w:rFonts w:eastAsia="Times New Roman" w:cs="Times New Roman"/>
          <w:bCs/>
          <w:color w:val="000000" w:themeColor="text1"/>
        </w:rPr>
        <w:t>genees</w:t>
      </w:r>
      <w:r w:rsidRPr="00371401">
        <w:rPr>
          <w:rFonts w:eastAsia="Times New Roman" w:cs="Times New Roman"/>
          <w:bCs/>
          <w:color w:val="000000" w:themeColor="text1"/>
        </w:rPr>
        <w:t xml:space="preserve">middelen waarvoor een arrangement bestond zijn toegenomen van circa € </w:t>
      </w:r>
      <w:bookmarkStart w:name="_Hlk231996998" w:id="1"/>
      <w:r w:rsidRPr="00371401">
        <w:rPr>
          <w:rFonts w:eastAsia="Times New Roman" w:cs="Times New Roman"/>
          <w:bCs/>
          <w:color w:val="000000" w:themeColor="text1"/>
        </w:rPr>
        <w:t xml:space="preserve">1.714,2 </w:t>
      </w:r>
      <w:bookmarkEnd w:id="1"/>
      <w:r w:rsidRPr="00371401">
        <w:rPr>
          <w:rFonts w:eastAsia="Times New Roman" w:cs="Times New Roman"/>
          <w:bCs/>
          <w:color w:val="000000" w:themeColor="text1"/>
        </w:rPr>
        <w:t xml:space="preserve">mln. in 2023 naar circa € </w:t>
      </w:r>
      <w:bookmarkStart w:name="_Hlk231997016" w:id="2"/>
      <w:r w:rsidRPr="00371401">
        <w:rPr>
          <w:rFonts w:eastAsia="Times New Roman" w:cs="Times New Roman"/>
          <w:bCs/>
          <w:color w:val="000000" w:themeColor="text1"/>
        </w:rPr>
        <w:t xml:space="preserve">1.794,5 </w:t>
      </w:r>
      <w:bookmarkEnd w:id="2"/>
      <w:r w:rsidRPr="00371401">
        <w:rPr>
          <w:rFonts w:eastAsia="Times New Roman" w:cs="Times New Roman"/>
          <w:bCs/>
          <w:color w:val="000000" w:themeColor="text1"/>
        </w:rPr>
        <w:t xml:space="preserve">mln. in 2024, een stijging van 5%. </w:t>
      </w:r>
    </w:p>
    <w:p w:rsidRPr="00371401" w:rsidR="00A56411" w:rsidP="00371401" w:rsidRDefault="00301ACB" w14:paraId="46834C90" w14:textId="21147FD6">
      <w:pPr>
        <w:suppressAutoHyphens/>
      </w:pPr>
      <w:r w:rsidRPr="00371401">
        <w:rPr>
          <w:rFonts w:eastAsia="Times New Roman" w:cs="Times New Roman"/>
          <w:bCs/>
          <w:color w:val="000000" w:themeColor="text1"/>
        </w:rPr>
        <w:lastRenderedPageBreak/>
        <w:t xml:space="preserve">De verandering in de gerealiseerde uitgaven ten opzichte van 2023 </w:t>
      </w:r>
      <w:r w:rsidRPr="00371401" w:rsidR="00EB61A5">
        <w:rPr>
          <w:rFonts w:eastAsia="Times New Roman" w:cs="Times New Roman"/>
          <w:bCs/>
          <w:color w:val="000000" w:themeColor="text1"/>
        </w:rPr>
        <w:t>is</w:t>
      </w:r>
      <w:r w:rsidRPr="00371401">
        <w:rPr>
          <w:rFonts w:eastAsia="Times New Roman" w:cs="Times New Roman"/>
          <w:bCs/>
          <w:color w:val="000000" w:themeColor="text1"/>
        </w:rPr>
        <w:t xml:space="preserve"> toe te schrijven aan vier ontwikkelingen</w:t>
      </w:r>
      <w:r w:rsidRPr="00371401" w:rsidR="00A56411">
        <w:rPr>
          <w:rFonts w:eastAsia="Times New Roman" w:cs="Times New Roman"/>
          <w:bCs/>
          <w:color w:val="000000" w:themeColor="text1"/>
        </w:rPr>
        <w:t>: (1) b</w:t>
      </w:r>
      <w:r w:rsidRPr="00371401" w:rsidR="009E7B14">
        <w:t>eëindigde arrangementen</w:t>
      </w:r>
      <w:r w:rsidRPr="00371401">
        <w:t xml:space="preserve">, </w:t>
      </w:r>
      <w:r w:rsidRPr="00371401" w:rsidR="00A56411">
        <w:t>(2) t</w:t>
      </w:r>
      <w:r w:rsidRPr="00371401">
        <w:t>erugloop</w:t>
      </w:r>
      <w:r w:rsidRPr="00371401" w:rsidR="009E7B14">
        <w:t xml:space="preserve"> in uitgaven</w:t>
      </w:r>
      <w:r w:rsidRPr="00371401">
        <w:t>,</w:t>
      </w:r>
      <w:r w:rsidRPr="00371401" w:rsidR="00A56411">
        <w:t xml:space="preserve"> (3) n</w:t>
      </w:r>
      <w:r w:rsidRPr="00371401" w:rsidR="009E7B14">
        <w:t>ieuwe arrangementen</w:t>
      </w:r>
      <w:r w:rsidRPr="00371401" w:rsidR="00A56411">
        <w:t xml:space="preserve"> en (4) g</w:t>
      </w:r>
      <w:r w:rsidRPr="00371401">
        <w:t>roei</w:t>
      </w:r>
      <w:r w:rsidRPr="00371401" w:rsidR="00EA4BE8">
        <w:t xml:space="preserve"> in uitgaven</w:t>
      </w:r>
      <w:r w:rsidRPr="00371401" w:rsidR="00A56411">
        <w:t xml:space="preserve">. De eerste twee zorgen ervoor dat de totale gerealiseerde uitgaven dalen, de laatste twee dat de totale </w:t>
      </w:r>
      <w:r w:rsidRPr="00371401" w:rsidR="00EB61A5">
        <w:t xml:space="preserve">gerealiseerde </w:t>
      </w:r>
      <w:r w:rsidRPr="00371401" w:rsidR="00A56411">
        <w:t xml:space="preserve">uitgaven stijgen. </w:t>
      </w:r>
      <w:r w:rsidRPr="00371401" w:rsidR="006415E7">
        <w:t>In</w:t>
      </w:r>
      <w:r w:rsidRPr="00371401" w:rsidR="005E5BE6">
        <w:t xml:space="preserve"> </w:t>
      </w:r>
      <w:r w:rsidRPr="00371401" w:rsidR="00A56411">
        <w:t xml:space="preserve">deze brief </w:t>
      </w:r>
      <w:r w:rsidRPr="00371401" w:rsidR="006415E7">
        <w:t xml:space="preserve">wordt </w:t>
      </w:r>
      <w:r w:rsidRPr="00371401" w:rsidR="00A56411">
        <w:t xml:space="preserve">alleen de ontwikkeling van uitgaven aan geneesmiddelen en indicaties </w:t>
      </w:r>
      <w:r w:rsidRPr="00371401" w:rsidR="006415E7">
        <w:t xml:space="preserve">beschreven </w:t>
      </w:r>
      <w:r w:rsidRPr="00371401" w:rsidR="005E5BE6">
        <w:t xml:space="preserve">waarvoor gedurende een bepaald jaar een financieel arrangement </w:t>
      </w:r>
      <w:r w:rsidRPr="00371401" w:rsidR="00A56411">
        <w:t>is overeengekomen</w:t>
      </w:r>
      <w:r w:rsidRPr="00371401" w:rsidR="005E5BE6">
        <w:t xml:space="preserve">. </w:t>
      </w:r>
      <w:r w:rsidRPr="00371401" w:rsidR="00A56411">
        <w:t xml:space="preserve">In Nederland worden daarnaast nog veel </w:t>
      </w:r>
      <w:r w:rsidRPr="00371401" w:rsidR="006415E7">
        <w:t>(</w:t>
      </w:r>
      <w:r w:rsidRPr="00371401" w:rsidR="00A56411">
        <w:t>dure</w:t>
      </w:r>
      <w:r w:rsidRPr="00371401" w:rsidR="006415E7">
        <w:t>)</w:t>
      </w:r>
      <w:r w:rsidRPr="00371401" w:rsidR="00A56411">
        <w:t xml:space="preserve"> intra- en extramurale geneesmiddelen ingezet waarvoor geen financieel arrangement geldt</w:t>
      </w:r>
      <w:r w:rsidRPr="00371401" w:rsidR="00E5254A">
        <w:rPr>
          <w:rStyle w:val="Voetnootmarkering"/>
        </w:rPr>
        <w:footnoteReference w:id="6"/>
      </w:r>
      <w:r w:rsidRPr="00371401" w:rsidR="006415E7">
        <w:t>.</w:t>
      </w:r>
      <w:r w:rsidRPr="00371401" w:rsidR="00A56411">
        <w:t xml:space="preserve"> </w:t>
      </w:r>
      <w:r w:rsidRPr="00371401" w:rsidR="006415E7">
        <w:t xml:space="preserve">Dit </w:t>
      </w:r>
      <w:r w:rsidRPr="00371401" w:rsidR="00A56411">
        <w:t xml:space="preserve">betekent dat aan de hand van deze brief geen conclusies getrokken kunnen worden over de ontwikkeling van Nederlandse uitgaven aan </w:t>
      </w:r>
      <w:r w:rsidRPr="00371401" w:rsidR="00035246">
        <w:t>(</w:t>
      </w:r>
      <w:r w:rsidRPr="00371401" w:rsidR="00A56411">
        <w:t>dure</w:t>
      </w:r>
      <w:r w:rsidRPr="00371401" w:rsidR="00035246">
        <w:t>)</w:t>
      </w:r>
      <w:r w:rsidRPr="00371401" w:rsidR="00A56411">
        <w:t xml:space="preserve"> geneesmiddelen in het algemeen. </w:t>
      </w:r>
    </w:p>
    <w:p w:rsidRPr="00371401" w:rsidR="00035246" w:rsidP="00371401" w:rsidRDefault="00035246" w14:paraId="7497EC5F" w14:textId="47BB1091">
      <w:pPr>
        <w:suppressAutoHyphens/>
      </w:pPr>
    </w:p>
    <w:p w:rsidRPr="00371401" w:rsidR="001C3033" w:rsidP="00371401" w:rsidRDefault="002D69CC" w14:paraId="5E5CD7F5" w14:textId="47A5C2C2">
      <w:pPr>
        <w:suppressAutoHyphens/>
        <w:rPr>
          <w:rFonts w:eastAsia="Times New Roman" w:cs="Times New Roman"/>
          <w:b/>
          <w:bCs/>
        </w:rPr>
      </w:pPr>
      <w:r w:rsidRPr="00371401">
        <w:rPr>
          <w:rFonts w:eastAsia="Times New Roman" w:cs="Times New Roman"/>
          <w:b/>
          <w:bCs/>
        </w:rPr>
        <w:t>2.1</w:t>
      </w:r>
      <w:r w:rsidRPr="00371401" w:rsidR="001C3033">
        <w:rPr>
          <w:rFonts w:eastAsia="Times New Roman" w:cs="Times New Roman"/>
          <w:b/>
          <w:bCs/>
        </w:rPr>
        <w:t xml:space="preserve"> Arrangementen voor intramurale geneesmiddelen </w:t>
      </w:r>
    </w:p>
    <w:p w:rsidRPr="00371401" w:rsidR="009F3F86" w:rsidP="00371401" w:rsidRDefault="00A56411" w14:paraId="5DDB461C" w14:textId="00923418">
      <w:pPr>
        <w:suppressAutoHyphens/>
        <w:rPr>
          <w:rFonts w:eastAsia="Times New Roman" w:cs="Times New Roman"/>
          <w:bCs/>
        </w:rPr>
      </w:pPr>
      <w:r w:rsidRPr="00371401">
        <w:rPr>
          <w:rFonts w:eastAsia="Times New Roman" w:cs="Times New Roman"/>
          <w:bCs/>
          <w:color w:val="000000" w:themeColor="text1"/>
        </w:rPr>
        <w:t xml:space="preserve">Hoewel het totaal aantal arrangementen voor intramurale </w:t>
      </w:r>
      <w:r w:rsidRPr="00371401" w:rsidR="00701006">
        <w:rPr>
          <w:rFonts w:eastAsia="Times New Roman" w:cs="Times New Roman"/>
          <w:bCs/>
          <w:color w:val="000000" w:themeColor="text1"/>
        </w:rPr>
        <w:t>genees</w:t>
      </w:r>
      <w:r w:rsidRPr="00371401">
        <w:rPr>
          <w:rFonts w:eastAsia="Times New Roman" w:cs="Times New Roman"/>
          <w:bCs/>
          <w:color w:val="000000" w:themeColor="text1"/>
        </w:rPr>
        <w:t>middelen tussen 2023 en 2024 gelijk is gebleven, wordt in deze voortgangsbrief een daling van de gerealiseerde uitgaven</w:t>
      </w:r>
      <w:r w:rsidRPr="00371401" w:rsidR="00566B5B">
        <w:rPr>
          <w:rFonts w:eastAsia="Times New Roman" w:cs="Times New Roman"/>
          <w:bCs/>
          <w:color w:val="000000" w:themeColor="text1"/>
        </w:rPr>
        <w:t xml:space="preserve"> aan intramurale geneesmiddelen met een financieel arrangement</w:t>
      </w:r>
      <w:r w:rsidRPr="00371401">
        <w:rPr>
          <w:rFonts w:eastAsia="Times New Roman" w:cs="Times New Roman"/>
          <w:bCs/>
          <w:color w:val="000000" w:themeColor="text1"/>
        </w:rPr>
        <w:t xml:space="preserve"> gerapporteerd. De gerealiseerde uitgaven voor intramurale geneesmiddelen waarvoor een arrangement geldt bedroegen in 2023 circa € 994,1 mln. en in 2024 circa € 934,4 mln. Het betreft een daling van € 59,7 mln., oftewel ongeveer 6%.</w:t>
      </w:r>
      <w:r w:rsidRPr="00371401" w:rsidR="00D2358B">
        <w:rPr>
          <w:rFonts w:eastAsia="Times New Roman" w:cs="Times New Roman"/>
          <w:bCs/>
          <w:color w:val="000000" w:themeColor="text1"/>
        </w:rPr>
        <w:t xml:space="preserve"> Hierbij dient wel opgemerkt te worden dat </w:t>
      </w:r>
      <w:r w:rsidRPr="00371401" w:rsidR="00D2358B">
        <w:rPr>
          <w:rFonts w:eastAsia="Times New Roman" w:cs="Times New Roman"/>
        </w:rPr>
        <w:t>de uitkomsten voor intramurale geneesmiddelen voor 2024 zijn vastgesteld op basis van voorlopige declaratiegegevens.</w:t>
      </w:r>
      <w:r w:rsidRPr="00371401" w:rsidR="00862800">
        <w:rPr>
          <w:rFonts w:eastAsia="Times New Roman" w:cs="Times New Roman"/>
        </w:rPr>
        <w:t xml:space="preserve"> </w:t>
      </w:r>
      <w:r w:rsidRPr="00371401" w:rsidR="00914D2B">
        <w:rPr>
          <w:rFonts w:eastAsia="Times New Roman" w:cs="Times New Roman"/>
          <w:bCs/>
        </w:rPr>
        <w:t>F</w:t>
      </w:r>
      <w:r w:rsidRPr="00371401" w:rsidR="001C3033">
        <w:rPr>
          <w:rFonts w:eastAsia="Times New Roman" w:cs="Times New Roman"/>
          <w:bCs/>
        </w:rPr>
        <w:t xml:space="preserve">iguur </w:t>
      </w:r>
      <w:r w:rsidRPr="00371401" w:rsidR="00A10411">
        <w:rPr>
          <w:rFonts w:eastAsia="Times New Roman" w:cs="Times New Roman"/>
          <w:bCs/>
        </w:rPr>
        <w:t>1</w:t>
      </w:r>
      <w:r w:rsidRPr="00371401" w:rsidR="001C3033">
        <w:rPr>
          <w:rFonts w:eastAsia="Times New Roman" w:cs="Times New Roman"/>
          <w:bCs/>
        </w:rPr>
        <w:t xml:space="preserve"> </w:t>
      </w:r>
      <w:r w:rsidRPr="00371401" w:rsidR="00F42480">
        <w:rPr>
          <w:rFonts w:eastAsia="Times New Roman" w:cs="Times New Roman"/>
          <w:bCs/>
        </w:rPr>
        <w:t>geeft inzicht in de ontwikkeling van het aantal arrangementen en de gerealiseerde uitgaven</w:t>
      </w:r>
      <w:r w:rsidRPr="00371401" w:rsidR="00914D2B">
        <w:rPr>
          <w:rFonts w:eastAsia="Times New Roman" w:cs="Times New Roman"/>
          <w:bCs/>
        </w:rPr>
        <w:t xml:space="preserve"> van de intramurale geneesmiddelen met een financieel arrangement</w:t>
      </w:r>
      <w:r w:rsidRPr="00371401" w:rsidR="00F42480">
        <w:rPr>
          <w:rFonts w:eastAsia="Times New Roman" w:cs="Times New Roman"/>
          <w:bCs/>
        </w:rPr>
        <w:t xml:space="preserve">. </w:t>
      </w:r>
    </w:p>
    <w:p w:rsidRPr="00371401" w:rsidR="009F3F86" w:rsidP="00371401" w:rsidRDefault="009F3F86" w14:paraId="416F28BE" w14:textId="4020CE74">
      <w:pPr>
        <w:suppressAutoHyphens/>
        <w:rPr>
          <w:rFonts w:eastAsia="Times New Roman" w:cs="Times New Roman"/>
          <w:bCs/>
        </w:rPr>
      </w:pPr>
    </w:p>
    <w:p w:rsidRPr="00371401" w:rsidR="00DB2D3A" w:rsidP="00371401" w:rsidRDefault="002869F3" w14:paraId="00B9BA13" w14:textId="2D2B2087">
      <w:pPr>
        <w:suppressAutoHyphens/>
        <w:rPr>
          <w:rFonts w:eastAsia="Times New Roman" w:cs="Times New Roman"/>
          <w:b/>
        </w:rPr>
      </w:pPr>
      <w:r w:rsidRPr="00371401">
        <w:rPr>
          <w:rFonts w:eastAsia="Times New Roman" w:cs="Times New Roman"/>
          <w:bCs/>
          <w:noProof/>
        </w:rPr>
        <w:drawing>
          <wp:anchor distT="0" distB="0" distL="114300" distR="114300" simplePos="0" relativeHeight="251669504" behindDoc="0" locked="0" layoutInCell="1" allowOverlap="1" wp14:editId="095EBBD3" wp14:anchorId="0EF8732F">
            <wp:simplePos x="0" y="0"/>
            <wp:positionH relativeFrom="margin">
              <wp:posOffset>-22860</wp:posOffset>
            </wp:positionH>
            <wp:positionV relativeFrom="paragraph">
              <wp:posOffset>349351</wp:posOffset>
            </wp:positionV>
            <wp:extent cx="4788535" cy="2300605"/>
            <wp:effectExtent l="0" t="0" r="0" b="4445"/>
            <wp:wrapTopAndBottom/>
            <wp:docPr id="1019457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4575" name="Afbeelding 1019457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88535" cy="2300605"/>
                    </a:xfrm>
                    <a:prstGeom prst="rect">
                      <a:avLst/>
                    </a:prstGeom>
                  </pic:spPr>
                </pic:pic>
              </a:graphicData>
            </a:graphic>
          </wp:anchor>
        </w:drawing>
      </w:r>
      <w:r w:rsidRPr="00371401" w:rsidR="00DB2D3A">
        <w:rPr>
          <w:rFonts w:eastAsia="Times New Roman" w:cs="Times New Roman"/>
          <w:b/>
        </w:rPr>
        <w:t xml:space="preserve">Figuur 1. Ontwikkeling van </w:t>
      </w:r>
      <w:r w:rsidRPr="00371401" w:rsidR="00914D2B">
        <w:rPr>
          <w:rFonts w:eastAsia="Times New Roman" w:cs="Times New Roman"/>
          <w:b/>
        </w:rPr>
        <w:t xml:space="preserve">het aantal </w:t>
      </w:r>
      <w:r w:rsidRPr="00371401" w:rsidR="00DB2D3A">
        <w:rPr>
          <w:rFonts w:eastAsia="Times New Roman" w:cs="Times New Roman"/>
          <w:b/>
        </w:rPr>
        <w:t>arrangementen en gerealiseerde uitgaven</w:t>
      </w:r>
      <w:r w:rsidRPr="00371401" w:rsidR="00D2358B">
        <w:rPr>
          <w:rFonts w:eastAsia="Times New Roman" w:cs="Times New Roman"/>
          <w:b/>
        </w:rPr>
        <w:t xml:space="preserve"> in miljoenen euro’s</w:t>
      </w:r>
      <w:r w:rsidRPr="00371401" w:rsidR="00DB2D3A">
        <w:rPr>
          <w:rFonts w:eastAsia="Times New Roman" w:cs="Times New Roman"/>
          <w:b/>
        </w:rPr>
        <w:t xml:space="preserve"> (incl. btw) tussen 2023 en 2024 voor intramurale geneesmiddelen</w:t>
      </w:r>
    </w:p>
    <w:p w:rsidRPr="00371401" w:rsidR="00346C42" w:rsidP="00371401" w:rsidRDefault="00346C42" w14:paraId="650B48EB" w14:textId="63181003">
      <w:pPr>
        <w:suppressAutoHyphens/>
        <w:rPr>
          <w:rFonts w:eastAsia="Times New Roman" w:cs="Times New Roman"/>
          <w:i/>
        </w:rPr>
      </w:pPr>
      <w:r w:rsidRPr="00371401">
        <w:rPr>
          <w:rFonts w:eastAsia="Times New Roman" w:cs="Times New Roman"/>
          <w:i/>
        </w:rPr>
        <w:t>Noot. De verticale as is doorbroken tussen € 100 mln. en € 600 mln.</w:t>
      </w:r>
    </w:p>
    <w:p w:rsidRPr="00371401" w:rsidR="009F3F86" w:rsidP="00371401" w:rsidRDefault="009F3F86" w14:paraId="4A4B23CF" w14:textId="5F654B9F">
      <w:pPr>
        <w:suppressAutoHyphens/>
        <w:rPr>
          <w:rFonts w:eastAsia="Times New Roman" w:cs="Times New Roman"/>
          <w:bCs/>
        </w:rPr>
      </w:pPr>
    </w:p>
    <w:p w:rsidR="00371401" w:rsidP="00371401" w:rsidRDefault="009F3F86" w14:paraId="7C3C24E5" w14:textId="77777777">
      <w:pPr>
        <w:suppressAutoHyphens/>
        <w:rPr>
          <w:rFonts w:eastAsia="Times New Roman" w:cs="Times New Roman"/>
          <w:bCs/>
        </w:rPr>
      </w:pPr>
      <w:r w:rsidRPr="00371401">
        <w:rPr>
          <w:rFonts w:eastAsia="Times New Roman" w:cs="Times New Roman"/>
          <w:bCs/>
        </w:rPr>
        <w:t xml:space="preserve">De daling in </w:t>
      </w:r>
      <w:r w:rsidRPr="00371401" w:rsidR="00856FC6">
        <w:rPr>
          <w:rFonts w:eastAsia="Times New Roman" w:cs="Times New Roman"/>
          <w:bCs/>
        </w:rPr>
        <w:t xml:space="preserve">de </w:t>
      </w:r>
      <w:r w:rsidRPr="00371401">
        <w:rPr>
          <w:rFonts w:eastAsia="Times New Roman" w:cs="Times New Roman"/>
          <w:bCs/>
        </w:rPr>
        <w:t>uitgaven aan geneesmiddelen met een financieel arrangement is met name toe te schrijven aan de beëindiging van de arrangementen voor</w:t>
      </w:r>
      <w:r w:rsidRPr="00371401" w:rsidR="00E10234">
        <w:rPr>
          <w:rFonts w:eastAsia="Times New Roman" w:cs="Times New Roman"/>
          <w:bCs/>
        </w:rPr>
        <w:t xml:space="preserve"> twee</w:t>
      </w:r>
      <w:r w:rsidRPr="00371401">
        <w:rPr>
          <w:rFonts w:eastAsia="Times New Roman" w:cs="Times New Roman"/>
          <w:bCs/>
        </w:rPr>
        <w:t xml:space="preserve"> geneesmiddelen</w:t>
      </w:r>
      <w:r w:rsidRPr="00371401" w:rsidR="00856FC6">
        <w:rPr>
          <w:rFonts w:eastAsia="Times New Roman" w:cs="Times New Roman"/>
          <w:bCs/>
        </w:rPr>
        <w:t>;</w:t>
      </w:r>
      <w:r w:rsidRPr="00371401">
        <w:rPr>
          <w:rFonts w:eastAsia="Times New Roman" w:cs="Times New Roman"/>
          <w:bCs/>
        </w:rPr>
        <w:t xml:space="preserve"> </w:t>
      </w:r>
      <w:proofErr w:type="spellStart"/>
      <w:r w:rsidRPr="00371401">
        <w:rPr>
          <w:rFonts w:eastAsia="Times New Roman" w:cs="Times New Roman"/>
          <w:bCs/>
        </w:rPr>
        <w:t>Myozyme</w:t>
      </w:r>
      <w:proofErr w:type="spellEnd"/>
      <w:r w:rsidRPr="00371401">
        <w:rPr>
          <w:rFonts w:eastAsia="Times New Roman" w:cs="Times New Roman"/>
          <w:bCs/>
        </w:rPr>
        <w:t xml:space="preserve"> en </w:t>
      </w:r>
      <w:proofErr w:type="spellStart"/>
      <w:r w:rsidRPr="00371401">
        <w:rPr>
          <w:rFonts w:eastAsia="Times New Roman" w:cs="Times New Roman"/>
          <w:bCs/>
        </w:rPr>
        <w:t>Soliris</w:t>
      </w:r>
      <w:proofErr w:type="spellEnd"/>
      <w:r w:rsidRPr="00371401">
        <w:rPr>
          <w:rFonts w:eastAsia="Times New Roman" w:cs="Times New Roman"/>
          <w:bCs/>
        </w:rPr>
        <w:t xml:space="preserve">. </w:t>
      </w:r>
      <w:r w:rsidRPr="00371401" w:rsidR="00F80971">
        <w:rPr>
          <w:rFonts w:eastAsia="Times New Roman" w:cs="Times New Roman"/>
          <w:bCs/>
        </w:rPr>
        <w:t>Het kabinet</w:t>
      </w:r>
      <w:r w:rsidRPr="00371401" w:rsidR="003C6346">
        <w:rPr>
          <w:rFonts w:eastAsia="Times New Roman" w:cs="Times New Roman"/>
          <w:bCs/>
        </w:rPr>
        <w:t xml:space="preserve"> wil benadrukken dat, hoewel de beëindiging van de arrangementen voor </w:t>
      </w:r>
      <w:proofErr w:type="spellStart"/>
      <w:r w:rsidRPr="00371401" w:rsidR="003C6346">
        <w:rPr>
          <w:rFonts w:eastAsia="Times New Roman" w:cs="Times New Roman"/>
          <w:bCs/>
        </w:rPr>
        <w:t>Myozyme</w:t>
      </w:r>
      <w:proofErr w:type="spellEnd"/>
      <w:r w:rsidRPr="00371401" w:rsidR="003C6346">
        <w:rPr>
          <w:rFonts w:eastAsia="Times New Roman" w:cs="Times New Roman"/>
          <w:bCs/>
        </w:rPr>
        <w:t xml:space="preserve"> en </w:t>
      </w:r>
      <w:proofErr w:type="spellStart"/>
      <w:r w:rsidRPr="00371401" w:rsidR="003C6346">
        <w:rPr>
          <w:rFonts w:eastAsia="Times New Roman" w:cs="Times New Roman"/>
          <w:bCs/>
        </w:rPr>
        <w:t>Soliris</w:t>
      </w:r>
      <w:proofErr w:type="spellEnd"/>
      <w:r w:rsidRPr="00371401" w:rsidR="003C6346">
        <w:rPr>
          <w:rFonts w:eastAsia="Times New Roman" w:cs="Times New Roman"/>
          <w:bCs/>
        </w:rPr>
        <w:t xml:space="preserve"> ertoe leidt dat de </w:t>
      </w:r>
    </w:p>
    <w:p w:rsidR="00371401" w:rsidP="00371401" w:rsidRDefault="00371401" w14:paraId="4EA19B07" w14:textId="77777777">
      <w:pPr>
        <w:suppressAutoHyphens/>
        <w:rPr>
          <w:rFonts w:eastAsia="Times New Roman" w:cs="Times New Roman"/>
          <w:bCs/>
        </w:rPr>
      </w:pPr>
    </w:p>
    <w:p w:rsidRPr="00371401" w:rsidR="00AD546F" w:rsidP="00371401" w:rsidRDefault="003C6346" w14:paraId="323F579A" w14:textId="2A606223">
      <w:pPr>
        <w:suppressAutoHyphens/>
        <w:rPr>
          <w:rFonts w:eastAsia="Times New Roman" w:cs="Times New Roman"/>
          <w:bCs/>
        </w:rPr>
      </w:pPr>
      <w:r w:rsidRPr="00371401">
        <w:rPr>
          <w:rFonts w:eastAsia="Times New Roman" w:cs="Times New Roman"/>
          <w:bCs/>
        </w:rPr>
        <w:lastRenderedPageBreak/>
        <w:t xml:space="preserve">gerealiseerde uitgaven, die in 2023 respectievelijk € 59,0 mln. en € 29,9 mln. bedroegen, niet langer in dit overzicht worden gerapporteerd, dit niet betekent dat de daadwerkelijke uitgaven in de praktijk aan deze </w:t>
      </w:r>
      <w:r w:rsidRPr="00371401" w:rsidR="00701006">
        <w:rPr>
          <w:rFonts w:eastAsia="Times New Roman" w:cs="Times New Roman"/>
          <w:bCs/>
        </w:rPr>
        <w:t>genees</w:t>
      </w:r>
      <w:r w:rsidRPr="00371401">
        <w:rPr>
          <w:rFonts w:eastAsia="Times New Roman" w:cs="Times New Roman"/>
          <w:bCs/>
        </w:rPr>
        <w:t xml:space="preserve">middelen </w:t>
      </w:r>
      <w:r w:rsidRPr="00371401" w:rsidR="00102330">
        <w:rPr>
          <w:rFonts w:eastAsia="Times New Roman" w:cs="Times New Roman"/>
          <w:bCs/>
        </w:rPr>
        <w:t>(</w:t>
      </w:r>
      <w:r w:rsidRPr="00371401">
        <w:rPr>
          <w:rFonts w:eastAsia="Times New Roman" w:cs="Times New Roman"/>
          <w:bCs/>
        </w:rPr>
        <w:t>in dezelfde mate</w:t>
      </w:r>
      <w:r w:rsidRPr="00371401" w:rsidR="00102330">
        <w:rPr>
          <w:rFonts w:eastAsia="Times New Roman" w:cs="Times New Roman"/>
          <w:bCs/>
        </w:rPr>
        <w:t>)</w:t>
      </w:r>
      <w:r w:rsidRPr="00371401">
        <w:rPr>
          <w:rFonts w:eastAsia="Times New Roman" w:cs="Times New Roman"/>
          <w:bCs/>
        </w:rPr>
        <w:t xml:space="preserve"> zijn afgenomen. </w:t>
      </w:r>
    </w:p>
    <w:p w:rsidRPr="00371401" w:rsidR="00E5254A" w:rsidP="00371401" w:rsidRDefault="00E5254A" w14:paraId="5C2571C7" w14:textId="77777777">
      <w:pPr>
        <w:suppressAutoHyphens/>
        <w:rPr>
          <w:rFonts w:eastAsia="Times New Roman" w:cs="Times New Roman"/>
          <w:bCs/>
        </w:rPr>
      </w:pPr>
    </w:p>
    <w:p w:rsidRPr="00371401" w:rsidR="00651D3A" w:rsidP="00371401" w:rsidRDefault="00862800" w14:paraId="20A96F97" w14:textId="5031AE79">
      <w:pPr>
        <w:suppressAutoHyphens/>
        <w:rPr>
          <w:rFonts w:eastAsia="Times New Roman" w:cs="Times New Roman"/>
          <w:bCs/>
        </w:rPr>
      </w:pPr>
      <w:r w:rsidRPr="00371401">
        <w:rPr>
          <w:rFonts w:eastAsia="Times New Roman" w:cs="Times New Roman"/>
          <w:bCs/>
          <w:color w:val="000000" w:themeColor="text1"/>
        </w:rPr>
        <w:t>Uit de jaarlijkse rapportage van de NZa blijkt dat de totale uitgaven aan intramurale geneesmiddelen</w:t>
      </w:r>
      <w:r w:rsidRPr="00371401" w:rsidR="00651D3A">
        <w:rPr>
          <w:rFonts w:eastAsia="Times New Roman" w:cs="Times New Roman"/>
          <w:bCs/>
          <w:color w:val="000000" w:themeColor="text1"/>
        </w:rPr>
        <w:t xml:space="preserve"> nog altijd</w:t>
      </w:r>
      <w:r w:rsidRPr="00371401">
        <w:rPr>
          <w:rFonts w:eastAsia="Times New Roman" w:cs="Times New Roman"/>
          <w:bCs/>
          <w:color w:val="000000" w:themeColor="text1"/>
        </w:rPr>
        <w:t xml:space="preserve"> structureel blijven stijgen</w:t>
      </w:r>
      <w:r w:rsidRPr="00371401">
        <w:rPr>
          <w:rStyle w:val="Voetnootmarkering"/>
        </w:rPr>
        <w:footnoteReference w:id="7"/>
      </w:r>
      <w:r w:rsidRPr="00371401">
        <w:rPr>
          <w:rFonts w:eastAsia="Times New Roman" w:cs="Times New Roman"/>
          <w:bCs/>
          <w:color w:val="000000" w:themeColor="text1"/>
        </w:rPr>
        <w:t xml:space="preserve">. </w:t>
      </w:r>
      <w:r w:rsidRPr="00371401" w:rsidR="003C6346">
        <w:rPr>
          <w:rFonts w:eastAsia="Times New Roman" w:cs="Times New Roman"/>
          <w:bCs/>
        </w:rPr>
        <w:t xml:space="preserve">In de periode na 2023 bedragen de gerealiseerde uitgaven aan </w:t>
      </w:r>
      <w:proofErr w:type="spellStart"/>
      <w:r w:rsidRPr="00371401" w:rsidR="003C6346">
        <w:rPr>
          <w:rFonts w:eastAsia="Times New Roman" w:cs="Times New Roman"/>
          <w:bCs/>
        </w:rPr>
        <w:t>Myozyme</w:t>
      </w:r>
      <w:proofErr w:type="spellEnd"/>
      <w:r w:rsidRPr="00371401" w:rsidR="003C6346">
        <w:rPr>
          <w:rFonts w:eastAsia="Times New Roman" w:cs="Times New Roman"/>
          <w:bCs/>
        </w:rPr>
        <w:t xml:space="preserve"> en </w:t>
      </w:r>
      <w:proofErr w:type="spellStart"/>
      <w:r w:rsidRPr="00371401" w:rsidR="003C6346">
        <w:rPr>
          <w:rFonts w:eastAsia="Times New Roman" w:cs="Times New Roman"/>
          <w:bCs/>
        </w:rPr>
        <w:t>Soliris</w:t>
      </w:r>
      <w:proofErr w:type="spellEnd"/>
      <w:r w:rsidRPr="00371401" w:rsidR="003C6346">
        <w:rPr>
          <w:rFonts w:eastAsia="Times New Roman" w:cs="Times New Roman"/>
          <w:bCs/>
        </w:rPr>
        <w:t xml:space="preserve"> gezamenlijk nog steeds tientallen miljoenen euro’s. Deze uitgaven vallen echter niet langer onder een </w:t>
      </w:r>
      <w:r w:rsidRPr="00371401" w:rsidR="002869F3">
        <w:rPr>
          <w:rFonts w:eastAsia="Times New Roman" w:cs="Times New Roman"/>
          <w:bCs/>
        </w:rPr>
        <w:t xml:space="preserve">centraal </w:t>
      </w:r>
      <w:r w:rsidRPr="00371401" w:rsidR="003C6346">
        <w:rPr>
          <w:rFonts w:eastAsia="Times New Roman" w:cs="Times New Roman"/>
          <w:bCs/>
        </w:rPr>
        <w:t>financieel arrangement</w:t>
      </w:r>
      <w:r w:rsidRPr="00371401" w:rsidR="002869F3">
        <w:rPr>
          <w:rFonts w:eastAsia="Times New Roman" w:cs="Times New Roman"/>
          <w:bCs/>
        </w:rPr>
        <w:t xml:space="preserve"> met het ministerie van VWS</w:t>
      </w:r>
      <w:r w:rsidRPr="00371401" w:rsidR="003C6346">
        <w:rPr>
          <w:rFonts w:eastAsia="Times New Roman" w:cs="Times New Roman"/>
          <w:bCs/>
        </w:rPr>
        <w:t xml:space="preserve">. </w:t>
      </w:r>
    </w:p>
    <w:p w:rsidRPr="00371401" w:rsidR="00C02FF7" w:rsidP="00371401" w:rsidRDefault="003C6346" w14:paraId="7E9338DC" w14:textId="3D3B228E">
      <w:pPr>
        <w:suppressAutoHyphens/>
        <w:rPr>
          <w:rFonts w:eastAsia="Times New Roman" w:cs="Times New Roman"/>
          <w:bCs/>
        </w:rPr>
      </w:pPr>
      <w:r w:rsidRPr="00371401">
        <w:rPr>
          <w:rFonts w:eastAsia="Times New Roman" w:cs="Times New Roman"/>
          <w:bCs/>
        </w:rPr>
        <w:t xml:space="preserve">Daarnaast zijn </w:t>
      </w:r>
      <w:r w:rsidRPr="00371401" w:rsidR="00E10234">
        <w:rPr>
          <w:rFonts w:eastAsia="Times New Roman" w:cs="Times New Roman"/>
          <w:bCs/>
        </w:rPr>
        <w:t>vier</w:t>
      </w:r>
      <w:r w:rsidRPr="00371401">
        <w:rPr>
          <w:rFonts w:eastAsia="Times New Roman" w:cs="Times New Roman"/>
          <w:bCs/>
        </w:rPr>
        <w:t xml:space="preserve"> </w:t>
      </w:r>
      <w:r w:rsidRPr="00371401" w:rsidR="00F80971">
        <w:rPr>
          <w:rFonts w:eastAsia="Times New Roman" w:cs="Times New Roman"/>
          <w:bCs/>
        </w:rPr>
        <w:t xml:space="preserve">andere </w:t>
      </w:r>
      <w:r w:rsidRPr="00371401">
        <w:rPr>
          <w:rFonts w:eastAsia="Times New Roman" w:cs="Times New Roman"/>
          <w:bCs/>
        </w:rPr>
        <w:t>arrangementen per 2024 beëindigd, waarvan de gerealiseerde uitgaven in 2023 in totaal circa € 1,2 mln. bedroegen.</w:t>
      </w:r>
      <w:r w:rsidRPr="00371401" w:rsidR="00862800">
        <w:rPr>
          <w:rFonts w:eastAsia="Times New Roman" w:cs="Times New Roman"/>
          <w:bCs/>
        </w:rPr>
        <w:t xml:space="preserve"> </w:t>
      </w:r>
    </w:p>
    <w:p w:rsidRPr="00371401" w:rsidR="00414310" w:rsidP="00371401" w:rsidRDefault="00414310" w14:paraId="6C9E4D74" w14:textId="77777777">
      <w:pPr>
        <w:suppressAutoHyphens/>
        <w:rPr>
          <w:rFonts w:eastAsia="Times New Roman" w:cs="Times New Roman"/>
          <w:bCs/>
        </w:rPr>
      </w:pPr>
    </w:p>
    <w:p w:rsidRPr="00371401" w:rsidR="00116309" w:rsidP="00371401" w:rsidRDefault="003C6346" w14:paraId="59274FD9" w14:textId="2D1AEF4B">
      <w:pPr>
        <w:suppressAutoHyphens/>
        <w:rPr>
          <w:rFonts w:eastAsia="Times New Roman" w:cs="Times New Roman"/>
          <w:bCs/>
          <w:color w:val="000000" w:themeColor="text1"/>
        </w:rPr>
      </w:pPr>
      <w:r w:rsidRPr="00371401">
        <w:rPr>
          <w:rFonts w:eastAsia="Times New Roman" w:cs="Times New Roman"/>
          <w:bCs/>
        </w:rPr>
        <w:t>Voor 13 geneesmiddelen</w:t>
      </w:r>
      <w:r w:rsidRPr="00371401" w:rsidR="00102330">
        <w:rPr>
          <w:rFonts w:eastAsia="Times New Roman" w:cs="Times New Roman"/>
          <w:bCs/>
        </w:rPr>
        <w:t xml:space="preserve"> </w:t>
      </w:r>
      <w:r w:rsidRPr="00371401" w:rsidR="00B57C46">
        <w:rPr>
          <w:rFonts w:eastAsia="Times New Roman" w:cs="Times New Roman"/>
          <w:bCs/>
        </w:rPr>
        <w:t>met</w:t>
      </w:r>
      <w:r w:rsidRPr="00371401">
        <w:rPr>
          <w:rFonts w:eastAsia="Times New Roman" w:cs="Times New Roman"/>
          <w:bCs/>
        </w:rPr>
        <w:t xml:space="preserve"> een financieel arrangement zijn de uitgaven in 2024 gedaald ten opzichte van 2023. De </w:t>
      </w:r>
      <w:r w:rsidRPr="00371401">
        <w:rPr>
          <w:rFonts w:eastAsia="Times New Roman" w:cs="Times New Roman"/>
          <w:bCs/>
          <w:color w:val="000000" w:themeColor="text1"/>
        </w:rPr>
        <w:t xml:space="preserve">terugloop in gerealiseerde uitgaven aan deze 13 </w:t>
      </w:r>
      <w:r w:rsidRPr="00371401" w:rsidR="00701006">
        <w:rPr>
          <w:rFonts w:eastAsia="Times New Roman" w:cs="Times New Roman"/>
          <w:bCs/>
          <w:color w:val="000000" w:themeColor="text1"/>
        </w:rPr>
        <w:t>genees</w:t>
      </w:r>
      <w:r w:rsidRPr="00371401">
        <w:rPr>
          <w:rFonts w:eastAsia="Times New Roman" w:cs="Times New Roman"/>
          <w:bCs/>
          <w:color w:val="000000" w:themeColor="text1"/>
        </w:rPr>
        <w:t xml:space="preserve">middelen </w:t>
      </w:r>
      <w:r w:rsidRPr="00371401" w:rsidR="00035246">
        <w:rPr>
          <w:rFonts w:eastAsia="Times New Roman" w:cs="Times New Roman"/>
          <w:bCs/>
          <w:color w:val="000000" w:themeColor="text1"/>
        </w:rPr>
        <w:t>bedroeg</w:t>
      </w:r>
      <w:r w:rsidRPr="00371401">
        <w:rPr>
          <w:rFonts w:eastAsia="Times New Roman" w:cs="Times New Roman"/>
          <w:bCs/>
          <w:color w:val="000000" w:themeColor="text1"/>
        </w:rPr>
        <w:t xml:space="preserve"> in totaal circa € 50,</w:t>
      </w:r>
      <w:r w:rsidRPr="00371401" w:rsidR="00E10234">
        <w:rPr>
          <w:rFonts w:eastAsia="Times New Roman" w:cs="Times New Roman"/>
          <w:bCs/>
          <w:color w:val="000000" w:themeColor="text1"/>
        </w:rPr>
        <w:t>5</w:t>
      </w:r>
      <w:r w:rsidRPr="00371401">
        <w:rPr>
          <w:rFonts w:eastAsia="Times New Roman" w:cs="Times New Roman"/>
          <w:bCs/>
          <w:color w:val="000000" w:themeColor="text1"/>
        </w:rPr>
        <w:t xml:space="preserve"> mln. </w:t>
      </w:r>
    </w:p>
    <w:p w:rsidRPr="00371401" w:rsidR="00116309" w:rsidP="00371401" w:rsidRDefault="00116309" w14:paraId="400763E1" w14:textId="12C7F2A0">
      <w:pPr>
        <w:suppressAutoHyphens/>
        <w:rPr>
          <w:rFonts w:eastAsia="Times New Roman" w:cs="Times New Roman"/>
          <w:bCs/>
          <w:color w:val="000000" w:themeColor="text1"/>
        </w:rPr>
      </w:pPr>
    </w:p>
    <w:p w:rsidRPr="00371401" w:rsidR="000E20EE" w:rsidP="00371401" w:rsidRDefault="000E20EE" w14:paraId="6559AF3C" w14:textId="0119A057">
      <w:pPr>
        <w:suppressAutoHyphens/>
        <w:rPr>
          <w:rFonts w:eastAsia="Times New Roman" w:cs="Times New Roman"/>
          <w:bCs/>
          <w:color w:val="000000" w:themeColor="text1"/>
        </w:rPr>
      </w:pPr>
      <w:r w:rsidRPr="00371401">
        <w:rPr>
          <w:rFonts w:eastAsia="Times New Roman" w:cs="Times New Roman"/>
          <w:bCs/>
          <w:color w:val="000000" w:themeColor="text1"/>
        </w:rPr>
        <w:t xml:space="preserve">In 2024 werden voor </w:t>
      </w:r>
      <w:r w:rsidRPr="00371401" w:rsidR="00E10234">
        <w:rPr>
          <w:rFonts w:eastAsia="Times New Roman" w:cs="Times New Roman"/>
          <w:bCs/>
          <w:color w:val="000000" w:themeColor="text1"/>
        </w:rPr>
        <w:t>zes</w:t>
      </w:r>
      <w:r w:rsidRPr="00371401">
        <w:rPr>
          <w:rFonts w:eastAsia="Times New Roman" w:cs="Times New Roman"/>
          <w:bCs/>
          <w:color w:val="000000" w:themeColor="text1"/>
        </w:rPr>
        <w:t xml:space="preserve"> intramurale geneesmiddelen nieuwe arrangementen afgesloten. De gerealiseerde uitgaven aan deze geneesmiddelen bedroegen in datzelfde jaar € 12,7 mln.</w:t>
      </w:r>
      <w:r w:rsidRPr="00371401" w:rsidR="00B57C46">
        <w:rPr>
          <w:rFonts w:eastAsia="Times New Roman" w:cs="Times New Roman"/>
          <w:bCs/>
          <w:color w:val="000000" w:themeColor="text1"/>
        </w:rPr>
        <w:t xml:space="preserve"> </w:t>
      </w:r>
      <w:r w:rsidRPr="00371401" w:rsidR="00B57C46">
        <w:rPr>
          <w:rFonts w:eastAsia="Times New Roman" w:cs="Times New Roman"/>
          <w:bCs/>
        </w:rPr>
        <w:t>Het is mogelijk dat de uitgaven aan deze nieuwe geneesmiddelen in de volgende jaren nog zullen toenemen.</w:t>
      </w:r>
    </w:p>
    <w:p w:rsidRPr="00371401" w:rsidR="000E20EE" w:rsidP="00371401" w:rsidRDefault="000E20EE" w14:paraId="166153CA" w14:textId="77777777">
      <w:pPr>
        <w:suppressAutoHyphens/>
        <w:rPr>
          <w:rFonts w:eastAsia="Times New Roman" w:cs="Times New Roman"/>
          <w:bCs/>
          <w:color w:val="000000" w:themeColor="text1"/>
        </w:rPr>
      </w:pPr>
    </w:p>
    <w:p w:rsidRPr="00371401" w:rsidR="000E20EE" w:rsidP="00371401" w:rsidRDefault="000E20EE" w14:paraId="350BA3EE" w14:textId="7EA8E786">
      <w:pPr>
        <w:suppressAutoHyphens/>
        <w:rPr>
          <w:rFonts w:eastAsia="Times New Roman" w:cs="Times New Roman"/>
          <w:bCs/>
          <w:color w:val="000000" w:themeColor="text1"/>
        </w:rPr>
      </w:pPr>
      <w:r w:rsidRPr="00371401">
        <w:rPr>
          <w:rFonts w:eastAsia="Times New Roman" w:cs="Times New Roman"/>
          <w:bCs/>
          <w:color w:val="000000" w:themeColor="text1"/>
        </w:rPr>
        <w:t xml:space="preserve">Voor 17 geneesmiddelen namen de gerealiseerde uitgaven binnen de arrangementen toe. Deze groei was met name toe te schrijven aan </w:t>
      </w:r>
      <w:proofErr w:type="spellStart"/>
      <w:r w:rsidRPr="00371401">
        <w:rPr>
          <w:rFonts w:eastAsia="Times New Roman" w:cs="Times New Roman"/>
          <w:bCs/>
          <w:color w:val="000000" w:themeColor="text1"/>
        </w:rPr>
        <w:t>Tagrisso</w:t>
      </w:r>
      <w:proofErr w:type="spellEnd"/>
      <w:r w:rsidRPr="00371401">
        <w:rPr>
          <w:rFonts w:eastAsia="Times New Roman" w:cs="Times New Roman"/>
          <w:bCs/>
          <w:color w:val="000000" w:themeColor="text1"/>
        </w:rPr>
        <w:t xml:space="preserve">, </w:t>
      </w:r>
      <w:proofErr w:type="spellStart"/>
      <w:r w:rsidRPr="00371401">
        <w:rPr>
          <w:rFonts w:eastAsia="Times New Roman" w:cs="Times New Roman"/>
          <w:bCs/>
          <w:color w:val="000000" w:themeColor="text1"/>
        </w:rPr>
        <w:t>Darzalex</w:t>
      </w:r>
      <w:proofErr w:type="spellEnd"/>
      <w:r w:rsidRPr="00371401">
        <w:rPr>
          <w:rFonts w:eastAsia="Times New Roman" w:cs="Times New Roman"/>
          <w:bCs/>
          <w:color w:val="000000" w:themeColor="text1"/>
        </w:rPr>
        <w:t xml:space="preserve"> en </w:t>
      </w:r>
      <w:proofErr w:type="spellStart"/>
      <w:r w:rsidRPr="00371401">
        <w:rPr>
          <w:rFonts w:eastAsia="Times New Roman" w:cs="Times New Roman"/>
          <w:bCs/>
          <w:color w:val="000000" w:themeColor="text1"/>
        </w:rPr>
        <w:t>Ultomiris</w:t>
      </w:r>
      <w:proofErr w:type="spellEnd"/>
      <w:r w:rsidRPr="00371401">
        <w:rPr>
          <w:rFonts w:eastAsia="Times New Roman" w:cs="Times New Roman"/>
          <w:bCs/>
          <w:color w:val="000000" w:themeColor="text1"/>
        </w:rPr>
        <w:t xml:space="preserve">. Ultomiris </w:t>
      </w:r>
      <w:r w:rsidRPr="00371401" w:rsidR="007A3A5B">
        <w:rPr>
          <w:rFonts w:eastAsia="Times New Roman" w:cs="Times New Roman"/>
          <w:bCs/>
          <w:color w:val="000000" w:themeColor="text1"/>
        </w:rPr>
        <w:t xml:space="preserve">is van </w:t>
      </w:r>
      <w:r w:rsidRPr="00371401">
        <w:rPr>
          <w:rFonts w:eastAsia="Times New Roman" w:cs="Times New Roman"/>
          <w:bCs/>
          <w:color w:val="000000" w:themeColor="text1"/>
        </w:rPr>
        <w:t xml:space="preserve">dezelfde leverancier en </w:t>
      </w:r>
      <w:r w:rsidRPr="00371401" w:rsidR="007A3A5B">
        <w:rPr>
          <w:rFonts w:eastAsia="Times New Roman" w:cs="Times New Roman"/>
          <w:bCs/>
          <w:color w:val="000000" w:themeColor="text1"/>
        </w:rPr>
        <w:t xml:space="preserve">heeft dezelfde </w:t>
      </w:r>
      <w:r w:rsidRPr="00371401">
        <w:rPr>
          <w:rFonts w:eastAsia="Times New Roman" w:cs="Times New Roman"/>
          <w:bCs/>
          <w:color w:val="000000" w:themeColor="text1"/>
        </w:rPr>
        <w:t xml:space="preserve">indicatiestelling als </w:t>
      </w:r>
      <w:proofErr w:type="spellStart"/>
      <w:r w:rsidRPr="00371401">
        <w:rPr>
          <w:rFonts w:eastAsia="Times New Roman" w:cs="Times New Roman"/>
          <w:bCs/>
          <w:color w:val="000000" w:themeColor="text1"/>
        </w:rPr>
        <w:t>Soliris</w:t>
      </w:r>
      <w:proofErr w:type="spellEnd"/>
      <w:r w:rsidRPr="00371401">
        <w:rPr>
          <w:rFonts w:eastAsia="Times New Roman" w:cs="Times New Roman"/>
          <w:bCs/>
          <w:color w:val="000000" w:themeColor="text1"/>
        </w:rPr>
        <w:t xml:space="preserve">, waarvoor het arrangement </w:t>
      </w:r>
      <w:r w:rsidRPr="00371401" w:rsidR="00DB2D3A">
        <w:rPr>
          <w:rFonts w:eastAsia="Times New Roman" w:cs="Times New Roman"/>
          <w:bCs/>
          <w:color w:val="000000" w:themeColor="text1"/>
        </w:rPr>
        <w:t>per 2024 is</w:t>
      </w:r>
      <w:r w:rsidRPr="00371401">
        <w:rPr>
          <w:rFonts w:eastAsia="Times New Roman" w:cs="Times New Roman"/>
          <w:bCs/>
          <w:color w:val="000000" w:themeColor="text1"/>
        </w:rPr>
        <w:t xml:space="preserve"> beëindigd.</w:t>
      </w:r>
    </w:p>
    <w:p w:rsidRPr="00371401" w:rsidR="000E20EE" w:rsidP="00371401" w:rsidRDefault="000E20EE" w14:paraId="7C939ACA" w14:textId="6960F89B">
      <w:pPr>
        <w:suppressAutoHyphens/>
        <w:rPr>
          <w:rFonts w:eastAsia="Times New Roman" w:cs="Times New Roman"/>
          <w:bCs/>
          <w:color w:val="000000" w:themeColor="text1"/>
        </w:rPr>
      </w:pPr>
    </w:p>
    <w:p w:rsidRPr="00371401" w:rsidR="00EA4BE8" w:rsidP="00371401" w:rsidRDefault="002D69CC" w14:paraId="74E70144" w14:textId="2AFEED9A">
      <w:pPr>
        <w:suppressAutoHyphens/>
        <w:rPr>
          <w:rFonts w:eastAsia="Times New Roman" w:cs="Times New Roman"/>
          <w:b/>
          <w:bCs/>
        </w:rPr>
      </w:pPr>
      <w:r w:rsidRPr="00371401">
        <w:rPr>
          <w:rFonts w:eastAsia="Times New Roman" w:cs="Times New Roman"/>
          <w:b/>
          <w:bCs/>
        </w:rPr>
        <w:t>2</w:t>
      </w:r>
      <w:r w:rsidRPr="00371401" w:rsidR="00EA4BE8">
        <w:rPr>
          <w:rFonts w:eastAsia="Times New Roman" w:cs="Times New Roman"/>
          <w:b/>
          <w:bCs/>
        </w:rPr>
        <w:t>.2 Arrangementen voor extramurale geneesmiddelen</w:t>
      </w:r>
    </w:p>
    <w:p w:rsidR="00371401" w:rsidP="00371401" w:rsidRDefault="000E20EE" w14:paraId="054479EC" w14:textId="77777777">
      <w:pPr>
        <w:suppressAutoHyphens/>
      </w:pPr>
      <w:r w:rsidRPr="00371401">
        <w:t>Voor de extramurale geneesmiddelen waarvoor een financieel arrangement is overeengekomen, is sprake van een sterke toename van de gerealiseerde uitgaven</w:t>
      </w:r>
      <w:r w:rsidRPr="00371401" w:rsidR="001D144E">
        <w:t>.</w:t>
      </w:r>
      <w:r w:rsidRPr="00371401">
        <w:t xml:space="preserve"> </w:t>
      </w:r>
      <w:r w:rsidRPr="00371401" w:rsidR="001D144E">
        <w:t xml:space="preserve">Deze uitgaven bedroegen </w:t>
      </w:r>
      <w:r w:rsidRPr="00371401">
        <w:t xml:space="preserve">in 2023 € 720,0 mln. </w:t>
      </w:r>
      <w:r w:rsidRPr="00371401" w:rsidR="001D144E">
        <w:t>en zij</w:t>
      </w:r>
      <w:r w:rsidRPr="00371401">
        <w:t xml:space="preserve">n </w:t>
      </w:r>
      <w:r w:rsidRPr="00371401" w:rsidR="001D144E">
        <w:t xml:space="preserve">in </w:t>
      </w:r>
      <w:r w:rsidRPr="00371401">
        <w:t xml:space="preserve">2024 </w:t>
      </w:r>
      <w:r w:rsidRPr="00371401" w:rsidR="001D144E">
        <w:t xml:space="preserve">met </w:t>
      </w:r>
    </w:p>
    <w:p w:rsidRPr="00371401" w:rsidR="002D69CC" w:rsidP="00371401" w:rsidRDefault="001D144E" w14:paraId="2A0897D3" w14:textId="28A60CC4">
      <w:pPr>
        <w:suppressAutoHyphens/>
      </w:pPr>
      <w:r w:rsidRPr="00371401">
        <w:t>€ 140,1 mln. gestegen naar</w:t>
      </w:r>
      <w:r w:rsidRPr="00371401" w:rsidR="000E20EE">
        <w:t xml:space="preserve"> € 860,1 mln. De ontwikkeling van </w:t>
      </w:r>
      <w:r w:rsidRPr="00371401" w:rsidR="00914D2B">
        <w:t xml:space="preserve">het aantal </w:t>
      </w:r>
      <w:r w:rsidRPr="00371401" w:rsidR="000E20EE">
        <w:t xml:space="preserve">arrangementen en de gerealiseerde uitgaven worden gepresenteerd in figuur </w:t>
      </w:r>
      <w:r w:rsidRPr="00371401" w:rsidR="00490E0B">
        <w:t>2</w:t>
      </w:r>
      <w:r w:rsidRPr="00371401" w:rsidR="000E20EE">
        <w:t>.</w:t>
      </w:r>
    </w:p>
    <w:p w:rsidRPr="00371401" w:rsidR="000E20EE" w:rsidP="00371401" w:rsidRDefault="000E20EE" w14:paraId="6EB7BC17" w14:textId="1241F1AF">
      <w:pPr>
        <w:suppressAutoHyphens/>
        <w:rPr>
          <w:rFonts w:eastAsia="Times New Roman" w:cs="Times New Roman"/>
          <w:bCs/>
        </w:rPr>
      </w:pPr>
    </w:p>
    <w:p w:rsidRPr="00371401" w:rsidR="000E20EE" w:rsidP="00371401" w:rsidRDefault="002869F3" w14:paraId="3702CB0B" w14:textId="0C673510">
      <w:pPr>
        <w:suppressAutoHyphens/>
        <w:rPr>
          <w:rFonts w:eastAsia="Times New Roman" w:cs="Times New Roman"/>
          <w:b/>
        </w:rPr>
      </w:pPr>
      <w:r w:rsidRPr="00371401">
        <w:rPr>
          <w:rFonts w:eastAsia="Times New Roman" w:cs="Times New Roman"/>
          <w:bCs/>
          <w:noProof/>
        </w:rPr>
        <w:lastRenderedPageBreak/>
        <w:drawing>
          <wp:anchor distT="0" distB="0" distL="114300" distR="114300" simplePos="0" relativeHeight="251671552" behindDoc="0" locked="0" layoutInCell="1" allowOverlap="1" wp14:editId="56595DA3" wp14:anchorId="7F99C20F">
            <wp:simplePos x="0" y="0"/>
            <wp:positionH relativeFrom="margin">
              <wp:align>left</wp:align>
            </wp:positionH>
            <wp:positionV relativeFrom="paragraph">
              <wp:posOffset>356667</wp:posOffset>
            </wp:positionV>
            <wp:extent cx="4788535" cy="2258695"/>
            <wp:effectExtent l="0" t="0" r="0" b="8255"/>
            <wp:wrapTopAndBottom/>
            <wp:docPr id="151551886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518867" name="Afbeelding 1515518867"/>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88535" cy="2258695"/>
                    </a:xfrm>
                    <a:prstGeom prst="rect">
                      <a:avLst/>
                    </a:prstGeom>
                  </pic:spPr>
                </pic:pic>
              </a:graphicData>
            </a:graphic>
          </wp:anchor>
        </w:drawing>
      </w:r>
      <w:r w:rsidRPr="00371401" w:rsidR="000E20EE">
        <w:rPr>
          <w:rFonts w:eastAsia="Times New Roman" w:cs="Times New Roman"/>
          <w:b/>
        </w:rPr>
        <w:t xml:space="preserve">Figuur </w:t>
      </w:r>
      <w:r w:rsidRPr="00371401" w:rsidR="00DB2D3A">
        <w:rPr>
          <w:rFonts w:eastAsia="Times New Roman" w:cs="Times New Roman"/>
          <w:b/>
        </w:rPr>
        <w:t>2</w:t>
      </w:r>
      <w:r w:rsidRPr="00371401" w:rsidR="000E20EE">
        <w:rPr>
          <w:rFonts w:eastAsia="Times New Roman" w:cs="Times New Roman"/>
          <w:b/>
        </w:rPr>
        <w:t xml:space="preserve">. </w:t>
      </w:r>
      <w:r w:rsidRPr="00371401" w:rsidR="00DB2D3A">
        <w:rPr>
          <w:rFonts w:eastAsia="Times New Roman" w:cs="Times New Roman"/>
          <w:b/>
        </w:rPr>
        <w:t xml:space="preserve">Ontwikkeling van </w:t>
      </w:r>
      <w:r w:rsidRPr="00371401" w:rsidR="00914D2B">
        <w:rPr>
          <w:rFonts w:eastAsia="Times New Roman" w:cs="Times New Roman"/>
          <w:b/>
        </w:rPr>
        <w:t xml:space="preserve">het aantal </w:t>
      </w:r>
      <w:r w:rsidRPr="00371401" w:rsidR="00DB2D3A">
        <w:rPr>
          <w:rFonts w:eastAsia="Times New Roman" w:cs="Times New Roman"/>
          <w:b/>
        </w:rPr>
        <w:t>arrangementen en gerealiseerde uitgaven</w:t>
      </w:r>
      <w:r w:rsidRPr="00371401" w:rsidR="00D2358B">
        <w:rPr>
          <w:rFonts w:eastAsia="Times New Roman" w:cs="Times New Roman"/>
          <w:b/>
        </w:rPr>
        <w:t xml:space="preserve"> in miljoenen euro’s</w:t>
      </w:r>
      <w:r w:rsidRPr="00371401" w:rsidR="00DB2D3A">
        <w:rPr>
          <w:rFonts w:eastAsia="Times New Roman" w:cs="Times New Roman"/>
          <w:b/>
        </w:rPr>
        <w:t xml:space="preserve"> (incl. btw) tussen 2023 en 2024 voor extramurale geneesmiddelen</w:t>
      </w:r>
    </w:p>
    <w:p w:rsidRPr="00371401" w:rsidR="0073457A" w:rsidP="00371401" w:rsidRDefault="0073457A" w14:paraId="38C1DC95" w14:textId="6F5AE099">
      <w:pPr>
        <w:suppressAutoHyphens/>
        <w:rPr>
          <w:rFonts w:eastAsia="Times New Roman" w:cs="Times New Roman"/>
          <w:i/>
        </w:rPr>
      </w:pPr>
      <w:r w:rsidRPr="00371401">
        <w:rPr>
          <w:rFonts w:eastAsia="Times New Roman" w:cs="Times New Roman"/>
          <w:i/>
        </w:rPr>
        <w:t>Noot. De verticale as is doorbroken tussen € 100 mln. en € 600 mln.</w:t>
      </w:r>
    </w:p>
    <w:p w:rsidR="00414310" w:rsidP="00371401" w:rsidRDefault="00414310" w14:paraId="207E647A" w14:textId="77777777">
      <w:pPr>
        <w:suppressAutoHyphens/>
        <w:rPr>
          <w:rFonts w:eastAsia="Times New Roman" w:cs="Times New Roman"/>
          <w:b/>
        </w:rPr>
      </w:pPr>
    </w:p>
    <w:p w:rsidRPr="00371401" w:rsidR="002D69CC" w:rsidP="00371401" w:rsidRDefault="000E20EE" w14:paraId="2A55908B" w14:textId="4FEDF217">
      <w:pPr>
        <w:suppressAutoHyphens/>
        <w:rPr>
          <w:color w:val="auto"/>
        </w:rPr>
      </w:pPr>
      <w:r w:rsidRPr="00371401">
        <w:rPr>
          <w:color w:val="auto"/>
        </w:rPr>
        <w:t xml:space="preserve">Het financieel arrangement voor </w:t>
      </w:r>
      <w:proofErr w:type="spellStart"/>
      <w:r w:rsidRPr="00371401">
        <w:rPr>
          <w:color w:val="auto"/>
        </w:rPr>
        <w:t>Pradaxa</w:t>
      </w:r>
      <w:proofErr w:type="spellEnd"/>
      <w:r w:rsidRPr="00371401" w:rsidR="00597F51">
        <w:rPr>
          <w:color w:val="auto"/>
        </w:rPr>
        <w:t xml:space="preserve">, een </w:t>
      </w:r>
      <w:r w:rsidRPr="00371401" w:rsidR="00752E9C">
        <w:rPr>
          <w:color w:val="auto"/>
        </w:rPr>
        <w:t>geneesmiddel dat tot de klasse</w:t>
      </w:r>
      <w:r w:rsidRPr="00371401" w:rsidR="00597F51">
        <w:rPr>
          <w:color w:val="auto"/>
        </w:rPr>
        <w:t xml:space="preserve"> </w:t>
      </w:r>
      <w:proofErr w:type="spellStart"/>
      <w:r w:rsidRPr="00371401" w:rsidR="00597F51">
        <w:rPr>
          <w:color w:val="auto"/>
        </w:rPr>
        <w:t>DOAC</w:t>
      </w:r>
      <w:r w:rsidRPr="00371401" w:rsidR="00752E9C">
        <w:rPr>
          <w:color w:val="auto"/>
        </w:rPr>
        <w:t>’s</w:t>
      </w:r>
      <w:proofErr w:type="spellEnd"/>
      <w:r w:rsidRPr="00371401" w:rsidR="00752E9C">
        <w:rPr>
          <w:color w:val="auto"/>
        </w:rPr>
        <w:t xml:space="preserve"> behoort</w:t>
      </w:r>
      <w:r w:rsidRPr="00371401" w:rsidR="00597F51">
        <w:rPr>
          <w:color w:val="auto"/>
        </w:rPr>
        <w:t>,</w:t>
      </w:r>
      <w:r w:rsidRPr="00371401">
        <w:rPr>
          <w:color w:val="auto"/>
        </w:rPr>
        <w:t xml:space="preserve"> is per 2024 beëindigd. De reden hiervoor is dat door het aflopen van het patent en de komst van generieke alternatieven de financiële risico’s door zorgverzekeraars kunnen worden opgevangen. De uitgaven aan </w:t>
      </w:r>
      <w:proofErr w:type="spellStart"/>
      <w:r w:rsidRPr="00371401">
        <w:rPr>
          <w:color w:val="auto"/>
        </w:rPr>
        <w:t>Pradaxa</w:t>
      </w:r>
      <w:proofErr w:type="spellEnd"/>
      <w:r w:rsidRPr="00371401">
        <w:rPr>
          <w:color w:val="auto"/>
        </w:rPr>
        <w:t>, die in 2023 € 33,3 mln. bedroegen, maken daarom geen onderdeel meer uit van gerealiseerd uitgaven voor 2024.</w:t>
      </w:r>
    </w:p>
    <w:p w:rsidRPr="00371401" w:rsidR="000E20EE" w:rsidP="00371401" w:rsidRDefault="000E20EE" w14:paraId="1ABB67AF" w14:textId="77777777">
      <w:pPr>
        <w:suppressAutoHyphens/>
        <w:rPr>
          <w:color w:val="auto"/>
        </w:rPr>
      </w:pPr>
    </w:p>
    <w:p w:rsidRPr="00371401" w:rsidR="002D69CC" w:rsidP="00371401" w:rsidRDefault="000E20EE" w14:paraId="7115A0CF" w14:textId="43D704E1">
      <w:pPr>
        <w:suppressAutoHyphens/>
        <w:rPr>
          <w:rFonts w:eastAsia="Times New Roman" w:cs="Times New Roman"/>
          <w:bCs/>
        </w:rPr>
      </w:pPr>
      <w:r w:rsidRPr="00371401">
        <w:rPr>
          <w:rFonts w:eastAsia="Times New Roman" w:cs="Times New Roman"/>
          <w:bCs/>
        </w:rPr>
        <w:t xml:space="preserve">Verder namen de uitgaven </w:t>
      </w:r>
      <w:r w:rsidRPr="00371401" w:rsidR="002D69CC">
        <w:rPr>
          <w:rFonts w:eastAsia="Times New Roman" w:cs="Times New Roman"/>
          <w:bCs/>
        </w:rPr>
        <w:t xml:space="preserve">aan </w:t>
      </w:r>
      <w:r w:rsidRPr="00371401" w:rsidR="00E10234">
        <w:rPr>
          <w:rFonts w:eastAsia="Times New Roman" w:cs="Times New Roman"/>
          <w:bCs/>
        </w:rPr>
        <w:t>vijf</w:t>
      </w:r>
      <w:r w:rsidRPr="00371401" w:rsidR="002D69CC">
        <w:rPr>
          <w:rFonts w:eastAsia="Times New Roman" w:cs="Times New Roman"/>
          <w:bCs/>
        </w:rPr>
        <w:t xml:space="preserve"> extramurale geneesmiddelen</w:t>
      </w:r>
      <w:r w:rsidRPr="00371401">
        <w:rPr>
          <w:rFonts w:eastAsia="Times New Roman" w:cs="Times New Roman"/>
          <w:bCs/>
        </w:rPr>
        <w:t xml:space="preserve"> in 2024 af ten opzichte van het voorgaande jaar, met</w:t>
      </w:r>
      <w:r w:rsidRPr="00371401" w:rsidR="002D69CC">
        <w:rPr>
          <w:rFonts w:eastAsia="Times New Roman" w:cs="Times New Roman"/>
          <w:bCs/>
        </w:rPr>
        <w:t xml:space="preserve"> in totaal </w:t>
      </w:r>
      <w:r w:rsidRPr="00371401">
        <w:rPr>
          <w:rFonts w:eastAsia="Times New Roman" w:cs="Times New Roman"/>
          <w:bCs/>
        </w:rPr>
        <w:t xml:space="preserve">circa </w:t>
      </w:r>
      <w:r w:rsidRPr="00371401" w:rsidR="002D69CC">
        <w:rPr>
          <w:rFonts w:eastAsia="Times New Roman" w:cs="Times New Roman"/>
          <w:bCs/>
        </w:rPr>
        <w:t>€ 9,</w:t>
      </w:r>
      <w:r w:rsidRPr="00371401" w:rsidR="00BF1481">
        <w:rPr>
          <w:rFonts w:eastAsia="Times New Roman" w:cs="Times New Roman"/>
          <w:bCs/>
        </w:rPr>
        <w:t>7</w:t>
      </w:r>
      <w:r w:rsidRPr="00371401" w:rsidR="002D69CC">
        <w:rPr>
          <w:rFonts w:eastAsia="Times New Roman" w:cs="Times New Roman"/>
          <w:bCs/>
        </w:rPr>
        <w:t xml:space="preserve"> mln.</w:t>
      </w:r>
    </w:p>
    <w:p w:rsidRPr="00371401" w:rsidR="00E75D68" w:rsidP="00371401" w:rsidRDefault="00E75D68" w14:paraId="29ACB2AD" w14:textId="4A9CE816">
      <w:pPr>
        <w:suppressAutoHyphens/>
        <w:rPr>
          <w:rFonts w:eastAsia="Times New Roman" w:cs="Times New Roman"/>
          <w:bCs/>
        </w:rPr>
      </w:pPr>
      <w:r w:rsidRPr="00371401">
        <w:rPr>
          <w:rFonts w:eastAsia="Times New Roman" w:cs="Times New Roman"/>
          <w:bCs/>
        </w:rPr>
        <w:t>In 2024 zijn drie nieuwe financiële arrangementen voor extramurale geneesmiddelen afgesloten</w:t>
      </w:r>
      <w:r w:rsidRPr="00371401" w:rsidR="002D69CC">
        <w:rPr>
          <w:rFonts w:eastAsia="Times New Roman" w:cs="Times New Roman"/>
          <w:bCs/>
        </w:rPr>
        <w:t xml:space="preserve">. De </w:t>
      </w:r>
      <w:r w:rsidRPr="00371401" w:rsidR="009473EB">
        <w:rPr>
          <w:rFonts w:eastAsia="Times New Roman" w:cs="Times New Roman"/>
          <w:bCs/>
        </w:rPr>
        <w:t xml:space="preserve">gezamenlijke </w:t>
      </w:r>
      <w:r w:rsidRPr="00371401" w:rsidR="002D69CC">
        <w:rPr>
          <w:rFonts w:eastAsia="Times New Roman" w:cs="Times New Roman"/>
          <w:bCs/>
        </w:rPr>
        <w:t xml:space="preserve">uitgaven aan deze drie </w:t>
      </w:r>
      <w:r w:rsidRPr="00371401" w:rsidR="00701006">
        <w:rPr>
          <w:rFonts w:eastAsia="Times New Roman" w:cs="Times New Roman"/>
          <w:bCs/>
        </w:rPr>
        <w:t>genees</w:t>
      </w:r>
      <w:r w:rsidRPr="00371401" w:rsidR="002D69CC">
        <w:rPr>
          <w:rFonts w:eastAsia="Times New Roman" w:cs="Times New Roman"/>
          <w:bCs/>
        </w:rPr>
        <w:t xml:space="preserve">middelen bedroegen </w:t>
      </w:r>
      <w:r w:rsidRPr="00371401" w:rsidR="009473EB">
        <w:rPr>
          <w:rFonts w:eastAsia="Times New Roman" w:cs="Times New Roman"/>
          <w:bCs/>
        </w:rPr>
        <w:t>dat</w:t>
      </w:r>
      <w:r w:rsidRPr="00371401" w:rsidR="002D69CC">
        <w:rPr>
          <w:rFonts w:eastAsia="Times New Roman" w:cs="Times New Roman"/>
          <w:bCs/>
        </w:rPr>
        <w:t xml:space="preserve"> jaar </w:t>
      </w:r>
      <w:r w:rsidRPr="00371401" w:rsidR="009473EB">
        <w:rPr>
          <w:rFonts w:eastAsia="Times New Roman" w:cs="Times New Roman"/>
          <w:bCs/>
        </w:rPr>
        <w:t xml:space="preserve">circa </w:t>
      </w:r>
      <w:r w:rsidRPr="00371401" w:rsidR="002D69CC">
        <w:rPr>
          <w:rFonts w:eastAsia="Times New Roman" w:cs="Times New Roman"/>
          <w:bCs/>
        </w:rPr>
        <w:t>€ 2,6 mln.</w:t>
      </w:r>
      <w:r w:rsidRPr="00371401">
        <w:rPr>
          <w:rFonts w:eastAsia="Times New Roman" w:cs="Times New Roman"/>
          <w:bCs/>
        </w:rPr>
        <w:t xml:space="preserve"> </w:t>
      </w:r>
      <w:r w:rsidRPr="00371401" w:rsidR="002D69CC">
        <w:rPr>
          <w:rFonts w:eastAsia="Times New Roman" w:cs="Times New Roman"/>
          <w:bCs/>
        </w:rPr>
        <w:t xml:space="preserve">Het is mogelijk dat de uitgaven aan deze nieuwe </w:t>
      </w:r>
      <w:r w:rsidRPr="00371401" w:rsidR="00701006">
        <w:rPr>
          <w:rFonts w:eastAsia="Times New Roman" w:cs="Times New Roman"/>
          <w:bCs/>
        </w:rPr>
        <w:t>genees</w:t>
      </w:r>
      <w:r w:rsidRPr="00371401" w:rsidR="002D69CC">
        <w:rPr>
          <w:rFonts w:eastAsia="Times New Roman" w:cs="Times New Roman"/>
          <w:bCs/>
        </w:rPr>
        <w:t>middelen in de volgende jaren nog zullen toenemen.</w:t>
      </w:r>
    </w:p>
    <w:p w:rsidRPr="00371401" w:rsidR="00EA4BE8" w:rsidP="00371401" w:rsidRDefault="00EA4BE8" w14:paraId="55E573CB" w14:textId="77777777">
      <w:pPr>
        <w:suppressAutoHyphens/>
        <w:rPr>
          <w:rFonts w:eastAsia="Times New Roman" w:cs="Times New Roman"/>
          <w:bCs/>
        </w:rPr>
      </w:pPr>
    </w:p>
    <w:p w:rsidRPr="00371401" w:rsidR="00E10234" w:rsidP="00371401" w:rsidRDefault="009473EB" w14:paraId="6EB7E55B" w14:textId="480CE030">
      <w:pPr>
        <w:suppressAutoHyphens/>
        <w:rPr>
          <w:rFonts w:eastAsia="Times New Roman" w:cs="Times New Roman"/>
          <w:bCs/>
        </w:rPr>
      </w:pPr>
      <w:r w:rsidRPr="00371401">
        <w:rPr>
          <w:rFonts w:eastAsia="Times New Roman" w:cs="Times New Roman"/>
          <w:bCs/>
        </w:rPr>
        <w:t xml:space="preserve">De toename van de gerealiseerde uitgaven aan extramurale geneesmiddelen in 2024 wordt voornamelijk gedreven door een groei van </w:t>
      </w:r>
      <w:r w:rsidRPr="00371401" w:rsidR="00701006">
        <w:rPr>
          <w:rFonts w:eastAsia="Times New Roman" w:cs="Times New Roman"/>
          <w:bCs/>
        </w:rPr>
        <w:t>genees</w:t>
      </w:r>
      <w:r w:rsidRPr="00371401">
        <w:rPr>
          <w:rFonts w:eastAsia="Times New Roman" w:cs="Times New Roman"/>
          <w:bCs/>
        </w:rPr>
        <w:t xml:space="preserve">middelen waarvoor al een financieel arrangement was afgesloten. De sterkste groei is toe te schrijven aan </w:t>
      </w:r>
      <w:proofErr w:type="spellStart"/>
      <w:r w:rsidRPr="00371401">
        <w:rPr>
          <w:rFonts w:eastAsia="Times New Roman" w:cs="Times New Roman"/>
          <w:bCs/>
        </w:rPr>
        <w:t>Xarelto</w:t>
      </w:r>
      <w:proofErr w:type="spellEnd"/>
      <w:r w:rsidRPr="00371401">
        <w:rPr>
          <w:rFonts w:eastAsia="Times New Roman" w:cs="Times New Roman"/>
          <w:bCs/>
        </w:rPr>
        <w:t xml:space="preserve">, </w:t>
      </w:r>
      <w:proofErr w:type="spellStart"/>
      <w:r w:rsidRPr="00371401">
        <w:rPr>
          <w:rFonts w:eastAsia="Times New Roman" w:cs="Times New Roman"/>
          <w:bCs/>
        </w:rPr>
        <w:t>Eliquis</w:t>
      </w:r>
      <w:proofErr w:type="spellEnd"/>
      <w:r w:rsidRPr="00371401">
        <w:rPr>
          <w:rFonts w:eastAsia="Times New Roman" w:cs="Times New Roman"/>
          <w:bCs/>
        </w:rPr>
        <w:t xml:space="preserve"> en </w:t>
      </w:r>
      <w:proofErr w:type="spellStart"/>
      <w:r w:rsidRPr="00371401">
        <w:rPr>
          <w:rFonts w:eastAsia="Times New Roman" w:cs="Times New Roman"/>
          <w:bCs/>
        </w:rPr>
        <w:t>Lixiana</w:t>
      </w:r>
      <w:proofErr w:type="spellEnd"/>
      <w:r w:rsidRPr="00371401">
        <w:rPr>
          <w:rFonts w:eastAsia="Times New Roman" w:cs="Times New Roman"/>
          <w:bCs/>
        </w:rPr>
        <w:t xml:space="preserve">. </w:t>
      </w:r>
      <w:r w:rsidRPr="00371401" w:rsidR="00597F51">
        <w:rPr>
          <w:rFonts w:eastAsia="Times New Roman" w:cs="Times New Roman"/>
          <w:bCs/>
        </w:rPr>
        <w:t xml:space="preserve">Dit zijn drie </w:t>
      </w:r>
      <w:proofErr w:type="spellStart"/>
      <w:r w:rsidRPr="00371401" w:rsidR="00597F51">
        <w:rPr>
          <w:rFonts w:eastAsia="Times New Roman" w:cs="Times New Roman"/>
          <w:bCs/>
        </w:rPr>
        <w:t>DOAC</w:t>
      </w:r>
      <w:r w:rsidRPr="00371401" w:rsidR="00A928FD">
        <w:rPr>
          <w:rFonts w:eastAsia="Times New Roman" w:cs="Times New Roman"/>
          <w:bCs/>
        </w:rPr>
        <w:t>’</w:t>
      </w:r>
      <w:r w:rsidRPr="00371401" w:rsidR="00597F51">
        <w:rPr>
          <w:rFonts w:eastAsia="Times New Roman" w:cs="Times New Roman"/>
          <w:bCs/>
        </w:rPr>
        <w:t>s</w:t>
      </w:r>
      <w:proofErr w:type="spellEnd"/>
      <w:r w:rsidRPr="00371401" w:rsidR="00597F51">
        <w:rPr>
          <w:rFonts w:eastAsia="Times New Roman" w:cs="Times New Roman"/>
          <w:bCs/>
        </w:rPr>
        <w:t xml:space="preserve"> die</w:t>
      </w:r>
      <w:r w:rsidRPr="00371401" w:rsidR="00A928FD">
        <w:rPr>
          <w:rFonts w:eastAsia="Times New Roman" w:cs="Times New Roman"/>
          <w:bCs/>
        </w:rPr>
        <w:t xml:space="preserve"> binnen het GVS</w:t>
      </w:r>
      <w:r w:rsidRPr="00371401" w:rsidR="00597F51">
        <w:rPr>
          <w:rFonts w:eastAsia="Times New Roman" w:cs="Times New Roman"/>
          <w:bCs/>
        </w:rPr>
        <w:t xml:space="preserve"> onderling </w:t>
      </w:r>
      <w:r w:rsidRPr="00371401" w:rsidR="005E6663">
        <w:rPr>
          <w:rFonts w:eastAsia="Times New Roman" w:cs="Times New Roman"/>
          <w:bCs/>
        </w:rPr>
        <w:t>vervangbaar</w:t>
      </w:r>
      <w:r w:rsidRPr="00371401" w:rsidR="00597F51">
        <w:rPr>
          <w:rFonts w:eastAsia="Times New Roman" w:cs="Times New Roman"/>
          <w:bCs/>
        </w:rPr>
        <w:t xml:space="preserve"> zijn met</w:t>
      </w:r>
      <w:r w:rsidRPr="00371401" w:rsidR="001D144E">
        <w:rPr>
          <w:rFonts w:eastAsia="Times New Roman" w:cs="Times New Roman"/>
          <w:bCs/>
        </w:rPr>
        <w:t xml:space="preserve"> </w:t>
      </w:r>
      <w:proofErr w:type="spellStart"/>
      <w:r w:rsidRPr="00371401" w:rsidR="001D144E">
        <w:rPr>
          <w:rFonts w:eastAsia="Times New Roman" w:cs="Times New Roman"/>
          <w:bCs/>
        </w:rPr>
        <w:t>Pradaxa</w:t>
      </w:r>
      <w:proofErr w:type="spellEnd"/>
      <w:r w:rsidRPr="00371401" w:rsidR="001D144E">
        <w:rPr>
          <w:rFonts w:eastAsia="Times New Roman" w:cs="Times New Roman"/>
          <w:bCs/>
        </w:rPr>
        <w:t xml:space="preserve">. </w:t>
      </w:r>
      <w:r w:rsidRPr="00371401">
        <w:rPr>
          <w:rFonts w:eastAsia="Times New Roman" w:cs="Times New Roman"/>
          <w:bCs/>
        </w:rPr>
        <w:t xml:space="preserve">De uitgaven aan deze </w:t>
      </w:r>
      <w:r w:rsidRPr="00371401" w:rsidR="00701006">
        <w:rPr>
          <w:rFonts w:eastAsia="Times New Roman" w:cs="Times New Roman"/>
          <w:bCs/>
        </w:rPr>
        <w:t>genees</w:t>
      </w:r>
      <w:r w:rsidRPr="00371401">
        <w:rPr>
          <w:rFonts w:eastAsia="Times New Roman" w:cs="Times New Roman"/>
          <w:bCs/>
        </w:rPr>
        <w:t xml:space="preserve">middelen waren in 2024 € 127,3 mln. hoger dan in het voorgaande jaar, waarvan € 114,4 mln. specifiek aan </w:t>
      </w:r>
      <w:proofErr w:type="spellStart"/>
      <w:r w:rsidRPr="00371401">
        <w:rPr>
          <w:rFonts w:eastAsia="Times New Roman" w:cs="Times New Roman"/>
          <w:bCs/>
        </w:rPr>
        <w:t>Eliquis</w:t>
      </w:r>
      <w:proofErr w:type="spellEnd"/>
      <w:r w:rsidRPr="00371401" w:rsidR="009C36C5">
        <w:rPr>
          <w:rFonts w:eastAsia="Times New Roman" w:cs="Times New Roman"/>
          <w:bCs/>
        </w:rPr>
        <w:t xml:space="preserve"> is toe te schrijven</w:t>
      </w:r>
      <w:r w:rsidRPr="00371401">
        <w:rPr>
          <w:rFonts w:eastAsia="Times New Roman" w:cs="Times New Roman"/>
          <w:bCs/>
        </w:rPr>
        <w:t xml:space="preserve">. Daarnaast namen de uitgaven aan </w:t>
      </w:r>
      <w:r w:rsidRPr="00371401" w:rsidR="00E10234">
        <w:rPr>
          <w:rFonts w:eastAsia="Times New Roman" w:cs="Times New Roman"/>
          <w:bCs/>
        </w:rPr>
        <w:t>twee</w:t>
      </w:r>
      <w:r w:rsidRPr="00371401">
        <w:rPr>
          <w:rFonts w:eastAsia="Times New Roman" w:cs="Times New Roman"/>
          <w:bCs/>
        </w:rPr>
        <w:t xml:space="preserve"> weesgeneesmiddelen </w:t>
      </w:r>
      <w:proofErr w:type="spellStart"/>
      <w:r w:rsidRPr="00371401">
        <w:rPr>
          <w:rFonts w:eastAsia="Times New Roman" w:cs="Times New Roman"/>
          <w:bCs/>
        </w:rPr>
        <w:t>Vyndaqel</w:t>
      </w:r>
      <w:proofErr w:type="spellEnd"/>
      <w:r w:rsidRPr="00371401">
        <w:rPr>
          <w:rFonts w:eastAsia="Times New Roman" w:cs="Times New Roman"/>
          <w:bCs/>
        </w:rPr>
        <w:t xml:space="preserve"> en </w:t>
      </w:r>
      <w:proofErr w:type="spellStart"/>
      <w:r w:rsidRPr="00371401">
        <w:rPr>
          <w:rFonts w:eastAsia="Times New Roman" w:cs="Times New Roman"/>
          <w:bCs/>
        </w:rPr>
        <w:t>Evrysdi</w:t>
      </w:r>
      <w:proofErr w:type="spellEnd"/>
      <w:r w:rsidRPr="00371401">
        <w:rPr>
          <w:rFonts w:eastAsia="Times New Roman" w:cs="Times New Roman"/>
          <w:bCs/>
        </w:rPr>
        <w:t xml:space="preserve"> gezamenlijk met € 32,9 mln. toe. </w:t>
      </w:r>
      <w:r w:rsidRPr="00371401" w:rsidR="00F02769">
        <w:rPr>
          <w:rFonts w:eastAsia="Times New Roman" w:cs="Times New Roman"/>
          <w:bCs/>
        </w:rPr>
        <w:t>D</w:t>
      </w:r>
      <w:r w:rsidRPr="00371401" w:rsidR="009C36C5">
        <w:rPr>
          <w:rFonts w:eastAsia="Times New Roman" w:cs="Times New Roman"/>
          <w:bCs/>
        </w:rPr>
        <w:t>e d</w:t>
      </w:r>
      <w:r w:rsidRPr="00371401" w:rsidR="00F02769">
        <w:rPr>
          <w:rFonts w:eastAsia="Times New Roman" w:cs="Times New Roman"/>
          <w:bCs/>
        </w:rPr>
        <w:t>rie</w:t>
      </w:r>
      <w:r w:rsidRPr="00371401">
        <w:rPr>
          <w:rFonts w:eastAsia="Times New Roman" w:cs="Times New Roman"/>
          <w:bCs/>
        </w:rPr>
        <w:t xml:space="preserve"> PCSK9-remmers</w:t>
      </w:r>
      <w:r w:rsidRPr="00371401" w:rsidR="001D144E">
        <w:rPr>
          <w:rFonts w:eastAsia="Times New Roman" w:cs="Times New Roman"/>
          <w:bCs/>
        </w:rPr>
        <w:t xml:space="preserve">, </w:t>
      </w:r>
      <w:proofErr w:type="spellStart"/>
      <w:r w:rsidRPr="00371401" w:rsidR="001D144E">
        <w:rPr>
          <w:rFonts w:eastAsia="Times New Roman" w:cs="Times New Roman"/>
          <w:bCs/>
        </w:rPr>
        <w:t>Repatha</w:t>
      </w:r>
      <w:proofErr w:type="spellEnd"/>
      <w:r w:rsidRPr="00371401" w:rsidR="001D144E">
        <w:rPr>
          <w:rFonts w:eastAsia="Times New Roman" w:cs="Times New Roman"/>
          <w:bCs/>
        </w:rPr>
        <w:t xml:space="preserve">, </w:t>
      </w:r>
      <w:proofErr w:type="spellStart"/>
      <w:r w:rsidRPr="00371401" w:rsidR="001D144E">
        <w:rPr>
          <w:rFonts w:eastAsia="Times New Roman" w:cs="Times New Roman"/>
          <w:bCs/>
        </w:rPr>
        <w:t>Praluent</w:t>
      </w:r>
      <w:proofErr w:type="spellEnd"/>
      <w:r w:rsidRPr="00371401" w:rsidR="001D144E">
        <w:rPr>
          <w:rFonts w:eastAsia="Times New Roman" w:cs="Times New Roman"/>
          <w:bCs/>
        </w:rPr>
        <w:t xml:space="preserve"> en </w:t>
      </w:r>
      <w:proofErr w:type="spellStart"/>
      <w:r w:rsidRPr="00371401" w:rsidR="001D144E">
        <w:rPr>
          <w:rFonts w:eastAsia="Times New Roman" w:cs="Times New Roman"/>
          <w:bCs/>
        </w:rPr>
        <w:t>Leqvio</w:t>
      </w:r>
      <w:proofErr w:type="spellEnd"/>
      <w:r w:rsidRPr="00371401" w:rsidR="001D144E">
        <w:rPr>
          <w:rFonts w:eastAsia="Times New Roman" w:cs="Times New Roman"/>
          <w:bCs/>
        </w:rPr>
        <w:t>,</w:t>
      </w:r>
      <w:r w:rsidRPr="00371401">
        <w:rPr>
          <w:rFonts w:eastAsia="Times New Roman" w:cs="Times New Roman"/>
          <w:bCs/>
        </w:rPr>
        <w:t xml:space="preserve"> droegen </w:t>
      </w:r>
      <w:r w:rsidRPr="00371401" w:rsidR="00E10234">
        <w:rPr>
          <w:rFonts w:eastAsia="Times New Roman" w:cs="Times New Roman"/>
          <w:bCs/>
        </w:rPr>
        <w:t xml:space="preserve">nog eens </w:t>
      </w:r>
      <w:r w:rsidRPr="00371401">
        <w:rPr>
          <w:rFonts w:eastAsia="Times New Roman" w:cs="Times New Roman"/>
          <w:bCs/>
        </w:rPr>
        <w:t xml:space="preserve">€ 14,6 mln. bij aan de groei. Verder stegen de uitgaven aan </w:t>
      </w:r>
      <w:r w:rsidRPr="00371401" w:rsidR="00F02769">
        <w:rPr>
          <w:rFonts w:eastAsia="Times New Roman" w:cs="Times New Roman"/>
          <w:bCs/>
        </w:rPr>
        <w:t>zes</w:t>
      </w:r>
      <w:r w:rsidRPr="00371401">
        <w:rPr>
          <w:rFonts w:eastAsia="Times New Roman" w:cs="Times New Roman"/>
          <w:bCs/>
        </w:rPr>
        <w:t xml:space="preserve"> andere extramurale geneesmiddelen in totaal </w:t>
      </w:r>
      <w:r w:rsidRPr="00371401" w:rsidR="003B347B">
        <w:rPr>
          <w:rFonts w:eastAsia="Times New Roman" w:cs="Times New Roman"/>
          <w:bCs/>
        </w:rPr>
        <w:br/>
      </w:r>
      <w:r w:rsidRPr="00371401">
        <w:rPr>
          <w:rFonts w:eastAsia="Times New Roman" w:cs="Times New Roman"/>
          <w:bCs/>
        </w:rPr>
        <w:t>€ 5,6 mln.</w:t>
      </w:r>
    </w:p>
    <w:p w:rsidRPr="00371401" w:rsidR="001D6A91" w:rsidP="00371401" w:rsidRDefault="001D6A91" w14:paraId="61B2E462" w14:textId="77777777">
      <w:pPr>
        <w:suppressAutoHyphens/>
        <w:rPr>
          <w:rFonts w:eastAsia="Times New Roman" w:cs="Times New Roman"/>
          <w:bCs/>
        </w:rPr>
      </w:pPr>
    </w:p>
    <w:p w:rsidRPr="00371401" w:rsidR="00EA4BE8" w:rsidP="00371401" w:rsidRDefault="00035246" w14:paraId="5BE04A9C" w14:textId="62FC071D">
      <w:pPr>
        <w:suppressAutoHyphens/>
        <w:rPr>
          <w:rFonts w:eastAsia="Times New Roman" w:cs="Times New Roman"/>
          <w:b/>
          <w:bCs/>
        </w:rPr>
      </w:pPr>
      <w:r w:rsidRPr="00371401">
        <w:rPr>
          <w:rFonts w:eastAsia="Times New Roman" w:cs="Times New Roman"/>
          <w:b/>
          <w:bCs/>
        </w:rPr>
        <w:t>3. Uitgavenverlagingen door de financiële arrangementen</w:t>
      </w:r>
    </w:p>
    <w:p w:rsidRPr="00371401" w:rsidR="00791F62" w:rsidP="00371401" w:rsidRDefault="003C7D60" w14:paraId="00DE717A" w14:textId="770967A9">
      <w:pPr>
        <w:suppressAutoHyphens/>
        <w:rPr>
          <w:rFonts w:eastAsia="Times New Roman" w:cs="Times New Roman"/>
        </w:rPr>
      </w:pPr>
      <w:r w:rsidRPr="00371401">
        <w:rPr>
          <w:rFonts w:eastAsia="Times New Roman" w:cs="Times New Roman"/>
        </w:rPr>
        <w:t xml:space="preserve">In </w:t>
      </w:r>
      <w:r w:rsidRPr="00371401" w:rsidR="00946FEA">
        <w:rPr>
          <w:rFonts w:eastAsia="Times New Roman" w:cs="Times New Roman"/>
        </w:rPr>
        <w:t>deze voortgangsbrief</w:t>
      </w:r>
      <w:r w:rsidRPr="00371401">
        <w:rPr>
          <w:rFonts w:eastAsia="Times New Roman" w:cs="Times New Roman"/>
        </w:rPr>
        <w:t xml:space="preserve"> wordt </w:t>
      </w:r>
      <w:r w:rsidRPr="00371401" w:rsidR="00D672D9">
        <w:rPr>
          <w:rFonts w:eastAsia="Times New Roman" w:cs="Times New Roman"/>
        </w:rPr>
        <w:t>de Kamer</w:t>
      </w:r>
      <w:r w:rsidRPr="00371401">
        <w:rPr>
          <w:rFonts w:eastAsia="Times New Roman" w:cs="Times New Roman"/>
        </w:rPr>
        <w:t xml:space="preserve"> geïnformeerd over de verlaging van de eerder gepresenteerde uitgaven als gevolg van financiële arrangementen. De bruto- en netto-uitgaven, evenals de openbare en vertrouwelijke uitgavenverlaging, worden op twee manieren gepresenteerd. Eerst wordt een </w:t>
      </w:r>
      <w:r w:rsidRPr="00371401">
        <w:rPr>
          <w:rFonts w:eastAsia="Times New Roman" w:cs="Times New Roman"/>
        </w:rPr>
        <w:lastRenderedPageBreak/>
        <w:t>algemeen beeld geschetst van de totale uitgavenverlaging in de periode 2021 tot en met 202</w:t>
      </w:r>
      <w:r w:rsidRPr="00371401" w:rsidR="007F3A67">
        <w:rPr>
          <w:rFonts w:eastAsia="Times New Roman" w:cs="Times New Roman"/>
        </w:rPr>
        <w:t>4</w:t>
      </w:r>
      <w:r w:rsidRPr="00371401">
        <w:rPr>
          <w:rFonts w:eastAsia="Times New Roman" w:cs="Times New Roman"/>
        </w:rPr>
        <w:t>. Vervolgens worden deze gegevens nader uitgesplitst naar intramurale en extramurale geneesmiddelen voor de jaren 2023 en 2024.</w:t>
      </w:r>
    </w:p>
    <w:p w:rsidRPr="00371401" w:rsidR="00E75D68" w:rsidP="00371401" w:rsidRDefault="00E75D68" w14:paraId="590FD29E" w14:textId="61CC0037">
      <w:pPr>
        <w:suppressAutoHyphens/>
        <w:rPr>
          <w:rFonts w:eastAsia="Times New Roman" w:cs="Times New Roman"/>
        </w:rPr>
      </w:pPr>
    </w:p>
    <w:p w:rsidRPr="00371401" w:rsidR="00E45F51" w:rsidP="00371401" w:rsidRDefault="00F073BD" w14:paraId="24ED25AD" w14:textId="4284E289">
      <w:pPr>
        <w:suppressAutoHyphens/>
        <w:rPr>
          <w:b/>
          <w:bCs/>
        </w:rPr>
      </w:pPr>
      <w:r w:rsidRPr="00371401">
        <w:rPr>
          <w:b/>
          <w:bCs/>
        </w:rPr>
        <w:t>3</w:t>
      </w:r>
      <w:r w:rsidRPr="00371401" w:rsidR="00E45F51">
        <w:rPr>
          <w:b/>
          <w:bCs/>
        </w:rPr>
        <w:t>.1 Totale uitgavenverlaging trend</w:t>
      </w:r>
    </w:p>
    <w:p w:rsidRPr="00371401" w:rsidR="0004102B" w:rsidP="00371401" w:rsidRDefault="0036059F" w14:paraId="76FB774B" w14:textId="5FE13B03">
      <w:pPr>
        <w:suppressAutoHyphens/>
        <w:rPr>
          <w:rFonts w:eastAsia="Times New Roman" w:cs="Times New Roman"/>
        </w:rPr>
      </w:pPr>
      <w:r w:rsidRPr="00371401">
        <w:rPr>
          <w:rFonts w:eastAsia="Times New Roman" w:cs="Times New Roman"/>
        </w:rPr>
        <w:t xml:space="preserve">In figuur </w:t>
      </w:r>
      <w:r w:rsidRPr="00371401" w:rsidR="00490E0B">
        <w:rPr>
          <w:rFonts w:eastAsia="Times New Roman" w:cs="Times New Roman"/>
        </w:rPr>
        <w:t>3</w:t>
      </w:r>
      <w:r w:rsidRPr="00371401">
        <w:rPr>
          <w:rFonts w:eastAsia="Times New Roman" w:cs="Times New Roman"/>
        </w:rPr>
        <w:t xml:space="preserve"> zijn bruto en netto uitgaven, evenals de openbare en vertrouwelijke uitgavenverlaging, uiteengezet.</w:t>
      </w:r>
      <w:r w:rsidRPr="00371401" w:rsidR="009F46D9">
        <w:rPr>
          <w:rFonts w:eastAsia="Times New Roman" w:cs="Times New Roman"/>
        </w:rPr>
        <w:t xml:space="preserve"> </w:t>
      </w:r>
    </w:p>
    <w:p w:rsidRPr="00371401" w:rsidR="00530CF8" w:rsidP="00371401" w:rsidRDefault="0073457A" w14:paraId="0474F591" w14:textId="14F6F41D">
      <w:pPr>
        <w:suppressAutoHyphens/>
        <w:rPr>
          <w:rFonts w:eastAsia="Times New Roman" w:cs="Times New Roman"/>
          <w:b/>
        </w:rPr>
      </w:pPr>
      <w:r w:rsidRPr="00371401">
        <w:rPr>
          <w:rFonts w:eastAsia="Times New Roman" w:cs="Times New Roman"/>
          <w:b/>
          <w:noProof/>
        </w:rPr>
        <w:drawing>
          <wp:anchor distT="0" distB="0" distL="114300" distR="114300" simplePos="0" relativeHeight="251670528" behindDoc="0" locked="0" layoutInCell="1" allowOverlap="1" wp14:editId="53D5EE9B" wp14:anchorId="37F3BB33">
            <wp:simplePos x="0" y="0"/>
            <wp:positionH relativeFrom="column">
              <wp:posOffset>9896</wp:posOffset>
            </wp:positionH>
            <wp:positionV relativeFrom="paragraph">
              <wp:posOffset>184030</wp:posOffset>
            </wp:positionV>
            <wp:extent cx="4599296" cy="2944013"/>
            <wp:effectExtent l="0" t="0" r="0" b="8890"/>
            <wp:wrapTopAndBottom/>
            <wp:docPr id="91423410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34108" name="Afbeelding 91423410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99296" cy="2944013"/>
                    </a:xfrm>
                    <a:prstGeom prst="rect">
                      <a:avLst/>
                    </a:prstGeom>
                  </pic:spPr>
                </pic:pic>
              </a:graphicData>
            </a:graphic>
          </wp:anchor>
        </w:drawing>
      </w:r>
      <w:r w:rsidRPr="00371401">
        <w:rPr>
          <w:rFonts w:eastAsia="Times New Roman" w:cs="Times New Roman"/>
          <w:b/>
        </w:rPr>
        <w:t>Figuur 3</w:t>
      </w:r>
      <w:r w:rsidRPr="00371401" w:rsidR="00FF66B5">
        <w:rPr>
          <w:rFonts w:eastAsia="Times New Roman" w:cs="Times New Roman"/>
          <w:b/>
        </w:rPr>
        <w:t>. Uitgavenverlagingen 2021–2024 (in miljoenen €)</w:t>
      </w:r>
    </w:p>
    <w:p w:rsidRPr="00371401" w:rsidR="00FF66B5" w:rsidP="00371401" w:rsidRDefault="00FF66B5" w14:paraId="408EF785" w14:textId="195FEA19">
      <w:pPr>
        <w:suppressAutoHyphens/>
        <w:rPr>
          <w:rFonts w:eastAsia="Times New Roman" w:cs="Times New Roman"/>
          <w:i/>
        </w:rPr>
      </w:pPr>
      <w:r w:rsidRPr="00371401">
        <w:rPr>
          <w:rFonts w:eastAsia="Times New Roman" w:cs="Times New Roman"/>
          <w:i/>
        </w:rPr>
        <w:t>^) Er hebben correcties plaatsgevonden voor deze jaren ten opzichte van de vorige voortgangsbrief.</w:t>
      </w:r>
    </w:p>
    <w:p w:rsidRPr="00371401" w:rsidR="00FF66B5" w:rsidP="00371401" w:rsidRDefault="00FF66B5" w14:paraId="47BA888D" w14:textId="0C76365C">
      <w:pPr>
        <w:suppressAutoHyphens/>
        <w:rPr>
          <w:rFonts w:eastAsia="Times New Roman" w:cs="Times New Roman"/>
          <w:i/>
        </w:rPr>
      </w:pPr>
      <w:r w:rsidRPr="00371401">
        <w:rPr>
          <w:rFonts w:eastAsia="Times New Roman" w:cs="Times New Roman"/>
          <w:i/>
        </w:rPr>
        <w:t>*) De bedragen voor 2024 zijn gebaseerd op voorlopige gegevens.</w:t>
      </w:r>
    </w:p>
    <w:p w:rsidRPr="00371401" w:rsidR="00FF66B5" w:rsidP="00371401" w:rsidRDefault="00FF66B5" w14:paraId="5A155DE4" w14:textId="52E91B24">
      <w:pPr>
        <w:suppressAutoHyphens/>
        <w:rPr>
          <w:rFonts w:eastAsia="Times New Roman" w:cs="Times New Roman"/>
          <w:i/>
          <w:iCs/>
        </w:rPr>
      </w:pPr>
      <w:r w:rsidRPr="00371401">
        <w:rPr>
          <w:rFonts w:eastAsia="Times New Roman" w:cs="Times New Roman"/>
          <w:vertAlign w:val="superscript"/>
        </w:rPr>
        <w:t>#</w:t>
      </w:r>
      <w:r w:rsidRPr="00371401">
        <w:rPr>
          <w:rFonts w:eastAsia="Times New Roman" w:cs="Times New Roman"/>
        </w:rPr>
        <w:t xml:space="preserve">) </w:t>
      </w:r>
      <w:r w:rsidRPr="00371401">
        <w:rPr>
          <w:rFonts w:eastAsia="Times New Roman" w:cs="Times New Roman"/>
          <w:i/>
          <w:iCs/>
        </w:rPr>
        <w:t>De bedragen zijn inclusief btw.</w:t>
      </w:r>
    </w:p>
    <w:p w:rsidRPr="00371401" w:rsidR="00FF66B5" w:rsidP="00371401" w:rsidRDefault="00FF66B5" w14:paraId="00BFD769" w14:textId="57B8AB26">
      <w:pPr>
        <w:suppressAutoHyphens/>
        <w:rPr>
          <w:rFonts w:eastAsia="Times New Roman" w:cs="Times New Roman"/>
          <w:i/>
        </w:rPr>
      </w:pPr>
      <w:r w:rsidRPr="00371401">
        <w:rPr>
          <w:rFonts w:eastAsia="Times New Roman" w:cs="Times New Roman"/>
          <w:i/>
        </w:rPr>
        <w:t>Noot. Door afronding kunnen er kleine verschillen in de optelling ontstaan.</w:t>
      </w:r>
    </w:p>
    <w:p w:rsidRPr="00371401" w:rsidR="007156B5" w:rsidP="00371401" w:rsidRDefault="007156B5" w14:paraId="4B7B737D" w14:textId="64B5AA0A">
      <w:pPr>
        <w:suppressAutoHyphens/>
        <w:spacing w:line="240" w:lineRule="auto"/>
        <w:rPr>
          <w:rFonts w:eastAsia="Times New Roman" w:cs="Times New Roman"/>
          <w:b/>
        </w:rPr>
      </w:pPr>
    </w:p>
    <w:p w:rsidRPr="00371401" w:rsidR="00FE6227" w:rsidP="00371401" w:rsidRDefault="00F073BD" w14:paraId="539DC657" w14:textId="186B8FA9">
      <w:pPr>
        <w:suppressAutoHyphens/>
        <w:rPr>
          <w:b/>
          <w:bCs/>
        </w:rPr>
      </w:pPr>
      <w:r w:rsidRPr="00371401">
        <w:rPr>
          <w:b/>
          <w:bCs/>
        </w:rPr>
        <w:t>3</w:t>
      </w:r>
      <w:r w:rsidRPr="00371401" w:rsidR="00FE6227">
        <w:rPr>
          <w:b/>
          <w:bCs/>
        </w:rPr>
        <w:t xml:space="preserve">.2 Uitgavenverlaging </w:t>
      </w:r>
      <w:r w:rsidRPr="00371401" w:rsidR="007F3A67">
        <w:rPr>
          <w:b/>
          <w:bCs/>
        </w:rPr>
        <w:t xml:space="preserve">gesplitst naar </w:t>
      </w:r>
      <w:r w:rsidRPr="00371401" w:rsidR="00FE6227">
        <w:rPr>
          <w:b/>
          <w:bCs/>
        </w:rPr>
        <w:t>intra- en extramuraal</w:t>
      </w:r>
    </w:p>
    <w:p w:rsidRPr="00371401" w:rsidR="002869F3" w:rsidP="00371401" w:rsidRDefault="00332459" w14:paraId="3BB94C1E" w14:textId="77777777">
      <w:pPr>
        <w:suppressAutoHyphens/>
        <w:rPr>
          <w:rFonts w:eastAsia="Times New Roman" w:cs="Times New Roman"/>
        </w:rPr>
      </w:pPr>
      <w:r w:rsidRPr="00371401">
        <w:rPr>
          <w:rFonts w:eastAsia="Times New Roman" w:cs="Times New Roman"/>
        </w:rPr>
        <w:t xml:space="preserve">In tabel </w:t>
      </w:r>
      <w:r w:rsidRPr="00371401" w:rsidR="0099409B">
        <w:rPr>
          <w:rFonts w:eastAsia="Times New Roman" w:cs="Times New Roman"/>
        </w:rPr>
        <w:t>1</w:t>
      </w:r>
      <w:r w:rsidRPr="00371401">
        <w:rPr>
          <w:rFonts w:eastAsia="Times New Roman" w:cs="Times New Roman"/>
        </w:rPr>
        <w:t xml:space="preserve"> zijn de </w:t>
      </w:r>
      <w:r w:rsidRPr="00371401" w:rsidR="0036059F">
        <w:rPr>
          <w:rFonts w:eastAsia="Times New Roman" w:cs="Times New Roman"/>
        </w:rPr>
        <w:t xml:space="preserve">totale </w:t>
      </w:r>
      <w:r w:rsidRPr="00371401">
        <w:rPr>
          <w:rFonts w:eastAsia="Times New Roman" w:cs="Times New Roman"/>
        </w:rPr>
        <w:t xml:space="preserve">resultaten uit figuur </w:t>
      </w:r>
      <w:r w:rsidRPr="00371401" w:rsidR="00490E0B">
        <w:rPr>
          <w:rFonts w:eastAsia="Times New Roman" w:cs="Times New Roman"/>
        </w:rPr>
        <w:t>3</w:t>
      </w:r>
      <w:r w:rsidRPr="00371401">
        <w:rPr>
          <w:rFonts w:eastAsia="Times New Roman" w:cs="Times New Roman"/>
        </w:rPr>
        <w:t xml:space="preserve"> voor de jaren 2023 en 2024 uitgesplitst naar intramurale en extramurale geneesmiddelen. Hierin is</w:t>
      </w:r>
      <w:r w:rsidRPr="00371401" w:rsidR="00390D52">
        <w:rPr>
          <w:rFonts w:eastAsia="Times New Roman" w:cs="Times New Roman"/>
        </w:rPr>
        <w:t xml:space="preserve"> </w:t>
      </w:r>
      <w:r w:rsidRPr="00371401">
        <w:rPr>
          <w:rFonts w:eastAsia="Times New Roman" w:cs="Times New Roman"/>
        </w:rPr>
        <w:t>te zien dat</w:t>
      </w:r>
      <w:r w:rsidRPr="00371401" w:rsidR="00FB524B">
        <w:rPr>
          <w:rFonts w:eastAsia="Times New Roman" w:cs="Times New Roman"/>
        </w:rPr>
        <w:t xml:space="preserve"> </w:t>
      </w:r>
      <w:r w:rsidRPr="00371401">
        <w:rPr>
          <w:rFonts w:eastAsia="Times New Roman" w:cs="Times New Roman"/>
        </w:rPr>
        <w:t xml:space="preserve">de uitgaven aan </w:t>
      </w:r>
      <w:r w:rsidRPr="00371401" w:rsidR="00702DFA">
        <w:rPr>
          <w:rFonts w:eastAsia="Times New Roman" w:cs="Times New Roman"/>
        </w:rPr>
        <w:t xml:space="preserve">geneesmiddelen met een financieel arrangement zich verschillend ontwikkelen voor </w:t>
      </w:r>
      <w:r w:rsidRPr="00371401">
        <w:rPr>
          <w:rFonts w:eastAsia="Times New Roman" w:cs="Times New Roman"/>
        </w:rPr>
        <w:t xml:space="preserve">intramurale </w:t>
      </w:r>
      <w:r w:rsidRPr="00371401" w:rsidR="00702DFA">
        <w:rPr>
          <w:rFonts w:eastAsia="Times New Roman" w:cs="Times New Roman"/>
        </w:rPr>
        <w:t>en extramurale geneesmiddelen</w:t>
      </w:r>
      <w:r w:rsidRPr="00371401" w:rsidR="00390D52">
        <w:rPr>
          <w:rFonts w:eastAsia="Times New Roman" w:cs="Times New Roman"/>
        </w:rPr>
        <w:t xml:space="preserve">. </w:t>
      </w:r>
      <w:r w:rsidRPr="00371401" w:rsidR="003B1230">
        <w:rPr>
          <w:rFonts w:eastAsia="Times New Roman" w:cs="Times New Roman"/>
        </w:rPr>
        <w:t>De bruto en netto uitgaven voor intramurale geneesmiddelen met een financieel arrangement namen in 2024 af ten opzichte van 2023</w:t>
      </w:r>
      <w:r w:rsidRPr="00371401" w:rsidR="00312576">
        <w:rPr>
          <w:rFonts w:eastAsia="Times New Roman" w:cs="Times New Roman"/>
        </w:rPr>
        <w:t>.</w:t>
      </w:r>
      <w:r w:rsidRPr="00371401" w:rsidR="003B1230">
        <w:rPr>
          <w:rFonts w:eastAsia="Times New Roman" w:cs="Times New Roman"/>
        </w:rPr>
        <w:t xml:space="preserve"> </w:t>
      </w:r>
      <w:r w:rsidRPr="00371401" w:rsidR="00312576">
        <w:rPr>
          <w:rFonts w:eastAsia="Times New Roman" w:cs="Times New Roman"/>
        </w:rPr>
        <w:t>V</w:t>
      </w:r>
      <w:r w:rsidRPr="00371401" w:rsidR="003B1230">
        <w:rPr>
          <w:rFonts w:eastAsia="Times New Roman" w:cs="Times New Roman"/>
        </w:rPr>
        <w:t xml:space="preserve">oor extramurale geneesmiddelen </w:t>
      </w:r>
      <w:r w:rsidRPr="00371401" w:rsidR="00312576">
        <w:rPr>
          <w:rFonts w:eastAsia="Times New Roman" w:cs="Times New Roman"/>
        </w:rPr>
        <w:t>namen de uitgaven juist</w:t>
      </w:r>
      <w:r w:rsidRPr="00371401" w:rsidR="003B1230">
        <w:rPr>
          <w:rFonts w:eastAsia="Times New Roman" w:cs="Times New Roman"/>
        </w:rPr>
        <w:t xml:space="preserve"> toe. </w:t>
      </w:r>
    </w:p>
    <w:p w:rsidRPr="00371401" w:rsidR="002869F3" w:rsidP="00371401" w:rsidRDefault="002869F3" w14:paraId="5597A2AA" w14:textId="77777777">
      <w:pPr>
        <w:suppressAutoHyphens/>
        <w:rPr>
          <w:rFonts w:eastAsia="Times New Roman" w:cs="Times New Roman"/>
        </w:rPr>
      </w:pPr>
    </w:p>
    <w:p w:rsidRPr="00371401" w:rsidR="00CC5350" w:rsidP="00371401" w:rsidRDefault="00CC5350" w14:paraId="551387D0" w14:textId="6A7CECDC">
      <w:pPr>
        <w:suppressAutoHyphens/>
        <w:rPr>
          <w:rFonts w:eastAsia="Times New Roman" w:cs="Times New Roman"/>
          <w:b/>
        </w:rPr>
      </w:pPr>
      <w:r w:rsidRPr="00371401">
        <w:rPr>
          <w:rFonts w:eastAsia="Times New Roman" w:cs="Times New Roman"/>
          <w:b/>
        </w:rPr>
        <w:t xml:space="preserve">Tabel </w:t>
      </w:r>
      <w:r w:rsidRPr="00371401" w:rsidR="0099409B">
        <w:rPr>
          <w:rFonts w:eastAsia="Times New Roman" w:cs="Times New Roman"/>
          <w:b/>
        </w:rPr>
        <w:t>1</w:t>
      </w:r>
      <w:r w:rsidRPr="00371401" w:rsidR="00330A8D">
        <w:rPr>
          <w:rFonts w:eastAsia="Times New Roman" w:cs="Times New Roman"/>
          <w:b/>
        </w:rPr>
        <w:t xml:space="preserve">. </w:t>
      </w:r>
      <w:r w:rsidRPr="00371401">
        <w:rPr>
          <w:rFonts w:eastAsia="Times New Roman" w:cs="Times New Roman"/>
          <w:b/>
        </w:rPr>
        <w:t xml:space="preserve">Uitgavenverlagingen uitgesplitst naar intra- en extramuraal </w:t>
      </w:r>
    </w:p>
    <w:p w:rsidRPr="00371401" w:rsidR="00CC5350" w:rsidP="00371401" w:rsidRDefault="00CC5350" w14:paraId="694E2A2D" w14:textId="7FDB1760">
      <w:pPr>
        <w:keepLines/>
        <w:suppressAutoHyphens/>
        <w:rPr>
          <w:rFonts w:eastAsia="Times New Roman" w:cs="Times New Roman"/>
          <w:b/>
        </w:rPr>
      </w:pPr>
      <w:r w:rsidRPr="00371401">
        <w:rPr>
          <w:rFonts w:eastAsia="Times New Roman" w:cs="Times New Roman"/>
          <w:b/>
        </w:rPr>
        <w:t>(in miljoenen €)</w:t>
      </w:r>
    </w:p>
    <w:tbl>
      <w:tblPr>
        <w:tblStyle w:val="Gemiddeldearcering1-accent1"/>
        <w:tblW w:w="7225" w:type="dxa"/>
        <w:tblLayout w:type="fixed"/>
        <w:tblCellMar>
          <w:left w:w="57" w:type="dxa"/>
          <w:right w:w="57" w:type="dxa"/>
        </w:tblCellMar>
        <w:tblLook w:val="04A0" w:firstRow="1" w:lastRow="0" w:firstColumn="1" w:lastColumn="0" w:noHBand="0" w:noVBand="1"/>
      </w:tblPr>
      <w:tblGrid>
        <w:gridCol w:w="3397"/>
        <w:gridCol w:w="993"/>
        <w:gridCol w:w="992"/>
        <w:gridCol w:w="850"/>
        <w:gridCol w:w="993"/>
      </w:tblGrid>
      <w:tr w:rsidRPr="00371401" w:rsidR="0002343C" w:rsidTr="0002343C" w14:paraId="522D6A98" w14:textId="77777777">
        <w:trPr>
          <w:cnfStyle w:val="100000000000" w:firstRow="1" w:lastRow="0" w:firstColumn="0" w:lastColumn="0" w:oddVBand="0" w:evenVBand="0" w:oddHBand="0"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3397" w:type="dxa"/>
            <w:tcBorders>
              <w:top w:val="nil"/>
              <w:left w:val="nil"/>
              <w:bottom w:val="single" w:color="auto" w:sz="12" w:space="0"/>
              <w:right w:val="single" w:color="auto" w:sz="12" w:space="0"/>
            </w:tcBorders>
            <w:shd w:val="clear" w:color="auto" w:fill="FFFFFF" w:themeFill="background1"/>
            <w:vAlign w:val="center"/>
          </w:tcPr>
          <w:p w:rsidRPr="00371401" w:rsidR="00CC5350" w:rsidP="00371401" w:rsidRDefault="00CC5350" w14:paraId="76B4E499" w14:textId="77777777">
            <w:pPr>
              <w:keepLines/>
              <w:suppressAutoHyphens/>
              <w:ind w:left="57"/>
              <w:contextualSpacing/>
              <w:rPr>
                <w:rFonts w:eastAsia="Times New Roman" w:cs="Times New Roman"/>
                <w:color w:val="000000" w:themeColor="text1"/>
              </w:rPr>
            </w:pPr>
          </w:p>
        </w:tc>
        <w:tc>
          <w:tcPr>
            <w:tcW w:w="1985" w:type="dxa"/>
            <w:gridSpan w:val="2"/>
            <w:tcBorders>
              <w:top w:val="single" w:color="auto" w:sz="12" w:space="0"/>
              <w:left w:val="single" w:color="auto" w:sz="12" w:space="0"/>
              <w:bottom w:val="single" w:color="auto" w:sz="12" w:space="0"/>
              <w:right w:val="single" w:color="auto" w:sz="12" w:space="0"/>
            </w:tcBorders>
            <w:shd w:val="clear" w:color="auto" w:fill="FFFFFF" w:themeFill="background1"/>
            <w:vAlign w:val="center"/>
            <w:hideMark/>
          </w:tcPr>
          <w:p w:rsidRPr="00371401" w:rsidR="00CC5350" w:rsidP="00371401" w:rsidRDefault="00CC5350" w14:paraId="14B2C323" w14:textId="77777777">
            <w:pPr>
              <w:keepLines/>
              <w:suppressAutoHyphens/>
              <w:ind w:left="34"/>
              <w:contextualSpacing/>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rPr>
            </w:pPr>
            <w:r w:rsidRPr="00371401">
              <w:rPr>
                <w:rFonts w:eastAsia="Times New Roman" w:cs="Times New Roman"/>
                <w:color w:val="000000" w:themeColor="text1"/>
              </w:rPr>
              <w:t>Intramuraal</w:t>
            </w:r>
          </w:p>
        </w:tc>
        <w:tc>
          <w:tcPr>
            <w:tcW w:w="1843" w:type="dxa"/>
            <w:gridSpan w:val="2"/>
            <w:tcBorders>
              <w:top w:val="single" w:color="auto" w:sz="12" w:space="0"/>
              <w:left w:val="single" w:color="auto" w:sz="12" w:space="0"/>
              <w:bottom w:val="single" w:color="auto" w:sz="12" w:space="0"/>
              <w:right w:val="single" w:color="auto" w:sz="12" w:space="0"/>
            </w:tcBorders>
            <w:shd w:val="clear" w:color="auto" w:fill="FFFFFF" w:themeFill="background1"/>
            <w:vAlign w:val="center"/>
            <w:hideMark/>
          </w:tcPr>
          <w:p w:rsidRPr="00371401" w:rsidR="00CC5350" w:rsidP="00371401" w:rsidRDefault="00CC5350" w14:paraId="28F4CB71" w14:textId="77777777">
            <w:pPr>
              <w:keepLines/>
              <w:suppressAutoHyphens/>
              <w:ind w:left="57"/>
              <w:contextualSpacing/>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rPr>
            </w:pPr>
            <w:r w:rsidRPr="00371401">
              <w:rPr>
                <w:rFonts w:eastAsia="Times New Roman" w:cs="Times New Roman"/>
                <w:color w:val="000000" w:themeColor="text1"/>
              </w:rPr>
              <w:t>Extramuraal</w:t>
            </w:r>
          </w:p>
        </w:tc>
      </w:tr>
      <w:tr w:rsidRPr="00371401" w:rsidR="0002343C" w:rsidTr="0002343C" w14:paraId="7D71111D" w14:textId="7777777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3397" w:type="dxa"/>
            <w:tcBorders>
              <w:top w:val="single" w:color="auto" w:sz="12" w:space="0"/>
              <w:left w:val="single" w:color="auto" w:sz="12" w:space="0"/>
              <w:bottom w:val="single" w:color="auto" w:sz="12" w:space="0"/>
              <w:right w:val="single" w:color="auto" w:sz="12" w:space="0"/>
            </w:tcBorders>
            <w:shd w:val="clear" w:color="auto" w:fill="FFFFFF" w:themeFill="background1"/>
            <w:vAlign w:val="center"/>
            <w:hideMark/>
          </w:tcPr>
          <w:p w:rsidRPr="00371401" w:rsidR="00FF4DB9" w:rsidP="00371401" w:rsidRDefault="00FF4DB9" w14:paraId="335F1A11" w14:textId="77777777">
            <w:pPr>
              <w:keepLines/>
              <w:suppressAutoHyphens/>
              <w:ind w:left="57"/>
              <w:contextualSpacing/>
              <w:rPr>
                <w:rFonts w:eastAsia="Times New Roman" w:cs="Times New Roman"/>
                <w:color w:val="000000" w:themeColor="text1"/>
              </w:rPr>
            </w:pPr>
            <w:r w:rsidRPr="00371401">
              <w:rPr>
                <w:rFonts w:eastAsia="Times New Roman" w:cs="Times New Roman"/>
                <w:color w:val="000000" w:themeColor="text1"/>
              </w:rPr>
              <w:t xml:space="preserve">Bedragen </w:t>
            </w:r>
          </w:p>
        </w:tc>
        <w:tc>
          <w:tcPr>
            <w:tcW w:w="993" w:type="dxa"/>
            <w:tcBorders>
              <w:top w:val="single" w:color="auto" w:sz="12" w:space="0"/>
              <w:left w:val="single" w:color="auto" w:sz="12" w:space="0"/>
              <w:bottom w:val="single" w:color="auto" w:sz="12" w:space="0"/>
              <w:right w:val="single" w:color="auto" w:sz="12" w:space="0"/>
            </w:tcBorders>
            <w:shd w:val="clear" w:color="auto" w:fill="FFFFFF" w:themeFill="background1"/>
            <w:vAlign w:val="center"/>
            <w:hideMark/>
          </w:tcPr>
          <w:p w:rsidRPr="00371401" w:rsidR="00FF4DB9" w:rsidP="00371401" w:rsidRDefault="00FF4DB9" w14:paraId="6277D7A3" w14:textId="5CD5BE22">
            <w:pPr>
              <w:keepLines/>
              <w:suppressAutoHyphens/>
              <w:ind w:left="34"/>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themeColor="text1"/>
              </w:rPr>
            </w:pPr>
            <w:r w:rsidRPr="00371401">
              <w:rPr>
                <w:rFonts w:eastAsia="Times New Roman" w:cs="Times New Roman"/>
                <w:b/>
                <w:color w:val="000000" w:themeColor="text1"/>
              </w:rPr>
              <w:t>2023^</w:t>
            </w:r>
          </w:p>
        </w:tc>
        <w:tc>
          <w:tcPr>
            <w:tcW w:w="992" w:type="dxa"/>
            <w:tcBorders>
              <w:top w:val="single" w:color="auto" w:sz="12" w:space="0"/>
              <w:left w:val="single" w:color="auto" w:sz="12" w:space="0"/>
              <w:bottom w:val="single" w:color="auto" w:sz="12" w:space="0"/>
              <w:right w:val="single" w:color="auto" w:sz="12" w:space="0"/>
            </w:tcBorders>
            <w:shd w:val="clear" w:color="auto" w:fill="FFFFFF" w:themeFill="background1"/>
            <w:vAlign w:val="center"/>
            <w:hideMark/>
          </w:tcPr>
          <w:p w:rsidRPr="00371401" w:rsidR="00FF4DB9" w:rsidP="00371401" w:rsidRDefault="00FF4DB9" w14:paraId="2A9883C6" w14:textId="58F30448">
            <w:pPr>
              <w:keepLines/>
              <w:suppressAutoHyphens/>
              <w:ind w:left="34"/>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
                <w:bCs/>
                <w:i/>
                <w:color w:val="000000" w:themeColor="text1"/>
              </w:rPr>
            </w:pPr>
            <w:r w:rsidRPr="00371401">
              <w:rPr>
                <w:rFonts w:eastAsia="Times New Roman" w:cs="Times New Roman"/>
                <w:b/>
                <w:color w:val="000000" w:themeColor="text1"/>
              </w:rPr>
              <w:t>2024*</w:t>
            </w:r>
          </w:p>
        </w:tc>
        <w:tc>
          <w:tcPr>
            <w:tcW w:w="850" w:type="dxa"/>
            <w:tcBorders>
              <w:top w:val="single" w:color="auto" w:sz="12" w:space="0"/>
              <w:left w:val="single" w:color="auto" w:sz="12" w:space="0"/>
              <w:bottom w:val="single" w:color="auto" w:sz="12" w:space="0"/>
              <w:right w:val="single" w:color="auto" w:sz="12" w:space="0"/>
            </w:tcBorders>
            <w:shd w:val="clear" w:color="auto" w:fill="FFFFFF" w:themeFill="background1"/>
            <w:vAlign w:val="center"/>
            <w:hideMark/>
          </w:tcPr>
          <w:p w:rsidRPr="00371401" w:rsidR="00FF4DB9" w:rsidP="00371401" w:rsidRDefault="00FF4DB9" w14:paraId="38040A90" w14:textId="7866AA4F">
            <w:pPr>
              <w:keepLines/>
              <w:suppressAutoHyphens/>
              <w:ind w:left="34"/>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themeColor="text1"/>
              </w:rPr>
            </w:pPr>
            <w:r w:rsidRPr="00371401">
              <w:rPr>
                <w:rFonts w:eastAsia="Times New Roman" w:cs="Times New Roman"/>
                <w:b/>
                <w:color w:val="000000" w:themeColor="text1"/>
              </w:rPr>
              <w:t>2023^</w:t>
            </w:r>
          </w:p>
        </w:tc>
        <w:tc>
          <w:tcPr>
            <w:tcW w:w="993" w:type="dxa"/>
            <w:tcBorders>
              <w:top w:val="single" w:color="auto" w:sz="12" w:space="0"/>
              <w:left w:val="single" w:color="auto" w:sz="12" w:space="0"/>
              <w:bottom w:val="single" w:color="auto" w:sz="12" w:space="0"/>
              <w:right w:val="single" w:color="auto" w:sz="12" w:space="0"/>
            </w:tcBorders>
            <w:shd w:val="clear" w:color="auto" w:fill="FFFFFF" w:themeFill="background1"/>
            <w:vAlign w:val="center"/>
            <w:hideMark/>
          </w:tcPr>
          <w:p w:rsidRPr="00371401" w:rsidR="00FF4DB9" w:rsidP="00371401" w:rsidRDefault="00FF4DB9" w14:paraId="0E1602AB" w14:textId="4998AFCF">
            <w:pPr>
              <w:keepLines/>
              <w:suppressAutoHyphens/>
              <w:ind w:left="57"/>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themeColor="text1"/>
              </w:rPr>
            </w:pPr>
            <w:r w:rsidRPr="00371401">
              <w:rPr>
                <w:rFonts w:eastAsia="Times New Roman" w:cs="Times New Roman"/>
                <w:b/>
                <w:color w:val="000000" w:themeColor="text1"/>
              </w:rPr>
              <w:t>2024*</w:t>
            </w:r>
          </w:p>
        </w:tc>
      </w:tr>
      <w:tr w:rsidRPr="00371401" w:rsidR="0002343C" w:rsidTr="0002343C" w14:paraId="66231B04" w14:textId="77777777">
        <w:trPr>
          <w:cnfStyle w:val="000000010000" w:firstRow="0" w:lastRow="0" w:firstColumn="0" w:lastColumn="0" w:oddVBand="0" w:evenVBand="0" w:oddHBand="0" w:evenHBand="1"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3397" w:type="dxa"/>
            <w:tcBorders>
              <w:top w:val="single" w:color="auto" w:sz="12" w:space="0"/>
              <w:left w:val="single" w:color="auto" w:sz="12" w:space="0"/>
              <w:bottom w:val="single" w:color="auto" w:sz="12" w:space="0"/>
              <w:right w:val="single" w:color="auto" w:sz="12" w:space="0"/>
            </w:tcBorders>
            <w:shd w:val="clear" w:color="auto" w:fill="auto"/>
            <w:vAlign w:val="center"/>
            <w:hideMark/>
          </w:tcPr>
          <w:p w:rsidRPr="00371401" w:rsidR="00DD2A2D" w:rsidP="00371401" w:rsidRDefault="00DD2A2D" w14:paraId="75AA922C" w14:textId="77777777">
            <w:pPr>
              <w:keepLines/>
              <w:suppressAutoHyphens/>
              <w:ind w:left="57"/>
              <w:contextualSpacing/>
              <w:rPr>
                <w:rFonts w:eastAsia="Times New Roman" w:cs="Times New Roman"/>
              </w:rPr>
            </w:pPr>
            <w:r w:rsidRPr="00371401">
              <w:rPr>
                <w:rFonts w:eastAsia="Times New Roman" w:cs="Times New Roman"/>
                <w:b w:val="0"/>
              </w:rPr>
              <w:t>Aantal actieve arrangementen</w:t>
            </w:r>
          </w:p>
        </w:tc>
        <w:tc>
          <w:tcPr>
            <w:tcW w:w="993" w:type="dxa"/>
            <w:tcBorders>
              <w:top w:val="single" w:color="auto" w:sz="12" w:space="0"/>
              <w:left w:val="single" w:color="auto" w:sz="12" w:space="0"/>
              <w:bottom w:val="single" w:color="auto" w:sz="12" w:space="0"/>
              <w:right w:val="single" w:color="auto" w:sz="12" w:space="0"/>
            </w:tcBorders>
            <w:shd w:val="clear" w:color="auto" w:fill="auto"/>
            <w:vAlign w:val="center"/>
          </w:tcPr>
          <w:p w:rsidRPr="00371401" w:rsidR="00DD2A2D" w:rsidP="00371401" w:rsidRDefault="00DD2A2D" w14:paraId="2BB69FF1" w14:textId="084016A9">
            <w:pPr>
              <w:pStyle w:val="Geenafstand"/>
              <w:keepLines/>
              <w:suppressAutoHyphens/>
              <w:spacing w:line="240" w:lineRule="exact"/>
              <w:cnfStyle w:val="000000010000" w:firstRow="0" w:lastRow="0" w:firstColumn="0" w:lastColumn="0" w:oddVBand="0" w:evenVBand="0" w:oddHBand="0" w:evenHBand="1" w:firstRowFirstColumn="0" w:firstRowLastColumn="0" w:lastRowFirstColumn="0" w:lastRowLastColumn="0"/>
            </w:pPr>
            <w:r w:rsidRPr="00371401">
              <w:t>36</w:t>
            </w:r>
          </w:p>
        </w:tc>
        <w:tc>
          <w:tcPr>
            <w:tcW w:w="992" w:type="dxa"/>
            <w:tcBorders>
              <w:top w:val="single" w:color="auto" w:sz="12" w:space="0"/>
              <w:left w:val="single" w:color="auto" w:sz="12" w:space="0"/>
              <w:bottom w:val="single" w:color="auto" w:sz="12" w:space="0"/>
              <w:right w:val="single" w:color="auto" w:sz="12" w:space="0"/>
            </w:tcBorders>
            <w:shd w:val="clear" w:color="auto" w:fill="auto"/>
            <w:vAlign w:val="center"/>
          </w:tcPr>
          <w:p w:rsidRPr="00371401" w:rsidR="00DD2A2D" w:rsidP="00371401" w:rsidRDefault="00DD2A2D" w14:paraId="1822A111" w14:textId="1DB1FE21">
            <w:pPr>
              <w:pStyle w:val="Geenafstand"/>
              <w:keepLines/>
              <w:suppressAutoHyphens/>
              <w:spacing w:line="240" w:lineRule="exact"/>
              <w:cnfStyle w:val="000000010000" w:firstRow="0" w:lastRow="0" w:firstColumn="0" w:lastColumn="0" w:oddVBand="0" w:evenVBand="0" w:oddHBand="0" w:evenHBand="1" w:firstRowFirstColumn="0" w:firstRowLastColumn="0" w:lastRowFirstColumn="0" w:lastRowLastColumn="0"/>
            </w:pPr>
            <w:r w:rsidRPr="00371401">
              <w:t>36</w:t>
            </w:r>
          </w:p>
        </w:tc>
        <w:tc>
          <w:tcPr>
            <w:tcW w:w="850" w:type="dxa"/>
            <w:tcBorders>
              <w:top w:val="single" w:color="auto" w:sz="12" w:space="0"/>
              <w:left w:val="single" w:color="auto" w:sz="12" w:space="0"/>
              <w:bottom w:val="single" w:color="auto" w:sz="12" w:space="0"/>
              <w:right w:val="single" w:color="auto" w:sz="12" w:space="0"/>
            </w:tcBorders>
            <w:shd w:val="clear" w:color="auto" w:fill="auto"/>
            <w:vAlign w:val="center"/>
          </w:tcPr>
          <w:p w:rsidRPr="00371401" w:rsidR="00DD2A2D" w:rsidP="00371401" w:rsidRDefault="00DD2A2D" w14:paraId="0389CBB7" w14:textId="506EFC52">
            <w:pPr>
              <w:pStyle w:val="Geenafstand"/>
              <w:keepLines/>
              <w:suppressAutoHyphens/>
              <w:spacing w:line="240" w:lineRule="exact"/>
              <w:cnfStyle w:val="000000010000" w:firstRow="0" w:lastRow="0" w:firstColumn="0" w:lastColumn="0" w:oddVBand="0" w:evenVBand="0" w:oddHBand="0" w:evenHBand="1" w:firstRowFirstColumn="0" w:firstRowLastColumn="0" w:lastRowFirstColumn="0" w:lastRowLastColumn="0"/>
            </w:pPr>
            <w:r w:rsidRPr="00371401">
              <w:t>20</w:t>
            </w:r>
          </w:p>
        </w:tc>
        <w:tc>
          <w:tcPr>
            <w:tcW w:w="993" w:type="dxa"/>
            <w:tcBorders>
              <w:top w:val="single" w:color="auto" w:sz="12" w:space="0"/>
              <w:left w:val="single" w:color="auto" w:sz="12" w:space="0"/>
              <w:bottom w:val="single" w:color="auto" w:sz="12" w:space="0"/>
              <w:right w:val="single" w:color="auto" w:sz="12" w:space="0"/>
            </w:tcBorders>
            <w:shd w:val="clear" w:color="auto" w:fill="auto"/>
            <w:vAlign w:val="center"/>
          </w:tcPr>
          <w:p w:rsidRPr="00371401" w:rsidR="00DD2A2D" w:rsidP="00371401" w:rsidRDefault="00DD2A2D" w14:paraId="5858EA58" w14:textId="4CD2C8CE">
            <w:pPr>
              <w:pStyle w:val="Geenafstand"/>
              <w:keepLines/>
              <w:suppressAutoHyphens/>
              <w:spacing w:line="240" w:lineRule="exact"/>
              <w:cnfStyle w:val="000000010000" w:firstRow="0" w:lastRow="0" w:firstColumn="0" w:lastColumn="0" w:oddVBand="0" w:evenVBand="0" w:oddHBand="0" w:evenHBand="1" w:firstRowFirstColumn="0" w:firstRowLastColumn="0" w:lastRowFirstColumn="0" w:lastRowLastColumn="0"/>
            </w:pPr>
            <w:r w:rsidRPr="00371401">
              <w:t>22</w:t>
            </w:r>
          </w:p>
        </w:tc>
      </w:tr>
      <w:tr w:rsidRPr="00371401" w:rsidR="00DD2A2D" w:rsidTr="0002343C" w14:paraId="4ED6BED1" w14:textId="7777777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3397" w:type="dxa"/>
            <w:tcBorders>
              <w:top w:val="single" w:color="auto" w:sz="12" w:space="0"/>
              <w:left w:val="single" w:color="auto" w:sz="12" w:space="0"/>
              <w:bottom w:val="single" w:color="auto" w:sz="12" w:space="0"/>
              <w:right w:val="single" w:color="auto" w:sz="12" w:space="0"/>
            </w:tcBorders>
            <w:shd w:val="clear" w:color="auto" w:fill="auto"/>
            <w:vAlign w:val="center"/>
            <w:hideMark/>
          </w:tcPr>
          <w:p w:rsidRPr="00371401" w:rsidR="00DD2A2D" w:rsidP="00371401" w:rsidRDefault="00DD2A2D" w14:paraId="6BD05B9E" w14:textId="77777777">
            <w:pPr>
              <w:keepLines/>
              <w:suppressAutoHyphens/>
              <w:ind w:left="57"/>
              <w:contextualSpacing/>
              <w:rPr>
                <w:rFonts w:eastAsia="Times New Roman" w:cs="Times New Roman"/>
                <w:color w:val="2F5496"/>
              </w:rPr>
            </w:pPr>
            <w:r w:rsidRPr="00371401">
              <w:rPr>
                <w:rFonts w:eastAsia="Times New Roman" w:cs="Times New Roman"/>
                <w:color w:val="2F5496"/>
              </w:rPr>
              <w:t>Uitgaven zonder arrangement</w:t>
            </w:r>
            <w:r w:rsidRPr="00371401">
              <w:rPr>
                <w:rFonts w:eastAsia="Times New Roman" w:cs="Times New Roman"/>
                <w:color w:val="2F5496"/>
                <w:vertAlign w:val="superscript"/>
              </w:rPr>
              <w:t>#</w:t>
            </w:r>
          </w:p>
        </w:tc>
        <w:tc>
          <w:tcPr>
            <w:tcW w:w="993" w:type="dxa"/>
            <w:tcBorders>
              <w:top w:val="single" w:color="auto" w:sz="12" w:space="0"/>
              <w:left w:val="single" w:color="auto" w:sz="12" w:space="0"/>
              <w:bottom w:val="single" w:color="auto" w:sz="12" w:space="0"/>
              <w:right w:val="single" w:color="auto" w:sz="12" w:space="0"/>
            </w:tcBorders>
            <w:shd w:val="clear" w:color="auto" w:fill="auto"/>
            <w:vAlign w:val="center"/>
          </w:tcPr>
          <w:p w:rsidRPr="00371401" w:rsidR="00DD2A2D" w:rsidP="00371401" w:rsidRDefault="00DD2A2D" w14:paraId="33579D35" w14:textId="53D67E9E">
            <w:pPr>
              <w:pStyle w:val="Geenafstand"/>
              <w:keepLines/>
              <w:suppressAutoHyphens/>
              <w:spacing w:line="240" w:lineRule="exact"/>
              <w:cnfStyle w:val="000000100000" w:firstRow="0" w:lastRow="0" w:firstColumn="0" w:lastColumn="0" w:oddVBand="0" w:evenVBand="0" w:oddHBand="1" w:evenHBand="0" w:firstRowFirstColumn="0" w:firstRowLastColumn="0" w:lastRowFirstColumn="0" w:lastRowLastColumn="0"/>
              <w:rPr>
                <w:b/>
                <w:bCs/>
                <w:color w:val="2F5496"/>
              </w:rPr>
            </w:pPr>
            <w:r w:rsidRPr="00371401">
              <w:rPr>
                <w:b/>
                <w:bCs/>
                <w:color w:val="2F5496"/>
              </w:rPr>
              <w:t>1.273,1</w:t>
            </w:r>
          </w:p>
        </w:tc>
        <w:tc>
          <w:tcPr>
            <w:tcW w:w="992" w:type="dxa"/>
            <w:tcBorders>
              <w:top w:val="single" w:color="auto" w:sz="12" w:space="0"/>
              <w:left w:val="single" w:color="auto" w:sz="12" w:space="0"/>
              <w:bottom w:val="single" w:color="auto" w:sz="12" w:space="0"/>
              <w:right w:val="single" w:color="auto" w:sz="12" w:space="0"/>
            </w:tcBorders>
            <w:shd w:val="clear" w:color="auto" w:fill="auto"/>
            <w:vAlign w:val="center"/>
          </w:tcPr>
          <w:p w:rsidRPr="00371401" w:rsidR="00DD2A2D" w:rsidP="00371401" w:rsidRDefault="00DD2A2D" w14:paraId="4336C7CE" w14:textId="13CB4F39">
            <w:pPr>
              <w:pStyle w:val="Geenafstand"/>
              <w:keepLines/>
              <w:suppressAutoHyphens/>
              <w:spacing w:line="240" w:lineRule="exact"/>
              <w:cnfStyle w:val="000000100000" w:firstRow="0" w:lastRow="0" w:firstColumn="0" w:lastColumn="0" w:oddVBand="0" w:evenVBand="0" w:oddHBand="1" w:evenHBand="0" w:firstRowFirstColumn="0" w:firstRowLastColumn="0" w:lastRowFirstColumn="0" w:lastRowLastColumn="0"/>
              <w:rPr>
                <w:b/>
                <w:bCs/>
                <w:color w:val="2F5496"/>
              </w:rPr>
            </w:pPr>
            <w:r w:rsidRPr="00371401">
              <w:rPr>
                <w:b/>
                <w:bCs/>
                <w:color w:val="2F5496"/>
              </w:rPr>
              <w:t>1.208,2</w:t>
            </w:r>
          </w:p>
        </w:tc>
        <w:tc>
          <w:tcPr>
            <w:tcW w:w="850" w:type="dxa"/>
            <w:tcBorders>
              <w:top w:val="single" w:color="auto" w:sz="12" w:space="0"/>
              <w:left w:val="single" w:color="auto" w:sz="12" w:space="0"/>
              <w:bottom w:val="single" w:color="auto" w:sz="12" w:space="0"/>
              <w:right w:val="single" w:color="auto" w:sz="12" w:space="0"/>
            </w:tcBorders>
            <w:shd w:val="clear" w:color="auto" w:fill="auto"/>
            <w:vAlign w:val="center"/>
          </w:tcPr>
          <w:p w:rsidRPr="00371401" w:rsidR="00DD2A2D" w:rsidP="00371401" w:rsidRDefault="00DD2A2D" w14:paraId="279C039A" w14:textId="2FBC752F">
            <w:pPr>
              <w:pStyle w:val="Geenafstand"/>
              <w:keepLines/>
              <w:suppressAutoHyphens/>
              <w:spacing w:line="240" w:lineRule="exact"/>
              <w:cnfStyle w:val="000000100000" w:firstRow="0" w:lastRow="0" w:firstColumn="0" w:lastColumn="0" w:oddVBand="0" w:evenVBand="0" w:oddHBand="1" w:evenHBand="0" w:firstRowFirstColumn="0" w:firstRowLastColumn="0" w:lastRowFirstColumn="0" w:lastRowLastColumn="0"/>
              <w:rPr>
                <w:b/>
                <w:bCs/>
                <w:color w:val="2F5496"/>
              </w:rPr>
            </w:pPr>
            <w:r w:rsidRPr="00371401">
              <w:rPr>
                <w:b/>
                <w:bCs/>
                <w:color w:val="2F5496"/>
              </w:rPr>
              <w:t>849,1</w:t>
            </w:r>
          </w:p>
        </w:tc>
        <w:tc>
          <w:tcPr>
            <w:tcW w:w="993" w:type="dxa"/>
            <w:tcBorders>
              <w:top w:val="single" w:color="auto" w:sz="12" w:space="0"/>
              <w:left w:val="single" w:color="auto" w:sz="12" w:space="0"/>
              <w:bottom w:val="single" w:color="auto" w:sz="12" w:space="0"/>
              <w:right w:val="single" w:color="auto" w:sz="12" w:space="0"/>
            </w:tcBorders>
            <w:shd w:val="clear" w:color="auto" w:fill="auto"/>
            <w:vAlign w:val="center"/>
          </w:tcPr>
          <w:p w:rsidRPr="00371401" w:rsidR="00DD2A2D" w:rsidP="00371401" w:rsidRDefault="00DD2A2D" w14:paraId="2742F5A7" w14:textId="4D1659A1">
            <w:pPr>
              <w:pStyle w:val="Geenafstand"/>
              <w:keepLines/>
              <w:suppressAutoHyphens/>
              <w:spacing w:line="240" w:lineRule="exact"/>
              <w:cnfStyle w:val="000000100000" w:firstRow="0" w:lastRow="0" w:firstColumn="0" w:lastColumn="0" w:oddVBand="0" w:evenVBand="0" w:oddHBand="1" w:evenHBand="0" w:firstRowFirstColumn="0" w:firstRowLastColumn="0" w:lastRowFirstColumn="0" w:lastRowLastColumn="0"/>
              <w:rPr>
                <w:b/>
                <w:bCs/>
                <w:color w:val="2F5496"/>
              </w:rPr>
            </w:pPr>
            <w:r w:rsidRPr="00371401">
              <w:rPr>
                <w:b/>
                <w:bCs/>
                <w:color w:val="2F5496"/>
              </w:rPr>
              <w:t>1.018,3</w:t>
            </w:r>
          </w:p>
        </w:tc>
      </w:tr>
      <w:tr w:rsidRPr="00371401" w:rsidR="00DD2A2D" w:rsidTr="0002343C" w14:paraId="1C0B266E" w14:textId="77777777">
        <w:trPr>
          <w:cnfStyle w:val="000000010000" w:firstRow="0" w:lastRow="0" w:firstColumn="0" w:lastColumn="0" w:oddVBand="0" w:evenVBand="0" w:oddHBand="0" w:evenHBand="1"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3397" w:type="dxa"/>
            <w:tcBorders>
              <w:top w:val="single" w:color="auto" w:sz="12" w:space="0"/>
              <w:left w:val="single" w:color="auto" w:sz="12" w:space="0"/>
              <w:bottom w:val="single" w:color="auto" w:sz="12" w:space="0"/>
              <w:right w:val="single" w:color="auto" w:sz="12" w:space="0"/>
            </w:tcBorders>
            <w:shd w:val="clear" w:color="auto" w:fill="8EAADB"/>
            <w:vAlign w:val="center"/>
            <w:hideMark/>
          </w:tcPr>
          <w:p w:rsidRPr="00371401" w:rsidR="00DD2A2D" w:rsidP="00371401" w:rsidRDefault="00DD2A2D" w14:paraId="1F6325C7" w14:textId="77777777">
            <w:pPr>
              <w:keepLines/>
              <w:suppressAutoHyphens/>
              <w:ind w:left="57"/>
              <w:contextualSpacing/>
              <w:rPr>
                <w:rFonts w:eastAsia="Times New Roman" w:cs="Times New Roman"/>
              </w:rPr>
            </w:pPr>
            <w:r w:rsidRPr="00371401">
              <w:rPr>
                <w:rFonts w:eastAsia="Times New Roman" w:cs="Times New Roman"/>
                <w:b w:val="0"/>
              </w:rPr>
              <w:t>Openbare prijsverlaging</w:t>
            </w:r>
            <w:r w:rsidRPr="00371401">
              <w:rPr>
                <w:rFonts w:eastAsia="Times New Roman" w:cs="Times New Roman"/>
                <w:vertAlign w:val="superscript"/>
              </w:rPr>
              <w:t>#</w:t>
            </w:r>
          </w:p>
        </w:tc>
        <w:tc>
          <w:tcPr>
            <w:tcW w:w="993" w:type="dxa"/>
            <w:tcBorders>
              <w:top w:val="single" w:color="auto" w:sz="12" w:space="0"/>
              <w:left w:val="single" w:color="auto" w:sz="12" w:space="0"/>
              <w:bottom w:val="single" w:color="auto" w:sz="12" w:space="0"/>
              <w:right w:val="single" w:color="auto" w:sz="12" w:space="0"/>
            </w:tcBorders>
            <w:shd w:val="clear" w:color="auto" w:fill="8EAADB"/>
            <w:vAlign w:val="center"/>
          </w:tcPr>
          <w:p w:rsidRPr="00371401" w:rsidR="00DD2A2D" w:rsidP="00371401" w:rsidRDefault="00DD2A2D" w14:paraId="39AD1291" w14:textId="617D9FD7">
            <w:pPr>
              <w:pStyle w:val="Geenafstand"/>
              <w:keepLines/>
              <w:suppressAutoHyphens/>
              <w:spacing w:line="240" w:lineRule="exact"/>
              <w:cnfStyle w:val="000000010000" w:firstRow="0" w:lastRow="0" w:firstColumn="0" w:lastColumn="0" w:oddVBand="0" w:evenVBand="0" w:oddHBand="0" w:evenHBand="1" w:firstRowFirstColumn="0" w:firstRowLastColumn="0" w:lastRowFirstColumn="0" w:lastRowLastColumn="0"/>
            </w:pPr>
            <w:r w:rsidRPr="00371401">
              <w:t>279,0</w:t>
            </w:r>
          </w:p>
        </w:tc>
        <w:tc>
          <w:tcPr>
            <w:tcW w:w="992" w:type="dxa"/>
            <w:tcBorders>
              <w:top w:val="single" w:color="auto" w:sz="12" w:space="0"/>
              <w:left w:val="single" w:color="auto" w:sz="12" w:space="0"/>
              <w:bottom w:val="single" w:color="auto" w:sz="12" w:space="0"/>
              <w:right w:val="single" w:color="auto" w:sz="12" w:space="0"/>
            </w:tcBorders>
            <w:shd w:val="clear" w:color="auto" w:fill="8EAADB"/>
            <w:vAlign w:val="center"/>
          </w:tcPr>
          <w:p w:rsidRPr="00371401" w:rsidR="00DD2A2D" w:rsidP="00371401" w:rsidRDefault="00DD2A2D" w14:paraId="3FAE2542" w14:textId="1B0BE0AF">
            <w:pPr>
              <w:pStyle w:val="Geenafstand"/>
              <w:keepLines/>
              <w:suppressAutoHyphens/>
              <w:spacing w:line="240" w:lineRule="exact"/>
              <w:cnfStyle w:val="000000010000" w:firstRow="0" w:lastRow="0" w:firstColumn="0" w:lastColumn="0" w:oddVBand="0" w:evenVBand="0" w:oddHBand="0" w:evenHBand="1" w:firstRowFirstColumn="0" w:firstRowLastColumn="0" w:lastRowFirstColumn="0" w:lastRowLastColumn="0"/>
            </w:pPr>
            <w:r w:rsidRPr="00371401">
              <w:t>273,8</w:t>
            </w:r>
          </w:p>
        </w:tc>
        <w:tc>
          <w:tcPr>
            <w:tcW w:w="850" w:type="dxa"/>
            <w:tcBorders>
              <w:top w:val="single" w:color="auto" w:sz="12" w:space="0"/>
              <w:left w:val="single" w:color="auto" w:sz="12" w:space="0"/>
              <w:bottom w:val="single" w:color="auto" w:sz="12" w:space="0"/>
              <w:right w:val="single" w:color="auto" w:sz="12" w:space="0"/>
            </w:tcBorders>
            <w:shd w:val="clear" w:color="auto" w:fill="8EAADB"/>
            <w:vAlign w:val="center"/>
          </w:tcPr>
          <w:p w:rsidRPr="00371401" w:rsidR="00DD2A2D" w:rsidP="00371401" w:rsidRDefault="00DD2A2D" w14:paraId="16D833FD" w14:textId="643B4D8B">
            <w:pPr>
              <w:pStyle w:val="Geenafstand"/>
              <w:keepLines/>
              <w:suppressAutoHyphens/>
              <w:spacing w:line="240" w:lineRule="exact"/>
              <w:cnfStyle w:val="000000010000" w:firstRow="0" w:lastRow="0" w:firstColumn="0" w:lastColumn="0" w:oddVBand="0" w:evenVBand="0" w:oddHBand="0" w:evenHBand="1" w:firstRowFirstColumn="0" w:firstRowLastColumn="0" w:lastRowFirstColumn="0" w:lastRowLastColumn="0"/>
            </w:pPr>
            <w:r w:rsidRPr="00371401">
              <w:t>129,0</w:t>
            </w:r>
          </w:p>
        </w:tc>
        <w:tc>
          <w:tcPr>
            <w:tcW w:w="993" w:type="dxa"/>
            <w:tcBorders>
              <w:top w:val="single" w:color="auto" w:sz="12" w:space="0"/>
              <w:left w:val="single" w:color="auto" w:sz="12" w:space="0"/>
              <w:bottom w:val="single" w:color="auto" w:sz="12" w:space="0"/>
              <w:right w:val="single" w:color="auto" w:sz="12" w:space="0"/>
            </w:tcBorders>
            <w:shd w:val="clear" w:color="auto" w:fill="8EAADB"/>
            <w:vAlign w:val="center"/>
          </w:tcPr>
          <w:p w:rsidRPr="00371401" w:rsidR="00DD2A2D" w:rsidP="00371401" w:rsidRDefault="00DD2A2D" w14:paraId="7F4F30AC" w14:textId="64F6CFE0">
            <w:pPr>
              <w:pStyle w:val="Geenafstand"/>
              <w:keepLines/>
              <w:suppressAutoHyphens/>
              <w:spacing w:line="240" w:lineRule="exact"/>
              <w:cnfStyle w:val="000000010000" w:firstRow="0" w:lastRow="0" w:firstColumn="0" w:lastColumn="0" w:oddVBand="0" w:evenVBand="0" w:oddHBand="0" w:evenHBand="1" w:firstRowFirstColumn="0" w:firstRowLastColumn="0" w:lastRowFirstColumn="0" w:lastRowLastColumn="0"/>
            </w:pPr>
            <w:r w:rsidRPr="00371401">
              <w:t>158,2</w:t>
            </w:r>
          </w:p>
        </w:tc>
      </w:tr>
      <w:tr w:rsidRPr="00371401" w:rsidR="00DD2A2D" w:rsidTr="0002343C" w14:paraId="7198A422" w14:textId="7777777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3397" w:type="dxa"/>
            <w:tcBorders>
              <w:top w:val="single" w:color="auto" w:sz="12" w:space="0"/>
              <w:left w:val="single" w:color="auto" w:sz="12" w:space="0"/>
              <w:bottom w:val="single" w:color="auto" w:sz="12" w:space="0"/>
              <w:right w:val="single" w:color="auto" w:sz="12" w:space="0"/>
            </w:tcBorders>
            <w:shd w:val="clear" w:color="auto" w:fill="auto"/>
            <w:vAlign w:val="center"/>
            <w:hideMark/>
          </w:tcPr>
          <w:p w:rsidRPr="00371401" w:rsidR="00DD2A2D" w:rsidP="00371401" w:rsidRDefault="00DD2A2D" w14:paraId="72CE0BD2" w14:textId="77777777">
            <w:pPr>
              <w:keepLines/>
              <w:suppressAutoHyphens/>
              <w:ind w:left="57"/>
              <w:contextualSpacing/>
              <w:rPr>
                <w:rFonts w:eastAsia="Times New Roman" w:cs="Times New Roman"/>
                <w:bCs w:val="0"/>
                <w:color w:val="auto"/>
              </w:rPr>
            </w:pPr>
            <w:r w:rsidRPr="00371401">
              <w:rPr>
                <w:rFonts w:eastAsia="Times New Roman" w:cs="Times New Roman"/>
                <w:bCs w:val="0"/>
                <w:color w:val="auto"/>
              </w:rPr>
              <w:lastRenderedPageBreak/>
              <w:t>Gerealiseerde uitgaven</w:t>
            </w:r>
            <w:r w:rsidRPr="00371401">
              <w:rPr>
                <w:rFonts w:eastAsia="Times New Roman" w:cs="Times New Roman"/>
                <w:bCs w:val="0"/>
                <w:color w:val="auto"/>
                <w:vertAlign w:val="superscript"/>
              </w:rPr>
              <w:t>#</w:t>
            </w:r>
          </w:p>
        </w:tc>
        <w:tc>
          <w:tcPr>
            <w:tcW w:w="993" w:type="dxa"/>
            <w:tcBorders>
              <w:top w:val="single" w:color="auto" w:sz="12" w:space="0"/>
              <w:left w:val="single" w:color="auto" w:sz="12" w:space="0"/>
              <w:bottom w:val="single" w:color="auto" w:sz="12" w:space="0"/>
              <w:right w:val="single" w:color="auto" w:sz="12" w:space="0"/>
            </w:tcBorders>
            <w:shd w:val="clear" w:color="auto" w:fill="auto"/>
            <w:vAlign w:val="center"/>
          </w:tcPr>
          <w:p w:rsidRPr="00371401" w:rsidR="00DD2A2D" w:rsidP="00371401" w:rsidRDefault="00DD2A2D" w14:paraId="65A86A87" w14:textId="5046896C">
            <w:pPr>
              <w:pStyle w:val="Geenafstand"/>
              <w:keepLines/>
              <w:suppressAutoHyphens/>
              <w:spacing w:line="240" w:lineRule="exact"/>
              <w:cnfStyle w:val="000000100000" w:firstRow="0" w:lastRow="0" w:firstColumn="0" w:lastColumn="0" w:oddVBand="0" w:evenVBand="0" w:oddHBand="1" w:evenHBand="0" w:firstRowFirstColumn="0" w:firstRowLastColumn="0" w:lastRowFirstColumn="0" w:lastRowLastColumn="0"/>
              <w:rPr>
                <w:b/>
                <w:color w:val="auto"/>
              </w:rPr>
            </w:pPr>
            <w:r w:rsidRPr="00371401">
              <w:rPr>
                <w:b/>
                <w:color w:val="auto"/>
              </w:rPr>
              <w:t>994,1</w:t>
            </w:r>
          </w:p>
        </w:tc>
        <w:tc>
          <w:tcPr>
            <w:tcW w:w="992" w:type="dxa"/>
            <w:tcBorders>
              <w:top w:val="single" w:color="auto" w:sz="12" w:space="0"/>
              <w:left w:val="single" w:color="auto" w:sz="12" w:space="0"/>
              <w:bottom w:val="single" w:color="auto" w:sz="12" w:space="0"/>
              <w:right w:val="single" w:color="auto" w:sz="12" w:space="0"/>
            </w:tcBorders>
            <w:shd w:val="clear" w:color="auto" w:fill="auto"/>
            <w:vAlign w:val="center"/>
          </w:tcPr>
          <w:p w:rsidRPr="00371401" w:rsidR="00DD2A2D" w:rsidP="00371401" w:rsidRDefault="00DD2A2D" w14:paraId="090BA4F9" w14:textId="16E87006">
            <w:pPr>
              <w:pStyle w:val="Geenafstand"/>
              <w:keepLines/>
              <w:suppressAutoHyphens/>
              <w:spacing w:line="240" w:lineRule="exact"/>
              <w:cnfStyle w:val="000000100000" w:firstRow="0" w:lastRow="0" w:firstColumn="0" w:lastColumn="0" w:oddVBand="0" w:evenVBand="0" w:oddHBand="1" w:evenHBand="0" w:firstRowFirstColumn="0" w:firstRowLastColumn="0" w:lastRowFirstColumn="0" w:lastRowLastColumn="0"/>
              <w:rPr>
                <w:b/>
                <w:color w:val="auto"/>
              </w:rPr>
            </w:pPr>
            <w:r w:rsidRPr="00371401">
              <w:rPr>
                <w:b/>
                <w:color w:val="auto"/>
              </w:rPr>
              <w:t>934,4</w:t>
            </w:r>
          </w:p>
        </w:tc>
        <w:tc>
          <w:tcPr>
            <w:tcW w:w="850" w:type="dxa"/>
            <w:tcBorders>
              <w:top w:val="single" w:color="auto" w:sz="12" w:space="0"/>
              <w:left w:val="single" w:color="auto" w:sz="12" w:space="0"/>
              <w:bottom w:val="single" w:color="auto" w:sz="12" w:space="0"/>
              <w:right w:val="single" w:color="auto" w:sz="12" w:space="0"/>
            </w:tcBorders>
            <w:shd w:val="clear" w:color="auto" w:fill="auto"/>
            <w:vAlign w:val="center"/>
          </w:tcPr>
          <w:p w:rsidRPr="00371401" w:rsidR="00DD2A2D" w:rsidP="00371401" w:rsidRDefault="00DD2A2D" w14:paraId="1EC49576" w14:textId="1C5B33EE">
            <w:pPr>
              <w:pStyle w:val="Geenafstand"/>
              <w:keepLines/>
              <w:suppressAutoHyphens/>
              <w:spacing w:line="240" w:lineRule="exact"/>
              <w:cnfStyle w:val="000000100000" w:firstRow="0" w:lastRow="0" w:firstColumn="0" w:lastColumn="0" w:oddVBand="0" w:evenVBand="0" w:oddHBand="1" w:evenHBand="0" w:firstRowFirstColumn="0" w:firstRowLastColumn="0" w:lastRowFirstColumn="0" w:lastRowLastColumn="0"/>
              <w:rPr>
                <w:b/>
                <w:color w:val="auto"/>
              </w:rPr>
            </w:pPr>
            <w:r w:rsidRPr="00371401">
              <w:rPr>
                <w:b/>
                <w:color w:val="auto"/>
              </w:rPr>
              <w:t>720,0</w:t>
            </w:r>
          </w:p>
        </w:tc>
        <w:tc>
          <w:tcPr>
            <w:tcW w:w="993" w:type="dxa"/>
            <w:tcBorders>
              <w:top w:val="single" w:color="auto" w:sz="12" w:space="0"/>
              <w:left w:val="single" w:color="auto" w:sz="12" w:space="0"/>
              <w:bottom w:val="single" w:color="auto" w:sz="12" w:space="0"/>
              <w:right w:val="single" w:color="auto" w:sz="12" w:space="0"/>
            </w:tcBorders>
            <w:shd w:val="clear" w:color="auto" w:fill="auto"/>
            <w:vAlign w:val="center"/>
          </w:tcPr>
          <w:p w:rsidRPr="00371401" w:rsidR="00DD2A2D" w:rsidP="00371401" w:rsidRDefault="00DD2A2D" w14:paraId="76A6A1C3" w14:textId="4E26249E">
            <w:pPr>
              <w:pStyle w:val="Geenafstand"/>
              <w:keepLines/>
              <w:suppressAutoHyphens/>
              <w:spacing w:line="240" w:lineRule="exact"/>
              <w:cnfStyle w:val="000000100000" w:firstRow="0" w:lastRow="0" w:firstColumn="0" w:lastColumn="0" w:oddVBand="0" w:evenVBand="0" w:oddHBand="1" w:evenHBand="0" w:firstRowFirstColumn="0" w:firstRowLastColumn="0" w:lastRowFirstColumn="0" w:lastRowLastColumn="0"/>
              <w:rPr>
                <w:b/>
                <w:color w:val="auto"/>
              </w:rPr>
            </w:pPr>
            <w:r w:rsidRPr="00371401">
              <w:rPr>
                <w:b/>
                <w:color w:val="auto"/>
              </w:rPr>
              <w:t>860,1</w:t>
            </w:r>
          </w:p>
        </w:tc>
      </w:tr>
      <w:tr w:rsidRPr="00371401" w:rsidR="00DD2A2D" w:rsidTr="0002343C" w14:paraId="4D9E31C6" w14:textId="77777777">
        <w:trPr>
          <w:cnfStyle w:val="000000010000" w:firstRow="0" w:lastRow="0" w:firstColumn="0" w:lastColumn="0" w:oddVBand="0" w:evenVBand="0" w:oddHBand="0" w:evenHBand="1"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3397" w:type="dxa"/>
            <w:tcBorders>
              <w:top w:val="single" w:color="auto" w:sz="12" w:space="0"/>
              <w:left w:val="single" w:color="auto" w:sz="12" w:space="0"/>
              <w:bottom w:val="single" w:color="auto" w:sz="12" w:space="0"/>
              <w:right w:val="single" w:color="auto" w:sz="12" w:space="0"/>
            </w:tcBorders>
            <w:shd w:val="clear" w:color="auto" w:fill="BDD6EE"/>
            <w:vAlign w:val="center"/>
            <w:hideMark/>
          </w:tcPr>
          <w:p w:rsidRPr="00371401" w:rsidR="00DD2A2D" w:rsidP="00371401" w:rsidRDefault="00DD2A2D" w14:paraId="07DD9495" w14:textId="77777777">
            <w:pPr>
              <w:keepLines/>
              <w:suppressAutoHyphens/>
              <w:ind w:left="57"/>
              <w:contextualSpacing/>
              <w:rPr>
                <w:rFonts w:eastAsia="Times New Roman" w:cs="Times New Roman"/>
              </w:rPr>
            </w:pPr>
            <w:r w:rsidRPr="00371401">
              <w:rPr>
                <w:rFonts w:eastAsia="Times New Roman" w:cs="Times New Roman"/>
                <w:b w:val="0"/>
              </w:rPr>
              <w:t>Vertrouwelijke uitgavenverlaging</w:t>
            </w:r>
          </w:p>
        </w:tc>
        <w:tc>
          <w:tcPr>
            <w:tcW w:w="993" w:type="dxa"/>
            <w:tcBorders>
              <w:top w:val="single" w:color="auto" w:sz="12" w:space="0"/>
              <w:left w:val="single" w:color="auto" w:sz="12" w:space="0"/>
              <w:bottom w:val="single" w:color="auto" w:sz="12" w:space="0"/>
              <w:right w:val="single" w:color="auto" w:sz="12" w:space="0"/>
            </w:tcBorders>
            <w:shd w:val="clear" w:color="auto" w:fill="BDD6EE"/>
            <w:vAlign w:val="center"/>
          </w:tcPr>
          <w:p w:rsidRPr="00371401" w:rsidR="00DD2A2D" w:rsidP="00371401" w:rsidRDefault="00DD2A2D" w14:paraId="5A99BEB7" w14:textId="466F27DD">
            <w:pPr>
              <w:pStyle w:val="Geenafstand"/>
              <w:keepLines/>
              <w:suppressAutoHyphens/>
              <w:spacing w:line="240" w:lineRule="exact"/>
              <w:cnfStyle w:val="000000010000" w:firstRow="0" w:lastRow="0" w:firstColumn="0" w:lastColumn="0" w:oddVBand="0" w:evenVBand="0" w:oddHBand="0" w:evenHBand="1" w:firstRowFirstColumn="0" w:firstRowLastColumn="0" w:lastRowFirstColumn="0" w:lastRowLastColumn="0"/>
            </w:pPr>
            <w:r w:rsidRPr="00371401">
              <w:t>321,7</w:t>
            </w:r>
          </w:p>
        </w:tc>
        <w:tc>
          <w:tcPr>
            <w:tcW w:w="992" w:type="dxa"/>
            <w:tcBorders>
              <w:top w:val="single" w:color="auto" w:sz="12" w:space="0"/>
              <w:left w:val="single" w:color="auto" w:sz="12" w:space="0"/>
              <w:bottom w:val="single" w:color="auto" w:sz="12" w:space="0"/>
              <w:right w:val="single" w:color="auto" w:sz="12" w:space="0"/>
            </w:tcBorders>
            <w:shd w:val="clear" w:color="auto" w:fill="BDD6EE"/>
            <w:vAlign w:val="center"/>
          </w:tcPr>
          <w:p w:rsidRPr="00371401" w:rsidR="00DD2A2D" w:rsidP="00371401" w:rsidRDefault="00DD2A2D" w14:paraId="57366139" w14:textId="43381936">
            <w:pPr>
              <w:pStyle w:val="Geenafstand"/>
              <w:keepLines/>
              <w:suppressAutoHyphens/>
              <w:spacing w:line="240" w:lineRule="exact"/>
              <w:cnfStyle w:val="000000010000" w:firstRow="0" w:lastRow="0" w:firstColumn="0" w:lastColumn="0" w:oddVBand="0" w:evenVBand="0" w:oddHBand="0" w:evenHBand="1" w:firstRowFirstColumn="0" w:firstRowLastColumn="0" w:lastRowFirstColumn="0" w:lastRowLastColumn="0"/>
            </w:pPr>
            <w:r w:rsidRPr="00371401">
              <w:t>333,9</w:t>
            </w:r>
          </w:p>
        </w:tc>
        <w:tc>
          <w:tcPr>
            <w:tcW w:w="850" w:type="dxa"/>
            <w:tcBorders>
              <w:top w:val="single" w:color="auto" w:sz="12" w:space="0"/>
              <w:left w:val="single" w:color="auto" w:sz="12" w:space="0"/>
              <w:bottom w:val="single" w:color="auto" w:sz="12" w:space="0"/>
              <w:right w:val="single" w:color="auto" w:sz="12" w:space="0"/>
            </w:tcBorders>
            <w:shd w:val="clear" w:color="auto" w:fill="BDD6EE"/>
            <w:vAlign w:val="center"/>
          </w:tcPr>
          <w:p w:rsidRPr="00371401" w:rsidR="00DD2A2D" w:rsidP="00371401" w:rsidRDefault="00DD2A2D" w14:paraId="5C3CB361" w14:textId="66680385">
            <w:pPr>
              <w:pStyle w:val="Geenafstand"/>
              <w:keepLines/>
              <w:suppressAutoHyphens/>
              <w:spacing w:line="240" w:lineRule="exact"/>
              <w:cnfStyle w:val="000000010000" w:firstRow="0" w:lastRow="0" w:firstColumn="0" w:lastColumn="0" w:oddVBand="0" w:evenVBand="0" w:oddHBand="0" w:evenHBand="1" w:firstRowFirstColumn="0" w:firstRowLastColumn="0" w:lastRowFirstColumn="0" w:lastRowLastColumn="0"/>
            </w:pPr>
            <w:r w:rsidRPr="00371401">
              <w:t>259,4</w:t>
            </w:r>
          </w:p>
        </w:tc>
        <w:tc>
          <w:tcPr>
            <w:tcW w:w="993" w:type="dxa"/>
            <w:tcBorders>
              <w:top w:val="single" w:color="auto" w:sz="12" w:space="0"/>
              <w:left w:val="single" w:color="auto" w:sz="12" w:space="0"/>
              <w:bottom w:val="single" w:color="auto" w:sz="12" w:space="0"/>
              <w:right w:val="single" w:color="auto" w:sz="12" w:space="0"/>
            </w:tcBorders>
            <w:shd w:val="clear" w:color="auto" w:fill="BDD6EE"/>
            <w:vAlign w:val="center"/>
          </w:tcPr>
          <w:p w:rsidRPr="00371401" w:rsidR="00DD2A2D" w:rsidP="00371401" w:rsidRDefault="00DD2A2D" w14:paraId="1FBA6AC1" w14:textId="433F0B2F">
            <w:pPr>
              <w:pStyle w:val="Geenafstand"/>
              <w:keepLines/>
              <w:suppressAutoHyphens/>
              <w:spacing w:line="240" w:lineRule="exact"/>
              <w:cnfStyle w:val="000000010000" w:firstRow="0" w:lastRow="0" w:firstColumn="0" w:lastColumn="0" w:oddVBand="0" w:evenVBand="0" w:oddHBand="0" w:evenHBand="1" w:firstRowFirstColumn="0" w:firstRowLastColumn="0" w:lastRowFirstColumn="0" w:lastRowLastColumn="0"/>
            </w:pPr>
            <w:r w:rsidRPr="00371401">
              <w:t>331,5</w:t>
            </w:r>
          </w:p>
        </w:tc>
      </w:tr>
      <w:tr w:rsidRPr="00371401" w:rsidR="00DD2A2D" w:rsidTr="0002343C" w14:paraId="5C870139" w14:textId="7777777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3397" w:type="dxa"/>
            <w:tcBorders>
              <w:top w:val="single" w:color="auto" w:sz="12" w:space="0"/>
              <w:left w:val="single" w:color="auto" w:sz="12" w:space="0"/>
              <w:bottom w:val="single" w:color="auto" w:sz="12" w:space="0"/>
              <w:right w:val="single" w:color="auto" w:sz="12" w:space="0"/>
            </w:tcBorders>
            <w:shd w:val="clear" w:color="auto" w:fill="D9E2F3"/>
            <w:vAlign w:val="center"/>
            <w:hideMark/>
          </w:tcPr>
          <w:p w:rsidRPr="00371401" w:rsidR="00DD2A2D" w:rsidP="00371401" w:rsidRDefault="00DD2A2D" w14:paraId="48E85398" w14:textId="77777777">
            <w:pPr>
              <w:keepLines/>
              <w:suppressAutoHyphens/>
              <w:ind w:left="57"/>
              <w:contextualSpacing/>
              <w:rPr>
                <w:rFonts w:eastAsia="Times New Roman" w:cs="Times New Roman"/>
                <w:b w:val="0"/>
                <w:bCs w:val="0"/>
              </w:rPr>
            </w:pPr>
            <w:r w:rsidRPr="00371401">
              <w:rPr>
                <w:rFonts w:eastAsia="Times New Roman" w:cs="Times New Roman"/>
                <w:b w:val="0"/>
                <w:bCs w:val="0"/>
              </w:rPr>
              <w:t>Uitgaven met arrangement</w:t>
            </w:r>
            <w:r w:rsidRPr="00371401">
              <w:rPr>
                <w:rFonts w:eastAsia="Times New Roman" w:cs="Times New Roman"/>
                <w:b w:val="0"/>
                <w:bCs w:val="0"/>
                <w:vertAlign w:val="superscript"/>
              </w:rPr>
              <w:t>#</w:t>
            </w:r>
          </w:p>
        </w:tc>
        <w:tc>
          <w:tcPr>
            <w:tcW w:w="993" w:type="dxa"/>
            <w:tcBorders>
              <w:top w:val="single" w:color="auto" w:sz="12" w:space="0"/>
              <w:left w:val="single" w:color="auto" w:sz="12" w:space="0"/>
              <w:bottom w:val="single" w:color="auto" w:sz="12" w:space="0"/>
              <w:right w:val="single" w:color="auto" w:sz="12" w:space="0"/>
            </w:tcBorders>
            <w:shd w:val="clear" w:color="auto" w:fill="D9E2F3"/>
            <w:vAlign w:val="center"/>
          </w:tcPr>
          <w:p w:rsidRPr="00371401" w:rsidR="00DD2A2D" w:rsidP="00371401" w:rsidRDefault="00DD2A2D" w14:paraId="13DBBFD2" w14:textId="73C343F3">
            <w:pPr>
              <w:pStyle w:val="Geenafstand"/>
              <w:keepLines/>
              <w:suppressAutoHyphens/>
              <w:spacing w:line="240" w:lineRule="exact"/>
              <w:cnfStyle w:val="000000100000" w:firstRow="0" w:lastRow="0" w:firstColumn="0" w:lastColumn="0" w:oddVBand="0" w:evenVBand="0" w:oddHBand="1" w:evenHBand="0" w:firstRowFirstColumn="0" w:firstRowLastColumn="0" w:lastRowFirstColumn="0" w:lastRowLastColumn="0"/>
            </w:pPr>
            <w:r w:rsidRPr="00371401">
              <w:t>672,4</w:t>
            </w:r>
          </w:p>
        </w:tc>
        <w:tc>
          <w:tcPr>
            <w:tcW w:w="992" w:type="dxa"/>
            <w:tcBorders>
              <w:top w:val="single" w:color="auto" w:sz="12" w:space="0"/>
              <w:left w:val="single" w:color="auto" w:sz="12" w:space="0"/>
              <w:bottom w:val="single" w:color="auto" w:sz="12" w:space="0"/>
              <w:right w:val="single" w:color="auto" w:sz="12" w:space="0"/>
            </w:tcBorders>
            <w:shd w:val="clear" w:color="auto" w:fill="D9E2F3"/>
            <w:vAlign w:val="center"/>
          </w:tcPr>
          <w:p w:rsidRPr="00371401" w:rsidR="00DD2A2D" w:rsidP="00371401" w:rsidRDefault="00DD2A2D" w14:paraId="705A8758" w14:textId="5B3F214F">
            <w:pPr>
              <w:pStyle w:val="Geenafstand"/>
              <w:keepLines/>
              <w:suppressAutoHyphens/>
              <w:spacing w:line="240" w:lineRule="exact"/>
              <w:cnfStyle w:val="000000100000" w:firstRow="0" w:lastRow="0" w:firstColumn="0" w:lastColumn="0" w:oddVBand="0" w:evenVBand="0" w:oddHBand="1" w:evenHBand="0" w:firstRowFirstColumn="0" w:firstRowLastColumn="0" w:lastRowFirstColumn="0" w:lastRowLastColumn="0"/>
            </w:pPr>
            <w:r w:rsidRPr="00371401">
              <w:t>600,5</w:t>
            </w:r>
          </w:p>
        </w:tc>
        <w:tc>
          <w:tcPr>
            <w:tcW w:w="850" w:type="dxa"/>
            <w:tcBorders>
              <w:top w:val="single" w:color="auto" w:sz="12" w:space="0"/>
              <w:left w:val="single" w:color="auto" w:sz="12" w:space="0"/>
              <w:bottom w:val="single" w:color="auto" w:sz="12" w:space="0"/>
              <w:right w:val="single" w:color="auto" w:sz="12" w:space="0"/>
            </w:tcBorders>
            <w:shd w:val="clear" w:color="auto" w:fill="D9E2F3"/>
            <w:vAlign w:val="center"/>
          </w:tcPr>
          <w:p w:rsidRPr="00371401" w:rsidR="00DD2A2D" w:rsidP="00371401" w:rsidRDefault="00DD2A2D" w14:paraId="5C0733AD" w14:textId="7E691ECF">
            <w:pPr>
              <w:pStyle w:val="Geenafstand"/>
              <w:keepLines/>
              <w:suppressAutoHyphens/>
              <w:spacing w:line="240" w:lineRule="exact"/>
              <w:cnfStyle w:val="000000100000" w:firstRow="0" w:lastRow="0" w:firstColumn="0" w:lastColumn="0" w:oddVBand="0" w:evenVBand="0" w:oddHBand="1" w:evenHBand="0" w:firstRowFirstColumn="0" w:firstRowLastColumn="0" w:lastRowFirstColumn="0" w:lastRowLastColumn="0"/>
            </w:pPr>
            <w:r w:rsidRPr="00371401">
              <w:t>460,7</w:t>
            </w:r>
          </w:p>
        </w:tc>
        <w:tc>
          <w:tcPr>
            <w:tcW w:w="993" w:type="dxa"/>
            <w:tcBorders>
              <w:top w:val="single" w:color="auto" w:sz="12" w:space="0"/>
              <w:left w:val="single" w:color="auto" w:sz="12" w:space="0"/>
              <w:bottom w:val="single" w:color="auto" w:sz="12" w:space="0"/>
              <w:right w:val="single" w:color="auto" w:sz="12" w:space="0"/>
            </w:tcBorders>
            <w:shd w:val="clear" w:color="auto" w:fill="D9E2F3"/>
            <w:vAlign w:val="center"/>
          </w:tcPr>
          <w:p w:rsidRPr="00371401" w:rsidR="00DD2A2D" w:rsidP="00371401" w:rsidRDefault="00DD2A2D" w14:paraId="1B5665AB" w14:textId="3D0E6834">
            <w:pPr>
              <w:pStyle w:val="Geenafstand"/>
              <w:keepLines/>
              <w:suppressAutoHyphens/>
              <w:spacing w:line="240" w:lineRule="exact"/>
              <w:cnfStyle w:val="000000100000" w:firstRow="0" w:lastRow="0" w:firstColumn="0" w:lastColumn="0" w:oddVBand="0" w:evenVBand="0" w:oddHBand="1" w:evenHBand="0" w:firstRowFirstColumn="0" w:firstRowLastColumn="0" w:lastRowFirstColumn="0" w:lastRowLastColumn="0"/>
            </w:pPr>
            <w:r w:rsidRPr="00371401">
              <w:t>528,6</w:t>
            </w:r>
          </w:p>
        </w:tc>
      </w:tr>
      <w:tr w:rsidRPr="00371401" w:rsidR="00DD2A2D" w:rsidTr="0002343C" w14:paraId="15961B3C" w14:textId="77777777">
        <w:trPr>
          <w:cnfStyle w:val="000000010000" w:firstRow="0" w:lastRow="0" w:firstColumn="0" w:lastColumn="0" w:oddVBand="0" w:evenVBand="0" w:oddHBand="0" w:evenHBand="1"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3397" w:type="dxa"/>
            <w:tcBorders>
              <w:top w:val="single" w:color="auto" w:sz="12" w:space="0"/>
              <w:left w:val="single" w:color="auto" w:sz="12" w:space="0"/>
              <w:bottom w:val="single" w:color="auto" w:sz="12" w:space="0"/>
              <w:right w:val="single" w:color="auto" w:sz="12" w:space="0"/>
            </w:tcBorders>
            <w:shd w:val="clear" w:color="auto" w:fill="auto"/>
            <w:vAlign w:val="center"/>
            <w:hideMark/>
          </w:tcPr>
          <w:p w:rsidRPr="00371401" w:rsidR="00DD2A2D" w:rsidP="00371401" w:rsidRDefault="00DD2A2D" w14:paraId="4246D913" w14:textId="77777777">
            <w:pPr>
              <w:keepLines/>
              <w:suppressAutoHyphens/>
              <w:ind w:left="57"/>
              <w:contextualSpacing/>
              <w:rPr>
                <w:rFonts w:eastAsia="Times New Roman" w:cs="Times New Roman"/>
              </w:rPr>
            </w:pPr>
            <w:r w:rsidRPr="00371401">
              <w:rPr>
                <w:rFonts w:eastAsia="Times New Roman" w:cs="Times New Roman"/>
              </w:rPr>
              <w:t>Totale uitgavenverlaging</w:t>
            </w:r>
          </w:p>
        </w:tc>
        <w:tc>
          <w:tcPr>
            <w:tcW w:w="993" w:type="dxa"/>
            <w:tcBorders>
              <w:top w:val="single" w:color="auto" w:sz="12" w:space="0"/>
              <w:left w:val="single" w:color="auto" w:sz="12" w:space="0"/>
              <w:bottom w:val="single" w:color="auto" w:sz="12" w:space="0"/>
              <w:right w:val="single" w:color="auto" w:sz="12" w:space="0"/>
            </w:tcBorders>
            <w:shd w:val="clear" w:color="auto" w:fill="auto"/>
            <w:vAlign w:val="center"/>
          </w:tcPr>
          <w:p w:rsidRPr="00371401" w:rsidR="00DD2A2D" w:rsidP="00371401" w:rsidRDefault="00DD2A2D" w14:paraId="330280ED" w14:textId="2A7A51BD">
            <w:pPr>
              <w:pStyle w:val="Geenafstand"/>
              <w:keepLines/>
              <w:suppressAutoHyphens/>
              <w:spacing w:line="240" w:lineRule="exact"/>
              <w:cnfStyle w:val="000000010000" w:firstRow="0" w:lastRow="0" w:firstColumn="0" w:lastColumn="0" w:oddVBand="0" w:evenVBand="0" w:oddHBand="0" w:evenHBand="1" w:firstRowFirstColumn="0" w:firstRowLastColumn="0" w:lastRowFirstColumn="0" w:lastRowLastColumn="0"/>
              <w:rPr>
                <w:b/>
                <w:bCs/>
              </w:rPr>
            </w:pPr>
            <w:r w:rsidRPr="00371401">
              <w:rPr>
                <w:b/>
                <w:bCs/>
              </w:rPr>
              <w:t>600,7</w:t>
            </w:r>
          </w:p>
        </w:tc>
        <w:tc>
          <w:tcPr>
            <w:tcW w:w="992" w:type="dxa"/>
            <w:tcBorders>
              <w:top w:val="single" w:color="auto" w:sz="12" w:space="0"/>
              <w:left w:val="single" w:color="auto" w:sz="12" w:space="0"/>
              <w:bottom w:val="single" w:color="auto" w:sz="12" w:space="0"/>
              <w:right w:val="single" w:color="auto" w:sz="12" w:space="0"/>
            </w:tcBorders>
            <w:shd w:val="clear" w:color="auto" w:fill="auto"/>
            <w:vAlign w:val="center"/>
          </w:tcPr>
          <w:p w:rsidRPr="00371401" w:rsidR="00DD2A2D" w:rsidP="00371401" w:rsidRDefault="00DD2A2D" w14:paraId="0218C178" w14:textId="2C9053E1">
            <w:pPr>
              <w:pStyle w:val="Geenafstand"/>
              <w:keepLines/>
              <w:suppressAutoHyphens/>
              <w:spacing w:line="240" w:lineRule="exact"/>
              <w:cnfStyle w:val="000000010000" w:firstRow="0" w:lastRow="0" w:firstColumn="0" w:lastColumn="0" w:oddVBand="0" w:evenVBand="0" w:oddHBand="0" w:evenHBand="1" w:firstRowFirstColumn="0" w:firstRowLastColumn="0" w:lastRowFirstColumn="0" w:lastRowLastColumn="0"/>
              <w:rPr>
                <w:b/>
                <w:bCs/>
              </w:rPr>
            </w:pPr>
            <w:r w:rsidRPr="00371401">
              <w:rPr>
                <w:b/>
                <w:bCs/>
              </w:rPr>
              <w:t>607,7</w:t>
            </w:r>
          </w:p>
        </w:tc>
        <w:tc>
          <w:tcPr>
            <w:tcW w:w="850" w:type="dxa"/>
            <w:tcBorders>
              <w:top w:val="single" w:color="auto" w:sz="12" w:space="0"/>
              <w:left w:val="single" w:color="auto" w:sz="12" w:space="0"/>
              <w:bottom w:val="single" w:color="auto" w:sz="12" w:space="0"/>
              <w:right w:val="single" w:color="auto" w:sz="12" w:space="0"/>
            </w:tcBorders>
            <w:shd w:val="clear" w:color="auto" w:fill="auto"/>
            <w:vAlign w:val="center"/>
          </w:tcPr>
          <w:p w:rsidRPr="00371401" w:rsidR="00DD2A2D" w:rsidP="00371401" w:rsidRDefault="00DD2A2D" w14:paraId="0AC2C302" w14:textId="5BAD5D20">
            <w:pPr>
              <w:pStyle w:val="Geenafstand"/>
              <w:keepLines/>
              <w:suppressAutoHyphens/>
              <w:spacing w:line="240" w:lineRule="exact"/>
              <w:cnfStyle w:val="000000010000" w:firstRow="0" w:lastRow="0" w:firstColumn="0" w:lastColumn="0" w:oddVBand="0" w:evenVBand="0" w:oddHBand="0" w:evenHBand="1" w:firstRowFirstColumn="0" w:firstRowLastColumn="0" w:lastRowFirstColumn="0" w:lastRowLastColumn="0"/>
              <w:rPr>
                <w:b/>
                <w:bCs/>
              </w:rPr>
            </w:pPr>
            <w:r w:rsidRPr="00371401">
              <w:rPr>
                <w:b/>
                <w:bCs/>
              </w:rPr>
              <w:t>388,4</w:t>
            </w:r>
          </w:p>
        </w:tc>
        <w:tc>
          <w:tcPr>
            <w:tcW w:w="993" w:type="dxa"/>
            <w:tcBorders>
              <w:top w:val="single" w:color="auto" w:sz="12" w:space="0"/>
              <w:left w:val="single" w:color="auto" w:sz="12" w:space="0"/>
              <w:bottom w:val="single" w:color="auto" w:sz="12" w:space="0"/>
              <w:right w:val="single" w:color="auto" w:sz="12" w:space="0"/>
            </w:tcBorders>
            <w:shd w:val="clear" w:color="auto" w:fill="auto"/>
            <w:vAlign w:val="center"/>
          </w:tcPr>
          <w:p w:rsidRPr="00371401" w:rsidR="00DD2A2D" w:rsidP="00371401" w:rsidRDefault="00DD2A2D" w14:paraId="6CBFCFDC" w14:textId="6EE8AD91">
            <w:pPr>
              <w:pStyle w:val="Geenafstand"/>
              <w:keepLines/>
              <w:suppressAutoHyphens/>
              <w:spacing w:line="240" w:lineRule="exact"/>
              <w:cnfStyle w:val="000000010000" w:firstRow="0" w:lastRow="0" w:firstColumn="0" w:lastColumn="0" w:oddVBand="0" w:evenVBand="0" w:oddHBand="0" w:evenHBand="1" w:firstRowFirstColumn="0" w:firstRowLastColumn="0" w:lastRowFirstColumn="0" w:lastRowLastColumn="0"/>
              <w:rPr>
                <w:b/>
                <w:bCs/>
              </w:rPr>
            </w:pPr>
            <w:r w:rsidRPr="00371401">
              <w:rPr>
                <w:b/>
                <w:bCs/>
              </w:rPr>
              <w:t>489,8</w:t>
            </w:r>
          </w:p>
        </w:tc>
      </w:tr>
    </w:tbl>
    <w:p w:rsidRPr="00371401" w:rsidR="00FE6227" w:rsidP="00371401" w:rsidRDefault="00FE6227" w14:paraId="738830DB" w14:textId="79C0E8F9">
      <w:pPr>
        <w:suppressAutoHyphens/>
        <w:rPr>
          <w:rFonts w:eastAsia="Times New Roman" w:cs="Times New Roman"/>
          <w:i/>
        </w:rPr>
      </w:pPr>
      <w:r w:rsidRPr="00371401">
        <w:rPr>
          <w:rFonts w:eastAsia="Times New Roman" w:cs="Times New Roman"/>
          <w:i/>
        </w:rPr>
        <w:t xml:space="preserve">^) Er hebben correcties plaatsgevonden voor deze jaren ten opzichte van de vorige voortgangsbrief. </w:t>
      </w:r>
    </w:p>
    <w:p w:rsidRPr="00371401" w:rsidR="00CC5350" w:rsidP="00371401" w:rsidRDefault="00CC5350" w14:paraId="3A9F7BC7" w14:textId="6FFC5A20">
      <w:pPr>
        <w:keepLines/>
        <w:suppressAutoHyphens/>
        <w:rPr>
          <w:rFonts w:eastAsia="Times New Roman" w:cs="Times New Roman"/>
          <w:i/>
        </w:rPr>
      </w:pPr>
      <w:r w:rsidRPr="00371401">
        <w:rPr>
          <w:rFonts w:eastAsia="Times New Roman" w:cs="Times New Roman"/>
          <w:i/>
        </w:rPr>
        <w:t>*) De bedragen voor 202</w:t>
      </w:r>
      <w:r w:rsidRPr="00371401" w:rsidR="00490E0B">
        <w:rPr>
          <w:rFonts w:eastAsia="Times New Roman" w:cs="Times New Roman"/>
          <w:i/>
        </w:rPr>
        <w:t>4</w:t>
      </w:r>
      <w:r w:rsidRPr="00371401">
        <w:rPr>
          <w:rFonts w:eastAsia="Times New Roman" w:cs="Times New Roman"/>
          <w:i/>
        </w:rPr>
        <w:t xml:space="preserve"> zijn gebaseerd op voorlopige gegevens.</w:t>
      </w:r>
    </w:p>
    <w:p w:rsidRPr="00371401" w:rsidR="00CC5350" w:rsidP="00371401" w:rsidRDefault="00CC5350" w14:paraId="135C56DD" w14:textId="77777777">
      <w:pPr>
        <w:keepLines/>
        <w:suppressAutoHyphens/>
        <w:rPr>
          <w:rFonts w:eastAsia="Times New Roman" w:cs="Times New Roman"/>
          <w:i/>
        </w:rPr>
      </w:pPr>
      <w:r w:rsidRPr="00371401">
        <w:rPr>
          <w:rFonts w:eastAsia="Times New Roman" w:cs="Times New Roman"/>
          <w:vertAlign w:val="superscript"/>
        </w:rPr>
        <w:t>#</w:t>
      </w:r>
      <w:r w:rsidRPr="00371401">
        <w:rPr>
          <w:rFonts w:eastAsia="Times New Roman" w:cs="Times New Roman"/>
        </w:rPr>
        <w:t xml:space="preserve">) </w:t>
      </w:r>
      <w:r w:rsidRPr="00371401">
        <w:rPr>
          <w:rFonts w:eastAsia="Times New Roman" w:cs="Times New Roman"/>
          <w:i/>
          <w:iCs/>
        </w:rPr>
        <w:t>De bedragen zijn inclusief btw.</w:t>
      </w:r>
      <w:r w:rsidRPr="00371401">
        <w:rPr>
          <w:rFonts w:eastAsia="Times New Roman" w:cs="Times New Roman"/>
          <w:i/>
        </w:rPr>
        <w:t xml:space="preserve"> </w:t>
      </w:r>
    </w:p>
    <w:p w:rsidRPr="00371401" w:rsidR="00FB524B" w:rsidP="00371401" w:rsidRDefault="00CC5350" w14:paraId="5350A0CD" w14:textId="6BB8DC44">
      <w:pPr>
        <w:keepLines/>
        <w:suppressAutoHyphens/>
        <w:rPr>
          <w:rFonts w:eastAsia="Times New Roman" w:cs="Times New Roman"/>
          <w:i/>
        </w:rPr>
      </w:pPr>
      <w:r w:rsidRPr="00371401">
        <w:rPr>
          <w:rFonts w:eastAsia="Times New Roman" w:cs="Times New Roman"/>
          <w:i/>
        </w:rPr>
        <w:t>Noot. Door afronding kunnen er kleine verschillen in de optelling ontstaan.</w:t>
      </w:r>
    </w:p>
    <w:p w:rsidRPr="00371401" w:rsidR="001D6A91" w:rsidP="00371401" w:rsidRDefault="001D6A91" w14:paraId="47935A18" w14:textId="77777777">
      <w:pPr>
        <w:suppressAutoHyphens/>
        <w:rPr>
          <w:b/>
        </w:rPr>
      </w:pPr>
    </w:p>
    <w:p w:rsidRPr="00371401" w:rsidR="001D6A91" w:rsidP="00371401" w:rsidRDefault="00F073BD" w14:paraId="2144BD0D" w14:textId="2CCCCAF8">
      <w:pPr>
        <w:suppressAutoHyphens/>
        <w:rPr>
          <w:b/>
        </w:rPr>
      </w:pPr>
      <w:r w:rsidRPr="00371401">
        <w:rPr>
          <w:b/>
        </w:rPr>
        <w:t>4</w:t>
      </w:r>
      <w:r w:rsidRPr="00371401" w:rsidR="00E8155A">
        <w:rPr>
          <w:b/>
        </w:rPr>
        <w:t xml:space="preserve">. </w:t>
      </w:r>
      <w:r w:rsidRPr="00371401" w:rsidR="00CC5350">
        <w:rPr>
          <w:b/>
        </w:rPr>
        <w:t>Transparantie uitkomsten prijsonderhandelingen</w:t>
      </w:r>
    </w:p>
    <w:p w:rsidRPr="00371401" w:rsidR="00332459" w:rsidP="00371401" w:rsidRDefault="00702DFA" w14:paraId="44337E06" w14:textId="327F73A0">
      <w:pPr>
        <w:suppressAutoHyphens/>
      </w:pPr>
      <w:r w:rsidRPr="00371401">
        <w:t xml:space="preserve">Sinds de voortgangsbrief van 2021 </w:t>
      </w:r>
      <w:r w:rsidRPr="00371401" w:rsidR="00DB289E">
        <w:t xml:space="preserve">wordt </w:t>
      </w:r>
      <w:r w:rsidRPr="00371401" w:rsidR="00D15C13">
        <w:t>de</w:t>
      </w:r>
      <w:r w:rsidRPr="00371401">
        <w:t xml:space="preserve"> Kamer aanvullend </w:t>
      </w:r>
      <w:r w:rsidRPr="00371401" w:rsidR="00DB289E">
        <w:t xml:space="preserve">geïnformeerd </w:t>
      </w:r>
      <w:r w:rsidRPr="00371401">
        <w:t xml:space="preserve">over de resultaten van de prijsonderhandelingen voor geneesmiddelen waarover het Zorginstituut </w:t>
      </w:r>
      <w:r w:rsidRPr="00371401" w:rsidR="00DB289E">
        <w:t>heeft geadviseerd</w:t>
      </w:r>
      <w:r w:rsidRPr="00371401">
        <w:t xml:space="preserve">. </w:t>
      </w:r>
    </w:p>
    <w:p w:rsidRPr="00371401" w:rsidR="00841428" w:rsidP="00371401" w:rsidRDefault="00841428" w14:paraId="7A12BD85" w14:textId="77777777">
      <w:pPr>
        <w:suppressAutoHyphens/>
        <w:rPr>
          <w:highlight w:val="yellow"/>
        </w:rPr>
      </w:pPr>
    </w:p>
    <w:p w:rsidRPr="00371401" w:rsidR="00841428" w:rsidP="00371401" w:rsidRDefault="00841428" w14:paraId="43BEDDFF" w14:textId="77777777">
      <w:pPr>
        <w:suppressAutoHyphens/>
        <w:rPr>
          <w:b/>
          <w:bCs/>
        </w:rPr>
      </w:pPr>
      <w:r w:rsidRPr="00371401">
        <w:rPr>
          <w:b/>
          <w:bCs/>
        </w:rPr>
        <w:t>4.1 Kortingsadviezen</w:t>
      </w:r>
    </w:p>
    <w:p w:rsidRPr="00371401" w:rsidR="00841428" w:rsidP="00371401" w:rsidRDefault="00841428" w14:paraId="0C575848" w14:textId="77777777">
      <w:pPr>
        <w:suppressAutoHyphens/>
      </w:pPr>
      <w:r w:rsidRPr="00371401">
        <w:t xml:space="preserve">De kortingsadviezen van het Zorginstituut zijn gebaseerd op schattingen in de kosteneffectiviteitsanalyse. Deze adviezen komen in bepaalde gevallen neer op een expliciet kortingspercentage dat, al dan niet </w:t>
      </w:r>
      <w:r w:rsidRPr="00371401">
        <w:rPr>
          <w:i/>
          <w:iCs/>
        </w:rPr>
        <w:t>minimaal</w:t>
      </w:r>
      <w:r w:rsidRPr="00371401">
        <w:t xml:space="preserve">, behaald zou moeten worden voor een kosteneffectieve inzet. Omdat het een schatting betreft, geldt hierbij doorgaans dat de kans op een daadwerkelijke (niet)-kosteneffectieve inzet in de praktijk 50% is, bij het kortingsadvies dat door het Zorginstituut wordt gegeven. Bij een hoger kortingspercentage stijgt de kans op een kosteneffectieve inzet en bij een lager kortingspercentage daalt de kans op een kosteneffectieve inzet in de praktijk.  </w:t>
      </w:r>
    </w:p>
    <w:p w:rsidRPr="00371401" w:rsidR="00841428" w:rsidP="00371401" w:rsidRDefault="00841428" w14:paraId="0DE27111" w14:textId="77777777">
      <w:pPr>
        <w:suppressAutoHyphens/>
      </w:pPr>
    </w:p>
    <w:p w:rsidRPr="00371401" w:rsidR="00841428" w:rsidP="00371401" w:rsidRDefault="00841428" w14:paraId="4318416A" w14:textId="77777777">
      <w:pPr>
        <w:suppressAutoHyphens/>
      </w:pPr>
      <w:r w:rsidRPr="00371401">
        <w:t xml:space="preserve">Het kabinet beschouwt in deze analyse een (minimaal) geadviseerd kortingspercentage als gerealiseerd wanneer het resultaat van de onderhandeling binnen de marges van het advies van het Zorginstituut valt. Dat betekent dat een gerealiseerd kortingspercentage niet exact overeen hoeft te komen met het geadviseerde percentage. Als bijvoorbeeld een korting van minimaal 60% op de lijstprijs wordt geadviseerd, wordt voldaan aan het Zorginstituut advies wanneer een korting van 60% of hoger is onderhandeld. Als daarentegen een korting van 50% wordt gehaald, wordt niet voldaan aan het Zorginstituut advies. In dat geval is het verschil tussen 50% en 60% een naar verwachting niet-kosteneffectieve inzet. </w:t>
      </w:r>
    </w:p>
    <w:p w:rsidRPr="00371401" w:rsidR="00841428" w:rsidP="00371401" w:rsidRDefault="00841428" w14:paraId="149247BE" w14:textId="77777777">
      <w:pPr>
        <w:suppressAutoHyphens/>
      </w:pPr>
    </w:p>
    <w:p w:rsidRPr="00371401" w:rsidR="00E8155A" w:rsidP="00371401" w:rsidRDefault="00841428" w14:paraId="4B765536" w14:textId="59E484A8">
      <w:pPr>
        <w:suppressAutoHyphens/>
      </w:pPr>
      <w:r w:rsidRPr="00371401">
        <w:t>Op het moment dat niet wordt voldaan aan het kortingsadvies van het Zorginstituut, neemt het risico op niet-kosteneffectieve inzet toe. Dat het geadviseerde kortingspercentage niet in alle gevallen wordt behaald, hangt ermee samen dat het kabinet het in sommige gevallen van belang acht dat patiënten toegang krijgen tot een geneesmiddel dat als effectief is beoordeeld. In die gevallen is besloten om tot op zekere hoogte meer financieel risico te accepteren dan door het Zorginstituut is geadviseerd. Deze geneesmiddelen maken daardoor wel onderdeel uit van het basispakket en zijn daarmee beschikbaar voor patiënten</w:t>
      </w:r>
    </w:p>
    <w:p w:rsidRPr="00371401" w:rsidR="00527C61" w:rsidP="00371401" w:rsidRDefault="00527C61" w14:paraId="76668C43" w14:textId="5B1AF709">
      <w:pPr>
        <w:suppressAutoHyphens/>
      </w:pPr>
    </w:p>
    <w:p w:rsidRPr="00371401" w:rsidR="00345370" w:rsidP="00371401" w:rsidRDefault="00527C61" w14:paraId="7F4F037B" w14:textId="3BA39D13">
      <w:pPr>
        <w:suppressAutoHyphens/>
      </w:pPr>
      <w:r w:rsidRPr="00371401">
        <w:t>Het Zorginstituut geeft niet altijd een</w:t>
      </w:r>
      <w:r w:rsidRPr="00371401" w:rsidR="000B2B7C">
        <w:t xml:space="preserve"> (concreet)</w:t>
      </w:r>
      <w:r w:rsidRPr="00371401">
        <w:t xml:space="preserve"> kortingsadvies af</w:t>
      </w:r>
      <w:r w:rsidRPr="00371401" w:rsidR="00CD03E5">
        <w:t>. Hiervoor zijn verschillende redenen</w:t>
      </w:r>
      <w:r w:rsidRPr="00371401">
        <w:t xml:space="preserve"> bijvoorbeeld </w:t>
      </w:r>
      <w:r w:rsidRPr="00371401" w:rsidR="00CD03E5">
        <w:t xml:space="preserve">omdat het </w:t>
      </w:r>
      <w:r w:rsidRPr="00371401">
        <w:t xml:space="preserve">niet mogelijk is om een kosteneffectiviteitsanalyse te doen of omdat de uitkomsten van de kosteneffectiviteitsanalyse zeer onzeker zijn. Ook </w:t>
      </w:r>
      <w:r w:rsidRPr="00371401" w:rsidR="00312576">
        <w:t xml:space="preserve">is </w:t>
      </w:r>
      <w:r w:rsidRPr="00371401">
        <w:t xml:space="preserve">in sommige gevallen het </w:t>
      </w:r>
      <w:r w:rsidRPr="00371401">
        <w:lastRenderedPageBreak/>
        <w:t xml:space="preserve">kortingsadvies van het Zorginstituut niet concreet. </w:t>
      </w:r>
      <w:r w:rsidRPr="00371401" w:rsidR="00702DFA">
        <w:t>Voor deze geneesmiddelen en indicaties, die</w:t>
      </w:r>
      <w:r w:rsidRPr="00371401" w:rsidR="000B2B7C">
        <w:t xml:space="preserve"> vooralsnog</w:t>
      </w:r>
      <w:r w:rsidRPr="00371401" w:rsidR="00702DFA">
        <w:t xml:space="preserve"> het merendeel van de bruto en netto uitgaven vertegenwoordigen, is het</w:t>
      </w:r>
      <w:r w:rsidRPr="00371401" w:rsidR="007B2BCC">
        <w:t xml:space="preserve"> dan ook</w:t>
      </w:r>
      <w:r w:rsidRPr="00371401" w:rsidR="00702DFA">
        <w:t xml:space="preserve"> niet mogelijk om te analyseren of aan het Zorginstituut advies wordt voldaan.</w:t>
      </w:r>
      <w:r w:rsidRPr="00371401" w:rsidR="007B2BCC">
        <w:t xml:space="preserve"> De resultaten voor beide groepen worden in de paragrafen </w:t>
      </w:r>
      <w:r w:rsidRPr="00371401" w:rsidR="007156B5">
        <w:t xml:space="preserve">4.2 en 4.3 </w:t>
      </w:r>
      <w:r w:rsidRPr="00371401" w:rsidR="007B2BCC">
        <w:t>uiteengezet.</w:t>
      </w:r>
    </w:p>
    <w:p w:rsidRPr="00371401" w:rsidR="00345370" w:rsidP="00371401" w:rsidRDefault="00345370" w14:paraId="0ECDBB38" w14:textId="3B1637D9">
      <w:pPr>
        <w:suppressAutoHyphens/>
        <w:spacing w:line="240" w:lineRule="auto"/>
      </w:pPr>
    </w:p>
    <w:p w:rsidRPr="00371401" w:rsidR="008A7042" w:rsidP="00371401" w:rsidRDefault="008A7042" w14:paraId="13A2401D" w14:textId="6A5E18EF">
      <w:pPr>
        <w:suppressAutoHyphens/>
        <w:rPr>
          <w:rFonts w:eastAsia="Times New Roman" w:cs="Times New Roman"/>
          <w:b/>
          <w:color w:val="000000" w:themeColor="text1"/>
        </w:rPr>
      </w:pPr>
      <w:r w:rsidRPr="00371401">
        <w:rPr>
          <w:rFonts w:eastAsia="Times New Roman" w:cs="Times New Roman"/>
          <w:b/>
          <w:color w:val="000000" w:themeColor="text1"/>
        </w:rPr>
        <w:t>4.</w:t>
      </w:r>
      <w:r w:rsidRPr="00371401" w:rsidR="000225E0">
        <w:rPr>
          <w:rFonts w:eastAsia="Times New Roman" w:cs="Times New Roman"/>
          <w:b/>
          <w:color w:val="000000" w:themeColor="text1"/>
        </w:rPr>
        <w:t>2</w:t>
      </w:r>
      <w:r w:rsidRPr="00371401">
        <w:rPr>
          <w:rFonts w:eastAsia="Times New Roman" w:cs="Times New Roman"/>
          <w:b/>
          <w:color w:val="000000" w:themeColor="text1"/>
        </w:rPr>
        <w:t xml:space="preserve"> Uitgavenverlaging met concreet kortingsadvies</w:t>
      </w:r>
    </w:p>
    <w:p w:rsidRPr="00371401" w:rsidR="008A7042" w:rsidP="00371401" w:rsidRDefault="000225E0" w14:paraId="4DEB341D" w14:textId="651568AC">
      <w:pPr>
        <w:suppressAutoHyphens/>
      </w:pPr>
      <w:r w:rsidRPr="00371401">
        <w:t xml:space="preserve">Ter bevordering van de transparantie kiest het kabinet </w:t>
      </w:r>
      <w:r w:rsidRPr="00371401" w:rsidR="00AD546F">
        <w:t>ervoor</w:t>
      </w:r>
      <w:r w:rsidRPr="00371401">
        <w:t xml:space="preserve"> om de uitgavenverlagingen afzonderlijk te presenteren voor geneesmiddelen (indicaties) waarvoor het Zorginstituut een concreet kortingsadvies heeft gegeven en voor geneesmiddelen (indicaties) waarvoor dit niet het geval is. </w:t>
      </w:r>
      <w:r w:rsidRPr="00371401" w:rsidR="00F22B79">
        <w:t xml:space="preserve">In tabel </w:t>
      </w:r>
      <w:r w:rsidRPr="00371401" w:rsidR="0099409B">
        <w:t>2</w:t>
      </w:r>
      <w:r w:rsidRPr="00371401" w:rsidR="00F22B79">
        <w:t xml:space="preserve"> staan de uitgaven, met en zonder arrangement, voor de geneesmiddelen en hun specifieke indicaties waarvoor </w:t>
      </w:r>
      <w:r w:rsidRPr="00371401" w:rsidR="00E96427">
        <w:rPr>
          <w:u w:val="single"/>
        </w:rPr>
        <w:t>wel</w:t>
      </w:r>
      <w:r w:rsidRPr="00371401" w:rsidR="00F22B79">
        <w:t xml:space="preserve"> een concreet kortingsadvies is gegeven</w:t>
      </w:r>
      <w:r w:rsidRPr="00371401" w:rsidR="00E96427">
        <w:t xml:space="preserve"> door het Zorginstituut</w:t>
      </w:r>
      <w:r w:rsidRPr="00371401" w:rsidR="00F22B79">
        <w:t xml:space="preserve">. </w:t>
      </w:r>
      <w:r w:rsidRPr="00371401" w:rsidR="00F41D8E">
        <w:t>Voor deze specifieke geneesmiddelen(indicaties) is het</w:t>
      </w:r>
      <w:r w:rsidRPr="00371401" w:rsidR="00BF1481">
        <w:t xml:space="preserve"> daardoor</w:t>
      </w:r>
      <w:r w:rsidRPr="00371401" w:rsidR="00F41D8E">
        <w:t xml:space="preserve"> wel mogelijk om een vergelijking te maken van de behaalde resultaten ten opzichte van het Zorginstituut advies. </w:t>
      </w:r>
      <w:r w:rsidRPr="00371401" w:rsidR="008A7042">
        <w:t xml:space="preserve">Onderaan de tabel is een extra rij met gegevens toegevoegd. Deze bevat het specifieke deel van de uitgaven dat </w:t>
      </w:r>
      <w:r w:rsidRPr="00371401" w:rsidR="007156B5">
        <w:t xml:space="preserve">naar verwachting </w:t>
      </w:r>
      <w:r w:rsidRPr="00371401" w:rsidR="008A7042">
        <w:t>niet doelmatig wordt ingezet doordat een niet-kosteneffectieve prijs is geaccepteerd.</w:t>
      </w:r>
    </w:p>
    <w:p w:rsidRPr="00371401" w:rsidR="008A7042" w:rsidP="00371401" w:rsidRDefault="008A7042" w14:paraId="424A4A96" w14:textId="77777777">
      <w:pPr>
        <w:suppressAutoHyphens/>
      </w:pPr>
    </w:p>
    <w:p w:rsidRPr="00371401" w:rsidR="008A7042" w:rsidP="00371401" w:rsidRDefault="008A7042" w14:paraId="4EED4891" w14:textId="6D245954">
      <w:pPr>
        <w:suppressAutoHyphens/>
      </w:pPr>
      <w:r w:rsidRPr="00371401">
        <w:t>De niet-kosteneffectieve uitgaven zijn berekend door voor alle arrangementen waarvoor het (minimale) kortingsadvies van het Zorginstituut niet is gehaald, het verschil op te tellen tussen de uitgaven op basis van het advies van het Zorginstituut en de uitgaven met arrangement. In de analyse zijn arrangementen opgenomen met gezamenlijke uitgaven zonder arrangement van € 709,9 mln. excl. btw in 2024 van het totaal van € 2.042,7 mln. excl. btw aan uitgaven zonder arrangement in 2024. Dit laatste bedrag correspondeert met de € 2.226,5 incl. btw die voor 2024 is gerapporteerd in tabel 1</w:t>
      </w:r>
      <w:r w:rsidRPr="00371401">
        <w:rPr>
          <w:rStyle w:val="Voetnootmarkering"/>
        </w:rPr>
        <w:footnoteReference w:id="8"/>
      </w:r>
      <w:r w:rsidRPr="00371401">
        <w:t>.</w:t>
      </w:r>
    </w:p>
    <w:p w:rsidRPr="00371401" w:rsidR="002869F3" w:rsidP="00371401" w:rsidRDefault="002869F3" w14:paraId="54E00ACE" w14:textId="77777777">
      <w:pPr>
        <w:suppressAutoHyphens/>
      </w:pPr>
    </w:p>
    <w:p w:rsidRPr="00371401" w:rsidR="005E5C24" w:rsidP="00371401" w:rsidRDefault="008A7042" w14:paraId="53605EB3" w14:textId="2B372EC4">
      <w:pPr>
        <w:suppressAutoHyphens/>
        <w:rPr>
          <w:rFonts w:eastAsia="Times New Roman" w:cs="Times New Roman"/>
          <w:b/>
        </w:rPr>
      </w:pPr>
      <w:r w:rsidRPr="00371401">
        <w:rPr>
          <w:rFonts w:eastAsia="Times New Roman" w:cs="Times New Roman"/>
          <w:b/>
        </w:rPr>
        <w:t xml:space="preserve">Tabel </w:t>
      </w:r>
      <w:r w:rsidRPr="00371401" w:rsidR="0099409B">
        <w:rPr>
          <w:rFonts w:eastAsia="Times New Roman" w:cs="Times New Roman"/>
          <w:b/>
        </w:rPr>
        <w:t>2</w:t>
      </w:r>
      <w:r w:rsidRPr="00371401">
        <w:rPr>
          <w:rFonts w:eastAsia="Times New Roman" w:cs="Times New Roman"/>
          <w:b/>
        </w:rPr>
        <w:t>. Kwantificering van het risico op (naar verwachting) niet-kosteneffectieve uitgaven in de praktijk (in miljoenen € excl. btw)</w:t>
      </w:r>
    </w:p>
    <w:tbl>
      <w:tblPr>
        <w:tblStyle w:val="Gemiddeldearcering1-accent1"/>
        <w:tblW w:w="757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57" w:type="dxa"/>
          <w:right w:w="57" w:type="dxa"/>
        </w:tblCellMar>
        <w:tblLook w:val="04A0" w:firstRow="1" w:lastRow="0" w:firstColumn="1" w:lastColumn="0" w:noHBand="0" w:noVBand="1"/>
      </w:tblPr>
      <w:tblGrid>
        <w:gridCol w:w="2921"/>
        <w:gridCol w:w="1163"/>
        <w:gridCol w:w="1163"/>
        <w:gridCol w:w="1163"/>
        <w:gridCol w:w="1164"/>
      </w:tblGrid>
      <w:tr w:rsidRPr="00371401" w:rsidR="0002343C" w:rsidTr="00A334B4" w14:paraId="6026BD02"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21" w:type="dxa"/>
            <w:tcBorders>
              <w:top w:val="none" w:color="auto" w:sz="0" w:space="0"/>
              <w:left w:val="none" w:color="auto" w:sz="0" w:space="0"/>
              <w:bottom w:val="single" w:color="auto" w:sz="12" w:space="0"/>
              <w:right w:val="none" w:color="auto" w:sz="0" w:space="0"/>
            </w:tcBorders>
            <w:shd w:val="clear" w:color="auto" w:fill="FFFFFF" w:themeFill="background1"/>
            <w:vAlign w:val="center"/>
            <w:hideMark/>
          </w:tcPr>
          <w:p w:rsidRPr="00371401" w:rsidR="005E5C24" w:rsidP="00371401" w:rsidRDefault="005E5C24" w14:paraId="216FFAB5" w14:textId="77777777">
            <w:pPr>
              <w:suppressAutoHyphens/>
              <w:ind w:left="57"/>
              <w:contextualSpacing/>
              <w:rPr>
                <w:rFonts w:eastAsia="Times New Roman" w:cs="Times New Roman"/>
                <w:color w:val="auto"/>
              </w:rPr>
            </w:pPr>
            <w:r w:rsidRPr="00371401">
              <w:rPr>
                <w:color w:val="auto"/>
                <w:kern w:val="24"/>
              </w:rPr>
              <w:t>Bedragen</w:t>
            </w:r>
          </w:p>
        </w:tc>
        <w:tc>
          <w:tcPr>
            <w:tcW w:w="1163" w:type="dxa"/>
            <w:tcBorders>
              <w:top w:val="none" w:color="auto" w:sz="0" w:space="0"/>
              <w:left w:val="none" w:color="auto" w:sz="0" w:space="0"/>
              <w:bottom w:val="single" w:color="auto" w:sz="12" w:space="0"/>
              <w:right w:val="none" w:color="auto" w:sz="0" w:space="0"/>
            </w:tcBorders>
            <w:shd w:val="clear" w:color="auto" w:fill="FFFFFF" w:themeFill="background1"/>
            <w:vAlign w:val="center"/>
          </w:tcPr>
          <w:p w:rsidRPr="00371401" w:rsidR="005E5C24" w:rsidP="00371401" w:rsidRDefault="005E5C24" w14:paraId="5FF1B7BC" w14:textId="77777777">
            <w:pPr>
              <w:suppressAutoHyphens/>
              <w:ind w:left="34"/>
              <w:contextualSpacing/>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371401">
              <w:rPr>
                <w:color w:val="auto"/>
              </w:rPr>
              <w:t>2021</w:t>
            </w:r>
          </w:p>
        </w:tc>
        <w:tc>
          <w:tcPr>
            <w:tcW w:w="1163" w:type="dxa"/>
            <w:tcBorders>
              <w:top w:val="none" w:color="auto" w:sz="0" w:space="0"/>
              <w:left w:val="none" w:color="auto" w:sz="0" w:space="0"/>
              <w:bottom w:val="single" w:color="auto" w:sz="12" w:space="0"/>
              <w:right w:val="none" w:color="auto" w:sz="0" w:space="0"/>
            </w:tcBorders>
            <w:shd w:val="clear" w:color="auto" w:fill="FFFFFF" w:themeFill="background1"/>
            <w:vAlign w:val="center"/>
          </w:tcPr>
          <w:p w:rsidRPr="00371401" w:rsidR="005E5C24" w:rsidP="00371401" w:rsidRDefault="005E5C24" w14:paraId="57229A29" w14:textId="77777777">
            <w:pPr>
              <w:suppressAutoHyphens/>
              <w:ind w:left="34"/>
              <w:contextualSpacing/>
              <w:cnfStyle w:val="100000000000" w:firstRow="1" w:lastRow="0" w:firstColumn="0" w:lastColumn="0" w:oddVBand="0" w:evenVBand="0" w:oddHBand="0" w:evenHBand="0" w:firstRowFirstColumn="0" w:firstRowLastColumn="0" w:lastRowFirstColumn="0" w:lastRowLastColumn="0"/>
              <w:rPr>
                <w:rFonts w:eastAsia="Times New Roman" w:cs="Times New Roman"/>
                <w:i/>
                <w:color w:val="auto"/>
              </w:rPr>
            </w:pPr>
            <w:r w:rsidRPr="00371401">
              <w:rPr>
                <w:color w:val="auto"/>
              </w:rPr>
              <w:t>2022</w:t>
            </w:r>
          </w:p>
        </w:tc>
        <w:tc>
          <w:tcPr>
            <w:tcW w:w="1163" w:type="dxa"/>
            <w:tcBorders>
              <w:top w:val="none" w:color="auto" w:sz="0" w:space="0"/>
              <w:left w:val="none" w:color="auto" w:sz="0" w:space="0"/>
              <w:bottom w:val="single" w:color="auto" w:sz="12" w:space="0"/>
              <w:right w:val="none" w:color="auto" w:sz="0" w:space="0"/>
            </w:tcBorders>
            <w:shd w:val="clear" w:color="auto" w:fill="FFFFFF" w:themeFill="background1"/>
            <w:vAlign w:val="center"/>
          </w:tcPr>
          <w:p w:rsidRPr="00371401" w:rsidR="005E5C24" w:rsidP="00371401" w:rsidRDefault="005E5C24" w14:paraId="65810231" w14:textId="77777777">
            <w:pPr>
              <w:suppressAutoHyphens/>
              <w:ind w:left="34"/>
              <w:contextualSpacing/>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371401">
              <w:rPr>
                <w:color w:val="auto"/>
              </w:rPr>
              <w:t>2023^</w:t>
            </w:r>
          </w:p>
        </w:tc>
        <w:tc>
          <w:tcPr>
            <w:tcW w:w="1164" w:type="dxa"/>
            <w:tcBorders>
              <w:top w:val="none" w:color="auto" w:sz="0" w:space="0"/>
              <w:left w:val="none" w:color="auto" w:sz="0" w:space="0"/>
              <w:bottom w:val="single" w:color="auto" w:sz="12" w:space="0"/>
              <w:right w:val="none" w:color="auto" w:sz="0" w:space="0"/>
            </w:tcBorders>
            <w:shd w:val="clear" w:color="auto" w:fill="FFFFFF" w:themeFill="background1"/>
            <w:vAlign w:val="center"/>
          </w:tcPr>
          <w:p w:rsidRPr="00371401" w:rsidR="005E5C24" w:rsidP="00371401" w:rsidRDefault="005E5C24" w14:paraId="213DEFD7" w14:textId="77777777">
            <w:pPr>
              <w:suppressAutoHyphens/>
              <w:ind w:left="57"/>
              <w:contextualSpacing/>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371401">
              <w:rPr>
                <w:color w:val="auto"/>
              </w:rPr>
              <w:t>2024*</w:t>
            </w:r>
          </w:p>
        </w:tc>
      </w:tr>
      <w:tr w:rsidRPr="00371401" w:rsidR="005E5C24" w:rsidTr="00A334B4" w14:paraId="1F705B72"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21" w:type="dxa"/>
            <w:tcBorders>
              <w:top w:val="single" w:color="auto" w:sz="12" w:space="0"/>
              <w:left w:val="single" w:color="auto" w:sz="12" w:space="0"/>
              <w:bottom w:val="single" w:color="auto" w:sz="12" w:space="0"/>
              <w:right w:val="single" w:color="auto" w:sz="12" w:space="0"/>
            </w:tcBorders>
            <w:shd w:val="clear" w:color="auto" w:fill="8EAADB"/>
            <w:vAlign w:val="center"/>
            <w:hideMark/>
          </w:tcPr>
          <w:p w:rsidRPr="00371401" w:rsidR="005E5C24" w:rsidP="00371401" w:rsidRDefault="005E5C24" w14:paraId="492DCE84" w14:textId="77777777">
            <w:pPr>
              <w:suppressAutoHyphens/>
              <w:ind w:left="57"/>
              <w:contextualSpacing/>
              <w:rPr>
                <w:rFonts w:eastAsia="Times New Roman" w:cs="Times New Roman"/>
                <w:b w:val="0"/>
                <w:bCs w:val="0"/>
              </w:rPr>
            </w:pPr>
            <w:r w:rsidRPr="00371401">
              <w:rPr>
                <w:b w:val="0"/>
                <w:bCs w:val="0"/>
                <w:kern w:val="24"/>
              </w:rPr>
              <w:t>Uitgaven zonder arrangement</w:t>
            </w:r>
          </w:p>
        </w:tc>
        <w:tc>
          <w:tcPr>
            <w:tcW w:w="1163" w:type="dxa"/>
            <w:tcBorders>
              <w:top w:val="single" w:color="auto" w:sz="12" w:space="0"/>
              <w:left w:val="single" w:color="auto" w:sz="12" w:space="0"/>
              <w:bottom w:val="single" w:color="auto" w:sz="12" w:space="0"/>
              <w:right w:val="single" w:color="auto" w:sz="12" w:space="0"/>
            </w:tcBorders>
            <w:shd w:val="clear" w:color="auto" w:fill="8EAADB"/>
            <w:vAlign w:val="center"/>
          </w:tcPr>
          <w:p w:rsidRPr="00371401" w:rsidR="005E5C24" w:rsidP="00371401" w:rsidRDefault="005E5C24" w14:paraId="7D588128" w14:textId="77777777">
            <w:pPr>
              <w:pStyle w:val="Geenafstand"/>
              <w:suppressAutoHyphens/>
              <w:spacing w:line="240" w:lineRule="exact"/>
              <w:cnfStyle w:val="000000100000" w:firstRow="0" w:lastRow="0" w:firstColumn="0" w:lastColumn="0" w:oddVBand="0" w:evenVBand="0" w:oddHBand="1" w:evenHBand="0" w:firstRowFirstColumn="0" w:firstRowLastColumn="0" w:lastRowFirstColumn="0" w:lastRowLastColumn="0"/>
              <w:rPr>
                <w:b/>
              </w:rPr>
            </w:pPr>
            <w:r w:rsidRPr="00371401">
              <w:t>438,6</w:t>
            </w:r>
          </w:p>
        </w:tc>
        <w:tc>
          <w:tcPr>
            <w:tcW w:w="1163" w:type="dxa"/>
            <w:tcBorders>
              <w:top w:val="single" w:color="auto" w:sz="12" w:space="0"/>
              <w:left w:val="single" w:color="auto" w:sz="12" w:space="0"/>
              <w:bottom w:val="single" w:color="auto" w:sz="12" w:space="0"/>
              <w:right w:val="single" w:color="auto" w:sz="12" w:space="0"/>
            </w:tcBorders>
            <w:shd w:val="clear" w:color="auto" w:fill="8EAADB"/>
            <w:vAlign w:val="center"/>
          </w:tcPr>
          <w:p w:rsidRPr="00371401" w:rsidR="005E5C24" w:rsidP="00371401" w:rsidRDefault="005E5C24" w14:paraId="475FC841" w14:textId="77777777">
            <w:pPr>
              <w:pStyle w:val="Geenafstand"/>
              <w:suppressAutoHyphens/>
              <w:spacing w:line="240" w:lineRule="exact"/>
              <w:cnfStyle w:val="000000100000" w:firstRow="0" w:lastRow="0" w:firstColumn="0" w:lastColumn="0" w:oddVBand="0" w:evenVBand="0" w:oddHBand="1" w:evenHBand="0" w:firstRowFirstColumn="0" w:firstRowLastColumn="0" w:lastRowFirstColumn="0" w:lastRowLastColumn="0"/>
              <w:rPr>
                <w:b/>
              </w:rPr>
            </w:pPr>
            <w:r w:rsidRPr="00371401">
              <w:t>642,9</w:t>
            </w:r>
          </w:p>
        </w:tc>
        <w:tc>
          <w:tcPr>
            <w:tcW w:w="1163" w:type="dxa"/>
            <w:tcBorders>
              <w:top w:val="single" w:color="auto" w:sz="12" w:space="0"/>
              <w:left w:val="single" w:color="auto" w:sz="12" w:space="0"/>
              <w:bottom w:val="single" w:color="auto" w:sz="12" w:space="0"/>
              <w:right w:val="single" w:color="auto" w:sz="12" w:space="0"/>
            </w:tcBorders>
            <w:shd w:val="clear" w:color="auto" w:fill="8EAADB"/>
            <w:vAlign w:val="center"/>
          </w:tcPr>
          <w:p w:rsidRPr="00371401" w:rsidR="005E5C24" w:rsidP="00371401" w:rsidRDefault="005E5C24" w14:paraId="40922EAB" w14:textId="77777777">
            <w:pPr>
              <w:pStyle w:val="Geenafstand"/>
              <w:suppressAutoHyphens/>
              <w:spacing w:line="240" w:lineRule="exact"/>
              <w:cnfStyle w:val="000000100000" w:firstRow="0" w:lastRow="0" w:firstColumn="0" w:lastColumn="0" w:oddVBand="0" w:evenVBand="0" w:oddHBand="1" w:evenHBand="0" w:firstRowFirstColumn="0" w:firstRowLastColumn="0" w:lastRowFirstColumn="0" w:lastRowLastColumn="0"/>
              <w:rPr>
                <w:b/>
              </w:rPr>
            </w:pPr>
            <w:r w:rsidRPr="00371401">
              <w:t>696,8</w:t>
            </w:r>
          </w:p>
        </w:tc>
        <w:tc>
          <w:tcPr>
            <w:tcW w:w="1164" w:type="dxa"/>
            <w:tcBorders>
              <w:top w:val="single" w:color="auto" w:sz="12" w:space="0"/>
              <w:left w:val="single" w:color="auto" w:sz="12" w:space="0"/>
              <w:bottom w:val="single" w:color="auto" w:sz="12" w:space="0"/>
              <w:right w:val="single" w:color="auto" w:sz="12" w:space="0"/>
            </w:tcBorders>
            <w:shd w:val="clear" w:color="auto" w:fill="8EAADB"/>
            <w:vAlign w:val="center"/>
          </w:tcPr>
          <w:p w:rsidRPr="00371401" w:rsidR="005E5C24" w:rsidP="00371401" w:rsidRDefault="005E5C24" w14:paraId="431533C8" w14:textId="77777777">
            <w:pPr>
              <w:pStyle w:val="Geenafstand"/>
              <w:suppressAutoHyphens/>
              <w:spacing w:line="240" w:lineRule="exact"/>
              <w:cnfStyle w:val="000000100000" w:firstRow="0" w:lastRow="0" w:firstColumn="0" w:lastColumn="0" w:oddVBand="0" w:evenVBand="0" w:oddHBand="1" w:evenHBand="0" w:firstRowFirstColumn="0" w:firstRowLastColumn="0" w:lastRowFirstColumn="0" w:lastRowLastColumn="0"/>
              <w:rPr>
                <w:b/>
              </w:rPr>
            </w:pPr>
            <w:r w:rsidRPr="00371401">
              <w:t>709,9</w:t>
            </w:r>
          </w:p>
        </w:tc>
      </w:tr>
      <w:tr w:rsidRPr="00371401" w:rsidR="005E5C24" w:rsidTr="00A334B4" w14:paraId="16264D73" w14:textId="77777777">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21" w:type="dxa"/>
            <w:tcBorders>
              <w:top w:val="single" w:color="auto" w:sz="12" w:space="0"/>
              <w:left w:val="single" w:color="auto" w:sz="12" w:space="0"/>
              <w:bottom w:val="single" w:color="auto" w:sz="12" w:space="0"/>
              <w:right w:val="single" w:color="auto" w:sz="12" w:space="0"/>
            </w:tcBorders>
            <w:shd w:val="clear" w:color="auto" w:fill="BDD6EE"/>
            <w:vAlign w:val="center"/>
            <w:hideMark/>
          </w:tcPr>
          <w:p w:rsidRPr="00371401" w:rsidR="005E5C24" w:rsidP="00371401" w:rsidRDefault="005E5C24" w14:paraId="3470EB72" w14:textId="77777777">
            <w:pPr>
              <w:suppressAutoHyphens/>
              <w:ind w:left="57"/>
              <w:contextualSpacing/>
              <w:rPr>
                <w:rFonts w:eastAsia="Times New Roman" w:cs="Times New Roman"/>
                <w:b w:val="0"/>
                <w:bCs w:val="0"/>
              </w:rPr>
            </w:pPr>
            <w:r w:rsidRPr="00371401">
              <w:rPr>
                <w:b w:val="0"/>
                <w:bCs w:val="0"/>
                <w:kern w:val="24"/>
              </w:rPr>
              <w:t>Uitgaven met arrangement</w:t>
            </w:r>
          </w:p>
        </w:tc>
        <w:tc>
          <w:tcPr>
            <w:tcW w:w="1163" w:type="dxa"/>
            <w:tcBorders>
              <w:top w:val="single" w:color="auto" w:sz="12" w:space="0"/>
              <w:left w:val="single" w:color="auto" w:sz="12" w:space="0"/>
              <w:bottom w:val="single" w:color="auto" w:sz="12" w:space="0"/>
              <w:right w:val="single" w:color="auto" w:sz="12" w:space="0"/>
            </w:tcBorders>
            <w:shd w:val="clear" w:color="auto" w:fill="BDD6EE"/>
            <w:vAlign w:val="center"/>
          </w:tcPr>
          <w:p w:rsidRPr="00371401" w:rsidR="005E5C24" w:rsidP="00371401" w:rsidRDefault="005E5C24" w14:paraId="6B0555BE" w14:textId="77777777">
            <w:pPr>
              <w:pStyle w:val="Geenafstand"/>
              <w:suppressAutoHyphens/>
              <w:spacing w:line="240" w:lineRule="exact"/>
              <w:cnfStyle w:val="000000010000" w:firstRow="0" w:lastRow="0" w:firstColumn="0" w:lastColumn="0" w:oddVBand="0" w:evenVBand="0" w:oddHBand="0" w:evenHBand="1" w:firstRowFirstColumn="0" w:firstRowLastColumn="0" w:lastRowFirstColumn="0" w:lastRowLastColumn="0"/>
            </w:pPr>
            <w:r w:rsidRPr="00371401">
              <w:t>275,5</w:t>
            </w:r>
          </w:p>
        </w:tc>
        <w:tc>
          <w:tcPr>
            <w:tcW w:w="1163" w:type="dxa"/>
            <w:tcBorders>
              <w:top w:val="single" w:color="auto" w:sz="12" w:space="0"/>
              <w:left w:val="single" w:color="auto" w:sz="12" w:space="0"/>
              <w:bottom w:val="single" w:color="auto" w:sz="12" w:space="0"/>
              <w:right w:val="single" w:color="auto" w:sz="12" w:space="0"/>
            </w:tcBorders>
            <w:shd w:val="clear" w:color="auto" w:fill="BDD6EE"/>
            <w:vAlign w:val="center"/>
          </w:tcPr>
          <w:p w:rsidRPr="00371401" w:rsidR="005E5C24" w:rsidP="00371401" w:rsidRDefault="005E5C24" w14:paraId="46B7585A" w14:textId="77777777">
            <w:pPr>
              <w:pStyle w:val="Geenafstand"/>
              <w:suppressAutoHyphens/>
              <w:spacing w:line="240" w:lineRule="exact"/>
              <w:cnfStyle w:val="000000010000" w:firstRow="0" w:lastRow="0" w:firstColumn="0" w:lastColumn="0" w:oddVBand="0" w:evenVBand="0" w:oddHBand="0" w:evenHBand="1" w:firstRowFirstColumn="0" w:firstRowLastColumn="0" w:lastRowFirstColumn="0" w:lastRowLastColumn="0"/>
            </w:pPr>
            <w:r w:rsidRPr="00371401">
              <w:t>366,4</w:t>
            </w:r>
          </w:p>
        </w:tc>
        <w:tc>
          <w:tcPr>
            <w:tcW w:w="1163" w:type="dxa"/>
            <w:tcBorders>
              <w:top w:val="single" w:color="auto" w:sz="12" w:space="0"/>
              <w:left w:val="single" w:color="auto" w:sz="12" w:space="0"/>
              <w:bottom w:val="single" w:color="auto" w:sz="12" w:space="0"/>
              <w:right w:val="single" w:color="auto" w:sz="12" w:space="0"/>
            </w:tcBorders>
            <w:shd w:val="clear" w:color="auto" w:fill="BDD6EE"/>
            <w:vAlign w:val="center"/>
          </w:tcPr>
          <w:p w:rsidRPr="00371401" w:rsidR="005E5C24" w:rsidP="00371401" w:rsidRDefault="005E5C24" w14:paraId="02C55821" w14:textId="77777777">
            <w:pPr>
              <w:pStyle w:val="Geenafstand"/>
              <w:suppressAutoHyphens/>
              <w:spacing w:line="240" w:lineRule="exact"/>
              <w:cnfStyle w:val="000000010000" w:firstRow="0" w:lastRow="0" w:firstColumn="0" w:lastColumn="0" w:oddVBand="0" w:evenVBand="0" w:oddHBand="0" w:evenHBand="1" w:firstRowFirstColumn="0" w:firstRowLastColumn="0" w:lastRowFirstColumn="0" w:lastRowLastColumn="0"/>
            </w:pPr>
            <w:r w:rsidRPr="00371401">
              <w:t>394,3</w:t>
            </w:r>
          </w:p>
        </w:tc>
        <w:tc>
          <w:tcPr>
            <w:tcW w:w="1164" w:type="dxa"/>
            <w:tcBorders>
              <w:top w:val="single" w:color="auto" w:sz="12" w:space="0"/>
              <w:left w:val="single" w:color="auto" w:sz="12" w:space="0"/>
              <w:bottom w:val="single" w:color="auto" w:sz="12" w:space="0"/>
              <w:right w:val="single" w:color="auto" w:sz="12" w:space="0"/>
            </w:tcBorders>
            <w:shd w:val="clear" w:color="auto" w:fill="BDD6EE"/>
            <w:vAlign w:val="center"/>
          </w:tcPr>
          <w:p w:rsidRPr="00371401" w:rsidR="005E5C24" w:rsidP="00371401" w:rsidRDefault="005E5C24" w14:paraId="67D29EE3" w14:textId="77777777">
            <w:pPr>
              <w:pStyle w:val="Geenafstand"/>
              <w:suppressAutoHyphens/>
              <w:spacing w:line="240" w:lineRule="exact"/>
              <w:cnfStyle w:val="000000010000" w:firstRow="0" w:lastRow="0" w:firstColumn="0" w:lastColumn="0" w:oddVBand="0" w:evenVBand="0" w:oddHBand="0" w:evenHBand="1" w:firstRowFirstColumn="0" w:firstRowLastColumn="0" w:lastRowFirstColumn="0" w:lastRowLastColumn="0"/>
            </w:pPr>
            <w:r w:rsidRPr="00371401">
              <w:t>399,4</w:t>
            </w:r>
          </w:p>
        </w:tc>
      </w:tr>
      <w:tr w:rsidRPr="00371401" w:rsidR="0002343C" w:rsidTr="00A334B4" w14:paraId="0C1AE2FD"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21" w:type="dxa"/>
            <w:tcBorders>
              <w:top w:val="single" w:color="auto" w:sz="12" w:space="0"/>
              <w:right w:val="single" w:color="auto" w:sz="12" w:space="0"/>
            </w:tcBorders>
            <w:shd w:val="clear" w:color="auto" w:fill="FFFFFF" w:themeFill="background1"/>
            <w:vAlign w:val="center"/>
            <w:hideMark/>
          </w:tcPr>
          <w:p w:rsidRPr="00371401" w:rsidR="005E5C24" w:rsidP="00371401" w:rsidRDefault="005E5C24" w14:paraId="5675FD3B" w14:textId="77777777">
            <w:pPr>
              <w:suppressAutoHyphens/>
              <w:ind w:left="57"/>
              <w:contextualSpacing/>
              <w:rPr>
                <w:rFonts w:eastAsia="Times New Roman" w:cs="Times New Roman"/>
              </w:rPr>
            </w:pPr>
            <w:r w:rsidRPr="00371401">
              <w:rPr>
                <w:rFonts w:eastAsia="Times New Roman" w:cs="Times New Roman"/>
                <w:iCs/>
              </w:rPr>
              <w:t xml:space="preserve">Waarvan </w:t>
            </w:r>
            <w:r w:rsidRPr="00371401">
              <w:rPr>
                <w:rFonts w:eastAsia="Times New Roman" w:cs="Times New Roman"/>
                <w:iCs/>
              </w:rPr>
              <w:br/>
              <w:t>(naar verwachting) niet-kosteneffectieve uitgaven</w:t>
            </w:r>
          </w:p>
        </w:tc>
        <w:tc>
          <w:tcPr>
            <w:tcW w:w="1163" w:type="dxa"/>
            <w:tcBorders>
              <w:top w:val="single" w:color="auto" w:sz="12" w:space="0"/>
              <w:left w:val="single" w:color="auto" w:sz="12" w:space="0"/>
              <w:right w:val="single" w:color="auto" w:sz="12" w:space="0"/>
            </w:tcBorders>
            <w:shd w:val="clear" w:color="auto" w:fill="FFFFFF" w:themeFill="background1"/>
            <w:vAlign w:val="center"/>
          </w:tcPr>
          <w:p w:rsidRPr="00371401" w:rsidR="005E5C24" w:rsidP="00371401" w:rsidRDefault="005E5C24" w14:paraId="0780B314" w14:textId="77777777">
            <w:pPr>
              <w:pStyle w:val="Geenafstand"/>
              <w:suppressAutoHyphens/>
              <w:spacing w:line="240" w:lineRule="exact"/>
              <w:cnfStyle w:val="000000100000" w:firstRow="0" w:lastRow="0" w:firstColumn="0" w:lastColumn="0" w:oddVBand="0" w:evenVBand="0" w:oddHBand="1" w:evenHBand="0" w:firstRowFirstColumn="0" w:firstRowLastColumn="0" w:lastRowFirstColumn="0" w:lastRowLastColumn="0"/>
              <w:rPr>
                <w:b/>
                <w:bCs/>
              </w:rPr>
            </w:pPr>
            <w:r w:rsidRPr="00371401">
              <w:rPr>
                <w:b/>
                <w:bCs/>
              </w:rPr>
              <w:t>45,3</w:t>
            </w:r>
          </w:p>
        </w:tc>
        <w:tc>
          <w:tcPr>
            <w:tcW w:w="1163" w:type="dxa"/>
            <w:tcBorders>
              <w:top w:val="single" w:color="auto" w:sz="12" w:space="0"/>
              <w:left w:val="single" w:color="auto" w:sz="12" w:space="0"/>
              <w:right w:val="single" w:color="auto" w:sz="12" w:space="0"/>
            </w:tcBorders>
            <w:shd w:val="clear" w:color="auto" w:fill="FFFFFF" w:themeFill="background1"/>
            <w:vAlign w:val="center"/>
          </w:tcPr>
          <w:p w:rsidRPr="00371401" w:rsidR="005E5C24" w:rsidP="00371401" w:rsidRDefault="005E5C24" w14:paraId="6F62B64B" w14:textId="77777777">
            <w:pPr>
              <w:pStyle w:val="Geenafstand"/>
              <w:suppressAutoHyphens/>
              <w:spacing w:line="240" w:lineRule="exact"/>
              <w:cnfStyle w:val="000000100000" w:firstRow="0" w:lastRow="0" w:firstColumn="0" w:lastColumn="0" w:oddVBand="0" w:evenVBand="0" w:oddHBand="1" w:evenHBand="0" w:firstRowFirstColumn="0" w:firstRowLastColumn="0" w:lastRowFirstColumn="0" w:lastRowLastColumn="0"/>
              <w:rPr>
                <w:b/>
                <w:bCs/>
              </w:rPr>
            </w:pPr>
            <w:r w:rsidRPr="00371401">
              <w:rPr>
                <w:b/>
                <w:bCs/>
              </w:rPr>
              <w:t>75,7</w:t>
            </w:r>
          </w:p>
        </w:tc>
        <w:tc>
          <w:tcPr>
            <w:tcW w:w="1163" w:type="dxa"/>
            <w:tcBorders>
              <w:top w:val="single" w:color="auto" w:sz="12" w:space="0"/>
              <w:left w:val="single" w:color="auto" w:sz="12" w:space="0"/>
              <w:right w:val="single" w:color="auto" w:sz="12" w:space="0"/>
            </w:tcBorders>
            <w:shd w:val="clear" w:color="auto" w:fill="FFFFFF" w:themeFill="background1"/>
            <w:vAlign w:val="center"/>
          </w:tcPr>
          <w:p w:rsidRPr="00371401" w:rsidR="005E5C24" w:rsidP="00371401" w:rsidRDefault="005E5C24" w14:paraId="38F845A5" w14:textId="77777777">
            <w:pPr>
              <w:pStyle w:val="Geenafstand"/>
              <w:suppressAutoHyphens/>
              <w:spacing w:line="240" w:lineRule="exact"/>
              <w:cnfStyle w:val="000000100000" w:firstRow="0" w:lastRow="0" w:firstColumn="0" w:lastColumn="0" w:oddVBand="0" w:evenVBand="0" w:oddHBand="1" w:evenHBand="0" w:firstRowFirstColumn="0" w:firstRowLastColumn="0" w:lastRowFirstColumn="0" w:lastRowLastColumn="0"/>
              <w:rPr>
                <w:b/>
                <w:bCs/>
              </w:rPr>
            </w:pPr>
            <w:r w:rsidRPr="00371401">
              <w:rPr>
                <w:b/>
                <w:bCs/>
              </w:rPr>
              <w:t>84,9</w:t>
            </w:r>
          </w:p>
        </w:tc>
        <w:tc>
          <w:tcPr>
            <w:tcW w:w="1164" w:type="dxa"/>
            <w:tcBorders>
              <w:top w:val="single" w:color="auto" w:sz="12" w:space="0"/>
              <w:left w:val="single" w:color="auto" w:sz="12" w:space="0"/>
            </w:tcBorders>
            <w:shd w:val="clear" w:color="auto" w:fill="FFFFFF" w:themeFill="background1"/>
            <w:vAlign w:val="center"/>
          </w:tcPr>
          <w:p w:rsidRPr="00371401" w:rsidR="005E5C24" w:rsidP="00371401" w:rsidRDefault="005E5C24" w14:paraId="2794A216" w14:textId="77777777">
            <w:pPr>
              <w:pStyle w:val="Geenafstand"/>
              <w:suppressAutoHyphens/>
              <w:spacing w:line="240" w:lineRule="exact"/>
              <w:cnfStyle w:val="000000100000" w:firstRow="0" w:lastRow="0" w:firstColumn="0" w:lastColumn="0" w:oddVBand="0" w:evenVBand="0" w:oddHBand="1" w:evenHBand="0" w:firstRowFirstColumn="0" w:firstRowLastColumn="0" w:lastRowFirstColumn="0" w:lastRowLastColumn="0"/>
              <w:rPr>
                <w:b/>
                <w:bCs/>
              </w:rPr>
            </w:pPr>
            <w:r w:rsidRPr="00371401">
              <w:rPr>
                <w:b/>
                <w:bCs/>
              </w:rPr>
              <w:t>74,3</w:t>
            </w:r>
          </w:p>
        </w:tc>
      </w:tr>
    </w:tbl>
    <w:p w:rsidRPr="00371401" w:rsidR="00E7745E" w:rsidP="00371401" w:rsidRDefault="00E7745E" w14:paraId="739A8C5B" w14:textId="77777777">
      <w:pPr>
        <w:suppressAutoHyphens/>
        <w:rPr>
          <w:rFonts w:eastAsia="Times New Roman" w:cs="Times New Roman"/>
          <w:i/>
        </w:rPr>
      </w:pPr>
      <w:r w:rsidRPr="00371401">
        <w:rPr>
          <w:rFonts w:eastAsia="Times New Roman" w:cs="Times New Roman"/>
          <w:i/>
        </w:rPr>
        <w:t xml:space="preserve">^) Er hebben correcties plaatsgevonden voor deze jaren ten opzichte van de vorige voortgangsbrief. </w:t>
      </w:r>
    </w:p>
    <w:p w:rsidRPr="00371401" w:rsidR="00527C61" w:rsidP="00371401" w:rsidRDefault="005E5C24" w14:paraId="2741F60E" w14:textId="71DEFF6D">
      <w:pPr>
        <w:suppressAutoHyphens/>
      </w:pPr>
      <w:r w:rsidRPr="00371401">
        <w:rPr>
          <w:rFonts w:eastAsia="Times New Roman" w:cs="Times New Roman"/>
          <w:i/>
        </w:rPr>
        <w:t>*) De bedragen voor 2024 zijn gebaseerd op voorlopige gegevens.</w:t>
      </w:r>
      <w:r w:rsidRPr="00371401">
        <w:rPr>
          <w:rFonts w:eastAsia="Times New Roman" w:cs="Times New Roman"/>
          <w:i/>
        </w:rPr>
        <w:br/>
      </w:r>
    </w:p>
    <w:p w:rsidRPr="00371401" w:rsidR="00C84751" w:rsidP="00371401" w:rsidRDefault="00CD2138" w14:paraId="35EE5F40" w14:textId="6064D53E">
      <w:pPr>
        <w:suppressAutoHyphens/>
        <w:rPr>
          <w:rFonts w:eastAsia="Times New Roman" w:cs="Times New Roman"/>
          <w:bCs/>
          <w:color w:val="000000" w:themeColor="text1"/>
        </w:rPr>
      </w:pPr>
      <w:r w:rsidRPr="00371401">
        <w:rPr>
          <w:rFonts w:eastAsia="Times New Roman" w:cs="Times New Roman"/>
          <w:bCs/>
          <w:color w:val="000000" w:themeColor="text1"/>
        </w:rPr>
        <w:t xml:space="preserve">Doordat de door het Zorginstituut geadviseerde (minimale) korting niet in alle gevallen is behaald voor de arrangementen die zijn opgenomen in tabel </w:t>
      </w:r>
      <w:r w:rsidRPr="00371401" w:rsidR="0099409B">
        <w:rPr>
          <w:rFonts w:eastAsia="Times New Roman" w:cs="Times New Roman"/>
          <w:bCs/>
          <w:color w:val="000000" w:themeColor="text1"/>
        </w:rPr>
        <w:t>2</w:t>
      </w:r>
      <w:r w:rsidRPr="00371401">
        <w:rPr>
          <w:rFonts w:eastAsia="Times New Roman" w:cs="Times New Roman"/>
          <w:bCs/>
          <w:color w:val="000000" w:themeColor="text1"/>
        </w:rPr>
        <w:t xml:space="preserve">, zijn in 2023 en 2024 respectievelijk </w:t>
      </w:r>
      <w:bookmarkStart w:name="_Hlk231997252" w:id="3"/>
      <w:r w:rsidRPr="00371401">
        <w:rPr>
          <w:rFonts w:eastAsia="Times New Roman" w:cs="Times New Roman"/>
          <w:bCs/>
          <w:color w:val="000000" w:themeColor="text1"/>
        </w:rPr>
        <w:t xml:space="preserve">€ 84,9 mln. en € 74,3 mln. </w:t>
      </w:r>
      <w:bookmarkEnd w:id="3"/>
      <w:r w:rsidRPr="00371401">
        <w:rPr>
          <w:rFonts w:eastAsia="Times New Roman" w:cs="Times New Roman"/>
          <w:bCs/>
          <w:color w:val="000000" w:themeColor="text1"/>
        </w:rPr>
        <w:t xml:space="preserve">aan uitgaven gedaan met een groter risico op niet-kosteneffectieve inzet in de praktijk. De verwachte niet-kosteneffectieve uitgaven aan geneesmiddelen waarvoor een financieel arrangement geldt, zijn daarmee in 2024 ten opzichte van 2023 afgenomen. </w:t>
      </w:r>
    </w:p>
    <w:p w:rsidRPr="00371401" w:rsidR="00CD2138" w:rsidP="00371401" w:rsidRDefault="00CD2138" w14:paraId="595B3DCB" w14:textId="77777777">
      <w:pPr>
        <w:suppressAutoHyphens/>
        <w:rPr>
          <w:rFonts w:eastAsia="Times New Roman" w:cs="Times New Roman"/>
          <w:bCs/>
          <w:color w:val="000000" w:themeColor="text1"/>
        </w:rPr>
      </w:pPr>
    </w:p>
    <w:p w:rsidRPr="00371401" w:rsidR="00CD2138" w:rsidP="00371401" w:rsidRDefault="00CD2138" w14:paraId="71CD33BC" w14:textId="3E13EE0C">
      <w:pPr>
        <w:suppressAutoHyphens/>
        <w:rPr>
          <w:rFonts w:eastAsia="Times New Roman" w:cs="Times New Roman"/>
          <w:bCs/>
          <w:color w:val="000000" w:themeColor="text1"/>
        </w:rPr>
      </w:pPr>
      <w:r w:rsidRPr="00371401">
        <w:rPr>
          <w:rFonts w:eastAsia="Times New Roman" w:cs="Times New Roman"/>
          <w:bCs/>
          <w:color w:val="000000" w:themeColor="text1"/>
        </w:rPr>
        <w:lastRenderedPageBreak/>
        <w:t>Een belangrijke nuance hierbij is dat in deze periode 7 arrangementen zijn beëindigd en 9 nieuwe arrangementen zijn afgesloten</w:t>
      </w:r>
      <w:r w:rsidRPr="00371401" w:rsidR="009F156A">
        <w:rPr>
          <w:rFonts w:eastAsia="Times New Roman" w:cs="Times New Roman"/>
          <w:bCs/>
          <w:color w:val="000000" w:themeColor="text1"/>
        </w:rPr>
        <w:t>.</w:t>
      </w:r>
      <w:r w:rsidRPr="00371401">
        <w:rPr>
          <w:rFonts w:eastAsia="Times New Roman" w:cs="Times New Roman"/>
          <w:bCs/>
          <w:color w:val="000000" w:themeColor="text1"/>
        </w:rPr>
        <w:t xml:space="preserve"> </w:t>
      </w:r>
      <w:r w:rsidRPr="00371401" w:rsidR="009F156A">
        <w:rPr>
          <w:rFonts w:eastAsia="Times New Roman" w:cs="Times New Roman"/>
          <w:bCs/>
          <w:color w:val="000000" w:themeColor="text1"/>
        </w:rPr>
        <w:t xml:space="preserve">Hierdoor is </w:t>
      </w:r>
      <w:r w:rsidRPr="00371401">
        <w:rPr>
          <w:rFonts w:eastAsia="Times New Roman" w:cs="Times New Roman"/>
          <w:bCs/>
          <w:color w:val="000000" w:themeColor="text1"/>
        </w:rPr>
        <w:t>de samenstelling van de groep geneesmiddelen die binnen de reikwijdte van deze analyse valt aanzienlijk gewijzigd.</w:t>
      </w:r>
    </w:p>
    <w:p w:rsidRPr="00371401" w:rsidR="00C84751" w:rsidP="00371401" w:rsidRDefault="00C84751" w14:paraId="7D0F3F1A" w14:textId="77777777">
      <w:pPr>
        <w:suppressAutoHyphens/>
        <w:rPr>
          <w:rFonts w:eastAsia="Times New Roman" w:cs="Times New Roman"/>
          <w:bCs/>
          <w:color w:val="000000" w:themeColor="text1"/>
        </w:rPr>
      </w:pPr>
    </w:p>
    <w:p w:rsidRPr="00371401" w:rsidR="00E32A49" w:rsidP="00371401" w:rsidRDefault="009F156A" w14:paraId="61E717C5" w14:textId="4B91EDEB">
      <w:pPr>
        <w:suppressAutoHyphens/>
        <w:rPr>
          <w:rFonts w:eastAsia="Times New Roman" w:cs="Times New Roman"/>
          <w:bCs/>
          <w:color w:val="000000" w:themeColor="text1"/>
        </w:rPr>
      </w:pPr>
      <w:r w:rsidRPr="00371401">
        <w:rPr>
          <w:rFonts w:eastAsia="Times New Roman" w:cs="Times New Roman"/>
          <w:bCs/>
          <w:color w:val="000000" w:themeColor="text1"/>
        </w:rPr>
        <w:t>Er is daarnaast gekeken in hoeverre een minimaal geadviseerd kortingspercentage daadwerkelijk wordt behaald in prijsonderhandelingen. Dit is gedaan o</w:t>
      </w:r>
      <w:r w:rsidRPr="00371401" w:rsidR="00CD2138">
        <w:rPr>
          <w:rFonts w:eastAsia="Times New Roman" w:cs="Times New Roman"/>
          <w:bCs/>
          <w:color w:val="000000" w:themeColor="text1"/>
        </w:rPr>
        <w:t>mdat individuele arrangementen met grote financiële volumes de uitkomst van deze analyse sterk kunnen beïnvloeden</w:t>
      </w:r>
      <w:r w:rsidRPr="00371401">
        <w:rPr>
          <w:rFonts w:eastAsia="Times New Roman" w:cs="Times New Roman"/>
          <w:bCs/>
          <w:color w:val="000000" w:themeColor="text1"/>
        </w:rPr>
        <w:t>.</w:t>
      </w:r>
      <w:r w:rsidRPr="00371401" w:rsidR="00CD2138">
        <w:rPr>
          <w:rFonts w:eastAsia="Times New Roman" w:cs="Times New Roman"/>
          <w:bCs/>
          <w:color w:val="000000" w:themeColor="text1"/>
        </w:rPr>
        <w:t xml:space="preserve"> </w:t>
      </w:r>
      <w:r w:rsidRPr="00371401">
        <w:rPr>
          <w:rFonts w:eastAsia="Times New Roman" w:cs="Times New Roman"/>
          <w:bCs/>
          <w:color w:val="000000" w:themeColor="text1"/>
        </w:rPr>
        <w:t>D</w:t>
      </w:r>
      <w:r w:rsidRPr="00371401" w:rsidR="00CD2138">
        <w:rPr>
          <w:rFonts w:eastAsia="Times New Roman" w:cs="Times New Roman"/>
          <w:bCs/>
          <w:color w:val="000000" w:themeColor="text1"/>
        </w:rPr>
        <w:t xml:space="preserve">aardoor </w:t>
      </w:r>
      <w:r w:rsidRPr="00371401">
        <w:rPr>
          <w:rFonts w:eastAsia="Times New Roman" w:cs="Times New Roman"/>
          <w:bCs/>
          <w:color w:val="000000" w:themeColor="text1"/>
        </w:rPr>
        <w:t xml:space="preserve">worden </w:t>
      </w:r>
      <w:r w:rsidRPr="00371401" w:rsidR="00CD2138">
        <w:rPr>
          <w:rFonts w:eastAsia="Times New Roman" w:cs="Times New Roman"/>
          <w:bCs/>
          <w:color w:val="000000" w:themeColor="text1"/>
        </w:rPr>
        <w:t>de resultaten van arrangementen met een laag financieel volume in bovenstaande analyse minder zichtbaar</w:t>
      </w:r>
      <w:r w:rsidRPr="00371401">
        <w:rPr>
          <w:rFonts w:eastAsia="Times New Roman" w:cs="Times New Roman"/>
          <w:bCs/>
          <w:color w:val="000000" w:themeColor="text1"/>
        </w:rPr>
        <w:t>.</w:t>
      </w:r>
    </w:p>
    <w:p w:rsidRPr="00371401" w:rsidR="00CD2138" w:rsidP="00371401" w:rsidRDefault="00CD2138" w14:paraId="00C82FAB" w14:textId="77777777">
      <w:pPr>
        <w:suppressAutoHyphens/>
        <w:rPr>
          <w:rFonts w:eastAsia="Times New Roman" w:cs="Times New Roman"/>
          <w:bCs/>
          <w:color w:val="000000" w:themeColor="text1"/>
        </w:rPr>
      </w:pPr>
    </w:p>
    <w:p w:rsidRPr="00371401" w:rsidR="00321B45" w:rsidP="00371401" w:rsidRDefault="00F54C07" w14:paraId="2AB4C242" w14:textId="3220561C">
      <w:pPr>
        <w:suppressAutoHyphens/>
        <w:rPr>
          <w:rFonts w:eastAsia="Times New Roman" w:cs="Times New Roman"/>
          <w:bCs/>
        </w:rPr>
      </w:pPr>
      <w:r w:rsidRPr="00371401">
        <w:rPr>
          <w:rFonts w:eastAsia="Times New Roman" w:cs="Times New Roman"/>
          <w:bCs/>
        </w:rPr>
        <w:t>In</w:t>
      </w:r>
      <w:r w:rsidRPr="00371401" w:rsidR="00321B45">
        <w:rPr>
          <w:rFonts w:eastAsia="Times New Roman" w:cs="Times New Roman"/>
          <w:bCs/>
        </w:rPr>
        <w:t xml:space="preserve"> tabel </w:t>
      </w:r>
      <w:r w:rsidRPr="00371401" w:rsidR="0099409B">
        <w:rPr>
          <w:rFonts w:eastAsia="Times New Roman" w:cs="Times New Roman"/>
          <w:bCs/>
        </w:rPr>
        <w:t>3</w:t>
      </w:r>
      <w:r w:rsidRPr="00371401" w:rsidR="00321B45">
        <w:rPr>
          <w:rFonts w:eastAsia="Times New Roman" w:cs="Times New Roman"/>
          <w:bCs/>
        </w:rPr>
        <w:t xml:space="preserve"> staat</w:t>
      </w:r>
      <w:r w:rsidRPr="00371401" w:rsidR="003876A1">
        <w:rPr>
          <w:rFonts w:eastAsia="Times New Roman" w:cs="Times New Roman"/>
          <w:bCs/>
        </w:rPr>
        <w:t xml:space="preserve"> het </w:t>
      </w:r>
      <w:r w:rsidRPr="00371401" w:rsidR="00321B45">
        <w:rPr>
          <w:rFonts w:eastAsia="Times New Roman" w:cs="Times New Roman"/>
          <w:bCs/>
        </w:rPr>
        <w:t xml:space="preserve">mediane </w:t>
      </w:r>
      <w:r w:rsidRPr="00371401" w:rsidR="003876A1">
        <w:rPr>
          <w:rFonts w:eastAsia="Times New Roman" w:cs="Times New Roman"/>
          <w:bCs/>
        </w:rPr>
        <w:t>verschil</w:t>
      </w:r>
      <w:r w:rsidRPr="00371401" w:rsidR="000A6188">
        <w:rPr>
          <w:rFonts w:eastAsia="Times New Roman" w:cs="Times New Roman"/>
          <w:bCs/>
        </w:rPr>
        <w:t>, uitgedrukt in procentpunten (pp),</w:t>
      </w:r>
      <w:r w:rsidRPr="00371401" w:rsidR="003876A1">
        <w:rPr>
          <w:rFonts w:eastAsia="Times New Roman" w:cs="Times New Roman"/>
          <w:bCs/>
        </w:rPr>
        <w:t xml:space="preserve"> tussen het (minimaal) geadviseerde kortingspercentage en het onderhandelde kortingspercentage van alle </w:t>
      </w:r>
      <w:r w:rsidRPr="00371401" w:rsidR="008E143D">
        <w:rPr>
          <w:rFonts w:eastAsia="Times New Roman" w:cs="Times New Roman"/>
          <w:bCs/>
        </w:rPr>
        <w:t xml:space="preserve">individuele </w:t>
      </w:r>
      <w:r w:rsidRPr="00371401" w:rsidR="003876A1">
        <w:rPr>
          <w:rFonts w:eastAsia="Times New Roman" w:cs="Times New Roman"/>
          <w:bCs/>
        </w:rPr>
        <w:t xml:space="preserve">arrangementen die in tabel </w:t>
      </w:r>
      <w:r w:rsidRPr="00371401" w:rsidR="0099409B">
        <w:rPr>
          <w:rFonts w:eastAsia="Times New Roman" w:cs="Times New Roman"/>
          <w:bCs/>
        </w:rPr>
        <w:t>2</w:t>
      </w:r>
      <w:r w:rsidRPr="00371401" w:rsidR="00751575">
        <w:rPr>
          <w:rFonts w:eastAsia="Times New Roman" w:cs="Times New Roman"/>
          <w:bCs/>
        </w:rPr>
        <w:t xml:space="preserve"> </w:t>
      </w:r>
      <w:r w:rsidRPr="00371401" w:rsidR="003876A1">
        <w:rPr>
          <w:rFonts w:eastAsia="Times New Roman" w:cs="Times New Roman"/>
          <w:bCs/>
        </w:rPr>
        <w:t xml:space="preserve">zijn opgenomen. </w:t>
      </w:r>
      <w:r w:rsidRPr="00371401" w:rsidR="008E143D">
        <w:rPr>
          <w:rFonts w:eastAsia="Times New Roman" w:cs="Times New Roman"/>
          <w:bCs/>
        </w:rPr>
        <w:t xml:space="preserve">Hierdoor heeft elk </w:t>
      </w:r>
      <w:r w:rsidRPr="00371401" w:rsidR="000A6188">
        <w:rPr>
          <w:rFonts w:eastAsia="Times New Roman" w:cs="Times New Roman"/>
          <w:bCs/>
        </w:rPr>
        <w:t xml:space="preserve">individueel </w:t>
      </w:r>
      <w:r w:rsidRPr="00371401" w:rsidR="008E143D">
        <w:rPr>
          <w:rFonts w:eastAsia="Times New Roman" w:cs="Times New Roman"/>
          <w:bCs/>
        </w:rPr>
        <w:t xml:space="preserve">arrangement evenveel </w:t>
      </w:r>
      <w:r w:rsidRPr="00371401" w:rsidR="000A6188">
        <w:rPr>
          <w:rFonts w:eastAsia="Times New Roman" w:cs="Times New Roman"/>
          <w:bCs/>
        </w:rPr>
        <w:t xml:space="preserve">gewicht en </w:t>
      </w:r>
      <w:r w:rsidRPr="00371401" w:rsidR="008E143D">
        <w:rPr>
          <w:rFonts w:eastAsia="Times New Roman" w:cs="Times New Roman"/>
          <w:bCs/>
        </w:rPr>
        <w:t xml:space="preserve">invloed op de uitkomst, ongeacht het financieel volume van een arrangement. </w:t>
      </w:r>
    </w:p>
    <w:p w:rsidRPr="00371401" w:rsidR="00F54C07" w:rsidP="00371401" w:rsidRDefault="00F54C07" w14:paraId="064A1E04" w14:textId="40C37D6C">
      <w:pPr>
        <w:suppressAutoHyphens/>
        <w:spacing w:line="240" w:lineRule="auto"/>
        <w:rPr>
          <w:rFonts w:eastAsia="Times New Roman" w:cs="Times New Roman"/>
          <w:bCs/>
        </w:rPr>
      </w:pPr>
    </w:p>
    <w:p w:rsidRPr="00371401" w:rsidR="00F53DE3" w:rsidP="00371401" w:rsidRDefault="00F53DE3" w14:paraId="032E8C42" w14:textId="5E98BDA4">
      <w:pPr>
        <w:suppressAutoHyphens/>
        <w:rPr>
          <w:rFonts w:eastAsia="Times New Roman" w:cs="Times New Roman"/>
          <w:b/>
        </w:rPr>
      </w:pPr>
      <w:r w:rsidRPr="00371401">
        <w:rPr>
          <w:rFonts w:eastAsia="Times New Roman" w:cs="Times New Roman"/>
          <w:b/>
        </w:rPr>
        <w:t xml:space="preserve">Tabel </w:t>
      </w:r>
      <w:r w:rsidRPr="00371401" w:rsidR="0099409B">
        <w:rPr>
          <w:rFonts w:eastAsia="Times New Roman" w:cs="Times New Roman"/>
          <w:b/>
        </w:rPr>
        <w:t>3</w:t>
      </w:r>
      <w:r w:rsidRPr="00371401">
        <w:rPr>
          <w:rFonts w:eastAsia="Times New Roman" w:cs="Times New Roman"/>
          <w:b/>
        </w:rPr>
        <w:t>. Het mediane verschil tussen de door het Zorginstituut (minimaal) geadviseerde kortingspercentages en de onderhandelde kortingspercentages</w:t>
      </w:r>
    </w:p>
    <w:tbl>
      <w:tblPr>
        <w:tblStyle w:val="Gemiddeldearcering1-accent1"/>
        <w:tblW w:w="757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57" w:type="dxa"/>
          <w:right w:w="57" w:type="dxa"/>
        </w:tblCellMar>
        <w:tblLook w:val="04A0" w:firstRow="1" w:lastRow="0" w:firstColumn="1" w:lastColumn="0" w:noHBand="0" w:noVBand="1"/>
      </w:tblPr>
      <w:tblGrid>
        <w:gridCol w:w="2921"/>
        <w:gridCol w:w="1163"/>
        <w:gridCol w:w="1163"/>
        <w:gridCol w:w="1163"/>
        <w:gridCol w:w="1164"/>
      </w:tblGrid>
      <w:tr w:rsidRPr="00371401" w:rsidR="0002343C" w:rsidTr="00A334B4" w14:paraId="664A3DF6"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21" w:type="dxa"/>
            <w:tcBorders>
              <w:top w:val="none" w:color="auto" w:sz="0" w:space="0"/>
              <w:left w:val="none" w:color="auto" w:sz="0" w:space="0"/>
              <w:bottom w:val="none" w:color="auto" w:sz="0" w:space="0"/>
              <w:right w:val="none" w:color="auto" w:sz="0" w:space="0"/>
            </w:tcBorders>
            <w:shd w:val="clear" w:color="auto" w:fill="FFFFFF" w:themeFill="background1"/>
            <w:vAlign w:val="center"/>
            <w:hideMark/>
          </w:tcPr>
          <w:p w:rsidRPr="00371401" w:rsidR="00321B45" w:rsidP="00371401" w:rsidRDefault="00321B45" w14:paraId="0479C88F" w14:textId="3EEC4162">
            <w:pPr>
              <w:suppressAutoHyphens/>
              <w:ind w:left="57"/>
              <w:contextualSpacing/>
              <w:rPr>
                <w:rFonts w:eastAsia="Times New Roman" w:cs="Times New Roman"/>
                <w:color w:val="auto"/>
              </w:rPr>
            </w:pPr>
            <w:r w:rsidRPr="00371401">
              <w:rPr>
                <w:rFonts w:eastAsia="Times New Roman" w:cs="Times New Roman"/>
                <w:iCs/>
                <w:color w:val="auto"/>
              </w:rPr>
              <w:t>Procentpunt (pp)</w:t>
            </w:r>
          </w:p>
        </w:tc>
        <w:tc>
          <w:tcPr>
            <w:tcW w:w="1163" w:type="dxa"/>
            <w:tcBorders>
              <w:top w:val="none" w:color="auto" w:sz="0" w:space="0"/>
              <w:left w:val="none" w:color="auto" w:sz="0" w:space="0"/>
              <w:bottom w:val="none" w:color="auto" w:sz="0" w:space="0"/>
              <w:right w:val="none" w:color="auto" w:sz="0" w:space="0"/>
            </w:tcBorders>
            <w:shd w:val="clear" w:color="auto" w:fill="FFFFFF" w:themeFill="background1"/>
            <w:vAlign w:val="center"/>
          </w:tcPr>
          <w:p w:rsidRPr="00371401" w:rsidR="00321B45" w:rsidP="00371401" w:rsidRDefault="00321B45" w14:paraId="4F0FC467" w14:textId="77777777">
            <w:pPr>
              <w:suppressAutoHyphens/>
              <w:ind w:left="34"/>
              <w:contextualSpacing/>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371401">
              <w:rPr>
                <w:color w:val="auto"/>
              </w:rPr>
              <w:t>2021</w:t>
            </w:r>
          </w:p>
        </w:tc>
        <w:tc>
          <w:tcPr>
            <w:tcW w:w="1163" w:type="dxa"/>
            <w:tcBorders>
              <w:top w:val="none" w:color="auto" w:sz="0" w:space="0"/>
              <w:left w:val="none" w:color="auto" w:sz="0" w:space="0"/>
              <w:bottom w:val="none" w:color="auto" w:sz="0" w:space="0"/>
              <w:right w:val="none" w:color="auto" w:sz="0" w:space="0"/>
            </w:tcBorders>
            <w:shd w:val="clear" w:color="auto" w:fill="FFFFFF" w:themeFill="background1"/>
            <w:vAlign w:val="center"/>
          </w:tcPr>
          <w:p w:rsidRPr="00371401" w:rsidR="00321B45" w:rsidP="00371401" w:rsidRDefault="00321B45" w14:paraId="2AEE94F0" w14:textId="77777777">
            <w:pPr>
              <w:suppressAutoHyphens/>
              <w:ind w:left="34"/>
              <w:contextualSpacing/>
              <w:cnfStyle w:val="100000000000" w:firstRow="1" w:lastRow="0" w:firstColumn="0" w:lastColumn="0" w:oddVBand="0" w:evenVBand="0" w:oddHBand="0" w:evenHBand="0" w:firstRowFirstColumn="0" w:firstRowLastColumn="0" w:lastRowFirstColumn="0" w:lastRowLastColumn="0"/>
              <w:rPr>
                <w:rFonts w:eastAsia="Times New Roman" w:cs="Times New Roman"/>
                <w:i/>
                <w:color w:val="auto"/>
              </w:rPr>
            </w:pPr>
            <w:r w:rsidRPr="00371401">
              <w:rPr>
                <w:color w:val="auto"/>
              </w:rPr>
              <w:t>2022</w:t>
            </w:r>
          </w:p>
        </w:tc>
        <w:tc>
          <w:tcPr>
            <w:tcW w:w="1163" w:type="dxa"/>
            <w:tcBorders>
              <w:top w:val="none" w:color="auto" w:sz="0" w:space="0"/>
              <w:left w:val="none" w:color="auto" w:sz="0" w:space="0"/>
              <w:bottom w:val="none" w:color="auto" w:sz="0" w:space="0"/>
              <w:right w:val="none" w:color="auto" w:sz="0" w:space="0"/>
            </w:tcBorders>
            <w:shd w:val="clear" w:color="auto" w:fill="FFFFFF" w:themeFill="background1"/>
            <w:vAlign w:val="center"/>
          </w:tcPr>
          <w:p w:rsidRPr="00371401" w:rsidR="00321B45" w:rsidP="00371401" w:rsidRDefault="00321B45" w14:paraId="1DD475C9" w14:textId="77777777">
            <w:pPr>
              <w:suppressAutoHyphens/>
              <w:ind w:left="34"/>
              <w:contextualSpacing/>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371401">
              <w:rPr>
                <w:color w:val="auto"/>
              </w:rPr>
              <w:t>2023</w:t>
            </w:r>
          </w:p>
        </w:tc>
        <w:tc>
          <w:tcPr>
            <w:tcW w:w="1164" w:type="dxa"/>
            <w:tcBorders>
              <w:top w:val="none" w:color="auto" w:sz="0" w:space="0"/>
              <w:left w:val="none" w:color="auto" w:sz="0" w:space="0"/>
              <w:bottom w:val="none" w:color="auto" w:sz="0" w:space="0"/>
              <w:right w:val="none" w:color="auto" w:sz="0" w:space="0"/>
            </w:tcBorders>
            <w:shd w:val="clear" w:color="auto" w:fill="FFFFFF" w:themeFill="background1"/>
            <w:vAlign w:val="center"/>
          </w:tcPr>
          <w:p w:rsidRPr="00371401" w:rsidR="00321B45" w:rsidP="00371401" w:rsidRDefault="00321B45" w14:paraId="7AB75524" w14:textId="77777777">
            <w:pPr>
              <w:suppressAutoHyphens/>
              <w:ind w:left="57"/>
              <w:contextualSpacing/>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371401">
              <w:rPr>
                <w:color w:val="auto"/>
              </w:rPr>
              <w:t>2024*</w:t>
            </w:r>
          </w:p>
        </w:tc>
      </w:tr>
      <w:tr w:rsidRPr="00371401" w:rsidR="0002343C" w:rsidTr="00A334B4" w14:paraId="0B098C6F"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21" w:type="dxa"/>
            <w:tcBorders>
              <w:right w:val="none" w:color="auto" w:sz="0" w:space="0"/>
            </w:tcBorders>
            <w:shd w:val="clear" w:color="auto" w:fill="8EAADB"/>
            <w:vAlign w:val="center"/>
            <w:hideMark/>
          </w:tcPr>
          <w:p w:rsidRPr="00371401" w:rsidR="00321B45" w:rsidP="00371401" w:rsidRDefault="00321B45" w14:paraId="4937F82F" w14:textId="1810A970">
            <w:pPr>
              <w:suppressAutoHyphens/>
              <w:ind w:left="57"/>
              <w:contextualSpacing/>
              <w:rPr>
                <w:rFonts w:eastAsia="Times New Roman" w:cs="Times New Roman"/>
                <w:b w:val="0"/>
                <w:bCs w:val="0"/>
              </w:rPr>
            </w:pPr>
            <w:r w:rsidRPr="00371401">
              <w:rPr>
                <w:rFonts w:eastAsia="Times New Roman" w:cs="Times New Roman"/>
                <w:iCs/>
              </w:rPr>
              <w:t>Mediane Verschil</w:t>
            </w:r>
          </w:p>
        </w:tc>
        <w:tc>
          <w:tcPr>
            <w:tcW w:w="1163" w:type="dxa"/>
            <w:tcBorders>
              <w:left w:val="none" w:color="auto" w:sz="0" w:space="0"/>
              <w:right w:val="none" w:color="auto" w:sz="0" w:space="0"/>
            </w:tcBorders>
            <w:shd w:val="clear" w:color="auto" w:fill="8EAADB"/>
            <w:vAlign w:val="center"/>
          </w:tcPr>
          <w:p w:rsidRPr="00371401" w:rsidR="00321B45" w:rsidP="00371401" w:rsidRDefault="00321B45" w14:paraId="0338F98C" w14:textId="23916F85">
            <w:pPr>
              <w:pStyle w:val="Geenafstand"/>
              <w:suppressAutoHyphens/>
              <w:spacing w:line="240" w:lineRule="exact"/>
              <w:cnfStyle w:val="000000100000" w:firstRow="0" w:lastRow="0" w:firstColumn="0" w:lastColumn="0" w:oddVBand="0" w:evenVBand="0" w:oddHBand="1" w:evenHBand="0" w:firstRowFirstColumn="0" w:firstRowLastColumn="0" w:lastRowFirstColumn="0" w:lastRowLastColumn="0"/>
              <w:rPr>
                <w:b/>
              </w:rPr>
            </w:pPr>
            <w:r w:rsidRPr="00371401">
              <w:t>-1,4</w:t>
            </w:r>
            <w:r w:rsidRPr="00371401" w:rsidR="004F4F6F">
              <w:t>pp</w:t>
            </w:r>
          </w:p>
        </w:tc>
        <w:tc>
          <w:tcPr>
            <w:tcW w:w="1163" w:type="dxa"/>
            <w:tcBorders>
              <w:left w:val="none" w:color="auto" w:sz="0" w:space="0"/>
              <w:right w:val="none" w:color="auto" w:sz="0" w:space="0"/>
            </w:tcBorders>
            <w:shd w:val="clear" w:color="auto" w:fill="8EAADB"/>
            <w:vAlign w:val="center"/>
          </w:tcPr>
          <w:p w:rsidRPr="00371401" w:rsidR="00321B45" w:rsidP="00371401" w:rsidRDefault="00321B45" w14:paraId="3BCA1480" w14:textId="63E59473">
            <w:pPr>
              <w:pStyle w:val="Geenafstand"/>
              <w:suppressAutoHyphens/>
              <w:spacing w:line="240" w:lineRule="exact"/>
              <w:cnfStyle w:val="000000100000" w:firstRow="0" w:lastRow="0" w:firstColumn="0" w:lastColumn="0" w:oddVBand="0" w:evenVBand="0" w:oddHBand="1" w:evenHBand="0" w:firstRowFirstColumn="0" w:firstRowLastColumn="0" w:lastRowFirstColumn="0" w:lastRowLastColumn="0"/>
              <w:rPr>
                <w:b/>
              </w:rPr>
            </w:pPr>
            <w:r w:rsidRPr="00371401">
              <w:t>-0,7</w:t>
            </w:r>
            <w:r w:rsidRPr="00371401" w:rsidR="004F4F6F">
              <w:t>pp</w:t>
            </w:r>
          </w:p>
        </w:tc>
        <w:tc>
          <w:tcPr>
            <w:tcW w:w="1163" w:type="dxa"/>
            <w:tcBorders>
              <w:left w:val="none" w:color="auto" w:sz="0" w:space="0"/>
              <w:right w:val="none" w:color="auto" w:sz="0" w:space="0"/>
            </w:tcBorders>
            <w:shd w:val="clear" w:color="auto" w:fill="8EAADB"/>
            <w:vAlign w:val="center"/>
          </w:tcPr>
          <w:p w:rsidRPr="00371401" w:rsidR="00321B45" w:rsidP="00371401" w:rsidRDefault="00321B45" w14:paraId="52814586" w14:textId="51CE375F">
            <w:pPr>
              <w:pStyle w:val="Geenafstand"/>
              <w:suppressAutoHyphens/>
              <w:spacing w:line="240" w:lineRule="exact"/>
              <w:cnfStyle w:val="000000100000" w:firstRow="0" w:lastRow="0" w:firstColumn="0" w:lastColumn="0" w:oddVBand="0" w:evenVBand="0" w:oddHBand="1" w:evenHBand="0" w:firstRowFirstColumn="0" w:firstRowLastColumn="0" w:lastRowFirstColumn="0" w:lastRowLastColumn="0"/>
              <w:rPr>
                <w:b/>
              </w:rPr>
            </w:pPr>
            <w:r w:rsidRPr="00371401">
              <w:t>-0,6</w:t>
            </w:r>
            <w:r w:rsidRPr="00371401" w:rsidR="004F4F6F">
              <w:t>pp</w:t>
            </w:r>
          </w:p>
        </w:tc>
        <w:tc>
          <w:tcPr>
            <w:tcW w:w="1164" w:type="dxa"/>
            <w:tcBorders>
              <w:left w:val="none" w:color="auto" w:sz="0" w:space="0"/>
            </w:tcBorders>
            <w:shd w:val="clear" w:color="auto" w:fill="8EAADB"/>
            <w:vAlign w:val="center"/>
          </w:tcPr>
          <w:p w:rsidRPr="00371401" w:rsidR="00321B45" w:rsidP="00371401" w:rsidRDefault="00321B45" w14:paraId="4454FA0D" w14:textId="3CD21068">
            <w:pPr>
              <w:pStyle w:val="Geenafstand"/>
              <w:suppressAutoHyphens/>
              <w:spacing w:line="240" w:lineRule="exact"/>
              <w:cnfStyle w:val="000000100000" w:firstRow="0" w:lastRow="0" w:firstColumn="0" w:lastColumn="0" w:oddVBand="0" w:evenVBand="0" w:oddHBand="1" w:evenHBand="0" w:firstRowFirstColumn="0" w:firstRowLastColumn="0" w:lastRowFirstColumn="0" w:lastRowLastColumn="0"/>
              <w:rPr>
                <w:b/>
              </w:rPr>
            </w:pPr>
            <w:r w:rsidRPr="00371401">
              <w:t>-2,6</w:t>
            </w:r>
            <w:r w:rsidRPr="00371401" w:rsidR="004F4F6F">
              <w:t>pp</w:t>
            </w:r>
          </w:p>
        </w:tc>
      </w:tr>
    </w:tbl>
    <w:p w:rsidRPr="00371401" w:rsidR="00F53DE3" w:rsidP="00371401" w:rsidRDefault="00F53DE3" w14:paraId="34D5BC9A" w14:textId="67CE60A3">
      <w:pPr>
        <w:suppressAutoHyphens/>
        <w:rPr>
          <w:rFonts w:eastAsia="Times New Roman" w:cs="Times New Roman"/>
          <w:iCs/>
        </w:rPr>
      </w:pPr>
      <w:r w:rsidRPr="00371401">
        <w:rPr>
          <w:rFonts w:eastAsia="Times New Roman" w:cs="Times New Roman"/>
          <w:i/>
        </w:rPr>
        <w:t>*) De bedragen voor 202</w:t>
      </w:r>
      <w:r w:rsidRPr="00371401" w:rsidR="007053E3">
        <w:rPr>
          <w:rFonts w:eastAsia="Times New Roman" w:cs="Times New Roman"/>
          <w:i/>
        </w:rPr>
        <w:t>4</w:t>
      </w:r>
      <w:r w:rsidRPr="00371401">
        <w:rPr>
          <w:rFonts w:eastAsia="Times New Roman" w:cs="Times New Roman"/>
          <w:i/>
        </w:rPr>
        <w:t xml:space="preserve"> zijn gebaseerd op voorlopige gegevens.</w:t>
      </w:r>
    </w:p>
    <w:p w:rsidRPr="00371401" w:rsidR="00F54C07" w:rsidP="00371401" w:rsidRDefault="00F54C07" w14:paraId="2FD7B2F8" w14:textId="77777777">
      <w:pPr>
        <w:suppressAutoHyphens/>
        <w:rPr>
          <w:rFonts w:eastAsia="Times New Roman" w:cs="Times New Roman"/>
          <w:bCs/>
        </w:rPr>
      </w:pPr>
    </w:p>
    <w:p w:rsidRPr="00371401" w:rsidR="00CE79FF" w:rsidP="00371401" w:rsidRDefault="003876A1" w14:paraId="45FCEE40" w14:textId="20607791">
      <w:pPr>
        <w:suppressAutoHyphens/>
      </w:pPr>
      <w:r w:rsidRPr="00371401">
        <w:t xml:space="preserve">Uit het </w:t>
      </w:r>
      <w:r w:rsidRPr="00371401" w:rsidR="00056C40">
        <w:t>mediane</w:t>
      </w:r>
      <w:r w:rsidRPr="00371401">
        <w:t xml:space="preserve"> verschil van </w:t>
      </w:r>
      <w:r w:rsidRPr="00371401" w:rsidR="001D1621">
        <w:t>-</w:t>
      </w:r>
      <w:r w:rsidRPr="00371401" w:rsidR="00321B45">
        <w:t>2,6</w:t>
      </w:r>
      <w:r w:rsidRPr="00371401" w:rsidR="00122ABA">
        <w:t xml:space="preserve">pp </w:t>
      </w:r>
      <w:r w:rsidRPr="00371401">
        <w:t>in 202</w:t>
      </w:r>
      <w:r w:rsidRPr="00371401" w:rsidR="00321B45">
        <w:t>4</w:t>
      </w:r>
      <w:r w:rsidRPr="00371401">
        <w:t xml:space="preserve"> volgt </w:t>
      </w:r>
      <w:r w:rsidRPr="00371401" w:rsidR="001D1621">
        <w:t>dat er meer arrangementen met een onderhandeld kortingspercentage hoger dan het (minimaal) geadviseerde kortingspercentage zijn dan arrangementen met een onderhandeld kortingspercentage gelijk aan of lager dan het (minimaal) geadviseerde kortingspercentage</w:t>
      </w:r>
      <w:r w:rsidRPr="00371401">
        <w:t xml:space="preserve">. </w:t>
      </w:r>
      <w:r w:rsidRPr="00371401" w:rsidR="001D1621">
        <w:t xml:space="preserve">Dit geldt </w:t>
      </w:r>
      <w:r w:rsidRPr="00371401" w:rsidR="00CE79FF">
        <w:t>tevens</w:t>
      </w:r>
      <w:r w:rsidRPr="00371401" w:rsidR="001D1621">
        <w:t xml:space="preserve"> voor 2021</w:t>
      </w:r>
      <w:r w:rsidRPr="00371401" w:rsidR="00321B45">
        <w:t xml:space="preserve">, </w:t>
      </w:r>
      <w:r w:rsidRPr="00371401" w:rsidR="001D1621">
        <w:t>2022</w:t>
      </w:r>
      <w:r w:rsidRPr="00371401" w:rsidR="00321B45">
        <w:t xml:space="preserve"> en 2023</w:t>
      </w:r>
      <w:r w:rsidRPr="00371401" w:rsidR="001D1621">
        <w:t xml:space="preserve">. </w:t>
      </w:r>
    </w:p>
    <w:p w:rsidRPr="00371401" w:rsidR="00CE79FF" w:rsidP="00371401" w:rsidRDefault="00CE79FF" w14:paraId="066A24A1" w14:textId="77777777">
      <w:pPr>
        <w:suppressAutoHyphens/>
      </w:pPr>
    </w:p>
    <w:p w:rsidRPr="00371401" w:rsidR="00F70E3C" w:rsidP="00371401" w:rsidRDefault="00CE79FF" w14:paraId="5A5C5E73" w14:textId="217CF286">
      <w:pPr>
        <w:suppressAutoHyphens/>
      </w:pPr>
      <w:r w:rsidRPr="00371401">
        <w:t xml:space="preserve">Dit betekent </w:t>
      </w:r>
      <w:bookmarkStart w:name="_Hlk231998212" w:id="4"/>
      <w:r w:rsidRPr="00371401">
        <w:t xml:space="preserve">dat </w:t>
      </w:r>
      <w:r w:rsidRPr="00371401" w:rsidR="008A7397">
        <w:t>voor</w:t>
      </w:r>
      <w:r w:rsidRPr="00371401">
        <w:t xml:space="preserve"> het merendeel van de geneesmiddelen waarvoor een specifiek kortingspercentage is geadviseerd én die binnen de reikwijdte van de analyse vallen, de door het Zorginstituut geadviseerde kortingspercentages worden gerealiseerd in de onderhandelingen</w:t>
      </w:r>
      <w:bookmarkEnd w:id="4"/>
      <w:r w:rsidRPr="00371401">
        <w:t>.</w:t>
      </w:r>
    </w:p>
    <w:p w:rsidRPr="00371401" w:rsidR="000225E0" w:rsidP="00371401" w:rsidRDefault="000225E0" w14:paraId="2A89025E" w14:textId="77777777">
      <w:pPr>
        <w:suppressAutoHyphens/>
      </w:pPr>
    </w:p>
    <w:p w:rsidRPr="00371401" w:rsidR="000225E0" w:rsidP="00371401" w:rsidRDefault="000225E0" w14:paraId="2BC71930" w14:textId="4845F017">
      <w:pPr>
        <w:suppressAutoHyphens/>
        <w:rPr>
          <w:rFonts w:eastAsia="Times New Roman" w:cs="Times New Roman"/>
          <w:b/>
          <w:color w:val="000000" w:themeColor="text1"/>
        </w:rPr>
      </w:pPr>
      <w:r w:rsidRPr="00371401">
        <w:rPr>
          <w:rFonts w:eastAsia="Times New Roman" w:cs="Times New Roman"/>
          <w:b/>
          <w:color w:val="000000" w:themeColor="text1"/>
        </w:rPr>
        <w:t>4.3 Uitgavenverlaging zonder concreet kortingsadvies</w:t>
      </w:r>
    </w:p>
    <w:p w:rsidRPr="00371401" w:rsidR="000225E0" w:rsidP="00371401" w:rsidRDefault="000225E0" w14:paraId="559C213E" w14:textId="69A27799">
      <w:pPr>
        <w:suppressAutoHyphens/>
      </w:pPr>
      <w:r w:rsidRPr="00371401">
        <w:t xml:space="preserve">In tabel </w:t>
      </w:r>
      <w:r w:rsidRPr="00371401" w:rsidR="0099409B">
        <w:t>4</w:t>
      </w:r>
      <w:r w:rsidRPr="00371401">
        <w:t xml:space="preserve"> staan de uitgaven, met en zonder arrangement, voor die geneesmiddelen en hun specifieke indicatie(s), waarvoor </w:t>
      </w:r>
      <w:r w:rsidRPr="00371401">
        <w:rPr>
          <w:u w:val="single"/>
        </w:rPr>
        <w:t>geen</w:t>
      </w:r>
      <w:r w:rsidRPr="00371401">
        <w:t xml:space="preserve"> concreet kortingsadvies beschikbaar is. Uit de tabel volgt dat ook voor deze geneesmiddelen in alle jaren (openbare en/of vertrouwelijke) uitgavenverlagingen worden gerealiseerd. Door het ontbreken van een concreet kortingsadvies is geen verdere analyse mogelijk van de behaalde resultaten ten opzichte van het Zorginstituut advies.</w:t>
      </w:r>
    </w:p>
    <w:p w:rsidR="000225E0" w:rsidP="00371401" w:rsidRDefault="000225E0" w14:paraId="61B4390A" w14:textId="77777777">
      <w:pPr>
        <w:suppressAutoHyphens/>
      </w:pPr>
    </w:p>
    <w:p w:rsidR="00371401" w:rsidP="00371401" w:rsidRDefault="00371401" w14:paraId="0B6E03FA" w14:textId="77777777">
      <w:pPr>
        <w:suppressAutoHyphens/>
      </w:pPr>
    </w:p>
    <w:p w:rsidR="00371401" w:rsidP="00371401" w:rsidRDefault="00371401" w14:paraId="5F389A5B" w14:textId="77777777">
      <w:pPr>
        <w:suppressAutoHyphens/>
      </w:pPr>
    </w:p>
    <w:p w:rsidR="00371401" w:rsidP="00371401" w:rsidRDefault="00371401" w14:paraId="5602D798" w14:textId="77777777">
      <w:pPr>
        <w:suppressAutoHyphens/>
      </w:pPr>
    </w:p>
    <w:p w:rsidR="00371401" w:rsidP="00371401" w:rsidRDefault="00371401" w14:paraId="4E99920E" w14:textId="77777777">
      <w:pPr>
        <w:suppressAutoHyphens/>
      </w:pPr>
    </w:p>
    <w:p w:rsidR="00371401" w:rsidP="00371401" w:rsidRDefault="00371401" w14:paraId="2E26F36A" w14:textId="77777777">
      <w:pPr>
        <w:suppressAutoHyphens/>
      </w:pPr>
    </w:p>
    <w:p w:rsidR="00371401" w:rsidP="00371401" w:rsidRDefault="00371401" w14:paraId="03CFFA9C" w14:textId="77777777">
      <w:pPr>
        <w:suppressAutoHyphens/>
      </w:pPr>
    </w:p>
    <w:p w:rsidRPr="00371401" w:rsidR="00371401" w:rsidP="00371401" w:rsidRDefault="00371401" w14:paraId="63F17B3B" w14:textId="77777777">
      <w:pPr>
        <w:suppressAutoHyphens/>
      </w:pPr>
    </w:p>
    <w:p w:rsidRPr="00371401" w:rsidR="000225E0" w:rsidP="00371401" w:rsidRDefault="000225E0" w14:paraId="59FD1597" w14:textId="72D4321C">
      <w:pPr>
        <w:suppressAutoHyphens/>
        <w:rPr>
          <w:rFonts w:eastAsia="Times New Roman" w:cs="Times New Roman"/>
          <w:b/>
        </w:rPr>
      </w:pPr>
      <w:r w:rsidRPr="00371401">
        <w:rPr>
          <w:rFonts w:eastAsia="Times New Roman" w:cs="Times New Roman"/>
          <w:b/>
        </w:rPr>
        <w:lastRenderedPageBreak/>
        <w:t xml:space="preserve">Tabel </w:t>
      </w:r>
      <w:r w:rsidRPr="00371401" w:rsidR="0099409B">
        <w:rPr>
          <w:rFonts w:eastAsia="Times New Roman" w:cs="Times New Roman"/>
          <w:b/>
        </w:rPr>
        <w:t>4</w:t>
      </w:r>
      <w:r w:rsidRPr="00371401">
        <w:rPr>
          <w:rFonts w:eastAsia="Times New Roman" w:cs="Times New Roman"/>
          <w:b/>
        </w:rPr>
        <w:t>. Uitgavenverlaging voor geneesmiddelen waarvoor geen kortingsadvies van het Zorginstituut beschikbaar is (in mln. € excl. btw)</w:t>
      </w:r>
    </w:p>
    <w:tbl>
      <w:tblPr>
        <w:tblStyle w:val="Gemiddeldearcering1-accent1"/>
        <w:tblW w:w="757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57" w:type="dxa"/>
          <w:right w:w="57" w:type="dxa"/>
        </w:tblCellMar>
        <w:tblLook w:val="04A0" w:firstRow="1" w:lastRow="0" w:firstColumn="1" w:lastColumn="0" w:noHBand="0" w:noVBand="1"/>
      </w:tblPr>
      <w:tblGrid>
        <w:gridCol w:w="1980"/>
        <w:gridCol w:w="1559"/>
        <w:gridCol w:w="1418"/>
        <w:gridCol w:w="1275"/>
        <w:gridCol w:w="1342"/>
      </w:tblGrid>
      <w:tr w:rsidRPr="00371401" w:rsidR="0002343C" w:rsidTr="00A334B4" w14:paraId="2EDC10BD"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80" w:type="dxa"/>
            <w:tcBorders>
              <w:top w:val="none" w:color="auto" w:sz="0" w:space="0"/>
              <w:left w:val="none" w:color="auto" w:sz="0" w:space="0"/>
              <w:bottom w:val="none" w:color="auto" w:sz="0" w:space="0"/>
              <w:right w:val="none" w:color="auto" w:sz="0" w:space="0"/>
            </w:tcBorders>
            <w:shd w:val="clear" w:color="auto" w:fill="FFFFFF" w:themeFill="background1"/>
            <w:vAlign w:val="center"/>
            <w:hideMark/>
          </w:tcPr>
          <w:p w:rsidRPr="00371401" w:rsidR="000225E0" w:rsidP="00371401" w:rsidRDefault="000225E0" w14:paraId="5D321D57" w14:textId="77777777">
            <w:pPr>
              <w:suppressAutoHyphens/>
              <w:ind w:left="57"/>
              <w:contextualSpacing/>
              <w:rPr>
                <w:rFonts w:eastAsia="Times New Roman" w:cs="Times New Roman"/>
                <w:color w:val="auto"/>
              </w:rPr>
            </w:pPr>
            <w:r w:rsidRPr="00371401">
              <w:rPr>
                <w:color w:val="auto"/>
                <w:kern w:val="24"/>
              </w:rPr>
              <w:t>Bedragen</w:t>
            </w:r>
          </w:p>
        </w:tc>
        <w:tc>
          <w:tcPr>
            <w:tcW w:w="1559" w:type="dxa"/>
            <w:tcBorders>
              <w:top w:val="none" w:color="auto" w:sz="0" w:space="0"/>
              <w:left w:val="none" w:color="auto" w:sz="0" w:space="0"/>
              <w:bottom w:val="none" w:color="auto" w:sz="0" w:space="0"/>
              <w:right w:val="none" w:color="auto" w:sz="0" w:space="0"/>
            </w:tcBorders>
            <w:shd w:val="clear" w:color="auto" w:fill="FFFFFF" w:themeFill="background1"/>
            <w:vAlign w:val="center"/>
          </w:tcPr>
          <w:p w:rsidRPr="00371401" w:rsidR="000225E0" w:rsidP="00371401" w:rsidRDefault="000225E0" w14:paraId="669C8A7D" w14:textId="77777777">
            <w:pPr>
              <w:suppressAutoHyphens/>
              <w:ind w:left="34"/>
              <w:contextualSpacing/>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371401">
              <w:rPr>
                <w:color w:val="auto"/>
              </w:rPr>
              <w:t>2021</w:t>
            </w:r>
          </w:p>
        </w:tc>
        <w:tc>
          <w:tcPr>
            <w:tcW w:w="1418" w:type="dxa"/>
            <w:tcBorders>
              <w:top w:val="none" w:color="auto" w:sz="0" w:space="0"/>
              <w:left w:val="none" w:color="auto" w:sz="0" w:space="0"/>
              <w:bottom w:val="none" w:color="auto" w:sz="0" w:space="0"/>
              <w:right w:val="none" w:color="auto" w:sz="0" w:space="0"/>
            </w:tcBorders>
            <w:shd w:val="clear" w:color="auto" w:fill="FFFFFF" w:themeFill="background1"/>
            <w:vAlign w:val="center"/>
          </w:tcPr>
          <w:p w:rsidRPr="00371401" w:rsidR="000225E0" w:rsidP="00371401" w:rsidRDefault="000225E0" w14:paraId="1E79CF3B" w14:textId="77777777">
            <w:pPr>
              <w:suppressAutoHyphens/>
              <w:ind w:left="34"/>
              <w:contextualSpacing/>
              <w:cnfStyle w:val="100000000000" w:firstRow="1" w:lastRow="0" w:firstColumn="0" w:lastColumn="0" w:oddVBand="0" w:evenVBand="0" w:oddHBand="0" w:evenHBand="0" w:firstRowFirstColumn="0" w:firstRowLastColumn="0" w:lastRowFirstColumn="0" w:lastRowLastColumn="0"/>
              <w:rPr>
                <w:rFonts w:eastAsia="Times New Roman" w:cs="Times New Roman"/>
                <w:i/>
                <w:color w:val="auto"/>
              </w:rPr>
            </w:pPr>
            <w:r w:rsidRPr="00371401">
              <w:rPr>
                <w:color w:val="auto"/>
              </w:rPr>
              <w:t>2022^</w:t>
            </w:r>
          </w:p>
        </w:tc>
        <w:tc>
          <w:tcPr>
            <w:tcW w:w="1275" w:type="dxa"/>
            <w:tcBorders>
              <w:top w:val="none" w:color="auto" w:sz="0" w:space="0"/>
              <w:left w:val="none" w:color="auto" w:sz="0" w:space="0"/>
              <w:bottom w:val="none" w:color="auto" w:sz="0" w:space="0"/>
              <w:right w:val="none" w:color="auto" w:sz="0" w:space="0"/>
            </w:tcBorders>
            <w:shd w:val="clear" w:color="auto" w:fill="FFFFFF" w:themeFill="background1"/>
            <w:vAlign w:val="center"/>
          </w:tcPr>
          <w:p w:rsidRPr="00371401" w:rsidR="000225E0" w:rsidP="00371401" w:rsidRDefault="000225E0" w14:paraId="420FBA8A" w14:textId="77777777">
            <w:pPr>
              <w:suppressAutoHyphens/>
              <w:ind w:left="34"/>
              <w:contextualSpacing/>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371401">
              <w:rPr>
                <w:color w:val="auto"/>
              </w:rPr>
              <w:t>2023^</w:t>
            </w:r>
          </w:p>
        </w:tc>
        <w:tc>
          <w:tcPr>
            <w:tcW w:w="1342" w:type="dxa"/>
            <w:tcBorders>
              <w:top w:val="none" w:color="auto" w:sz="0" w:space="0"/>
              <w:left w:val="none" w:color="auto" w:sz="0" w:space="0"/>
              <w:bottom w:val="none" w:color="auto" w:sz="0" w:space="0"/>
              <w:right w:val="none" w:color="auto" w:sz="0" w:space="0"/>
            </w:tcBorders>
            <w:shd w:val="clear" w:color="auto" w:fill="FFFFFF" w:themeFill="background1"/>
            <w:vAlign w:val="center"/>
          </w:tcPr>
          <w:p w:rsidRPr="00371401" w:rsidR="000225E0" w:rsidP="00371401" w:rsidRDefault="000225E0" w14:paraId="70740B22" w14:textId="77777777">
            <w:pPr>
              <w:suppressAutoHyphens/>
              <w:ind w:left="57"/>
              <w:contextualSpacing/>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371401">
              <w:rPr>
                <w:color w:val="auto"/>
              </w:rPr>
              <w:t>2024*</w:t>
            </w:r>
          </w:p>
        </w:tc>
      </w:tr>
      <w:tr w:rsidRPr="00371401" w:rsidR="004C493E" w:rsidTr="00A334B4" w14:paraId="36DA670F"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80" w:type="dxa"/>
            <w:tcBorders>
              <w:right w:val="none" w:color="auto" w:sz="0" w:space="0"/>
            </w:tcBorders>
            <w:shd w:val="clear" w:color="auto" w:fill="8EAADB"/>
            <w:vAlign w:val="center"/>
            <w:hideMark/>
          </w:tcPr>
          <w:p w:rsidRPr="00371401" w:rsidR="000225E0" w:rsidP="00371401" w:rsidRDefault="000225E0" w14:paraId="4B7AE007" w14:textId="77777777">
            <w:pPr>
              <w:suppressAutoHyphens/>
              <w:ind w:left="57"/>
              <w:contextualSpacing/>
              <w:rPr>
                <w:rFonts w:eastAsia="Times New Roman" w:cs="Times New Roman"/>
                <w:b w:val="0"/>
                <w:bCs w:val="0"/>
              </w:rPr>
            </w:pPr>
            <w:r w:rsidRPr="00371401">
              <w:rPr>
                <w:b w:val="0"/>
                <w:bCs w:val="0"/>
                <w:kern w:val="24"/>
              </w:rPr>
              <w:t>Uitgaven zonder arrangement</w:t>
            </w:r>
          </w:p>
        </w:tc>
        <w:tc>
          <w:tcPr>
            <w:tcW w:w="1559" w:type="dxa"/>
            <w:tcBorders>
              <w:left w:val="none" w:color="auto" w:sz="0" w:space="0"/>
              <w:right w:val="none" w:color="auto" w:sz="0" w:space="0"/>
            </w:tcBorders>
            <w:shd w:val="clear" w:color="auto" w:fill="8EAADB"/>
            <w:vAlign w:val="center"/>
          </w:tcPr>
          <w:p w:rsidRPr="00371401" w:rsidR="000225E0" w:rsidP="00371401" w:rsidRDefault="000225E0" w14:paraId="43F13D51" w14:textId="77777777">
            <w:pPr>
              <w:pStyle w:val="Geenafstand"/>
              <w:suppressAutoHyphens/>
              <w:spacing w:line="240" w:lineRule="exact"/>
              <w:cnfStyle w:val="000000100000" w:firstRow="0" w:lastRow="0" w:firstColumn="0" w:lastColumn="0" w:oddVBand="0" w:evenVBand="0" w:oddHBand="1" w:evenHBand="0" w:firstRowFirstColumn="0" w:firstRowLastColumn="0" w:lastRowFirstColumn="0" w:lastRowLastColumn="0"/>
              <w:rPr>
                <w:b/>
              </w:rPr>
            </w:pPr>
            <w:r w:rsidRPr="00371401">
              <w:t>1.081,7</w:t>
            </w:r>
          </w:p>
        </w:tc>
        <w:tc>
          <w:tcPr>
            <w:tcW w:w="1418" w:type="dxa"/>
            <w:tcBorders>
              <w:left w:val="none" w:color="auto" w:sz="0" w:space="0"/>
              <w:right w:val="none" w:color="auto" w:sz="0" w:space="0"/>
            </w:tcBorders>
            <w:shd w:val="clear" w:color="auto" w:fill="8EAADB"/>
            <w:vAlign w:val="center"/>
          </w:tcPr>
          <w:p w:rsidRPr="00371401" w:rsidR="000225E0" w:rsidP="00371401" w:rsidRDefault="000225E0" w14:paraId="18CA1EED" w14:textId="77777777">
            <w:pPr>
              <w:pStyle w:val="Geenafstand"/>
              <w:suppressAutoHyphens/>
              <w:spacing w:line="240" w:lineRule="exact"/>
              <w:cnfStyle w:val="000000100000" w:firstRow="0" w:lastRow="0" w:firstColumn="0" w:lastColumn="0" w:oddVBand="0" w:evenVBand="0" w:oddHBand="1" w:evenHBand="0" w:firstRowFirstColumn="0" w:firstRowLastColumn="0" w:lastRowFirstColumn="0" w:lastRowLastColumn="0"/>
              <w:rPr>
                <w:b/>
              </w:rPr>
            </w:pPr>
            <w:r w:rsidRPr="00371401">
              <w:t>1.158,0</w:t>
            </w:r>
          </w:p>
        </w:tc>
        <w:tc>
          <w:tcPr>
            <w:tcW w:w="1275" w:type="dxa"/>
            <w:tcBorders>
              <w:left w:val="none" w:color="auto" w:sz="0" w:space="0"/>
              <w:right w:val="none" w:color="auto" w:sz="0" w:space="0"/>
            </w:tcBorders>
            <w:shd w:val="clear" w:color="auto" w:fill="8EAADB"/>
            <w:vAlign w:val="center"/>
          </w:tcPr>
          <w:p w:rsidRPr="00371401" w:rsidR="000225E0" w:rsidP="00371401" w:rsidRDefault="000225E0" w14:paraId="1D111D0D" w14:textId="77777777">
            <w:pPr>
              <w:pStyle w:val="Geenafstand"/>
              <w:suppressAutoHyphens/>
              <w:spacing w:line="240" w:lineRule="exact"/>
              <w:cnfStyle w:val="000000100000" w:firstRow="0" w:lastRow="0" w:firstColumn="0" w:lastColumn="0" w:oddVBand="0" w:evenVBand="0" w:oddHBand="1" w:evenHBand="0" w:firstRowFirstColumn="0" w:firstRowLastColumn="0" w:lastRowFirstColumn="0" w:lastRowLastColumn="0"/>
              <w:rPr>
                <w:b/>
              </w:rPr>
            </w:pPr>
            <w:r w:rsidRPr="00371401">
              <w:t>1.250,1</w:t>
            </w:r>
          </w:p>
        </w:tc>
        <w:tc>
          <w:tcPr>
            <w:tcW w:w="1342" w:type="dxa"/>
            <w:tcBorders>
              <w:left w:val="none" w:color="auto" w:sz="0" w:space="0"/>
            </w:tcBorders>
            <w:shd w:val="clear" w:color="auto" w:fill="8EAADB"/>
            <w:vAlign w:val="center"/>
          </w:tcPr>
          <w:p w:rsidRPr="00371401" w:rsidR="000225E0" w:rsidP="00371401" w:rsidRDefault="000225E0" w14:paraId="349442FB" w14:textId="77777777">
            <w:pPr>
              <w:pStyle w:val="Geenafstand"/>
              <w:suppressAutoHyphens/>
              <w:spacing w:line="240" w:lineRule="exact"/>
              <w:cnfStyle w:val="000000100000" w:firstRow="0" w:lastRow="0" w:firstColumn="0" w:lastColumn="0" w:oddVBand="0" w:evenVBand="0" w:oddHBand="1" w:evenHBand="0" w:firstRowFirstColumn="0" w:firstRowLastColumn="0" w:lastRowFirstColumn="0" w:lastRowLastColumn="0"/>
              <w:rPr>
                <w:b/>
              </w:rPr>
            </w:pPr>
            <w:r w:rsidRPr="00371401">
              <w:t>1.332,8</w:t>
            </w:r>
          </w:p>
        </w:tc>
      </w:tr>
      <w:tr w:rsidRPr="00371401" w:rsidR="004C493E" w:rsidTr="00A334B4" w14:paraId="11531D4B" w14:textId="77777777">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80" w:type="dxa"/>
            <w:tcBorders>
              <w:right w:val="none" w:color="auto" w:sz="0" w:space="0"/>
            </w:tcBorders>
            <w:shd w:val="clear" w:color="auto" w:fill="BDD6EE"/>
            <w:vAlign w:val="center"/>
            <w:hideMark/>
          </w:tcPr>
          <w:p w:rsidRPr="00371401" w:rsidR="000225E0" w:rsidP="00371401" w:rsidRDefault="000225E0" w14:paraId="73B0760D" w14:textId="77777777">
            <w:pPr>
              <w:suppressAutoHyphens/>
              <w:ind w:left="57"/>
              <w:contextualSpacing/>
              <w:rPr>
                <w:rFonts w:eastAsia="Times New Roman" w:cs="Times New Roman"/>
                <w:b w:val="0"/>
                <w:bCs w:val="0"/>
              </w:rPr>
            </w:pPr>
            <w:r w:rsidRPr="00371401">
              <w:rPr>
                <w:b w:val="0"/>
                <w:bCs w:val="0"/>
                <w:kern w:val="24"/>
              </w:rPr>
              <w:t>Uitgaven met arrangement</w:t>
            </w:r>
          </w:p>
        </w:tc>
        <w:tc>
          <w:tcPr>
            <w:tcW w:w="1559" w:type="dxa"/>
            <w:tcBorders>
              <w:left w:val="none" w:color="auto" w:sz="0" w:space="0"/>
              <w:right w:val="none" w:color="auto" w:sz="0" w:space="0"/>
            </w:tcBorders>
            <w:shd w:val="clear" w:color="auto" w:fill="BDD6EE"/>
            <w:vAlign w:val="center"/>
          </w:tcPr>
          <w:p w:rsidRPr="00371401" w:rsidR="000225E0" w:rsidP="00371401" w:rsidRDefault="000225E0" w14:paraId="53ADB520" w14:textId="77777777">
            <w:pPr>
              <w:pStyle w:val="Geenafstand"/>
              <w:suppressAutoHyphens/>
              <w:spacing w:line="240" w:lineRule="exact"/>
              <w:cnfStyle w:val="000000010000" w:firstRow="0" w:lastRow="0" w:firstColumn="0" w:lastColumn="0" w:oddVBand="0" w:evenVBand="0" w:oddHBand="0" w:evenHBand="1" w:firstRowFirstColumn="0" w:firstRowLastColumn="0" w:lastRowFirstColumn="0" w:lastRowLastColumn="0"/>
            </w:pPr>
            <w:r w:rsidRPr="00371401">
              <w:t>510,5</w:t>
            </w:r>
          </w:p>
        </w:tc>
        <w:tc>
          <w:tcPr>
            <w:tcW w:w="1418" w:type="dxa"/>
            <w:tcBorders>
              <w:left w:val="none" w:color="auto" w:sz="0" w:space="0"/>
              <w:right w:val="none" w:color="auto" w:sz="0" w:space="0"/>
            </w:tcBorders>
            <w:shd w:val="clear" w:color="auto" w:fill="BDD6EE"/>
            <w:vAlign w:val="center"/>
          </w:tcPr>
          <w:p w:rsidRPr="00371401" w:rsidR="000225E0" w:rsidP="00371401" w:rsidRDefault="000225E0" w14:paraId="4A0A75C0" w14:textId="77777777">
            <w:pPr>
              <w:pStyle w:val="Geenafstand"/>
              <w:suppressAutoHyphens/>
              <w:spacing w:line="240" w:lineRule="exact"/>
              <w:cnfStyle w:val="000000010000" w:firstRow="0" w:lastRow="0" w:firstColumn="0" w:lastColumn="0" w:oddVBand="0" w:evenVBand="0" w:oddHBand="0" w:evenHBand="1" w:firstRowFirstColumn="0" w:firstRowLastColumn="0" w:lastRowFirstColumn="0" w:lastRowLastColumn="0"/>
            </w:pPr>
            <w:r w:rsidRPr="00371401">
              <w:t>561,9</w:t>
            </w:r>
          </w:p>
        </w:tc>
        <w:tc>
          <w:tcPr>
            <w:tcW w:w="1275" w:type="dxa"/>
            <w:tcBorders>
              <w:left w:val="none" w:color="auto" w:sz="0" w:space="0"/>
              <w:right w:val="none" w:color="auto" w:sz="0" w:space="0"/>
            </w:tcBorders>
            <w:shd w:val="clear" w:color="auto" w:fill="BDD6EE"/>
            <w:vAlign w:val="center"/>
          </w:tcPr>
          <w:p w:rsidRPr="00371401" w:rsidR="000225E0" w:rsidP="00371401" w:rsidRDefault="000225E0" w14:paraId="0E541A86" w14:textId="77777777">
            <w:pPr>
              <w:pStyle w:val="Geenafstand"/>
              <w:suppressAutoHyphens/>
              <w:spacing w:line="240" w:lineRule="exact"/>
              <w:cnfStyle w:val="000000010000" w:firstRow="0" w:lastRow="0" w:firstColumn="0" w:lastColumn="0" w:oddVBand="0" w:evenVBand="0" w:oddHBand="0" w:evenHBand="1" w:firstRowFirstColumn="0" w:firstRowLastColumn="0" w:lastRowFirstColumn="0" w:lastRowLastColumn="0"/>
            </w:pPr>
            <w:r w:rsidRPr="00371401">
              <w:t>597,2</w:t>
            </w:r>
          </w:p>
        </w:tc>
        <w:tc>
          <w:tcPr>
            <w:tcW w:w="1342" w:type="dxa"/>
            <w:tcBorders>
              <w:left w:val="none" w:color="auto" w:sz="0" w:space="0"/>
            </w:tcBorders>
            <w:shd w:val="clear" w:color="auto" w:fill="BDD6EE"/>
            <w:vAlign w:val="center"/>
          </w:tcPr>
          <w:p w:rsidRPr="00371401" w:rsidR="000225E0" w:rsidP="00371401" w:rsidRDefault="000225E0" w14:paraId="4B8A3D01" w14:textId="77777777">
            <w:pPr>
              <w:pStyle w:val="Geenafstand"/>
              <w:suppressAutoHyphens/>
              <w:spacing w:line="240" w:lineRule="exact"/>
              <w:cnfStyle w:val="000000010000" w:firstRow="0" w:lastRow="0" w:firstColumn="0" w:lastColumn="0" w:oddVBand="0" w:evenVBand="0" w:oddHBand="0" w:evenHBand="1" w:firstRowFirstColumn="0" w:firstRowLastColumn="0" w:lastRowFirstColumn="0" w:lastRowLastColumn="0"/>
            </w:pPr>
            <w:r w:rsidRPr="00371401">
              <w:t>581,5</w:t>
            </w:r>
          </w:p>
        </w:tc>
      </w:tr>
      <w:tr w:rsidRPr="00371401" w:rsidR="004C493E" w:rsidTr="00A334B4" w14:paraId="548CF5C4"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80" w:type="dxa"/>
            <w:tcBorders>
              <w:right w:val="none" w:color="auto" w:sz="0" w:space="0"/>
            </w:tcBorders>
            <w:shd w:val="clear" w:color="auto" w:fill="FFFFFF" w:themeFill="background1"/>
            <w:vAlign w:val="center"/>
            <w:hideMark/>
          </w:tcPr>
          <w:p w:rsidRPr="00371401" w:rsidR="000225E0" w:rsidP="00371401" w:rsidRDefault="000225E0" w14:paraId="3C977620" w14:textId="77777777">
            <w:pPr>
              <w:suppressAutoHyphens/>
              <w:ind w:left="57"/>
              <w:contextualSpacing/>
              <w:rPr>
                <w:rFonts w:eastAsia="Times New Roman" w:cs="Times New Roman"/>
              </w:rPr>
            </w:pPr>
            <w:r w:rsidRPr="00371401">
              <w:rPr>
                <w:kern w:val="24"/>
              </w:rPr>
              <w:t>Uitgaven verlaging</w:t>
            </w:r>
          </w:p>
        </w:tc>
        <w:tc>
          <w:tcPr>
            <w:tcW w:w="1559" w:type="dxa"/>
            <w:tcBorders>
              <w:left w:val="none" w:color="auto" w:sz="0" w:space="0"/>
              <w:right w:val="none" w:color="auto" w:sz="0" w:space="0"/>
            </w:tcBorders>
            <w:shd w:val="clear" w:color="auto" w:fill="FFFFFF" w:themeFill="background1"/>
            <w:vAlign w:val="center"/>
          </w:tcPr>
          <w:p w:rsidRPr="00371401" w:rsidR="000225E0" w:rsidP="00371401" w:rsidRDefault="000225E0" w14:paraId="199B8617" w14:textId="77777777">
            <w:pPr>
              <w:pStyle w:val="Geenafstand"/>
              <w:suppressAutoHyphens/>
              <w:spacing w:line="240" w:lineRule="exact"/>
              <w:cnfStyle w:val="000000100000" w:firstRow="0" w:lastRow="0" w:firstColumn="0" w:lastColumn="0" w:oddVBand="0" w:evenVBand="0" w:oddHBand="1" w:evenHBand="0" w:firstRowFirstColumn="0" w:firstRowLastColumn="0" w:lastRowFirstColumn="0" w:lastRowLastColumn="0"/>
              <w:rPr>
                <w:b/>
                <w:bCs/>
              </w:rPr>
            </w:pPr>
            <w:r w:rsidRPr="00371401">
              <w:rPr>
                <w:b/>
                <w:bCs/>
              </w:rPr>
              <w:t>571,2</w:t>
            </w:r>
          </w:p>
        </w:tc>
        <w:tc>
          <w:tcPr>
            <w:tcW w:w="1418" w:type="dxa"/>
            <w:tcBorders>
              <w:left w:val="none" w:color="auto" w:sz="0" w:space="0"/>
              <w:right w:val="none" w:color="auto" w:sz="0" w:space="0"/>
            </w:tcBorders>
            <w:shd w:val="clear" w:color="auto" w:fill="FFFFFF" w:themeFill="background1"/>
            <w:vAlign w:val="center"/>
          </w:tcPr>
          <w:p w:rsidRPr="00371401" w:rsidR="000225E0" w:rsidP="00371401" w:rsidRDefault="000225E0" w14:paraId="7E73D95F" w14:textId="77777777">
            <w:pPr>
              <w:pStyle w:val="Geenafstand"/>
              <w:suppressAutoHyphens/>
              <w:spacing w:line="240" w:lineRule="exact"/>
              <w:cnfStyle w:val="000000100000" w:firstRow="0" w:lastRow="0" w:firstColumn="0" w:lastColumn="0" w:oddVBand="0" w:evenVBand="0" w:oddHBand="1" w:evenHBand="0" w:firstRowFirstColumn="0" w:firstRowLastColumn="0" w:lastRowFirstColumn="0" w:lastRowLastColumn="0"/>
              <w:rPr>
                <w:b/>
                <w:bCs/>
              </w:rPr>
            </w:pPr>
            <w:r w:rsidRPr="00371401">
              <w:rPr>
                <w:b/>
                <w:bCs/>
              </w:rPr>
              <w:t>596,1</w:t>
            </w:r>
          </w:p>
        </w:tc>
        <w:tc>
          <w:tcPr>
            <w:tcW w:w="1275" w:type="dxa"/>
            <w:tcBorders>
              <w:left w:val="none" w:color="auto" w:sz="0" w:space="0"/>
              <w:right w:val="none" w:color="auto" w:sz="0" w:space="0"/>
            </w:tcBorders>
            <w:shd w:val="clear" w:color="auto" w:fill="FFFFFF" w:themeFill="background1"/>
            <w:vAlign w:val="center"/>
          </w:tcPr>
          <w:p w:rsidRPr="00371401" w:rsidR="000225E0" w:rsidP="00371401" w:rsidRDefault="000225E0" w14:paraId="3D671A7B" w14:textId="77777777">
            <w:pPr>
              <w:pStyle w:val="Geenafstand"/>
              <w:suppressAutoHyphens/>
              <w:spacing w:line="240" w:lineRule="exact"/>
              <w:cnfStyle w:val="000000100000" w:firstRow="0" w:lastRow="0" w:firstColumn="0" w:lastColumn="0" w:oddVBand="0" w:evenVBand="0" w:oddHBand="1" w:evenHBand="0" w:firstRowFirstColumn="0" w:firstRowLastColumn="0" w:lastRowFirstColumn="0" w:lastRowLastColumn="0"/>
              <w:rPr>
                <w:b/>
                <w:bCs/>
              </w:rPr>
            </w:pPr>
            <w:r w:rsidRPr="00371401">
              <w:rPr>
                <w:b/>
                <w:bCs/>
              </w:rPr>
              <w:t>652,9</w:t>
            </w:r>
          </w:p>
        </w:tc>
        <w:tc>
          <w:tcPr>
            <w:tcW w:w="1342" w:type="dxa"/>
            <w:tcBorders>
              <w:left w:val="none" w:color="auto" w:sz="0" w:space="0"/>
            </w:tcBorders>
            <w:shd w:val="clear" w:color="auto" w:fill="FFFFFF" w:themeFill="background1"/>
            <w:vAlign w:val="center"/>
          </w:tcPr>
          <w:p w:rsidRPr="00371401" w:rsidR="000225E0" w:rsidP="00371401" w:rsidRDefault="000225E0" w14:paraId="376FBC06" w14:textId="77777777">
            <w:pPr>
              <w:pStyle w:val="Geenafstand"/>
              <w:suppressAutoHyphens/>
              <w:spacing w:line="240" w:lineRule="exact"/>
              <w:cnfStyle w:val="000000100000" w:firstRow="0" w:lastRow="0" w:firstColumn="0" w:lastColumn="0" w:oddVBand="0" w:evenVBand="0" w:oddHBand="1" w:evenHBand="0" w:firstRowFirstColumn="0" w:firstRowLastColumn="0" w:lastRowFirstColumn="0" w:lastRowLastColumn="0"/>
              <w:rPr>
                <w:b/>
                <w:bCs/>
              </w:rPr>
            </w:pPr>
            <w:r w:rsidRPr="00371401">
              <w:rPr>
                <w:b/>
                <w:bCs/>
              </w:rPr>
              <w:t>751,4</w:t>
            </w:r>
          </w:p>
        </w:tc>
      </w:tr>
    </w:tbl>
    <w:p w:rsidRPr="00371401" w:rsidR="00E7745E" w:rsidP="00371401" w:rsidRDefault="00E7745E" w14:paraId="054737DD" w14:textId="77777777">
      <w:pPr>
        <w:suppressAutoHyphens/>
        <w:rPr>
          <w:rFonts w:eastAsia="Times New Roman" w:cs="Times New Roman"/>
          <w:i/>
        </w:rPr>
      </w:pPr>
      <w:r w:rsidRPr="00371401">
        <w:rPr>
          <w:rFonts w:eastAsia="Times New Roman" w:cs="Times New Roman"/>
          <w:i/>
        </w:rPr>
        <w:t>^) Er hebben correcties plaatsgevonden voor deze jaren ten opzichte van de vorige voortgangsbrief.</w:t>
      </w:r>
    </w:p>
    <w:p w:rsidRPr="00371401" w:rsidR="000225E0" w:rsidP="00371401" w:rsidRDefault="000225E0" w14:paraId="3EBD33E6" w14:textId="32370F00">
      <w:pPr>
        <w:suppressAutoHyphens/>
        <w:rPr>
          <w:rFonts w:eastAsia="Times New Roman" w:cs="Times New Roman"/>
          <w:i/>
        </w:rPr>
      </w:pPr>
      <w:r w:rsidRPr="00371401">
        <w:rPr>
          <w:rFonts w:eastAsia="Times New Roman" w:cs="Times New Roman"/>
          <w:i/>
        </w:rPr>
        <w:t>*) De bedragen voor 2024 zijn gebaseerd op voorlopige gegevens.</w:t>
      </w:r>
    </w:p>
    <w:p w:rsidR="00E7745E" w:rsidP="00371401" w:rsidRDefault="000225E0" w14:paraId="0DE8FBE9" w14:textId="3E14CE52">
      <w:pPr>
        <w:suppressAutoHyphens/>
        <w:rPr>
          <w:rFonts w:eastAsia="Times New Roman" w:cs="Times New Roman"/>
          <w:i/>
        </w:rPr>
      </w:pPr>
      <w:r w:rsidRPr="00371401">
        <w:rPr>
          <w:rFonts w:eastAsia="Times New Roman" w:cs="Times New Roman"/>
          <w:i/>
        </w:rPr>
        <w:t>Noot. Door afronding kunnen er kleine verschillen in de optelling ontstaan.</w:t>
      </w:r>
    </w:p>
    <w:p w:rsidRPr="00371401" w:rsidR="00371401" w:rsidP="00371401" w:rsidRDefault="00371401" w14:paraId="32984D38" w14:textId="77777777">
      <w:pPr>
        <w:suppressAutoHyphens/>
        <w:rPr>
          <w:rFonts w:eastAsia="Times New Roman" w:cs="Times New Roman"/>
          <w:i/>
        </w:rPr>
      </w:pPr>
    </w:p>
    <w:p w:rsidRPr="00371401" w:rsidR="001D6A91" w:rsidP="00371401" w:rsidRDefault="00F073BD" w14:paraId="01DB248B" w14:textId="05941A9B">
      <w:pPr>
        <w:suppressAutoHyphens/>
        <w:rPr>
          <w:rFonts w:eastAsia="Times New Roman" w:cs="Times New Roman"/>
          <w:b/>
          <w:bCs/>
          <w:color w:val="000000" w:themeColor="text1"/>
        </w:rPr>
      </w:pPr>
      <w:r w:rsidRPr="00371401">
        <w:rPr>
          <w:rFonts w:eastAsia="Times New Roman" w:cs="Times New Roman"/>
          <w:b/>
          <w:bCs/>
          <w:color w:val="000000" w:themeColor="text1"/>
        </w:rPr>
        <w:t>5</w:t>
      </w:r>
      <w:r w:rsidRPr="00371401" w:rsidR="00F70E3C">
        <w:rPr>
          <w:rFonts w:eastAsia="Times New Roman" w:cs="Times New Roman"/>
          <w:b/>
          <w:bCs/>
          <w:color w:val="000000" w:themeColor="text1"/>
        </w:rPr>
        <w:t>. Specifieke casuïstiek sinds de vorige voortgangsbrief</w:t>
      </w:r>
    </w:p>
    <w:p w:rsidRPr="00371401" w:rsidR="00F70E3C" w:rsidP="00371401" w:rsidRDefault="00F70E3C" w14:paraId="1C4036DE" w14:textId="09754380">
      <w:pPr>
        <w:suppressAutoHyphens/>
        <w:rPr>
          <w:rFonts w:eastAsia="Times New Roman" w:cs="Times New Roman"/>
          <w:bCs/>
          <w:color w:val="000000" w:themeColor="text1"/>
        </w:rPr>
      </w:pPr>
      <w:r w:rsidRPr="00371401">
        <w:rPr>
          <w:rFonts w:eastAsia="Times New Roman" w:cs="Times New Roman"/>
          <w:bCs/>
          <w:color w:val="000000" w:themeColor="text1"/>
        </w:rPr>
        <w:t xml:space="preserve">In de vorige </w:t>
      </w:r>
      <w:r w:rsidRPr="00371401" w:rsidR="004F4F6F">
        <w:rPr>
          <w:rFonts w:eastAsia="Times New Roman" w:cs="Times New Roman"/>
          <w:bCs/>
          <w:color w:val="000000" w:themeColor="text1"/>
        </w:rPr>
        <w:t>delen</w:t>
      </w:r>
      <w:r w:rsidRPr="00371401">
        <w:rPr>
          <w:rFonts w:eastAsia="Times New Roman" w:cs="Times New Roman"/>
          <w:bCs/>
          <w:color w:val="000000" w:themeColor="text1"/>
        </w:rPr>
        <w:t xml:space="preserve"> </w:t>
      </w:r>
      <w:r w:rsidRPr="00371401" w:rsidR="005E2FD1">
        <w:rPr>
          <w:rFonts w:eastAsia="Times New Roman" w:cs="Times New Roman"/>
          <w:bCs/>
          <w:color w:val="000000" w:themeColor="text1"/>
        </w:rPr>
        <w:t>is</w:t>
      </w:r>
      <w:r w:rsidRPr="00371401">
        <w:rPr>
          <w:rFonts w:eastAsia="Times New Roman" w:cs="Times New Roman"/>
          <w:bCs/>
          <w:color w:val="000000" w:themeColor="text1"/>
        </w:rPr>
        <w:t xml:space="preserve"> inzicht gegeven in de financiële gevolgen van de financiële arrangementen voor 2023 en 2024. In deze passage </w:t>
      </w:r>
      <w:r w:rsidRPr="00371401" w:rsidR="005E2FD1">
        <w:rPr>
          <w:rFonts w:eastAsia="Times New Roman" w:cs="Times New Roman"/>
          <w:bCs/>
          <w:color w:val="000000" w:themeColor="text1"/>
        </w:rPr>
        <w:t>wordt ingegaan</w:t>
      </w:r>
      <w:r w:rsidRPr="00371401">
        <w:rPr>
          <w:rFonts w:eastAsia="Times New Roman" w:cs="Times New Roman"/>
          <w:bCs/>
          <w:color w:val="000000" w:themeColor="text1"/>
        </w:rPr>
        <w:t xml:space="preserve"> op een aantal specifieke casussen die hebben gespeeld sinds de vorige voortgangsbrief</w:t>
      </w:r>
      <w:r w:rsidRPr="00371401">
        <w:rPr>
          <w:rStyle w:val="Voetnootmarkering"/>
          <w:rFonts w:eastAsia="Times New Roman" w:cs="Times New Roman"/>
          <w:bCs/>
          <w:color w:val="000000" w:themeColor="text1"/>
        </w:rPr>
        <w:footnoteReference w:id="9"/>
      </w:r>
      <w:r w:rsidRPr="00371401">
        <w:rPr>
          <w:rFonts w:eastAsia="Times New Roman" w:cs="Times New Roman"/>
          <w:bCs/>
          <w:color w:val="000000" w:themeColor="text1"/>
        </w:rPr>
        <w:t xml:space="preserve">. </w:t>
      </w:r>
    </w:p>
    <w:p w:rsidRPr="00371401" w:rsidR="00F70E3C" w:rsidP="00371401" w:rsidRDefault="00F70E3C" w14:paraId="6685A1A9" w14:textId="77777777">
      <w:pPr>
        <w:suppressAutoHyphens/>
        <w:rPr>
          <w:rFonts w:eastAsia="Times New Roman" w:cs="Times New Roman"/>
          <w:bCs/>
          <w:color w:val="000000" w:themeColor="text1"/>
        </w:rPr>
      </w:pPr>
    </w:p>
    <w:p w:rsidRPr="00371401" w:rsidR="00F70E3C" w:rsidP="00371401" w:rsidRDefault="000F4444" w14:paraId="2F97C762" w14:textId="6640058E">
      <w:pPr>
        <w:suppressAutoHyphens/>
        <w:rPr>
          <w:rFonts w:eastAsia="Times New Roman" w:cs="Times New Roman"/>
          <w:b/>
          <w:color w:val="000000" w:themeColor="text1"/>
        </w:rPr>
      </w:pPr>
      <w:r w:rsidRPr="00371401">
        <w:rPr>
          <w:rFonts w:eastAsia="Times New Roman" w:cs="Times New Roman"/>
          <w:b/>
          <w:color w:val="000000" w:themeColor="text1"/>
        </w:rPr>
        <w:t xml:space="preserve">5.1 </w:t>
      </w:r>
      <w:r w:rsidRPr="00371401" w:rsidR="00F70E3C">
        <w:rPr>
          <w:rFonts w:eastAsia="Times New Roman" w:cs="Times New Roman"/>
          <w:b/>
          <w:color w:val="000000" w:themeColor="text1"/>
        </w:rPr>
        <w:t>Nieuwe arrangementen</w:t>
      </w:r>
    </w:p>
    <w:p w:rsidRPr="00371401" w:rsidR="00F70E3C" w:rsidP="00371401" w:rsidRDefault="00F70E3C" w14:paraId="6CC8BF29" w14:textId="1A5F2ED0">
      <w:pPr>
        <w:suppressAutoHyphens/>
        <w:rPr>
          <w:rFonts w:eastAsia="Times New Roman" w:cs="Times New Roman"/>
          <w:bCs/>
          <w:color w:val="000000" w:themeColor="text1"/>
        </w:rPr>
      </w:pPr>
      <w:r w:rsidRPr="00371401">
        <w:rPr>
          <w:rFonts w:eastAsia="Times New Roman" w:cs="Times New Roman"/>
          <w:bCs/>
          <w:color w:val="000000" w:themeColor="text1"/>
        </w:rPr>
        <w:t xml:space="preserve">Tussen 1 </w:t>
      </w:r>
      <w:r w:rsidRPr="00371401" w:rsidR="003279DD">
        <w:rPr>
          <w:rFonts w:eastAsia="Times New Roman" w:cs="Times New Roman"/>
          <w:bCs/>
          <w:color w:val="000000" w:themeColor="text1"/>
        </w:rPr>
        <w:t>april</w:t>
      </w:r>
      <w:r w:rsidRPr="00371401">
        <w:rPr>
          <w:rFonts w:eastAsia="Times New Roman" w:cs="Times New Roman"/>
          <w:bCs/>
          <w:color w:val="000000" w:themeColor="text1"/>
        </w:rPr>
        <w:t xml:space="preserve"> 2025 en 1 mei 2026 zijn er in totaal 1</w:t>
      </w:r>
      <w:r w:rsidRPr="00371401" w:rsidR="003279DD">
        <w:rPr>
          <w:rFonts w:eastAsia="Times New Roman" w:cs="Times New Roman"/>
          <w:bCs/>
          <w:color w:val="000000" w:themeColor="text1"/>
        </w:rPr>
        <w:t>3</w:t>
      </w:r>
      <w:r w:rsidRPr="00371401">
        <w:rPr>
          <w:rFonts w:eastAsia="Times New Roman" w:cs="Times New Roman"/>
          <w:bCs/>
          <w:color w:val="000000" w:themeColor="text1"/>
        </w:rPr>
        <w:t xml:space="preserve"> nieuwe financiële arrangementen afgesloten. </w:t>
      </w:r>
      <w:r w:rsidRPr="00371401" w:rsidR="003279DD">
        <w:rPr>
          <w:rFonts w:eastAsia="Times New Roman" w:cs="Times New Roman"/>
          <w:bCs/>
          <w:color w:val="000000" w:themeColor="text1"/>
        </w:rPr>
        <w:t>Zes</w:t>
      </w:r>
      <w:r w:rsidRPr="00371401">
        <w:rPr>
          <w:rFonts w:eastAsia="Times New Roman" w:cs="Times New Roman"/>
          <w:bCs/>
          <w:color w:val="000000" w:themeColor="text1"/>
        </w:rPr>
        <w:t xml:space="preserve"> van deze financiële arrangementen zijn voor intramurale geneesmiddelen, dit zijn </w:t>
      </w:r>
      <w:proofErr w:type="spellStart"/>
      <w:r w:rsidRPr="00371401">
        <w:rPr>
          <w:rFonts w:eastAsia="Times New Roman" w:cs="Times New Roman"/>
          <w:bCs/>
          <w:color w:val="000000" w:themeColor="text1"/>
        </w:rPr>
        <w:t>Ayvakyt</w:t>
      </w:r>
      <w:proofErr w:type="spellEnd"/>
      <w:r w:rsidRPr="00371401">
        <w:rPr>
          <w:rFonts w:eastAsia="Times New Roman" w:cs="Times New Roman"/>
          <w:bCs/>
          <w:color w:val="000000" w:themeColor="text1"/>
        </w:rPr>
        <w:t xml:space="preserve">, </w:t>
      </w:r>
      <w:proofErr w:type="spellStart"/>
      <w:r w:rsidRPr="00371401">
        <w:rPr>
          <w:rFonts w:eastAsia="Times New Roman" w:cs="Times New Roman"/>
          <w:bCs/>
          <w:color w:val="000000" w:themeColor="text1"/>
        </w:rPr>
        <w:t>Elrexfio</w:t>
      </w:r>
      <w:proofErr w:type="spellEnd"/>
      <w:r w:rsidRPr="00371401">
        <w:rPr>
          <w:rFonts w:eastAsia="Times New Roman" w:cs="Times New Roman"/>
          <w:bCs/>
          <w:color w:val="000000" w:themeColor="text1"/>
        </w:rPr>
        <w:t xml:space="preserve">, </w:t>
      </w:r>
      <w:proofErr w:type="spellStart"/>
      <w:r w:rsidRPr="00371401">
        <w:rPr>
          <w:rFonts w:eastAsia="Times New Roman" w:cs="Times New Roman"/>
          <w:bCs/>
          <w:color w:val="000000" w:themeColor="text1"/>
        </w:rPr>
        <w:t>Talzenna</w:t>
      </w:r>
      <w:proofErr w:type="spellEnd"/>
      <w:r w:rsidRPr="00371401" w:rsidR="003279DD">
        <w:rPr>
          <w:rFonts w:eastAsia="Times New Roman" w:cs="Times New Roman"/>
          <w:bCs/>
          <w:color w:val="000000" w:themeColor="text1"/>
        </w:rPr>
        <w:t xml:space="preserve">, </w:t>
      </w:r>
      <w:proofErr w:type="spellStart"/>
      <w:r w:rsidRPr="00371401">
        <w:rPr>
          <w:rFonts w:eastAsia="Times New Roman" w:cs="Times New Roman"/>
          <w:bCs/>
          <w:color w:val="000000" w:themeColor="text1"/>
        </w:rPr>
        <w:t>Padcev</w:t>
      </w:r>
      <w:proofErr w:type="spellEnd"/>
      <w:r w:rsidRPr="00371401" w:rsidR="003279DD">
        <w:rPr>
          <w:rFonts w:eastAsia="Times New Roman" w:cs="Times New Roman"/>
          <w:bCs/>
          <w:color w:val="000000" w:themeColor="text1"/>
        </w:rPr>
        <w:t xml:space="preserve">, </w:t>
      </w:r>
      <w:proofErr w:type="spellStart"/>
      <w:r w:rsidRPr="00371401" w:rsidR="003279DD">
        <w:rPr>
          <w:rFonts w:eastAsia="Times New Roman" w:cs="Times New Roman"/>
          <w:bCs/>
          <w:color w:val="000000" w:themeColor="text1"/>
        </w:rPr>
        <w:t>Breyanzi</w:t>
      </w:r>
      <w:proofErr w:type="spellEnd"/>
      <w:r w:rsidRPr="00371401" w:rsidR="003279DD">
        <w:rPr>
          <w:rFonts w:eastAsia="Times New Roman" w:cs="Times New Roman"/>
          <w:bCs/>
          <w:color w:val="000000" w:themeColor="text1"/>
        </w:rPr>
        <w:t xml:space="preserve"> en </w:t>
      </w:r>
      <w:proofErr w:type="spellStart"/>
      <w:r w:rsidRPr="00371401" w:rsidR="003279DD">
        <w:rPr>
          <w:rFonts w:eastAsia="Times New Roman" w:cs="Times New Roman"/>
          <w:bCs/>
          <w:color w:val="000000" w:themeColor="text1"/>
        </w:rPr>
        <w:t>Jemperli</w:t>
      </w:r>
      <w:proofErr w:type="spellEnd"/>
      <w:r w:rsidRPr="00371401">
        <w:rPr>
          <w:rFonts w:eastAsia="Times New Roman" w:cs="Times New Roman"/>
          <w:bCs/>
          <w:color w:val="000000" w:themeColor="text1"/>
        </w:rPr>
        <w:t xml:space="preserve">. Daarnaast zijn er </w:t>
      </w:r>
      <w:r w:rsidRPr="00371401" w:rsidR="003279DD">
        <w:rPr>
          <w:rFonts w:eastAsia="Times New Roman" w:cs="Times New Roman"/>
          <w:bCs/>
          <w:color w:val="000000" w:themeColor="text1"/>
        </w:rPr>
        <w:t>zeven</w:t>
      </w:r>
      <w:r w:rsidRPr="00371401">
        <w:rPr>
          <w:rFonts w:eastAsia="Times New Roman" w:cs="Times New Roman"/>
          <w:bCs/>
          <w:color w:val="000000" w:themeColor="text1"/>
        </w:rPr>
        <w:t xml:space="preserve"> nieuwe financiële arrangementen afgesloten voor extramurale geneesmiddelen </w:t>
      </w:r>
      <w:proofErr w:type="spellStart"/>
      <w:r w:rsidRPr="00371401">
        <w:rPr>
          <w:rFonts w:eastAsia="Times New Roman" w:cs="Times New Roman"/>
          <w:bCs/>
          <w:color w:val="000000" w:themeColor="text1"/>
        </w:rPr>
        <w:t>Ajovy</w:t>
      </w:r>
      <w:proofErr w:type="spellEnd"/>
      <w:r w:rsidRPr="00371401">
        <w:rPr>
          <w:rFonts w:eastAsia="Times New Roman" w:cs="Times New Roman"/>
          <w:bCs/>
          <w:color w:val="000000" w:themeColor="text1"/>
        </w:rPr>
        <w:t xml:space="preserve">, </w:t>
      </w:r>
      <w:proofErr w:type="spellStart"/>
      <w:r w:rsidRPr="00371401">
        <w:rPr>
          <w:rFonts w:eastAsia="Times New Roman" w:cs="Times New Roman"/>
          <w:bCs/>
          <w:color w:val="000000" w:themeColor="text1"/>
        </w:rPr>
        <w:t>Amvuttra</w:t>
      </w:r>
      <w:proofErr w:type="spellEnd"/>
      <w:r w:rsidRPr="00371401">
        <w:rPr>
          <w:rFonts w:eastAsia="Times New Roman" w:cs="Times New Roman"/>
          <w:bCs/>
          <w:color w:val="000000" w:themeColor="text1"/>
        </w:rPr>
        <w:t xml:space="preserve">, </w:t>
      </w:r>
      <w:proofErr w:type="spellStart"/>
      <w:r w:rsidRPr="00371401">
        <w:rPr>
          <w:rFonts w:eastAsia="Times New Roman" w:cs="Times New Roman"/>
          <w:bCs/>
          <w:color w:val="000000" w:themeColor="text1"/>
        </w:rPr>
        <w:t>Rystiggo</w:t>
      </w:r>
      <w:proofErr w:type="spellEnd"/>
      <w:r w:rsidRPr="00371401">
        <w:rPr>
          <w:rFonts w:eastAsia="Times New Roman" w:cs="Times New Roman"/>
          <w:bCs/>
          <w:color w:val="000000" w:themeColor="text1"/>
        </w:rPr>
        <w:t xml:space="preserve">, </w:t>
      </w:r>
      <w:proofErr w:type="spellStart"/>
      <w:r w:rsidRPr="00371401">
        <w:rPr>
          <w:rFonts w:eastAsia="Times New Roman" w:cs="Times New Roman"/>
          <w:bCs/>
          <w:color w:val="000000" w:themeColor="text1"/>
        </w:rPr>
        <w:t>Piasky</w:t>
      </w:r>
      <w:proofErr w:type="spellEnd"/>
      <w:r w:rsidRPr="00371401">
        <w:rPr>
          <w:rFonts w:eastAsia="Times New Roman" w:cs="Times New Roman"/>
          <w:bCs/>
          <w:color w:val="000000" w:themeColor="text1"/>
        </w:rPr>
        <w:t xml:space="preserve">, </w:t>
      </w:r>
      <w:proofErr w:type="spellStart"/>
      <w:r w:rsidRPr="00371401">
        <w:rPr>
          <w:rFonts w:eastAsia="Times New Roman" w:cs="Times New Roman"/>
          <w:bCs/>
          <w:color w:val="000000" w:themeColor="text1"/>
        </w:rPr>
        <w:t>Voydeya</w:t>
      </w:r>
      <w:proofErr w:type="spellEnd"/>
      <w:r w:rsidRPr="00371401" w:rsidR="003279DD">
        <w:rPr>
          <w:rFonts w:eastAsia="Times New Roman" w:cs="Times New Roman"/>
          <w:bCs/>
          <w:color w:val="000000" w:themeColor="text1"/>
        </w:rPr>
        <w:t xml:space="preserve">, </w:t>
      </w:r>
      <w:proofErr w:type="spellStart"/>
      <w:r w:rsidRPr="00371401">
        <w:rPr>
          <w:rFonts w:eastAsia="Times New Roman" w:cs="Times New Roman"/>
          <w:bCs/>
          <w:color w:val="000000" w:themeColor="text1"/>
        </w:rPr>
        <w:t>Beyonttra</w:t>
      </w:r>
      <w:proofErr w:type="spellEnd"/>
      <w:r w:rsidRPr="00371401" w:rsidR="003279DD">
        <w:rPr>
          <w:rFonts w:eastAsia="Times New Roman" w:cs="Times New Roman"/>
          <w:bCs/>
          <w:color w:val="000000" w:themeColor="text1"/>
        </w:rPr>
        <w:t xml:space="preserve"> en </w:t>
      </w:r>
      <w:proofErr w:type="spellStart"/>
      <w:r w:rsidRPr="00371401" w:rsidR="003279DD">
        <w:rPr>
          <w:rFonts w:eastAsia="Times New Roman" w:cs="Times New Roman"/>
          <w:bCs/>
          <w:color w:val="000000" w:themeColor="text1"/>
        </w:rPr>
        <w:t>Revestive</w:t>
      </w:r>
      <w:proofErr w:type="spellEnd"/>
      <w:r w:rsidRPr="00371401">
        <w:rPr>
          <w:rFonts w:eastAsia="Times New Roman" w:cs="Times New Roman"/>
          <w:bCs/>
          <w:color w:val="000000" w:themeColor="text1"/>
        </w:rPr>
        <w:t>.</w:t>
      </w:r>
    </w:p>
    <w:p w:rsidRPr="00371401" w:rsidR="00F70E3C" w:rsidP="00371401" w:rsidRDefault="00F70E3C" w14:paraId="6C5A6973" w14:textId="77777777">
      <w:pPr>
        <w:suppressAutoHyphens/>
        <w:rPr>
          <w:rFonts w:eastAsia="Times New Roman" w:cs="Times New Roman"/>
          <w:bCs/>
          <w:color w:val="000000" w:themeColor="text1"/>
        </w:rPr>
      </w:pPr>
    </w:p>
    <w:p w:rsidRPr="00371401" w:rsidR="00F70E3C" w:rsidP="00371401" w:rsidRDefault="000F4444" w14:paraId="638C4DCC" w14:textId="34765A27">
      <w:pPr>
        <w:suppressAutoHyphens/>
        <w:rPr>
          <w:rFonts w:eastAsia="Times New Roman" w:cs="Times New Roman"/>
          <w:b/>
          <w:iCs/>
          <w:color w:val="000000" w:themeColor="text1"/>
        </w:rPr>
      </w:pPr>
      <w:r w:rsidRPr="00371401">
        <w:rPr>
          <w:rFonts w:eastAsia="Times New Roman" w:cs="Times New Roman"/>
          <w:b/>
          <w:iCs/>
          <w:color w:val="000000" w:themeColor="text1"/>
        </w:rPr>
        <w:t xml:space="preserve">5.2 </w:t>
      </w:r>
      <w:r w:rsidRPr="00371401" w:rsidR="00F70E3C">
        <w:rPr>
          <w:rFonts w:eastAsia="Times New Roman" w:cs="Times New Roman"/>
          <w:b/>
          <w:iCs/>
          <w:color w:val="000000" w:themeColor="text1"/>
        </w:rPr>
        <w:t>Continuering van de sluis</w:t>
      </w:r>
    </w:p>
    <w:p w:rsidRPr="00371401" w:rsidR="00F70E3C" w:rsidP="00371401" w:rsidRDefault="00F70E3C" w14:paraId="1891700A" w14:textId="266BF472">
      <w:pPr>
        <w:suppressAutoHyphens/>
        <w:rPr>
          <w:rFonts w:eastAsia="Times New Roman" w:cs="Times New Roman"/>
          <w:bCs/>
          <w:iCs/>
          <w:color w:val="000000" w:themeColor="text1"/>
        </w:rPr>
      </w:pPr>
      <w:r w:rsidRPr="00371401">
        <w:rPr>
          <w:rFonts w:eastAsia="Times New Roman" w:cs="Times New Roman"/>
          <w:bCs/>
          <w:iCs/>
          <w:color w:val="000000" w:themeColor="text1"/>
        </w:rPr>
        <w:t xml:space="preserve">Voor </w:t>
      </w:r>
      <w:r w:rsidRPr="00371401" w:rsidR="00A577B2">
        <w:rPr>
          <w:rFonts w:eastAsia="Times New Roman" w:cs="Times New Roman"/>
          <w:bCs/>
          <w:iCs/>
          <w:color w:val="000000" w:themeColor="text1"/>
        </w:rPr>
        <w:t>de vijf</w:t>
      </w:r>
      <w:r w:rsidRPr="00371401">
        <w:rPr>
          <w:rFonts w:eastAsia="Times New Roman" w:cs="Times New Roman"/>
          <w:bCs/>
          <w:iCs/>
          <w:color w:val="000000" w:themeColor="text1"/>
        </w:rPr>
        <w:t xml:space="preserve"> intramurale geneesmiddel</w:t>
      </w:r>
      <w:r w:rsidRPr="00371401" w:rsidR="00A577B2">
        <w:rPr>
          <w:rFonts w:eastAsia="Times New Roman" w:cs="Times New Roman"/>
          <w:bCs/>
          <w:iCs/>
          <w:color w:val="000000" w:themeColor="text1"/>
        </w:rPr>
        <w:t xml:space="preserve">en </w:t>
      </w:r>
      <w:proofErr w:type="spellStart"/>
      <w:r w:rsidRPr="00371401" w:rsidR="00766A07">
        <w:rPr>
          <w:rFonts w:eastAsia="Times New Roman" w:cs="Times New Roman"/>
          <w:bCs/>
          <w:iCs/>
          <w:color w:val="000000" w:themeColor="text1"/>
        </w:rPr>
        <w:t>Hemgenix</w:t>
      </w:r>
      <w:proofErr w:type="spellEnd"/>
      <w:r w:rsidRPr="00371401" w:rsidR="00766A07">
        <w:rPr>
          <w:rFonts w:eastAsia="Times New Roman" w:cs="Times New Roman"/>
          <w:bCs/>
          <w:iCs/>
          <w:color w:val="000000" w:themeColor="text1"/>
        </w:rPr>
        <w:t xml:space="preserve">, </w:t>
      </w:r>
      <w:proofErr w:type="spellStart"/>
      <w:r w:rsidRPr="00371401" w:rsidR="00A577B2">
        <w:rPr>
          <w:rFonts w:eastAsia="Times New Roman" w:cs="Times New Roman"/>
          <w:bCs/>
          <w:iCs/>
          <w:color w:val="000000" w:themeColor="text1"/>
        </w:rPr>
        <w:t>Xenpozyme</w:t>
      </w:r>
      <w:proofErr w:type="spellEnd"/>
      <w:r w:rsidRPr="00371401" w:rsidR="00A577B2">
        <w:rPr>
          <w:rFonts w:eastAsia="Times New Roman" w:cs="Times New Roman"/>
          <w:bCs/>
          <w:iCs/>
          <w:color w:val="000000" w:themeColor="text1"/>
        </w:rPr>
        <w:t xml:space="preserve">, </w:t>
      </w:r>
      <w:proofErr w:type="spellStart"/>
      <w:r w:rsidRPr="00371401" w:rsidR="00A577B2">
        <w:rPr>
          <w:rFonts w:eastAsia="Times New Roman" w:cs="Times New Roman"/>
          <w:bCs/>
          <w:iCs/>
          <w:color w:val="000000" w:themeColor="text1"/>
        </w:rPr>
        <w:t>Enhertu</w:t>
      </w:r>
      <w:proofErr w:type="spellEnd"/>
      <w:r w:rsidRPr="00371401" w:rsidR="00A577B2">
        <w:rPr>
          <w:rFonts w:eastAsia="Times New Roman" w:cs="Times New Roman"/>
          <w:bCs/>
          <w:iCs/>
          <w:color w:val="000000" w:themeColor="text1"/>
        </w:rPr>
        <w:t xml:space="preserve">, </w:t>
      </w:r>
      <w:proofErr w:type="spellStart"/>
      <w:r w:rsidRPr="00371401" w:rsidR="00A577B2">
        <w:rPr>
          <w:rFonts w:eastAsia="Times New Roman" w:cs="Times New Roman"/>
          <w:bCs/>
          <w:iCs/>
          <w:color w:val="000000" w:themeColor="text1"/>
        </w:rPr>
        <w:t>Carvykti</w:t>
      </w:r>
      <w:proofErr w:type="spellEnd"/>
      <w:r w:rsidRPr="00371401" w:rsidR="00A577B2">
        <w:rPr>
          <w:rFonts w:eastAsia="Times New Roman" w:cs="Times New Roman"/>
          <w:bCs/>
          <w:iCs/>
          <w:color w:val="000000" w:themeColor="text1"/>
        </w:rPr>
        <w:t xml:space="preserve"> en</w:t>
      </w:r>
      <w:r w:rsidRPr="00371401">
        <w:rPr>
          <w:rFonts w:eastAsia="Times New Roman" w:cs="Times New Roman"/>
          <w:bCs/>
          <w:iCs/>
          <w:color w:val="000000" w:themeColor="text1"/>
        </w:rPr>
        <w:t xml:space="preserve"> Pluvicto is de sluisplaatsing gecontinueerd. Het Zorginstituut heeft geadviseerd om </w:t>
      </w:r>
      <w:r w:rsidRPr="00371401" w:rsidR="00A577B2">
        <w:rPr>
          <w:rFonts w:eastAsia="Times New Roman" w:cs="Times New Roman"/>
          <w:bCs/>
          <w:iCs/>
          <w:color w:val="000000" w:themeColor="text1"/>
        </w:rPr>
        <w:t>deze</w:t>
      </w:r>
      <w:r w:rsidRPr="00371401">
        <w:rPr>
          <w:rFonts w:eastAsia="Times New Roman" w:cs="Times New Roman"/>
          <w:bCs/>
          <w:iCs/>
          <w:color w:val="000000" w:themeColor="text1"/>
        </w:rPr>
        <w:t xml:space="preserve"> geneesmiddel na succesvolle prijsonderhandelingen te vergoeden. Ondanks intensieve pogingen om afspraken te maken over een maatschappelijk aanvaardbare prijs, is er helaas geen akkoord bereikt met de leverancier</w:t>
      </w:r>
      <w:r w:rsidRPr="00371401" w:rsidR="00A577B2">
        <w:rPr>
          <w:rFonts w:eastAsia="Times New Roman" w:cs="Times New Roman"/>
          <w:bCs/>
          <w:iCs/>
          <w:color w:val="000000" w:themeColor="text1"/>
        </w:rPr>
        <w:t>s van deze geneesmiddelen</w:t>
      </w:r>
      <w:r w:rsidRPr="00371401">
        <w:rPr>
          <w:rFonts w:eastAsia="Times New Roman" w:cs="Times New Roman"/>
          <w:bCs/>
          <w:iCs/>
          <w:color w:val="000000" w:themeColor="text1"/>
        </w:rPr>
        <w:t xml:space="preserve">. Dit betekent dat </w:t>
      </w:r>
      <w:r w:rsidRPr="00371401" w:rsidR="00A577B2">
        <w:rPr>
          <w:rFonts w:eastAsia="Times New Roman" w:cs="Times New Roman"/>
          <w:bCs/>
          <w:iCs/>
          <w:color w:val="000000" w:themeColor="text1"/>
        </w:rPr>
        <w:t>deze geneesmiddelen (voor bepaalde indicaties)</w:t>
      </w:r>
      <w:r w:rsidRPr="00371401">
        <w:rPr>
          <w:rFonts w:eastAsia="Times New Roman" w:cs="Times New Roman"/>
          <w:bCs/>
          <w:iCs/>
          <w:color w:val="000000" w:themeColor="text1"/>
        </w:rPr>
        <w:t xml:space="preserve"> in de sluis </w:t>
      </w:r>
      <w:r w:rsidRPr="00371401" w:rsidR="00A577B2">
        <w:rPr>
          <w:rFonts w:eastAsia="Times New Roman" w:cs="Times New Roman"/>
          <w:bCs/>
          <w:iCs/>
          <w:color w:val="000000" w:themeColor="text1"/>
        </w:rPr>
        <w:t>blijven</w:t>
      </w:r>
      <w:r w:rsidRPr="00371401">
        <w:rPr>
          <w:rFonts w:eastAsia="Times New Roman" w:cs="Times New Roman"/>
          <w:bCs/>
          <w:iCs/>
          <w:color w:val="000000" w:themeColor="text1"/>
        </w:rPr>
        <w:t xml:space="preserve"> staan en vooralsnog niet </w:t>
      </w:r>
      <w:r w:rsidRPr="00371401" w:rsidR="00A577B2">
        <w:rPr>
          <w:rFonts w:eastAsia="Times New Roman" w:cs="Times New Roman"/>
          <w:bCs/>
          <w:iCs/>
          <w:color w:val="000000" w:themeColor="text1"/>
        </w:rPr>
        <w:t>worden</w:t>
      </w:r>
      <w:r w:rsidRPr="00371401">
        <w:rPr>
          <w:rFonts w:eastAsia="Times New Roman" w:cs="Times New Roman"/>
          <w:bCs/>
          <w:iCs/>
          <w:color w:val="000000" w:themeColor="text1"/>
        </w:rPr>
        <w:t xml:space="preserve"> opgenomen in het basispakket van de</w:t>
      </w:r>
      <w:r w:rsidRPr="00371401" w:rsidR="00A577B2">
        <w:rPr>
          <w:rFonts w:eastAsia="Times New Roman" w:cs="Times New Roman"/>
          <w:bCs/>
          <w:iCs/>
          <w:color w:val="000000" w:themeColor="text1"/>
        </w:rPr>
        <w:t xml:space="preserve"> </w:t>
      </w:r>
      <w:r w:rsidRPr="00371401">
        <w:rPr>
          <w:rFonts w:eastAsia="Times New Roman" w:cs="Times New Roman"/>
          <w:bCs/>
          <w:iCs/>
          <w:color w:val="000000" w:themeColor="text1"/>
        </w:rPr>
        <w:t>zorgverzekering. Zoals ook in de Kamerbrie</w:t>
      </w:r>
      <w:r w:rsidRPr="00371401" w:rsidR="00A577B2">
        <w:rPr>
          <w:rFonts w:eastAsia="Times New Roman" w:cs="Times New Roman"/>
          <w:bCs/>
          <w:iCs/>
          <w:color w:val="000000" w:themeColor="text1"/>
        </w:rPr>
        <w:t>ven</w:t>
      </w:r>
      <w:r w:rsidRPr="00371401" w:rsidR="00766A07">
        <w:rPr>
          <w:rStyle w:val="Voetnootmarkering"/>
          <w:rFonts w:eastAsia="Times New Roman" w:cs="Times New Roman"/>
          <w:bCs/>
          <w:iCs/>
          <w:color w:val="000000" w:themeColor="text1"/>
        </w:rPr>
        <w:footnoteReference w:id="10"/>
      </w:r>
      <w:r w:rsidRPr="00371401" w:rsidR="00766A07">
        <w:rPr>
          <w:rFonts w:eastAsia="Times New Roman" w:cs="Times New Roman"/>
          <w:bCs/>
          <w:iCs/>
          <w:color w:val="000000" w:themeColor="text1"/>
          <w:vertAlign w:val="superscript"/>
        </w:rPr>
        <w:t>,</w:t>
      </w:r>
      <w:r w:rsidRPr="00371401" w:rsidR="00766A07">
        <w:rPr>
          <w:rStyle w:val="Voetnootmarkering"/>
          <w:rFonts w:eastAsia="Times New Roman" w:cs="Times New Roman"/>
          <w:bCs/>
          <w:iCs/>
          <w:color w:val="000000" w:themeColor="text1"/>
        </w:rPr>
        <w:footnoteReference w:id="11"/>
      </w:r>
      <w:r w:rsidRPr="00371401" w:rsidR="00766A07">
        <w:rPr>
          <w:rFonts w:eastAsia="Times New Roman" w:cs="Times New Roman"/>
          <w:bCs/>
          <w:iCs/>
          <w:color w:val="000000" w:themeColor="text1"/>
          <w:vertAlign w:val="superscript"/>
        </w:rPr>
        <w:t>,</w:t>
      </w:r>
      <w:r w:rsidRPr="00371401">
        <w:rPr>
          <w:rStyle w:val="Voetnootmarkering"/>
          <w:rFonts w:eastAsia="Times New Roman" w:cs="Times New Roman"/>
          <w:bCs/>
          <w:iCs/>
          <w:color w:val="000000" w:themeColor="text1"/>
        </w:rPr>
        <w:footnoteReference w:id="12"/>
      </w:r>
      <w:r w:rsidRPr="00371401">
        <w:rPr>
          <w:rFonts w:eastAsia="Times New Roman" w:cs="Times New Roman"/>
          <w:bCs/>
          <w:iCs/>
          <w:color w:val="000000" w:themeColor="text1"/>
        </w:rPr>
        <w:t xml:space="preserve"> over</w:t>
      </w:r>
      <w:r w:rsidRPr="00371401" w:rsidR="00766A07">
        <w:rPr>
          <w:rFonts w:eastAsia="Times New Roman" w:cs="Times New Roman"/>
          <w:bCs/>
          <w:iCs/>
          <w:color w:val="000000" w:themeColor="text1"/>
        </w:rPr>
        <w:t xml:space="preserve"> </w:t>
      </w:r>
      <w:r w:rsidRPr="00371401">
        <w:rPr>
          <w:rFonts w:eastAsia="Times New Roman" w:cs="Times New Roman"/>
          <w:bCs/>
          <w:iCs/>
          <w:color w:val="000000" w:themeColor="text1"/>
        </w:rPr>
        <w:t>deze casus</w:t>
      </w:r>
      <w:r w:rsidRPr="00371401" w:rsidR="00A577B2">
        <w:rPr>
          <w:rFonts w:eastAsia="Times New Roman" w:cs="Times New Roman"/>
          <w:bCs/>
          <w:iCs/>
          <w:color w:val="000000" w:themeColor="text1"/>
        </w:rPr>
        <w:t>sen</w:t>
      </w:r>
      <w:r w:rsidRPr="00371401">
        <w:rPr>
          <w:rFonts w:eastAsia="Times New Roman" w:cs="Times New Roman"/>
          <w:bCs/>
          <w:iCs/>
          <w:color w:val="000000" w:themeColor="text1"/>
        </w:rPr>
        <w:t xml:space="preserve"> </w:t>
      </w:r>
      <w:r w:rsidRPr="00371401" w:rsidR="00BF1481">
        <w:rPr>
          <w:rFonts w:eastAsia="Times New Roman" w:cs="Times New Roman"/>
          <w:bCs/>
          <w:iCs/>
          <w:color w:val="000000" w:themeColor="text1"/>
        </w:rPr>
        <w:t>is</w:t>
      </w:r>
      <w:r w:rsidRPr="00371401">
        <w:rPr>
          <w:rFonts w:eastAsia="Times New Roman" w:cs="Times New Roman"/>
          <w:bCs/>
          <w:iCs/>
          <w:color w:val="000000" w:themeColor="text1"/>
        </w:rPr>
        <w:t xml:space="preserve"> vermeld, </w:t>
      </w:r>
      <w:r w:rsidRPr="00371401" w:rsidR="00BF1481">
        <w:rPr>
          <w:rFonts w:eastAsia="Times New Roman" w:cs="Times New Roman"/>
          <w:bCs/>
          <w:iCs/>
          <w:color w:val="000000" w:themeColor="text1"/>
        </w:rPr>
        <w:t>is</w:t>
      </w:r>
      <w:r w:rsidRPr="00371401">
        <w:rPr>
          <w:rFonts w:eastAsia="Times New Roman" w:cs="Times New Roman"/>
          <w:bCs/>
          <w:iCs/>
          <w:color w:val="000000" w:themeColor="text1"/>
        </w:rPr>
        <w:t xml:space="preserve"> dit voor patiënten en behandelaren een uiterst teleurstellende uitkomst. </w:t>
      </w:r>
      <w:r w:rsidRPr="00371401" w:rsidR="00BF1481">
        <w:rPr>
          <w:rFonts w:eastAsia="Times New Roman" w:cs="Times New Roman"/>
          <w:bCs/>
          <w:iCs/>
          <w:color w:val="000000" w:themeColor="text1"/>
        </w:rPr>
        <w:t>Het kabinet</w:t>
      </w:r>
      <w:r w:rsidRPr="00371401">
        <w:rPr>
          <w:rFonts w:eastAsia="Times New Roman" w:cs="Times New Roman"/>
          <w:bCs/>
          <w:iCs/>
          <w:color w:val="000000" w:themeColor="text1"/>
        </w:rPr>
        <w:t xml:space="preserve"> wil hier nogmaals benadrukken dat indien de leveranciers bereid zijn om tot aanvaardbare prijsafspraken te komen, </w:t>
      </w:r>
      <w:r w:rsidRPr="00371401" w:rsidR="00BF1481">
        <w:rPr>
          <w:rFonts w:eastAsia="Times New Roman" w:cs="Times New Roman"/>
          <w:bCs/>
          <w:iCs/>
          <w:color w:val="000000" w:themeColor="text1"/>
        </w:rPr>
        <w:t>het</w:t>
      </w:r>
      <w:r w:rsidRPr="00371401">
        <w:rPr>
          <w:rFonts w:eastAsia="Times New Roman" w:cs="Times New Roman"/>
          <w:bCs/>
          <w:iCs/>
          <w:color w:val="000000" w:themeColor="text1"/>
        </w:rPr>
        <w:t xml:space="preserve"> de continuering van de sluis zal heroverwegen.</w:t>
      </w:r>
    </w:p>
    <w:p w:rsidRPr="00371401" w:rsidR="00141328" w:rsidP="00371401" w:rsidRDefault="00141328" w14:paraId="397903C3" w14:textId="77777777">
      <w:pPr>
        <w:suppressAutoHyphens/>
        <w:rPr>
          <w:rFonts w:eastAsia="Times New Roman" w:cs="Times New Roman"/>
        </w:rPr>
      </w:pPr>
    </w:p>
    <w:p w:rsidRPr="00371401" w:rsidR="00F70E3C" w:rsidP="00371401" w:rsidRDefault="000F4444" w14:paraId="68496A5B" w14:textId="66E800AA">
      <w:pPr>
        <w:suppressAutoHyphens/>
        <w:rPr>
          <w:rFonts w:eastAsia="Times New Roman" w:cs="Times New Roman"/>
          <w:b/>
          <w:color w:val="000000" w:themeColor="text1"/>
        </w:rPr>
      </w:pPr>
      <w:r w:rsidRPr="00371401">
        <w:rPr>
          <w:rFonts w:eastAsia="Times New Roman" w:cs="Times New Roman"/>
          <w:b/>
          <w:color w:val="000000" w:themeColor="text1"/>
        </w:rPr>
        <w:t xml:space="preserve">5.3 </w:t>
      </w:r>
      <w:r w:rsidRPr="00371401" w:rsidR="00766A07">
        <w:rPr>
          <w:rFonts w:eastAsia="Times New Roman" w:cs="Times New Roman"/>
          <w:b/>
          <w:color w:val="000000" w:themeColor="text1"/>
        </w:rPr>
        <w:t>Decentrale onderhandelingen</w:t>
      </w:r>
    </w:p>
    <w:p w:rsidR="00371401" w:rsidP="00371401" w:rsidRDefault="00766A07" w14:paraId="129C7C87" w14:textId="77777777">
      <w:pPr>
        <w:suppressAutoHyphens/>
        <w:rPr>
          <w:rFonts w:eastAsia="Times New Roman" w:cs="Times New Roman"/>
          <w:bCs/>
          <w:color w:val="000000" w:themeColor="text1"/>
        </w:rPr>
      </w:pPr>
      <w:r w:rsidRPr="00371401">
        <w:rPr>
          <w:rFonts w:eastAsia="Times New Roman" w:cs="Times New Roman"/>
          <w:bCs/>
          <w:color w:val="000000" w:themeColor="text1"/>
        </w:rPr>
        <w:t xml:space="preserve">In 2025 heeft Zorgverzekeraars Nederland decentrale afspraken gemaakt met de leverancier van </w:t>
      </w:r>
      <w:proofErr w:type="spellStart"/>
      <w:r w:rsidRPr="00371401">
        <w:rPr>
          <w:rFonts w:eastAsia="Times New Roman" w:cs="Times New Roman"/>
          <w:bCs/>
          <w:color w:val="000000" w:themeColor="text1"/>
        </w:rPr>
        <w:t>Hympavzi</w:t>
      </w:r>
      <w:proofErr w:type="spellEnd"/>
      <w:r w:rsidRPr="00371401">
        <w:rPr>
          <w:rFonts w:eastAsia="Times New Roman" w:cs="Times New Roman"/>
          <w:bCs/>
          <w:color w:val="000000" w:themeColor="text1"/>
        </w:rPr>
        <w:t xml:space="preserve"> waardoor gedurende de looptijd van deze afspraken de financiële risico’s, zoals die zijn benoemd in het advies van het Zorginstituut, voor de inzet van deze geneesmiddelen </w:t>
      </w:r>
      <w:r w:rsidRPr="00371401" w:rsidR="002900A4">
        <w:rPr>
          <w:rFonts w:eastAsia="Times New Roman" w:cs="Times New Roman"/>
          <w:bCs/>
          <w:color w:val="000000" w:themeColor="text1"/>
        </w:rPr>
        <w:t xml:space="preserve">bij de betreffende indicaties </w:t>
      </w:r>
      <w:r w:rsidRPr="00371401">
        <w:rPr>
          <w:rFonts w:eastAsia="Times New Roman" w:cs="Times New Roman"/>
          <w:bCs/>
          <w:color w:val="000000" w:themeColor="text1"/>
        </w:rPr>
        <w:t>zijn afgedekt.</w:t>
      </w:r>
      <w:r w:rsidRPr="00371401" w:rsidR="002900A4">
        <w:rPr>
          <w:rFonts w:eastAsia="Times New Roman" w:cs="Times New Roman"/>
          <w:bCs/>
          <w:color w:val="000000" w:themeColor="text1"/>
        </w:rPr>
        <w:t xml:space="preserve"> </w:t>
      </w:r>
    </w:p>
    <w:p w:rsidR="00371401" w:rsidP="00371401" w:rsidRDefault="00371401" w14:paraId="0158F78E" w14:textId="77777777">
      <w:pPr>
        <w:suppressAutoHyphens/>
        <w:rPr>
          <w:rFonts w:eastAsia="Times New Roman" w:cs="Times New Roman"/>
          <w:bCs/>
          <w:color w:val="000000" w:themeColor="text1"/>
        </w:rPr>
      </w:pPr>
    </w:p>
    <w:p w:rsidRPr="00371401" w:rsidR="00F70E3C" w:rsidP="00371401" w:rsidRDefault="00F70E3C" w14:paraId="638200B2" w14:textId="1861F74D">
      <w:pPr>
        <w:suppressAutoHyphens/>
        <w:rPr>
          <w:rFonts w:eastAsia="Times New Roman" w:cs="Times New Roman"/>
          <w:bCs/>
          <w:color w:val="000000" w:themeColor="text1"/>
        </w:rPr>
      </w:pPr>
      <w:r w:rsidRPr="00371401">
        <w:rPr>
          <w:rFonts w:eastAsia="Times New Roman" w:cs="Times New Roman"/>
          <w:bCs/>
          <w:color w:val="000000" w:themeColor="text1"/>
        </w:rPr>
        <w:lastRenderedPageBreak/>
        <w:t xml:space="preserve">Daarnaast is de sluis definitief opgeheven voor specifieke indicaties van de geneesmiddelen </w:t>
      </w:r>
      <w:proofErr w:type="spellStart"/>
      <w:r w:rsidRPr="00371401">
        <w:rPr>
          <w:rFonts w:eastAsia="Times New Roman" w:cs="Times New Roman"/>
          <w:bCs/>
          <w:color w:val="000000" w:themeColor="text1"/>
        </w:rPr>
        <w:t>Alecensa</w:t>
      </w:r>
      <w:proofErr w:type="spellEnd"/>
      <w:r w:rsidRPr="00371401">
        <w:rPr>
          <w:rFonts w:eastAsia="Times New Roman" w:cs="Times New Roman"/>
          <w:bCs/>
          <w:color w:val="000000" w:themeColor="text1"/>
        </w:rPr>
        <w:t xml:space="preserve">, </w:t>
      </w:r>
      <w:proofErr w:type="spellStart"/>
      <w:r w:rsidRPr="00371401">
        <w:rPr>
          <w:rFonts w:eastAsia="Times New Roman" w:cs="Times New Roman"/>
          <w:bCs/>
          <w:color w:val="000000" w:themeColor="text1"/>
        </w:rPr>
        <w:t>Omvoh</w:t>
      </w:r>
      <w:proofErr w:type="spellEnd"/>
      <w:r w:rsidRPr="00371401">
        <w:rPr>
          <w:rFonts w:eastAsia="Times New Roman" w:cs="Times New Roman"/>
          <w:bCs/>
          <w:color w:val="000000" w:themeColor="text1"/>
        </w:rPr>
        <w:t xml:space="preserve">, </w:t>
      </w:r>
      <w:proofErr w:type="spellStart"/>
      <w:r w:rsidRPr="00371401">
        <w:rPr>
          <w:rFonts w:eastAsia="Times New Roman" w:cs="Times New Roman"/>
          <w:bCs/>
          <w:color w:val="000000" w:themeColor="text1"/>
        </w:rPr>
        <w:t>Tremfya</w:t>
      </w:r>
      <w:proofErr w:type="spellEnd"/>
      <w:r w:rsidRPr="00371401">
        <w:rPr>
          <w:rFonts w:eastAsia="Times New Roman" w:cs="Times New Roman"/>
          <w:bCs/>
          <w:color w:val="000000" w:themeColor="text1"/>
        </w:rPr>
        <w:t xml:space="preserve">, </w:t>
      </w:r>
      <w:proofErr w:type="spellStart"/>
      <w:r w:rsidRPr="00371401">
        <w:rPr>
          <w:rFonts w:eastAsia="Times New Roman" w:cs="Times New Roman"/>
          <w:bCs/>
          <w:color w:val="000000" w:themeColor="text1"/>
        </w:rPr>
        <w:t>Velsipity</w:t>
      </w:r>
      <w:proofErr w:type="spellEnd"/>
      <w:r w:rsidRPr="00371401">
        <w:rPr>
          <w:rFonts w:eastAsia="Times New Roman" w:cs="Times New Roman"/>
          <w:bCs/>
          <w:color w:val="000000" w:themeColor="text1"/>
        </w:rPr>
        <w:t xml:space="preserve"> en </w:t>
      </w:r>
      <w:proofErr w:type="spellStart"/>
      <w:r w:rsidRPr="00371401">
        <w:rPr>
          <w:rFonts w:eastAsia="Times New Roman" w:cs="Times New Roman"/>
          <w:bCs/>
          <w:color w:val="000000" w:themeColor="text1"/>
        </w:rPr>
        <w:t>Nemluvio</w:t>
      </w:r>
      <w:proofErr w:type="spellEnd"/>
      <w:r w:rsidRPr="00371401">
        <w:rPr>
          <w:rFonts w:eastAsia="Times New Roman" w:cs="Times New Roman"/>
          <w:bCs/>
          <w:color w:val="000000" w:themeColor="text1"/>
        </w:rPr>
        <w:t xml:space="preserve">. Voor deze indicaties heeft het Zorginstituut wel advies gegeven, maar vond </w:t>
      </w:r>
      <w:r w:rsidRPr="00371401" w:rsidR="004F4F6F">
        <w:rPr>
          <w:rFonts w:eastAsia="Times New Roman" w:cs="Times New Roman"/>
          <w:bCs/>
          <w:color w:val="000000" w:themeColor="text1"/>
        </w:rPr>
        <w:t>het kabinet</w:t>
      </w:r>
      <w:r w:rsidRPr="00371401">
        <w:rPr>
          <w:rFonts w:eastAsia="Times New Roman" w:cs="Times New Roman"/>
          <w:bCs/>
          <w:color w:val="000000" w:themeColor="text1"/>
        </w:rPr>
        <w:t xml:space="preserve"> een </w:t>
      </w:r>
      <w:r w:rsidRPr="00371401">
        <w:rPr>
          <w:rFonts w:eastAsia="Times New Roman" w:cs="Times New Roman"/>
          <w:bCs/>
          <w:i/>
          <w:iCs/>
          <w:color w:val="000000" w:themeColor="text1"/>
        </w:rPr>
        <w:t>centraal</w:t>
      </w:r>
      <w:r w:rsidRPr="00371401">
        <w:rPr>
          <w:rFonts w:eastAsia="Times New Roman" w:cs="Times New Roman"/>
          <w:bCs/>
          <w:color w:val="000000" w:themeColor="text1"/>
        </w:rPr>
        <w:t xml:space="preserve"> financieel arrangement niet aangewezen omdat het financieel risico door veldpartijen kan worden afgedekt vanwege de aanwezigheid van meerdere gelijkwaardige alternatieve voor deze geneesmiddelen.</w:t>
      </w:r>
    </w:p>
    <w:p w:rsidRPr="00371401" w:rsidR="00141328" w:rsidP="00371401" w:rsidRDefault="00141328" w14:paraId="341BA274" w14:textId="77777777">
      <w:pPr>
        <w:suppressAutoHyphens/>
        <w:rPr>
          <w:rFonts w:eastAsia="Times New Roman" w:cs="Times New Roman"/>
          <w:bCs/>
          <w:color w:val="000000" w:themeColor="text1"/>
        </w:rPr>
      </w:pPr>
    </w:p>
    <w:p w:rsidRPr="00371401" w:rsidR="00F70E3C" w:rsidP="00371401" w:rsidRDefault="000F4444" w14:paraId="72496AD5" w14:textId="028B4058">
      <w:pPr>
        <w:suppressAutoHyphens/>
        <w:rPr>
          <w:rFonts w:eastAsia="Times New Roman" w:cs="Times New Roman"/>
          <w:b/>
        </w:rPr>
      </w:pPr>
      <w:r w:rsidRPr="00371401">
        <w:rPr>
          <w:rFonts w:eastAsia="Times New Roman" w:cs="Times New Roman"/>
          <w:b/>
        </w:rPr>
        <w:t>5.4</w:t>
      </w:r>
      <w:r w:rsidRPr="00371401" w:rsidR="00F70E3C">
        <w:rPr>
          <w:rFonts w:eastAsia="Times New Roman" w:cs="Times New Roman"/>
          <w:b/>
        </w:rPr>
        <w:t xml:space="preserve"> Aflopende financiële arrangementen in 202</w:t>
      </w:r>
      <w:r w:rsidRPr="00371401" w:rsidR="003C3AED">
        <w:rPr>
          <w:rFonts w:eastAsia="Times New Roman" w:cs="Times New Roman"/>
          <w:b/>
        </w:rPr>
        <w:t>5</w:t>
      </w:r>
    </w:p>
    <w:p w:rsidRPr="00371401" w:rsidR="00F70E3C" w:rsidP="00371401" w:rsidRDefault="00F70E3C" w14:paraId="05946AF6" w14:textId="77777777">
      <w:pPr>
        <w:suppressAutoHyphens/>
        <w:rPr>
          <w:rFonts w:eastAsia="Times New Roman" w:cs="Times New Roman"/>
        </w:rPr>
      </w:pPr>
      <w:r w:rsidRPr="00371401">
        <w:rPr>
          <w:rFonts w:eastAsia="Times New Roman" w:cs="Times New Roman"/>
        </w:rPr>
        <w:t xml:space="preserve">Eind 2025 liepen de financiële arrangementen van 16 centrale arrangementen af. Het betreft de financiële arrangementen voor de intramurale geneesmiddelen </w:t>
      </w:r>
      <w:proofErr w:type="spellStart"/>
      <w:r w:rsidRPr="00371401">
        <w:rPr>
          <w:rFonts w:eastAsia="Times New Roman" w:cs="Times New Roman"/>
        </w:rPr>
        <w:t>Kyprolis</w:t>
      </w:r>
      <w:proofErr w:type="spellEnd"/>
      <w:r w:rsidRPr="00371401">
        <w:rPr>
          <w:rFonts w:eastAsia="Times New Roman" w:cs="Times New Roman"/>
        </w:rPr>
        <w:t xml:space="preserve">, </w:t>
      </w:r>
      <w:proofErr w:type="spellStart"/>
      <w:r w:rsidRPr="00371401">
        <w:rPr>
          <w:rFonts w:eastAsia="Times New Roman" w:cs="Times New Roman"/>
        </w:rPr>
        <w:t>Sarclisa</w:t>
      </w:r>
      <w:proofErr w:type="spellEnd"/>
      <w:r w:rsidRPr="00371401">
        <w:rPr>
          <w:rFonts w:eastAsia="Times New Roman" w:cs="Times New Roman"/>
        </w:rPr>
        <w:t xml:space="preserve">, </w:t>
      </w:r>
      <w:proofErr w:type="spellStart"/>
      <w:r w:rsidRPr="00371401">
        <w:rPr>
          <w:rFonts w:eastAsia="Times New Roman" w:cs="Times New Roman"/>
        </w:rPr>
        <w:t>Tagrisso</w:t>
      </w:r>
      <w:proofErr w:type="spellEnd"/>
      <w:r w:rsidRPr="00371401">
        <w:rPr>
          <w:rFonts w:eastAsia="Times New Roman" w:cs="Times New Roman"/>
        </w:rPr>
        <w:t xml:space="preserve">, </w:t>
      </w:r>
      <w:proofErr w:type="spellStart"/>
      <w:r w:rsidRPr="00371401">
        <w:rPr>
          <w:rFonts w:eastAsia="Times New Roman" w:cs="Times New Roman"/>
        </w:rPr>
        <w:t>Ultomiris</w:t>
      </w:r>
      <w:proofErr w:type="spellEnd"/>
      <w:r w:rsidRPr="00371401">
        <w:rPr>
          <w:rFonts w:eastAsia="Times New Roman" w:cs="Times New Roman"/>
        </w:rPr>
        <w:t xml:space="preserve">, </w:t>
      </w:r>
      <w:proofErr w:type="spellStart"/>
      <w:r w:rsidRPr="00371401">
        <w:rPr>
          <w:rFonts w:eastAsia="Times New Roman" w:cs="Times New Roman"/>
        </w:rPr>
        <w:t>Vyvgart</w:t>
      </w:r>
      <w:proofErr w:type="spellEnd"/>
      <w:r w:rsidRPr="00371401">
        <w:rPr>
          <w:rFonts w:eastAsia="Times New Roman" w:cs="Times New Roman"/>
        </w:rPr>
        <w:t xml:space="preserve">, </w:t>
      </w:r>
      <w:proofErr w:type="spellStart"/>
      <w:r w:rsidRPr="00371401">
        <w:rPr>
          <w:rFonts w:eastAsia="Times New Roman" w:cs="Times New Roman"/>
        </w:rPr>
        <w:t>Darzalex</w:t>
      </w:r>
      <w:proofErr w:type="spellEnd"/>
      <w:r w:rsidRPr="00371401">
        <w:rPr>
          <w:rFonts w:eastAsia="Times New Roman" w:cs="Times New Roman"/>
        </w:rPr>
        <w:t xml:space="preserve"> en </w:t>
      </w:r>
      <w:proofErr w:type="spellStart"/>
      <w:r w:rsidRPr="00371401">
        <w:rPr>
          <w:rFonts w:eastAsia="Times New Roman" w:cs="Times New Roman"/>
        </w:rPr>
        <w:t>Luxturna</w:t>
      </w:r>
      <w:proofErr w:type="spellEnd"/>
      <w:r w:rsidRPr="00371401">
        <w:rPr>
          <w:rFonts w:eastAsia="Times New Roman" w:cs="Times New Roman"/>
        </w:rPr>
        <w:t xml:space="preserve">, en de extramurale geneesmiddelen </w:t>
      </w:r>
      <w:proofErr w:type="spellStart"/>
      <w:r w:rsidRPr="00371401">
        <w:rPr>
          <w:rFonts w:eastAsia="Times New Roman" w:cs="Times New Roman"/>
        </w:rPr>
        <w:t>Aspaveli</w:t>
      </w:r>
      <w:proofErr w:type="spellEnd"/>
      <w:r w:rsidRPr="00371401">
        <w:rPr>
          <w:rFonts w:eastAsia="Times New Roman" w:cs="Times New Roman"/>
        </w:rPr>
        <w:t xml:space="preserve">, </w:t>
      </w:r>
      <w:proofErr w:type="spellStart"/>
      <w:r w:rsidRPr="00371401">
        <w:rPr>
          <w:rFonts w:eastAsia="Times New Roman" w:cs="Times New Roman"/>
        </w:rPr>
        <w:t>Kaftrio</w:t>
      </w:r>
      <w:proofErr w:type="spellEnd"/>
      <w:r w:rsidRPr="00371401">
        <w:rPr>
          <w:rFonts w:eastAsia="Times New Roman" w:cs="Times New Roman"/>
        </w:rPr>
        <w:t xml:space="preserve">, </w:t>
      </w:r>
      <w:proofErr w:type="spellStart"/>
      <w:r w:rsidRPr="00371401">
        <w:rPr>
          <w:rFonts w:eastAsia="Times New Roman" w:cs="Times New Roman"/>
        </w:rPr>
        <w:t>Orkambi</w:t>
      </w:r>
      <w:proofErr w:type="spellEnd"/>
      <w:r w:rsidRPr="00371401">
        <w:rPr>
          <w:rFonts w:eastAsia="Times New Roman" w:cs="Times New Roman"/>
        </w:rPr>
        <w:t xml:space="preserve">, </w:t>
      </w:r>
      <w:proofErr w:type="spellStart"/>
      <w:r w:rsidRPr="00371401">
        <w:rPr>
          <w:rFonts w:eastAsia="Times New Roman" w:cs="Times New Roman"/>
        </w:rPr>
        <w:t>Symkevi</w:t>
      </w:r>
      <w:proofErr w:type="spellEnd"/>
      <w:r w:rsidRPr="00371401">
        <w:rPr>
          <w:rFonts w:eastAsia="Times New Roman" w:cs="Times New Roman"/>
        </w:rPr>
        <w:t xml:space="preserve">, </w:t>
      </w:r>
      <w:proofErr w:type="spellStart"/>
      <w:r w:rsidRPr="00371401">
        <w:rPr>
          <w:rFonts w:eastAsia="Times New Roman" w:cs="Times New Roman"/>
        </w:rPr>
        <w:t>Zilbrysq</w:t>
      </w:r>
      <w:proofErr w:type="spellEnd"/>
      <w:r w:rsidRPr="00371401">
        <w:rPr>
          <w:rFonts w:eastAsia="Times New Roman" w:cs="Times New Roman"/>
        </w:rPr>
        <w:t xml:space="preserve">, </w:t>
      </w:r>
      <w:proofErr w:type="spellStart"/>
      <w:r w:rsidRPr="00371401">
        <w:rPr>
          <w:rFonts w:eastAsia="Times New Roman" w:cs="Times New Roman"/>
        </w:rPr>
        <w:t>Epidyolex</w:t>
      </w:r>
      <w:proofErr w:type="spellEnd"/>
      <w:r w:rsidRPr="00371401">
        <w:rPr>
          <w:rFonts w:eastAsia="Times New Roman" w:cs="Times New Roman"/>
        </w:rPr>
        <w:t xml:space="preserve">, </w:t>
      </w:r>
      <w:proofErr w:type="spellStart"/>
      <w:r w:rsidRPr="00371401">
        <w:rPr>
          <w:rFonts w:eastAsia="Times New Roman" w:cs="Times New Roman"/>
        </w:rPr>
        <w:t>Fintepla</w:t>
      </w:r>
      <w:proofErr w:type="spellEnd"/>
      <w:r w:rsidRPr="00371401">
        <w:rPr>
          <w:rFonts w:eastAsia="Times New Roman" w:cs="Times New Roman"/>
        </w:rPr>
        <w:t xml:space="preserve">, </w:t>
      </w:r>
      <w:proofErr w:type="spellStart"/>
      <w:r w:rsidRPr="00371401">
        <w:rPr>
          <w:rFonts w:eastAsia="Times New Roman" w:cs="Times New Roman"/>
        </w:rPr>
        <w:t>Givlaari</w:t>
      </w:r>
      <w:proofErr w:type="spellEnd"/>
      <w:r w:rsidRPr="00371401">
        <w:rPr>
          <w:rFonts w:eastAsia="Times New Roman" w:cs="Times New Roman"/>
        </w:rPr>
        <w:t xml:space="preserve"> en </w:t>
      </w:r>
      <w:proofErr w:type="spellStart"/>
      <w:r w:rsidRPr="00371401">
        <w:rPr>
          <w:rFonts w:eastAsia="Times New Roman" w:cs="Times New Roman"/>
        </w:rPr>
        <w:t>Vyndaqel</w:t>
      </w:r>
      <w:proofErr w:type="spellEnd"/>
      <w:r w:rsidRPr="00371401">
        <w:rPr>
          <w:rFonts w:eastAsia="Times New Roman" w:cs="Times New Roman"/>
        </w:rPr>
        <w:t xml:space="preserve">. </w:t>
      </w:r>
    </w:p>
    <w:p w:rsidRPr="00371401" w:rsidR="003C3AED" w:rsidP="00371401" w:rsidRDefault="003C3AED" w14:paraId="70FC32EA" w14:textId="77777777">
      <w:pPr>
        <w:suppressAutoHyphens/>
        <w:rPr>
          <w:rFonts w:eastAsia="Times New Roman" w:cs="Times New Roman"/>
        </w:rPr>
      </w:pPr>
    </w:p>
    <w:p w:rsidRPr="00371401" w:rsidR="00F70E3C" w:rsidP="00371401" w:rsidRDefault="00F70E3C" w14:paraId="73BB466D" w14:textId="0B6439DA">
      <w:pPr>
        <w:suppressAutoHyphens/>
        <w:rPr>
          <w:rFonts w:eastAsia="Times New Roman" w:cs="Times New Roman"/>
        </w:rPr>
      </w:pPr>
      <w:r w:rsidRPr="00371401">
        <w:rPr>
          <w:rFonts w:eastAsia="Times New Roman" w:cs="Times New Roman"/>
        </w:rPr>
        <w:t xml:space="preserve">Voor de intramurale geneesmiddelen </w:t>
      </w:r>
      <w:proofErr w:type="spellStart"/>
      <w:r w:rsidRPr="00371401">
        <w:rPr>
          <w:rFonts w:eastAsia="Times New Roman" w:cs="Times New Roman"/>
        </w:rPr>
        <w:t>Ultomiris</w:t>
      </w:r>
      <w:proofErr w:type="spellEnd"/>
      <w:r w:rsidRPr="00371401">
        <w:rPr>
          <w:rFonts w:eastAsia="Times New Roman" w:cs="Times New Roman"/>
        </w:rPr>
        <w:t xml:space="preserve"> en </w:t>
      </w:r>
      <w:proofErr w:type="spellStart"/>
      <w:r w:rsidRPr="00371401">
        <w:rPr>
          <w:rFonts w:eastAsia="Times New Roman" w:cs="Times New Roman"/>
        </w:rPr>
        <w:t>Vyvgart</w:t>
      </w:r>
      <w:proofErr w:type="spellEnd"/>
      <w:r w:rsidRPr="00371401">
        <w:rPr>
          <w:rFonts w:eastAsia="Times New Roman" w:cs="Times New Roman"/>
        </w:rPr>
        <w:t xml:space="preserve"> zijn de financieel arrangementen (en daarmee de vergoeding) verlengd tot 1 januari 2028. </w:t>
      </w:r>
    </w:p>
    <w:p w:rsidRPr="00371401" w:rsidR="00F70E3C" w:rsidP="00371401" w:rsidRDefault="00F70E3C" w14:paraId="7289AE38" w14:textId="77777777">
      <w:pPr>
        <w:suppressAutoHyphens/>
        <w:rPr>
          <w:rFonts w:eastAsia="Times New Roman" w:cs="Times New Roman"/>
        </w:rPr>
      </w:pPr>
    </w:p>
    <w:p w:rsidRPr="00371401" w:rsidR="00F70E3C" w:rsidP="00371401" w:rsidRDefault="00F70E3C" w14:paraId="26ED8678" w14:textId="7F49B681">
      <w:pPr>
        <w:suppressAutoHyphens/>
        <w:rPr>
          <w:rFonts w:eastAsia="Times New Roman" w:cs="Times New Roman"/>
          <w:highlight w:val="yellow"/>
        </w:rPr>
      </w:pPr>
      <w:r w:rsidRPr="00371401">
        <w:rPr>
          <w:rFonts w:eastAsia="Times New Roman" w:cs="Times New Roman"/>
        </w:rPr>
        <w:t xml:space="preserve">Voor </w:t>
      </w:r>
      <w:r w:rsidRPr="00371401" w:rsidR="00CA3126">
        <w:rPr>
          <w:rFonts w:eastAsia="Times New Roman" w:cs="Times New Roman"/>
        </w:rPr>
        <w:t>de</w:t>
      </w:r>
      <w:r w:rsidRPr="00371401">
        <w:rPr>
          <w:rFonts w:eastAsia="Times New Roman" w:cs="Times New Roman"/>
        </w:rPr>
        <w:t xml:space="preserve"> intramurale geneesmiddel</w:t>
      </w:r>
      <w:r w:rsidRPr="00371401" w:rsidR="00CA3126">
        <w:rPr>
          <w:rFonts w:eastAsia="Times New Roman" w:cs="Times New Roman"/>
        </w:rPr>
        <w:t>en</w:t>
      </w:r>
      <w:r w:rsidRPr="00371401">
        <w:rPr>
          <w:rFonts w:eastAsia="Times New Roman" w:cs="Times New Roman"/>
        </w:rPr>
        <w:t xml:space="preserve"> </w:t>
      </w:r>
      <w:proofErr w:type="spellStart"/>
      <w:r w:rsidRPr="00371401" w:rsidR="00CA3126">
        <w:rPr>
          <w:rFonts w:eastAsia="Times New Roman" w:cs="Times New Roman"/>
        </w:rPr>
        <w:t>Tagrisso</w:t>
      </w:r>
      <w:proofErr w:type="spellEnd"/>
      <w:r w:rsidRPr="00371401" w:rsidR="00CA3126">
        <w:rPr>
          <w:rFonts w:eastAsia="Times New Roman" w:cs="Times New Roman"/>
        </w:rPr>
        <w:t xml:space="preserve">, </w:t>
      </w:r>
      <w:proofErr w:type="spellStart"/>
      <w:r w:rsidRPr="00371401" w:rsidR="00CA3126">
        <w:rPr>
          <w:rFonts w:eastAsia="Times New Roman" w:cs="Times New Roman"/>
        </w:rPr>
        <w:t>Kyprolis</w:t>
      </w:r>
      <w:proofErr w:type="spellEnd"/>
      <w:r w:rsidRPr="00371401" w:rsidR="00CA3126">
        <w:rPr>
          <w:rFonts w:eastAsia="Times New Roman" w:cs="Times New Roman"/>
        </w:rPr>
        <w:t xml:space="preserve">, </w:t>
      </w:r>
      <w:proofErr w:type="spellStart"/>
      <w:r w:rsidRPr="00371401" w:rsidR="00CA3126">
        <w:rPr>
          <w:rFonts w:eastAsia="Times New Roman" w:cs="Times New Roman"/>
        </w:rPr>
        <w:t>Sarclisa</w:t>
      </w:r>
      <w:proofErr w:type="spellEnd"/>
      <w:r w:rsidRPr="00371401" w:rsidR="00CA3126">
        <w:rPr>
          <w:rFonts w:eastAsia="Times New Roman" w:cs="Times New Roman"/>
        </w:rPr>
        <w:t xml:space="preserve"> en </w:t>
      </w:r>
      <w:proofErr w:type="spellStart"/>
      <w:r w:rsidRPr="00371401">
        <w:rPr>
          <w:rFonts w:eastAsia="Times New Roman" w:cs="Times New Roman"/>
        </w:rPr>
        <w:t>Darzalex</w:t>
      </w:r>
      <w:proofErr w:type="spellEnd"/>
      <w:r w:rsidRPr="00371401">
        <w:rPr>
          <w:rFonts w:eastAsia="Times New Roman" w:cs="Times New Roman"/>
        </w:rPr>
        <w:t xml:space="preserve"> </w:t>
      </w:r>
      <w:r w:rsidRPr="00371401" w:rsidR="00CA3126">
        <w:rPr>
          <w:rFonts w:eastAsia="Times New Roman" w:cs="Times New Roman"/>
        </w:rPr>
        <w:t>zijn de</w:t>
      </w:r>
      <w:r w:rsidRPr="00371401">
        <w:rPr>
          <w:rFonts w:eastAsia="Times New Roman" w:cs="Times New Roman"/>
        </w:rPr>
        <w:t xml:space="preserve"> financieel arrangementen (en daarmee de vergoeding) verlengd tot 1 januari 2029 en voor </w:t>
      </w:r>
      <w:proofErr w:type="spellStart"/>
      <w:r w:rsidRPr="00371401">
        <w:rPr>
          <w:rFonts w:eastAsia="Times New Roman" w:cs="Times New Roman"/>
        </w:rPr>
        <w:t>Luxturna</w:t>
      </w:r>
      <w:proofErr w:type="spellEnd"/>
      <w:r w:rsidRPr="00371401">
        <w:rPr>
          <w:rFonts w:eastAsia="Times New Roman" w:cs="Times New Roman"/>
        </w:rPr>
        <w:t xml:space="preserve"> tot 1 januari 2031. </w:t>
      </w:r>
    </w:p>
    <w:p w:rsidRPr="00371401" w:rsidR="00F70E3C" w:rsidP="00371401" w:rsidRDefault="00F70E3C" w14:paraId="014C6145" w14:textId="77777777">
      <w:pPr>
        <w:suppressAutoHyphens/>
        <w:rPr>
          <w:rFonts w:eastAsia="Times New Roman" w:cs="Times New Roman"/>
          <w:highlight w:val="yellow"/>
        </w:rPr>
      </w:pPr>
    </w:p>
    <w:p w:rsidRPr="00371401" w:rsidR="00F70E3C" w:rsidP="00371401" w:rsidRDefault="00F70E3C" w14:paraId="6A3C45F7" w14:textId="77777777">
      <w:pPr>
        <w:suppressAutoHyphens/>
        <w:rPr>
          <w:rFonts w:eastAsia="Times New Roman" w:cs="Times New Roman"/>
          <w:highlight w:val="yellow"/>
        </w:rPr>
      </w:pPr>
      <w:r w:rsidRPr="00371401">
        <w:rPr>
          <w:rFonts w:eastAsia="Times New Roman" w:cs="Times New Roman"/>
        </w:rPr>
        <w:t xml:space="preserve">Voor de extramurale geneesmiddelen </w:t>
      </w:r>
      <w:proofErr w:type="spellStart"/>
      <w:r w:rsidRPr="00371401">
        <w:rPr>
          <w:rFonts w:eastAsia="Times New Roman" w:cs="Times New Roman"/>
        </w:rPr>
        <w:t>Aspaveli</w:t>
      </w:r>
      <w:proofErr w:type="spellEnd"/>
      <w:r w:rsidRPr="00371401">
        <w:rPr>
          <w:rFonts w:eastAsia="Times New Roman" w:cs="Times New Roman"/>
        </w:rPr>
        <w:t xml:space="preserve">, </w:t>
      </w:r>
      <w:proofErr w:type="spellStart"/>
      <w:r w:rsidRPr="00371401">
        <w:rPr>
          <w:rFonts w:eastAsia="Times New Roman" w:cs="Times New Roman"/>
        </w:rPr>
        <w:t>Kaftrio</w:t>
      </w:r>
      <w:proofErr w:type="spellEnd"/>
      <w:r w:rsidRPr="00371401">
        <w:rPr>
          <w:rFonts w:eastAsia="Times New Roman" w:cs="Times New Roman"/>
        </w:rPr>
        <w:t xml:space="preserve">, </w:t>
      </w:r>
      <w:proofErr w:type="spellStart"/>
      <w:r w:rsidRPr="00371401">
        <w:rPr>
          <w:rFonts w:eastAsia="Times New Roman" w:cs="Times New Roman"/>
        </w:rPr>
        <w:t>Orkambi</w:t>
      </w:r>
      <w:proofErr w:type="spellEnd"/>
      <w:r w:rsidRPr="00371401">
        <w:rPr>
          <w:rFonts w:eastAsia="Times New Roman" w:cs="Times New Roman"/>
        </w:rPr>
        <w:t xml:space="preserve">, </w:t>
      </w:r>
      <w:proofErr w:type="spellStart"/>
      <w:r w:rsidRPr="00371401">
        <w:rPr>
          <w:rFonts w:eastAsia="Times New Roman" w:cs="Times New Roman"/>
        </w:rPr>
        <w:t>Symkevi</w:t>
      </w:r>
      <w:proofErr w:type="spellEnd"/>
      <w:r w:rsidRPr="00371401">
        <w:rPr>
          <w:rFonts w:eastAsia="Times New Roman" w:cs="Times New Roman"/>
        </w:rPr>
        <w:t xml:space="preserve"> en </w:t>
      </w:r>
      <w:proofErr w:type="spellStart"/>
      <w:r w:rsidRPr="00371401">
        <w:rPr>
          <w:rFonts w:eastAsia="Times New Roman" w:cs="Times New Roman"/>
        </w:rPr>
        <w:t>Zilbrysq</w:t>
      </w:r>
      <w:proofErr w:type="spellEnd"/>
      <w:r w:rsidRPr="00371401">
        <w:rPr>
          <w:rFonts w:eastAsia="Times New Roman" w:cs="Times New Roman"/>
        </w:rPr>
        <w:t xml:space="preserve"> zijn de financieel arrangementen (en daarmee de vergoeding) verlengd tot 1 januari 2028. </w:t>
      </w:r>
    </w:p>
    <w:p w:rsidRPr="00371401" w:rsidR="00F70E3C" w:rsidP="00371401" w:rsidRDefault="00F70E3C" w14:paraId="255513E3" w14:textId="77777777">
      <w:pPr>
        <w:suppressAutoHyphens/>
        <w:rPr>
          <w:rFonts w:eastAsia="Times New Roman" w:cs="Times New Roman"/>
        </w:rPr>
      </w:pPr>
    </w:p>
    <w:p w:rsidRPr="00371401" w:rsidR="00F70E3C" w:rsidP="00371401" w:rsidRDefault="00F70E3C" w14:paraId="4BE8B3C5" w14:textId="77777777">
      <w:pPr>
        <w:suppressAutoHyphens/>
        <w:rPr>
          <w:rFonts w:eastAsia="Times New Roman" w:cs="Times New Roman"/>
          <w:highlight w:val="yellow"/>
        </w:rPr>
      </w:pPr>
      <w:r w:rsidRPr="00371401">
        <w:rPr>
          <w:rFonts w:eastAsia="Times New Roman" w:cs="Times New Roman"/>
        </w:rPr>
        <w:t xml:space="preserve">Voor de extramurale geneesmiddelen </w:t>
      </w:r>
      <w:proofErr w:type="spellStart"/>
      <w:r w:rsidRPr="00371401">
        <w:rPr>
          <w:rFonts w:eastAsia="Times New Roman" w:cs="Times New Roman"/>
        </w:rPr>
        <w:t>Epidyolex</w:t>
      </w:r>
      <w:proofErr w:type="spellEnd"/>
      <w:r w:rsidRPr="00371401">
        <w:rPr>
          <w:rFonts w:eastAsia="Times New Roman" w:cs="Times New Roman"/>
        </w:rPr>
        <w:t xml:space="preserve">, </w:t>
      </w:r>
      <w:proofErr w:type="spellStart"/>
      <w:r w:rsidRPr="00371401">
        <w:rPr>
          <w:rFonts w:eastAsia="Times New Roman" w:cs="Times New Roman"/>
        </w:rPr>
        <w:t>Fintepla</w:t>
      </w:r>
      <w:proofErr w:type="spellEnd"/>
      <w:r w:rsidRPr="00371401">
        <w:rPr>
          <w:rFonts w:eastAsia="Times New Roman" w:cs="Times New Roman"/>
        </w:rPr>
        <w:t xml:space="preserve"> en </w:t>
      </w:r>
      <w:proofErr w:type="spellStart"/>
      <w:r w:rsidRPr="00371401">
        <w:rPr>
          <w:rFonts w:eastAsia="Times New Roman" w:cs="Times New Roman"/>
        </w:rPr>
        <w:t>Givlaari</w:t>
      </w:r>
      <w:proofErr w:type="spellEnd"/>
      <w:r w:rsidRPr="00371401">
        <w:rPr>
          <w:rFonts w:eastAsia="Times New Roman" w:cs="Times New Roman"/>
        </w:rPr>
        <w:t xml:space="preserve"> zijn de financieel arrangementen (en daarmee de vergoeding) verlengd tot 1 januari 2030. </w:t>
      </w:r>
    </w:p>
    <w:p w:rsidRPr="00371401" w:rsidR="00F70E3C" w:rsidP="00371401" w:rsidRDefault="00F70E3C" w14:paraId="39457145" w14:textId="77777777">
      <w:pPr>
        <w:suppressAutoHyphens/>
        <w:rPr>
          <w:rFonts w:eastAsia="Times New Roman" w:cs="Times New Roman"/>
        </w:rPr>
      </w:pPr>
    </w:p>
    <w:p w:rsidRPr="00371401" w:rsidR="00F70E3C" w:rsidP="00371401" w:rsidRDefault="00F70E3C" w14:paraId="381742B4" w14:textId="48F219D2">
      <w:pPr>
        <w:suppressAutoHyphens/>
        <w:rPr>
          <w:rFonts w:eastAsia="Times New Roman" w:cs="Times New Roman"/>
          <w:highlight w:val="yellow"/>
        </w:rPr>
      </w:pPr>
      <w:r w:rsidRPr="00371401">
        <w:rPr>
          <w:rFonts w:eastAsia="Times New Roman" w:cs="Times New Roman"/>
        </w:rPr>
        <w:t xml:space="preserve">Voor het extramurale geneesmiddel </w:t>
      </w:r>
      <w:proofErr w:type="spellStart"/>
      <w:r w:rsidRPr="00371401">
        <w:rPr>
          <w:rFonts w:eastAsia="Times New Roman" w:cs="Times New Roman"/>
        </w:rPr>
        <w:t>Vyndaqel</w:t>
      </w:r>
      <w:proofErr w:type="spellEnd"/>
      <w:r w:rsidRPr="00371401">
        <w:rPr>
          <w:rFonts w:eastAsia="Times New Roman" w:cs="Times New Roman"/>
        </w:rPr>
        <w:t xml:space="preserve"> is het financieel arrangementen (en daarmee de vergoeding) verlengd tot 1 </w:t>
      </w:r>
      <w:r w:rsidRPr="00371401" w:rsidR="00785B8D">
        <w:rPr>
          <w:rFonts w:eastAsia="Times New Roman" w:cs="Times New Roman"/>
        </w:rPr>
        <w:t>maart</w:t>
      </w:r>
      <w:r w:rsidRPr="00371401">
        <w:rPr>
          <w:rFonts w:eastAsia="Times New Roman" w:cs="Times New Roman"/>
        </w:rPr>
        <w:t xml:space="preserve"> 203</w:t>
      </w:r>
      <w:r w:rsidRPr="00371401" w:rsidR="009F46D9">
        <w:rPr>
          <w:rFonts w:eastAsia="Times New Roman" w:cs="Times New Roman"/>
        </w:rPr>
        <w:t>0</w:t>
      </w:r>
      <w:r w:rsidRPr="00371401">
        <w:rPr>
          <w:rFonts w:eastAsia="Times New Roman" w:cs="Times New Roman"/>
        </w:rPr>
        <w:t xml:space="preserve">. </w:t>
      </w:r>
    </w:p>
    <w:p w:rsidRPr="00371401" w:rsidR="00F70E3C" w:rsidP="00371401" w:rsidRDefault="00F70E3C" w14:paraId="6F66B6AC" w14:textId="77777777">
      <w:pPr>
        <w:suppressAutoHyphens/>
        <w:rPr>
          <w:rFonts w:eastAsia="Times New Roman" w:cs="Times New Roman"/>
        </w:rPr>
      </w:pPr>
    </w:p>
    <w:p w:rsidRPr="00371401" w:rsidR="00F70E3C" w:rsidP="00371401" w:rsidRDefault="00F70E3C" w14:paraId="504ABE2F" w14:textId="2C797057">
      <w:pPr>
        <w:suppressAutoHyphens/>
        <w:rPr>
          <w:rFonts w:eastAsia="Times New Roman" w:cs="Times New Roman"/>
        </w:rPr>
      </w:pPr>
      <w:r w:rsidRPr="00371401">
        <w:rPr>
          <w:rFonts w:eastAsia="Times New Roman" w:cs="Times New Roman"/>
        </w:rPr>
        <w:t xml:space="preserve">Daarnaast is per 1 juli 2025 het financieel arrangement van het geneesmiddel </w:t>
      </w:r>
      <w:proofErr w:type="spellStart"/>
      <w:r w:rsidRPr="00371401">
        <w:rPr>
          <w:rFonts w:eastAsia="Times New Roman" w:cs="Times New Roman"/>
        </w:rPr>
        <w:t>Translarna</w:t>
      </w:r>
      <w:proofErr w:type="spellEnd"/>
      <w:r w:rsidRPr="00371401">
        <w:rPr>
          <w:rFonts w:eastAsia="Times New Roman" w:cs="Times New Roman"/>
        </w:rPr>
        <w:t xml:space="preserve"> vroegtijdig beëindigd, omdat na een langdurig proces bij </w:t>
      </w:r>
      <w:r w:rsidRPr="00371401" w:rsidR="003D32C9">
        <w:rPr>
          <w:rFonts w:eastAsia="Times New Roman" w:cs="Times New Roman"/>
        </w:rPr>
        <w:t>het</w:t>
      </w:r>
      <w:r w:rsidRPr="00371401">
        <w:rPr>
          <w:rFonts w:eastAsia="Times New Roman" w:cs="Times New Roman"/>
        </w:rPr>
        <w:t xml:space="preserve"> EMA besloten is om de marktautorisatie niet te vernieuwen. Omdat </w:t>
      </w:r>
      <w:proofErr w:type="spellStart"/>
      <w:r w:rsidRPr="00371401">
        <w:rPr>
          <w:rFonts w:eastAsia="Times New Roman" w:cs="Times New Roman"/>
        </w:rPr>
        <w:t>Translarna</w:t>
      </w:r>
      <w:proofErr w:type="spellEnd"/>
      <w:r w:rsidRPr="00371401">
        <w:rPr>
          <w:rFonts w:eastAsia="Times New Roman" w:cs="Times New Roman"/>
        </w:rPr>
        <w:t xml:space="preserve"> niet langer geregistreerd</w:t>
      </w:r>
      <w:r w:rsidRPr="00371401" w:rsidR="00CA3126">
        <w:rPr>
          <w:rFonts w:eastAsia="Times New Roman" w:cs="Times New Roman"/>
        </w:rPr>
        <w:t xml:space="preserve"> is,</w:t>
      </w:r>
      <w:r w:rsidRPr="00371401">
        <w:rPr>
          <w:rFonts w:eastAsia="Times New Roman" w:cs="Times New Roman"/>
        </w:rPr>
        <w:t xml:space="preserve"> is het ook niet langer mogelijk om het </w:t>
      </w:r>
      <w:r w:rsidRPr="00371401" w:rsidR="00701006">
        <w:rPr>
          <w:rFonts w:eastAsia="Times New Roman" w:cs="Times New Roman"/>
        </w:rPr>
        <w:t>genees</w:t>
      </w:r>
      <w:r w:rsidRPr="00371401">
        <w:rPr>
          <w:rFonts w:eastAsia="Times New Roman" w:cs="Times New Roman"/>
        </w:rPr>
        <w:t>middel aan Nederlandse patiënten te verstrekken.</w:t>
      </w:r>
    </w:p>
    <w:p w:rsidRPr="00371401" w:rsidR="003D32C9" w:rsidP="00371401" w:rsidRDefault="003D32C9" w14:paraId="71F9E13F" w14:textId="77777777">
      <w:pPr>
        <w:suppressAutoHyphens/>
        <w:rPr>
          <w:rFonts w:eastAsia="Times New Roman" w:cs="Times New Roman"/>
        </w:rPr>
      </w:pPr>
    </w:p>
    <w:p w:rsidRPr="00371401" w:rsidR="00F70E3C" w:rsidP="00371401" w:rsidRDefault="000F4444" w14:paraId="5E6EE897" w14:textId="2C453CA3">
      <w:pPr>
        <w:suppressAutoHyphens/>
        <w:rPr>
          <w:rFonts w:eastAsiaTheme="minorHAnsi" w:cstheme="minorBidi"/>
          <w:color w:val="auto"/>
          <w:lang w:eastAsia="en-US"/>
        </w:rPr>
      </w:pPr>
      <w:r w:rsidRPr="00371401">
        <w:rPr>
          <w:rFonts w:eastAsia="Times New Roman" w:cs="Times New Roman"/>
          <w:b/>
          <w:bCs/>
          <w:color w:val="000000" w:themeColor="text1"/>
        </w:rPr>
        <w:t>6</w:t>
      </w:r>
      <w:r w:rsidRPr="00371401" w:rsidR="00F70E3C">
        <w:rPr>
          <w:rFonts w:eastAsia="Times New Roman" w:cs="Times New Roman"/>
          <w:b/>
          <w:bCs/>
          <w:color w:val="000000" w:themeColor="text1"/>
        </w:rPr>
        <w:t xml:space="preserve">. Doorlooptijden geneesmiddelen met financieel arrangement </w:t>
      </w:r>
      <w:r w:rsidRPr="00371401" w:rsidR="00F70E3C">
        <w:rPr>
          <w:rFonts w:eastAsia="Times New Roman" w:cs="Times New Roman"/>
          <w:b/>
          <w:bCs/>
          <w:color w:val="000000" w:themeColor="text1"/>
        </w:rPr>
        <w:br/>
      </w:r>
      <w:r w:rsidRPr="00371401" w:rsidR="00F70E3C">
        <w:rPr>
          <w:rFonts w:eastAsiaTheme="minorHAnsi" w:cstheme="minorBidi"/>
          <w:color w:val="auto"/>
          <w:lang w:eastAsia="en-US"/>
        </w:rPr>
        <w:t xml:space="preserve">In de vorige voortgangsbrief </w:t>
      </w:r>
      <w:r w:rsidRPr="00371401" w:rsidR="00D672D9">
        <w:rPr>
          <w:rFonts w:eastAsiaTheme="minorHAnsi" w:cstheme="minorBidi"/>
          <w:color w:val="auto"/>
          <w:lang w:eastAsia="en-US"/>
        </w:rPr>
        <w:t>is de Kamer</w:t>
      </w:r>
      <w:r w:rsidRPr="00371401" w:rsidR="00F70E3C">
        <w:rPr>
          <w:rFonts w:eastAsiaTheme="minorHAnsi" w:cstheme="minorBidi"/>
          <w:color w:val="auto"/>
          <w:lang w:eastAsia="en-US"/>
        </w:rPr>
        <w:t xml:space="preserve"> geïnformeerd over de doorlooptijden van de geneesmiddelen waarvoor centraal is onderhandeld over de prijs. Dit is de hoeveelheid tijd die verstrijkt tussen het verstrekken van de (Europese) handelsvergunning en de Nederlandse pakketopname. De onderliggende data van de individuele intramurale en extramurale geneesmiddelen zijn te vinden in het Dashboard Doorlooptijden Geneesmiddelen.</w:t>
      </w:r>
      <w:r w:rsidRPr="00371401" w:rsidR="00F70E3C">
        <w:rPr>
          <w:rStyle w:val="Voetnootmarkering"/>
          <w:rFonts w:eastAsiaTheme="minorHAnsi" w:cstheme="minorBidi"/>
          <w:color w:val="auto"/>
          <w:lang w:eastAsia="en-US"/>
        </w:rPr>
        <w:footnoteReference w:id="13"/>
      </w:r>
      <w:r w:rsidRPr="00371401" w:rsidR="00F70E3C">
        <w:rPr>
          <w:rFonts w:eastAsiaTheme="minorHAnsi" w:cstheme="minorBidi"/>
          <w:color w:val="auto"/>
          <w:lang w:eastAsia="en-US"/>
        </w:rPr>
        <w:t xml:space="preserve"> </w:t>
      </w:r>
    </w:p>
    <w:p w:rsidRPr="00371401" w:rsidR="00F70E3C" w:rsidP="00371401" w:rsidRDefault="00F70E3C" w14:paraId="5FDDC8B0" w14:textId="77777777">
      <w:pPr>
        <w:suppressAutoHyphens/>
        <w:rPr>
          <w:rFonts w:eastAsiaTheme="minorHAnsi" w:cstheme="minorBidi"/>
          <w:color w:val="auto"/>
          <w:lang w:eastAsia="en-US"/>
        </w:rPr>
      </w:pPr>
    </w:p>
    <w:p w:rsidRPr="00371401" w:rsidR="005E2FD1" w:rsidP="00371401" w:rsidRDefault="005E2FD1" w14:paraId="2481A3CF" w14:textId="4E49AB17">
      <w:pPr>
        <w:suppressAutoHyphens/>
        <w:rPr>
          <w:rFonts w:eastAsiaTheme="minorHAnsi" w:cstheme="minorBidi"/>
          <w:color w:val="auto"/>
          <w:lang w:eastAsia="en-US"/>
        </w:rPr>
      </w:pPr>
      <w:r w:rsidRPr="00371401">
        <w:rPr>
          <w:rFonts w:eastAsiaTheme="minorHAnsi" w:cstheme="minorBidi"/>
          <w:color w:val="auto"/>
          <w:lang w:eastAsia="en-US"/>
        </w:rPr>
        <w:t xml:space="preserve">Voorafgaand aan de presentatie van de resultaten wil het kabinet </w:t>
      </w:r>
      <w:r w:rsidRPr="00371401" w:rsidR="005D3BA9">
        <w:rPr>
          <w:rFonts w:eastAsiaTheme="minorHAnsi" w:cstheme="minorBidi"/>
          <w:color w:val="auto"/>
          <w:lang w:eastAsia="en-US"/>
        </w:rPr>
        <w:t>benadrukken</w:t>
      </w:r>
      <w:r w:rsidRPr="00371401">
        <w:rPr>
          <w:rFonts w:eastAsiaTheme="minorHAnsi" w:cstheme="minorBidi"/>
          <w:color w:val="auto"/>
          <w:lang w:eastAsia="en-US"/>
        </w:rPr>
        <w:t xml:space="preserve"> dat het de lange doorlooptijden die in de praktijk ontstaan bij de toegang tot nieuwe geneesmiddelen betreurt. Deze doorlooptijden vormen een gedeelde verantwoordelijkheid </w:t>
      </w:r>
      <w:r w:rsidRPr="00371401" w:rsidR="003F164E">
        <w:rPr>
          <w:rFonts w:eastAsiaTheme="minorHAnsi" w:cstheme="minorBidi"/>
          <w:color w:val="auto"/>
          <w:lang w:eastAsia="en-US"/>
        </w:rPr>
        <w:t xml:space="preserve">van de leverancier en de overheid </w:t>
      </w:r>
      <w:r w:rsidRPr="00371401">
        <w:rPr>
          <w:rFonts w:eastAsiaTheme="minorHAnsi" w:cstheme="minorBidi"/>
          <w:color w:val="auto"/>
          <w:lang w:eastAsia="en-US"/>
        </w:rPr>
        <w:t xml:space="preserve">en </w:t>
      </w:r>
      <w:r w:rsidRPr="00371401" w:rsidR="003F164E">
        <w:rPr>
          <w:rFonts w:eastAsiaTheme="minorHAnsi" w:cstheme="minorBidi"/>
          <w:color w:val="auto"/>
          <w:lang w:eastAsia="en-US"/>
        </w:rPr>
        <w:t>zouden</w:t>
      </w:r>
      <w:r w:rsidRPr="00371401">
        <w:rPr>
          <w:rFonts w:eastAsiaTheme="minorHAnsi" w:cstheme="minorBidi"/>
          <w:color w:val="auto"/>
          <w:lang w:eastAsia="en-US"/>
        </w:rPr>
        <w:t xml:space="preserve"> in veel gevallen </w:t>
      </w:r>
      <w:r w:rsidRPr="00371401" w:rsidR="003F164E">
        <w:rPr>
          <w:rFonts w:eastAsiaTheme="minorHAnsi" w:cstheme="minorBidi"/>
          <w:color w:val="auto"/>
          <w:lang w:eastAsia="en-US"/>
        </w:rPr>
        <w:t>verkort kunnen worden</w:t>
      </w:r>
      <w:r w:rsidRPr="00371401" w:rsidR="00AA5CFE">
        <w:rPr>
          <w:rFonts w:eastAsiaTheme="minorHAnsi" w:cstheme="minorBidi"/>
          <w:color w:val="auto"/>
          <w:lang w:eastAsia="en-US"/>
        </w:rPr>
        <w:t xml:space="preserve">, zoals hieronder nader is toegelicht. </w:t>
      </w:r>
    </w:p>
    <w:p w:rsidRPr="00371401" w:rsidR="00AA5CFE" w:rsidP="00371401" w:rsidRDefault="00AA5CFE" w14:paraId="6DB3B3AA" w14:textId="77777777">
      <w:pPr>
        <w:suppressAutoHyphens/>
        <w:rPr>
          <w:rFonts w:eastAsiaTheme="minorHAnsi" w:cstheme="minorBidi"/>
          <w:color w:val="auto"/>
          <w:lang w:eastAsia="en-US"/>
        </w:rPr>
      </w:pPr>
    </w:p>
    <w:p w:rsidRPr="00371401" w:rsidR="00F70E3C" w:rsidP="00371401" w:rsidRDefault="000F4444" w14:paraId="4E2C294C" w14:textId="5B704342">
      <w:pPr>
        <w:suppressAutoHyphens/>
        <w:rPr>
          <w:rFonts w:eastAsiaTheme="minorHAnsi" w:cstheme="minorBidi"/>
          <w:b/>
          <w:bCs/>
          <w:color w:val="auto"/>
          <w:lang w:eastAsia="en-US"/>
        </w:rPr>
      </w:pPr>
      <w:r w:rsidRPr="00371401">
        <w:rPr>
          <w:rFonts w:eastAsiaTheme="minorHAnsi" w:cstheme="minorBidi"/>
          <w:b/>
          <w:bCs/>
          <w:color w:val="auto"/>
          <w:lang w:eastAsia="en-US"/>
        </w:rPr>
        <w:lastRenderedPageBreak/>
        <w:t>6</w:t>
      </w:r>
      <w:r w:rsidRPr="00371401" w:rsidR="00F70E3C">
        <w:rPr>
          <w:rFonts w:eastAsiaTheme="minorHAnsi" w:cstheme="minorBidi"/>
          <w:b/>
          <w:bCs/>
          <w:color w:val="auto"/>
          <w:lang w:eastAsia="en-US"/>
        </w:rPr>
        <w:t>.1 Totstandkoming doorlooptijden</w:t>
      </w:r>
    </w:p>
    <w:p w:rsidRPr="00371401" w:rsidR="00F70E3C" w:rsidP="00371401" w:rsidRDefault="005D3BA9" w14:paraId="1F94D450" w14:textId="4E493E38">
      <w:pPr>
        <w:suppressAutoHyphens/>
        <w:rPr>
          <w:rFonts w:eastAsiaTheme="minorHAnsi" w:cstheme="minorBidi"/>
          <w:color w:val="auto"/>
          <w:lang w:eastAsia="en-US"/>
        </w:rPr>
      </w:pPr>
      <w:r w:rsidRPr="00371401">
        <w:rPr>
          <w:rFonts w:eastAsiaTheme="minorHAnsi" w:cstheme="minorBidi"/>
          <w:color w:val="auto"/>
          <w:lang w:eastAsia="en-US"/>
        </w:rPr>
        <w:t>Deze brief bevat een actualisatie van het overzicht van de doorlooptijden, waarbij onderscheid wordt gemaakt tussen intramurale en extramurale geneesmiddelen. In de rapportage worden drie fasen onderscheiden, ieder met eigen betrokken en verantwoordelijke partijen.</w:t>
      </w:r>
    </w:p>
    <w:p w:rsidRPr="00371401" w:rsidR="005D3BA9" w:rsidP="00371401" w:rsidRDefault="005D3BA9" w14:paraId="6871AC46" w14:textId="77777777">
      <w:pPr>
        <w:suppressAutoHyphens/>
        <w:rPr>
          <w:rFonts w:eastAsiaTheme="minorHAnsi" w:cstheme="minorBidi"/>
          <w:color w:val="auto"/>
          <w:lang w:eastAsia="en-US"/>
        </w:rPr>
      </w:pPr>
    </w:p>
    <w:p w:rsidRPr="00371401" w:rsidR="00F70E3C" w:rsidP="00371401" w:rsidRDefault="00F70E3C" w14:paraId="2BA1B7FD" w14:textId="0B88B997">
      <w:pPr>
        <w:suppressAutoHyphens/>
        <w:rPr>
          <w:rFonts w:eastAsiaTheme="minorHAnsi" w:cstheme="minorBidi"/>
          <w:i/>
          <w:iCs/>
          <w:color w:val="auto"/>
          <w:lang w:eastAsia="en-US"/>
        </w:rPr>
      </w:pPr>
      <w:r w:rsidRPr="00371401">
        <w:rPr>
          <w:rFonts w:eastAsiaTheme="minorHAnsi" w:cstheme="minorBidi"/>
          <w:i/>
          <w:iCs/>
          <w:color w:val="auto"/>
          <w:lang w:eastAsia="en-US"/>
        </w:rPr>
        <w:t>Fase 1:</w:t>
      </w:r>
      <w:r w:rsidRPr="00371401">
        <w:rPr>
          <w:i/>
          <w:iCs/>
        </w:rPr>
        <w:t xml:space="preserve"> </w:t>
      </w:r>
      <w:r w:rsidRPr="00371401" w:rsidR="005D3BA9">
        <w:rPr>
          <w:i/>
          <w:iCs/>
        </w:rPr>
        <w:t>Tijd tu</w:t>
      </w:r>
      <w:r w:rsidRPr="00371401">
        <w:rPr>
          <w:rFonts w:eastAsiaTheme="minorHAnsi" w:cstheme="minorBidi"/>
          <w:i/>
          <w:iCs/>
          <w:color w:val="auto"/>
          <w:lang w:eastAsia="en-US"/>
        </w:rPr>
        <w:t>ssen markttoelating en indiening van een compleet dossier</w:t>
      </w:r>
    </w:p>
    <w:p w:rsidRPr="00371401" w:rsidR="00AD546F" w:rsidP="00371401" w:rsidRDefault="005D3BA9" w14:paraId="7BA14EF5" w14:textId="266C195D">
      <w:pPr>
        <w:suppressAutoHyphens/>
        <w:rPr>
          <w:rFonts w:eastAsiaTheme="minorHAnsi" w:cstheme="minorBidi"/>
          <w:color w:val="auto"/>
          <w:lang w:eastAsia="en-US"/>
        </w:rPr>
      </w:pPr>
      <w:r w:rsidRPr="00371401">
        <w:rPr>
          <w:rFonts w:eastAsiaTheme="minorHAnsi" w:cstheme="minorBidi"/>
          <w:color w:val="auto"/>
          <w:lang w:eastAsia="en-US"/>
        </w:rPr>
        <w:t xml:space="preserve">Wanneer een leverancier opname van een geneesmiddel of indicatie in het verzekerde pakket wenst, dient </w:t>
      </w:r>
      <w:r w:rsidRPr="00371401" w:rsidR="003D32C9">
        <w:rPr>
          <w:rFonts w:eastAsiaTheme="minorHAnsi" w:cstheme="minorBidi"/>
          <w:color w:val="auto"/>
          <w:lang w:eastAsia="en-US"/>
        </w:rPr>
        <w:t>hij</w:t>
      </w:r>
      <w:r w:rsidRPr="00371401">
        <w:rPr>
          <w:rFonts w:eastAsiaTheme="minorHAnsi" w:cstheme="minorBidi"/>
          <w:color w:val="auto"/>
          <w:lang w:eastAsia="en-US"/>
        </w:rPr>
        <w:t xml:space="preserve"> daartoe een vergoedingsdossier in bij het Zorginstituut. De leverancier is verantwoordelijk voor het aanleveren van een volledig en kwalitatief toereikend dossier</w:t>
      </w:r>
      <w:r w:rsidRPr="00371401" w:rsidR="003F164E">
        <w:rPr>
          <w:rFonts w:eastAsiaTheme="minorHAnsi" w:cstheme="minorBidi"/>
          <w:color w:val="auto"/>
          <w:lang w:eastAsia="en-US"/>
        </w:rPr>
        <w:t>, wat volgens de geldende procedures vroegtijdig na markttoelating kan gebeuren.</w:t>
      </w:r>
      <w:r w:rsidRPr="00371401">
        <w:rPr>
          <w:rFonts w:eastAsiaTheme="minorHAnsi" w:cstheme="minorBidi"/>
          <w:color w:val="auto"/>
          <w:lang w:eastAsia="en-US"/>
        </w:rPr>
        <w:t xml:space="preserve"> Leveranciers hebben daarnaast de mogelijkheid </w:t>
      </w:r>
      <w:r w:rsidRPr="00371401" w:rsidR="001013D7">
        <w:rPr>
          <w:rFonts w:eastAsiaTheme="minorHAnsi" w:cstheme="minorBidi"/>
          <w:color w:val="auto"/>
          <w:lang w:eastAsia="en-US"/>
        </w:rPr>
        <w:t xml:space="preserve">om </w:t>
      </w:r>
      <w:r w:rsidRPr="00371401">
        <w:rPr>
          <w:rFonts w:eastAsiaTheme="minorHAnsi" w:cstheme="minorBidi"/>
          <w:color w:val="auto"/>
          <w:lang w:eastAsia="en-US"/>
        </w:rPr>
        <w:t>gebruik te maken van de parallelle procedure</w:t>
      </w:r>
      <w:r w:rsidRPr="00371401" w:rsidR="001013D7">
        <w:rPr>
          <w:rFonts w:eastAsiaTheme="minorHAnsi" w:cstheme="minorBidi"/>
          <w:color w:val="auto"/>
          <w:lang w:eastAsia="en-US"/>
        </w:rPr>
        <w:t>.</w:t>
      </w:r>
      <w:r w:rsidRPr="00371401">
        <w:rPr>
          <w:rFonts w:eastAsiaTheme="minorHAnsi" w:cstheme="minorBidi"/>
          <w:color w:val="auto"/>
          <w:lang w:eastAsia="en-US"/>
        </w:rPr>
        <w:t xml:space="preserve"> </w:t>
      </w:r>
      <w:r w:rsidRPr="00371401" w:rsidR="001013D7">
        <w:rPr>
          <w:rFonts w:eastAsiaTheme="minorHAnsi" w:cstheme="minorBidi"/>
          <w:color w:val="auto"/>
          <w:lang w:eastAsia="en-US"/>
        </w:rPr>
        <w:t xml:space="preserve">Hierbij kan </w:t>
      </w:r>
      <w:r w:rsidRPr="00371401">
        <w:rPr>
          <w:rFonts w:eastAsiaTheme="minorHAnsi" w:cstheme="minorBidi"/>
          <w:color w:val="auto"/>
          <w:lang w:eastAsia="en-US"/>
        </w:rPr>
        <w:t xml:space="preserve">voorafgaand aan markttoelating op Europees niveau </w:t>
      </w:r>
      <w:r w:rsidRPr="00371401" w:rsidR="001013D7">
        <w:rPr>
          <w:rFonts w:eastAsiaTheme="minorHAnsi" w:cstheme="minorBidi"/>
          <w:color w:val="auto"/>
          <w:lang w:eastAsia="en-US"/>
        </w:rPr>
        <w:t xml:space="preserve">al </w:t>
      </w:r>
      <w:r w:rsidRPr="00371401">
        <w:rPr>
          <w:rFonts w:eastAsiaTheme="minorHAnsi" w:cstheme="minorBidi"/>
          <w:color w:val="auto"/>
          <w:lang w:eastAsia="en-US"/>
        </w:rPr>
        <w:t>worden gestart met het indienen van een dossier</w:t>
      </w:r>
      <w:r w:rsidRPr="00371401" w:rsidR="001013D7">
        <w:rPr>
          <w:rFonts w:eastAsiaTheme="minorHAnsi" w:cstheme="minorBidi"/>
          <w:color w:val="auto"/>
          <w:lang w:eastAsia="en-US"/>
        </w:rPr>
        <w:t xml:space="preserve"> bij het Zorginstituut</w:t>
      </w:r>
      <w:r w:rsidRPr="00371401">
        <w:rPr>
          <w:rFonts w:eastAsiaTheme="minorHAnsi" w:cstheme="minorBidi"/>
          <w:color w:val="auto"/>
          <w:lang w:eastAsia="en-US"/>
        </w:rPr>
        <w:t xml:space="preserve">. Van deze mogelijkheid wordt </w:t>
      </w:r>
      <w:r w:rsidRPr="00371401" w:rsidR="00BF1481">
        <w:rPr>
          <w:rFonts w:eastAsiaTheme="minorHAnsi" w:cstheme="minorBidi"/>
          <w:color w:val="auto"/>
          <w:lang w:eastAsia="en-US"/>
        </w:rPr>
        <w:t>maar</w:t>
      </w:r>
      <w:r w:rsidRPr="00371401">
        <w:rPr>
          <w:rFonts w:eastAsiaTheme="minorHAnsi" w:cstheme="minorBidi"/>
          <w:color w:val="auto"/>
          <w:lang w:eastAsia="en-US"/>
        </w:rPr>
        <w:t xml:space="preserve"> beperkt gebruik gemaakt. </w:t>
      </w:r>
    </w:p>
    <w:p w:rsidRPr="00371401" w:rsidR="00F70E3C" w:rsidP="00371401" w:rsidRDefault="005D3BA9" w14:paraId="2FB23632" w14:textId="0243BC74">
      <w:pPr>
        <w:suppressAutoHyphens/>
        <w:rPr>
          <w:rFonts w:eastAsiaTheme="minorHAnsi" w:cstheme="minorBidi"/>
          <w:color w:val="auto"/>
          <w:lang w:eastAsia="en-US"/>
        </w:rPr>
      </w:pPr>
      <w:r w:rsidRPr="00371401">
        <w:rPr>
          <w:rFonts w:eastAsiaTheme="minorHAnsi" w:cstheme="minorBidi"/>
          <w:color w:val="auto"/>
          <w:lang w:eastAsia="en-US"/>
        </w:rPr>
        <w:t>Daarnaast komt het voor dat leveranciers ervoor kiezen om (nog) geen dossier in te dienen, waardoor vergoeding en toegang voor patiënten uitblijven.</w:t>
      </w:r>
    </w:p>
    <w:p w:rsidRPr="00371401" w:rsidR="005D3BA9" w:rsidP="00371401" w:rsidRDefault="005D3BA9" w14:paraId="34114C7A" w14:textId="77777777">
      <w:pPr>
        <w:suppressAutoHyphens/>
        <w:rPr>
          <w:rFonts w:eastAsiaTheme="minorHAnsi" w:cstheme="minorBidi"/>
          <w:b/>
          <w:bCs/>
          <w:color w:val="auto"/>
          <w:lang w:eastAsia="en-US"/>
        </w:rPr>
      </w:pPr>
    </w:p>
    <w:p w:rsidRPr="00371401" w:rsidR="00F70E3C" w:rsidP="00371401" w:rsidRDefault="00F70E3C" w14:paraId="62D5FBB2" w14:textId="4EC39293">
      <w:pPr>
        <w:suppressAutoHyphens/>
        <w:rPr>
          <w:rFonts w:eastAsiaTheme="minorHAnsi" w:cstheme="minorBidi"/>
          <w:i/>
          <w:iCs/>
          <w:color w:val="auto"/>
          <w:lang w:eastAsia="en-US"/>
        </w:rPr>
      </w:pPr>
      <w:r w:rsidRPr="00371401">
        <w:rPr>
          <w:rFonts w:eastAsiaTheme="minorHAnsi" w:cstheme="minorBidi"/>
          <w:i/>
          <w:iCs/>
          <w:color w:val="auto"/>
          <w:lang w:eastAsia="en-US"/>
        </w:rPr>
        <w:t xml:space="preserve">Fase 2: </w:t>
      </w:r>
      <w:r w:rsidRPr="00371401" w:rsidR="005D3BA9">
        <w:rPr>
          <w:rFonts w:eastAsiaTheme="minorHAnsi" w:cstheme="minorBidi"/>
          <w:i/>
          <w:iCs/>
          <w:color w:val="auto"/>
          <w:lang w:eastAsia="en-US"/>
        </w:rPr>
        <w:t>Tijd voor de b</w:t>
      </w:r>
      <w:r w:rsidRPr="00371401">
        <w:rPr>
          <w:rFonts w:eastAsiaTheme="minorHAnsi" w:cstheme="minorBidi"/>
          <w:i/>
          <w:iCs/>
          <w:color w:val="auto"/>
          <w:lang w:eastAsia="en-US"/>
        </w:rPr>
        <w:t xml:space="preserve">eoordeling door het Zorginstituut </w:t>
      </w:r>
    </w:p>
    <w:p w:rsidRPr="00371401" w:rsidR="00F70E3C" w:rsidP="00371401" w:rsidRDefault="005D3BA9" w14:paraId="3317E05A" w14:textId="0C08E5C9">
      <w:pPr>
        <w:suppressAutoHyphens/>
        <w:rPr>
          <w:rFonts w:eastAsiaTheme="minorHAnsi" w:cstheme="minorBidi"/>
          <w:color w:val="auto"/>
          <w:lang w:eastAsia="en-US"/>
        </w:rPr>
      </w:pPr>
      <w:r w:rsidRPr="00371401">
        <w:rPr>
          <w:rFonts w:eastAsiaTheme="minorHAnsi" w:cstheme="minorBidi"/>
          <w:color w:val="auto"/>
          <w:lang w:eastAsia="en-US"/>
        </w:rPr>
        <w:t xml:space="preserve">Zodra een vergoedingsdossier compleet is verklaard, wordt het door het Zorginstituut inhoudelijk beoordeeld. Daarbij beoordeelt het Zorginstituut zowel de kwaliteit als de volledigheid van het dossier. </w:t>
      </w:r>
      <w:r w:rsidRPr="00371401" w:rsidR="007A6D01">
        <w:rPr>
          <w:rFonts w:eastAsiaTheme="minorHAnsi" w:cstheme="minorBidi"/>
          <w:color w:val="auto"/>
          <w:lang w:eastAsia="en-US"/>
        </w:rPr>
        <w:t>Het Zorginstituut kan de leverancier verzoeken aanpassingen te doen of extra informatie aan te leveren.</w:t>
      </w:r>
      <w:r w:rsidRPr="00371401" w:rsidR="009F46D9">
        <w:rPr>
          <w:rFonts w:eastAsiaTheme="minorHAnsi" w:cstheme="minorBidi"/>
          <w:color w:val="auto"/>
          <w:lang w:eastAsia="en-US"/>
        </w:rPr>
        <w:t xml:space="preserve"> De leverancier kan om extra tijd vragen om aan deze verzoeken te voldoen. </w:t>
      </w:r>
      <w:r w:rsidRPr="00371401">
        <w:rPr>
          <w:rFonts w:eastAsiaTheme="minorHAnsi" w:cstheme="minorBidi"/>
          <w:color w:val="auto"/>
          <w:lang w:eastAsia="en-US"/>
        </w:rPr>
        <w:t>Indien de kwaliteit van het dossier onvoldoende is, kan de leverancier het dossier na een periode van zes maanden opnieuw indienen voor herbeoordeling. Het Zorginstituut en de leverancier dragen daarmee gezamenlijk verantwoordelijkheid voor de doorlooptijden in fase 2.</w:t>
      </w:r>
    </w:p>
    <w:p w:rsidRPr="00371401" w:rsidR="005D3BA9" w:rsidP="00371401" w:rsidRDefault="005D3BA9" w14:paraId="5C6C4ED2" w14:textId="77777777">
      <w:pPr>
        <w:suppressAutoHyphens/>
        <w:rPr>
          <w:rFonts w:eastAsiaTheme="minorHAnsi" w:cstheme="minorBidi"/>
          <w:color w:val="auto"/>
          <w:lang w:eastAsia="en-US"/>
        </w:rPr>
      </w:pPr>
    </w:p>
    <w:p w:rsidRPr="00371401" w:rsidR="00F70E3C" w:rsidP="00371401" w:rsidRDefault="00F70E3C" w14:paraId="3606A108" w14:textId="77777777">
      <w:pPr>
        <w:suppressAutoHyphens/>
        <w:rPr>
          <w:rFonts w:eastAsiaTheme="minorHAnsi" w:cstheme="minorBidi"/>
          <w:i/>
          <w:iCs/>
          <w:color w:val="auto"/>
          <w:lang w:eastAsia="en-US"/>
        </w:rPr>
      </w:pPr>
      <w:r w:rsidRPr="00371401">
        <w:rPr>
          <w:rFonts w:eastAsiaTheme="minorHAnsi" w:cstheme="minorBidi"/>
          <w:i/>
          <w:iCs/>
          <w:color w:val="auto"/>
          <w:lang w:eastAsia="en-US"/>
        </w:rPr>
        <w:t xml:space="preserve">Fase 3: Tijd voor de prijsonderhandeling tussen VWS en de leverancier </w:t>
      </w:r>
    </w:p>
    <w:p w:rsidRPr="00371401" w:rsidR="00F70E3C" w:rsidP="00371401" w:rsidRDefault="005D3BA9" w14:paraId="375C7C8F" w14:textId="3840ED61">
      <w:pPr>
        <w:suppressAutoHyphens/>
        <w:rPr>
          <w:rFonts w:eastAsiaTheme="minorHAnsi" w:cstheme="minorBidi"/>
          <w:color w:val="auto"/>
          <w:lang w:eastAsia="en-US"/>
        </w:rPr>
      </w:pPr>
      <w:r w:rsidRPr="00371401">
        <w:rPr>
          <w:rFonts w:eastAsiaTheme="minorHAnsi" w:cstheme="minorBidi"/>
          <w:color w:val="auto"/>
          <w:lang w:eastAsia="en-US"/>
        </w:rPr>
        <w:t xml:space="preserve">Na afronding van de beoordeling brengt het Zorginstituut een onafhankelijk advies uit over de pakketwaardigheid van het geneesmiddel. In sommige gevallen omvat dit advies </w:t>
      </w:r>
      <w:r w:rsidRPr="00371401" w:rsidR="007A6D01">
        <w:rPr>
          <w:rFonts w:eastAsiaTheme="minorHAnsi" w:cstheme="minorBidi"/>
          <w:color w:val="auto"/>
          <w:lang w:eastAsia="en-US"/>
        </w:rPr>
        <w:t>een kortingsadvies</w:t>
      </w:r>
      <w:r w:rsidRPr="00371401">
        <w:rPr>
          <w:rFonts w:eastAsiaTheme="minorHAnsi" w:cstheme="minorBidi"/>
          <w:color w:val="auto"/>
          <w:lang w:eastAsia="en-US"/>
        </w:rPr>
        <w:t>, dat als uitgangspunt dient voor</w:t>
      </w:r>
      <w:r w:rsidRPr="00371401" w:rsidR="004B0876">
        <w:rPr>
          <w:rFonts w:eastAsiaTheme="minorHAnsi" w:cstheme="minorBidi"/>
          <w:color w:val="auto"/>
          <w:lang w:eastAsia="en-US"/>
        </w:rPr>
        <w:t xml:space="preserve"> </w:t>
      </w:r>
      <w:r w:rsidRPr="00371401">
        <w:rPr>
          <w:rFonts w:eastAsiaTheme="minorHAnsi" w:cstheme="minorBidi"/>
          <w:color w:val="auto"/>
          <w:lang w:eastAsia="en-US"/>
        </w:rPr>
        <w:t xml:space="preserve">prijsonderhandelingen. </w:t>
      </w:r>
      <w:r w:rsidRPr="00371401" w:rsidR="007A6D01">
        <w:rPr>
          <w:rFonts w:eastAsiaTheme="minorHAnsi" w:cstheme="minorBidi"/>
          <w:color w:val="auto"/>
          <w:lang w:eastAsia="en-US"/>
        </w:rPr>
        <w:t xml:space="preserve">Als dit het geval is zullen </w:t>
      </w:r>
      <w:r w:rsidRPr="00371401" w:rsidR="004B0876">
        <w:rPr>
          <w:rFonts w:eastAsiaTheme="minorHAnsi" w:cstheme="minorBidi"/>
          <w:color w:val="auto"/>
          <w:lang w:eastAsia="en-US"/>
        </w:rPr>
        <w:t xml:space="preserve">het </w:t>
      </w:r>
      <w:r w:rsidRPr="00371401" w:rsidR="007A6D01">
        <w:rPr>
          <w:rFonts w:eastAsiaTheme="minorHAnsi" w:cstheme="minorBidi"/>
          <w:color w:val="auto"/>
          <w:lang w:eastAsia="en-US"/>
        </w:rPr>
        <w:t>ministerie van VWS</w:t>
      </w:r>
      <w:r w:rsidRPr="00371401" w:rsidR="004B0876">
        <w:rPr>
          <w:rFonts w:eastAsiaTheme="minorHAnsi" w:cstheme="minorBidi"/>
          <w:color w:val="auto"/>
          <w:lang w:eastAsia="en-US"/>
        </w:rPr>
        <w:t xml:space="preserve"> en de leverancier</w:t>
      </w:r>
      <w:r w:rsidRPr="00371401" w:rsidR="007A6D01">
        <w:rPr>
          <w:rFonts w:eastAsiaTheme="minorHAnsi" w:cstheme="minorBidi"/>
          <w:color w:val="auto"/>
          <w:lang w:eastAsia="en-US"/>
        </w:rPr>
        <w:t xml:space="preserve"> een prijsonderhandeling starten. </w:t>
      </w:r>
      <w:r w:rsidRPr="00371401">
        <w:rPr>
          <w:rFonts w:eastAsiaTheme="minorHAnsi" w:cstheme="minorBidi"/>
          <w:color w:val="auto"/>
          <w:lang w:eastAsia="en-US"/>
        </w:rPr>
        <w:t>Het ministerie van VWS en de leverancier dragen daarmee gezamenlijk verantwoordelijkheid voor de doorlooptijden in fase 3.</w:t>
      </w:r>
    </w:p>
    <w:p w:rsidRPr="00371401" w:rsidR="006D5F0A" w:rsidP="00371401" w:rsidRDefault="006D5F0A" w14:paraId="643DB0A1" w14:textId="77777777">
      <w:pPr>
        <w:suppressAutoHyphens/>
        <w:rPr>
          <w:rFonts w:eastAsiaTheme="minorHAnsi" w:cstheme="minorBidi"/>
          <w:color w:val="auto"/>
          <w:lang w:eastAsia="en-US"/>
        </w:rPr>
      </w:pPr>
    </w:p>
    <w:p w:rsidRPr="00371401" w:rsidR="00F70E3C" w:rsidP="00371401" w:rsidRDefault="005D3BA9" w14:paraId="6E8F00B7" w14:textId="1A0A9572">
      <w:pPr>
        <w:suppressAutoHyphens/>
        <w:rPr>
          <w:rFonts w:eastAsiaTheme="minorHAnsi" w:cstheme="minorBidi"/>
          <w:color w:val="auto"/>
          <w:lang w:eastAsia="en-US"/>
        </w:rPr>
      </w:pPr>
      <w:r w:rsidRPr="00371401">
        <w:rPr>
          <w:rFonts w:eastAsiaTheme="minorHAnsi" w:cstheme="minorBidi"/>
          <w:color w:val="auto"/>
          <w:lang w:eastAsia="en-US"/>
        </w:rPr>
        <w:t xml:space="preserve">Naast de betrokken partijen hebben ook de </w:t>
      </w:r>
      <w:r w:rsidRPr="00371401" w:rsidR="00BF1481">
        <w:rPr>
          <w:rFonts w:eastAsiaTheme="minorHAnsi" w:cstheme="minorBidi"/>
          <w:color w:val="auto"/>
          <w:lang w:eastAsia="en-US"/>
        </w:rPr>
        <w:t>eigenschappen</w:t>
      </w:r>
      <w:r w:rsidRPr="00371401">
        <w:rPr>
          <w:rFonts w:eastAsiaTheme="minorHAnsi" w:cstheme="minorBidi"/>
          <w:color w:val="auto"/>
          <w:lang w:eastAsia="en-US"/>
        </w:rPr>
        <w:t xml:space="preserve"> van geneesmiddelen die voor pakketopname in aanmerking komen een aanzienlijke invloed op de doorlooptijden. Voor geneesmiddelen met een zogenaamde </w:t>
      </w:r>
      <w:r w:rsidRPr="00371401" w:rsidR="004B0876">
        <w:rPr>
          <w:rFonts w:eastAsiaTheme="minorHAnsi" w:cstheme="minorBidi"/>
          <w:color w:val="auto"/>
          <w:lang w:eastAsia="en-US"/>
        </w:rPr>
        <w:t>‘</w:t>
      </w:r>
      <w:r w:rsidRPr="00371401">
        <w:rPr>
          <w:rFonts w:eastAsiaTheme="minorHAnsi" w:cstheme="minorBidi"/>
          <w:color w:val="auto"/>
          <w:lang w:eastAsia="en-US"/>
        </w:rPr>
        <w:t>gelijke waarde</w:t>
      </w:r>
      <w:r w:rsidRPr="00371401" w:rsidR="004B0876">
        <w:rPr>
          <w:rFonts w:eastAsiaTheme="minorHAnsi" w:cstheme="minorBidi"/>
          <w:color w:val="auto"/>
          <w:lang w:eastAsia="en-US"/>
        </w:rPr>
        <w:t>’</w:t>
      </w:r>
      <w:r w:rsidRPr="00371401">
        <w:rPr>
          <w:rFonts w:eastAsiaTheme="minorHAnsi" w:cstheme="minorBidi"/>
          <w:color w:val="auto"/>
          <w:lang w:eastAsia="en-US"/>
        </w:rPr>
        <w:t xml:space="preserve"> claim kan in vele gevallen een verkorte beoordeling </w:t>
      </w:r>
      <w:r w:rsidRPr="00371401" w:rsidR="003D32C9">
        <w:rPr>
          <w:rFonts w:eastAsiaTheme="minorHAnsi" w:cstheme="minorBidi"/>
          <w:color w:val="auto"/>
          <w:lang w:eastAsia="en-US"/>
        </w:rPr>
        <w:t xml:space="preserve">worden </w:t>
      </w:r>
      <w:r w:rsidRPr="00371401">
        <w:rPr>
          <w:rFonts w:eastAsiaTheme="minorHAnsi" w:cstheme="minorBidi"/>
          <w:color w:val="auto"/>
          <w:lang w:eastAsia="en-US"/>
        </w:rPr>
        <w:t xml:space="preserve">gedaan door het Zorginstituut, waardoor de doorlooptijden doorgaans korter zijn. In andere gevallen kan juist behoefte bestaan aan aanvullende analyses, inzichten of adviezen. Daardoor kunnen de doorlooptijden, zelfs bij maximale inspanning van de betrokken partijen, </w:t>
      </w:r>
      <w:r w:rsidRPr="00371401" w:rsidR="007A6D01">
        <w:rPr>
          <w:rFonts w:eastAsiaTheme="minorHAnsi" w:cstheme="minorBidi"/>
          <w:color w:val="auto"/>
          <w:lang w:eastAsia="en-US"/>
        </w:rPr>
        <w:t>op lopen</w:t>
      </w:r>
      <w:r w:rsidRPr="00371401">
        <w:rPr>
          <w:rFonts w:eastAsiaTheme="minorHAnsi" w:cstheme="minorBidi"/>
          <w:color w:val="auto"/>
          <w:lang w:eastAsia="en-US"/>
        </w:rPr>
        <w:t>.</w:t>
      </w:r>
    </w:p>
    <w:p w:rsidRPr="00371401" w:rsidR="005D3BA9" w:rsidP="00371401" w:rsidRDefault="005D3BA9" w14:paraId="6EC426FC" w14:textId="77777777">
      <w:pPr>
        <w:suppressAutoHyphens/>
        <w:rPr>
          <w:rFonts w:eastAsiaTheme="minorHAnsi" w:cstheme="minorBidi"/>
          <w:color w:val="auto"/>
          <w:lang w:eastAsia="en-US"/>
        </w:rPr>
      </w:pPr>
    </w:p>
    <w:p w:rsidR="00F70E3C" w:rsidP="00371401" w:rsidRDefault="000F4444" w14:paraId="7F1B6B8E" w14:textId="3DD68E44">
      <w:pPr>
        <w:suppressAutoHyphens/>
        <w:rPr>
          <w:rFonts w:eastAsiaTheme="minorHAnsi" w:cstheme="minorBidi"/>
          <w:color w:val="auto"/>
          <w:lang w:eastAsia="en-US"/>
        </w:rPr>
      </w:pPr>
      <w:r w:rsidRPr="00371401">
        <w:rPr>
          <w:rFonts w:eastAsia="Times New Roman" w:cs="Times New Roman"/>
          <w:b/>
          <w:bCs/>
          <w:color w:val="000000" w:themeColor="text1"/>
        </w:rPr>
        <w:t>6</w:t>
      </w:r>
      <w:r w:rsidRPr="00371401" w:rsidR="00F70E3C">
        <w:rPr>
          <w:rFonts w:eastAsia="Times New Roman" w:cs="Times New Roman"/>
          <w:b/>
          <w:bCs/>
          <w:color w:val="000000" w:themeColor="text1"/>
        </w:rPr>
        <w:t xml:space="preserve">.2 Doorlooptijden intramurale geneesmiddelen </w:t>
      </w:r>
      <w:r w:rsidRPr="00371401" w:rsidR="00F70E3C">
        <w:rPr>
          <w:rFonts w:eastAsia="Times New Roman" w:cs="Times New Roman"/>
          <w:b/>
          <w:bCs/>
          <w:color w:val="000000" w:themeColor="text1"/>
        </w:rPr>
        <w:br/>
      </w:r>
      <w:r w:rsidRPr="00371401" w:rsidR="00F70E3C">
        <w:rPr>
          <w:rFonts w:eastAsiaTheme="minorHAnsi" w:cstheme="minorBidi"/>
          <w:color w:val="auto"/>
          <w:lang w:eastAsia="en-US"/>
        </w:rPr>
        <w:t xml:space="preserve">Bij het berekenen van de doorlooptijden voor intramurale geneesmiddelen wordt uitgegaan van het jaar waarop een geneesmiddel uit de sluis komt, al dan niet op basis van een financieel arrangement. Geneesmiddelen(indicaties) waarvoor geen apart advies is uitgebracht, bijvoorbeeld omdat een breed arrangement is </w:t>
      </w:r>
      <w:r w:rsidRPr="00371401" w:rsidR="00F70E3C">
        <w:rPr>
          <w:rFonts w:eastAsiaTheme="minorHAnsi" w:cstheme="minorBidi"/>
          <w:color w:val="auto"/>
          <w:lang w:eastAsia="en-US"/>
        </w:rPr>
        <w:lastRenderedPageBreak/>
        <w:t xml:space="preserve">overeengekomen, maken </w:t>
      </w:r>
      <w:r w:rsidRPr="00371401" w:rsidR="005D3BA9">
        <w:rPr>
          <w:rFonts w:eastAsiaTheme="minorHAnsi" w:cstheme="minorBidi"/>
          <w:color w:val="auto"/>
          <w:lang w:eastAsia="en-US"/>
        </w:rPr>
        <w:t>daardoor</w:t>
      </w:r>
      <w:r w:rsidRPr="00371401" w:rsidR="00F70E3C">
        <w:rPr>
          <w:rFonts w:eastAsiaTheme="minorHAnsi" w:cstheme="minorBidi"/>
          <w:color w:val="auto"/>
          <w:lang w:eastAsia="en-US"/>
        </w:rPr>
        <w:t xml:space="preserve"> geen onderdeel uit van de analyse</w:t>
      </w:r>
      <w:r w:rsidRPr="00371401" w:rsidR="00F70E3C">
        <w:rPr>
          <w:rStyle w:val="Voetnootmarkering"/>
          <w:rFonts w:eastAsiaTheme="minorHAnsi" w:cstheme="minorBidi"/>
          <w:color w:val="auto"/>
          <w:lang w:eastAsia="en-US"/>
        </w:rPr>
        <w:footnoteReference w:id="14"/>
      </w:r>
      <w:r w:rsidRPr="00371401" w:rsidR="00F70E3C">
        <w:rPr>
          <w:rFonts w:eastAsiaTheme="minorHAnsi" w:cstheme="minorBidi"/>
          <w:color w:val="auto"/>
          <w:lang w:eastAsia="en-US"/>
        </w:rPr>
        <w:t xml:space="preserve">. </w:t>
      </w:r>
      <w:r w:rsidRPr="00371401" w:rsidR="005D3BA9">
        <w:rPr>
          <w:rFonts w:eastAsiaTheme="minorHAnsi" w:cstheme="minorBidi"/>
          <w:color w:val="auto"/>
          <w:lang w:eastAsia="en-US"/>
        </w:rPr>
        <w:t xml:space="preserve">Zou dat wel het geval zijn, dan zouden de doorlooptijden in tabel 6 vele malen korter zijn. </w:t>
      </w:r>
      <w:r w:rsidRPr="00371401" w:rsidR="00F70E3C">
        <w:rPr>
          <w:rFonts w:eastAsiaTheme="minorHAnsi" w:cstheme="minorBidi"/>
          <w:color w:val="auto"/>
          <w:lang w:eastAsia="en-US"/>
        </w:rPr>
        <w:t xml:space="preserve">De doorlooptijden van intramurale geneesmiddelen met een financieel arrangement </w:t>
      </w:r>
      <w:r w:rsidRPr="00371401" w:rsidR="00991B6B">
        <w:rPr>
          <w:rFonts w:eastAsiaTheme="minorHAnsi" w:cstheme="minorBidi"/>
          <w:color w:val="auto"/>
          <w:lang w:eastAsia="en-US"/>
        </w:rPr>
        <w:t xml:space="preserve">over de periode 2021 tot en met 2025 </w:t>
      </w:r>
      <w:r w:rsidRPr="00371401" w:rsidR="00F70E3C">
        <w:rPr>
          <w:rFonts w:eastAsiaTheme="minorHAnsi" w:cstheme="minorBidi"/>
          <w:color w:val="auto"/>
          <w:lang w:eastAsia="en-US"/>
        </w:rPr>
        <w:t>staan weergegeven in</w:t>
      </w:r>
      <w:r w:rsidRPr="00371401" w:rsidR="0099409B">
        <w:rPr>
          <w:rFonts w:eastAsiaTheme="minorHAnsi" w:cstheme="minorBidi"/>
          <w:color w:val="auto"/>
          <w:lang w:eastAsia="en-US"/>
        </w:rPr>
        <w:t xml:space="preserve"> figuur 4.</w:t>
      </w:r>
    </w:p>
    <w:p w:rsidR="00371401" w:rsidP="00371401" w:rsidRDefault="00371401" w14:paraId="38E89778" w14:textId="77777777">
      <w:pPr>
        <w:suppressAutoHyphens/>
        <w:rPr>
          <w:rFonts w:eastAsiaTheme="minorHAnsi" w:cstheme="minorBidi"/>
          <w:color w:val="auto"/>
          <w:lang w:eastAsia="en-US"/>
        </w:rPr>
      </w:pPr>
    </w:p>
    <w:p w:rsidRPr="00371401" w:rsidR="00F70E3C" w:rsidP="00371401" w:rsidRDefault="0099409B" w14:paraId="6D0AE0FD" w14:textId="2D0F23A2">
      <w:pPr>
        <w:suppressAutoHyphens/>
        <w:rPr>
          <w:rFonts w:eastAsia="Times New Roman" w:cs="Times New Roman"/>
          <w:b/>
        </w:rPr>
      </w:pPr>
      <w:r w:rsidRPr="00371401">
        <w:rPr>
          <w:rFonts w:eastAsia="Times New Roman" w:cs="Times New Roman"/>
          <w:b/>
          <w:noProof/>
        </w:rPr>
        <w:drawing>
          <wp:anchor distT="0" distB="0" distL="114300" distR="114300" simplePos="0" relativeHeight="251672576" behindDoc="0" locked="0" layoutInCell="1" allowOverlap="1" wp14:editId="67F054BA" wp14:anchorId="6D6F1667">
            <wp:simplePos x="0" y="0"/>
            <wp:positionH relativeFrom="margin">
              <wp:align>right</wp:align>
            </wp:positionH>
            <wp:positionV relativeFrom="paragraph">
              <wp:posOffset>353684</wp:posOffset>
            </wp:positionV>
            <wp:extent cx="4788535" cy="2847975"/>
            <wp:effectExtent l="0" t="0" r="0" b="9525"/>
            <wp:wrapTopAndBottom/>
            <wp:docPr id="189424686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246867" name="Afbeelding 189424686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88535" cy="2847975"/>
                    </a:xfrm>
                    <a:prstGeom prst="rect">
                      <a:avLst/>
                    </a:prstGeom>
                  </pic:spPr>
                </pic:pic>
              </a:graphicData>
            </a:graphic>
          </wp:anchor>
        </w:drawing>
      </w:r>
      <w:r w:rsidRPr="00371401">
        <w:rPr>
          <w:rFonts w:eastAsia="Times New Roman" w:cs="Times New Roman"/>
          <w:b/>
        </w:rPr>
        <w:t>Figuur 4</w:t>
      </w:r>
      <w:r w:rsidRPr="00371401" w:rsidR="00F70E3C">
        <w:rPr>
          <w:rFonts w:eastAsia="Times New Roman" w:cs="Times New Roman"/>
          <w:b/>
        </w:rPr>
        <w:t>. Doorlooptijden (in dagen) van intramurale geneesmiddelen van 20</w:t>
      </w:r>
      <w:r w:rsidRPr="00371401" w:rsidR="00785B8D">
        <w:rPr>
          <w:rFonts w:eastAsia="Times New Roman" w:cs="Times New Roman"/>
          <w:b/>
        </w:rPr>
        <w:t>21</w:t>
      </w:r>
      <w:r w:rsidRPr="00371401" w:rsidR="00F70E3C">
        <w:rPr>
          <w:rFonts w:eastAsia="Times New Roman" w:cs="Times New Roman"/>
          <w:b/>
        </w:rPr>
        <w:t xml:space="preserve"> tot en met 2025 uitgesplitst per fase</w:t>
      </w:r>
    </w:p>
    <w:p w:rsidRPr="00371401" w:rsidR="00E92507" w:rsidP="00371401" w:rsidRDefault="00E92507" w14:paraId="577EE84C" w14:textId="25D665E1">
      <w:pPr>
        <w:suppressAutoHyphens/>
        <w:rPr>
          <w:rFonts w:eastAsia="Times New Roman" w:cs="Times New Roman"/>
          <w:b/>
        </w:rPr>
      </w:pPr>
    </w:p>
    <w:p w:rsidRPr="00371401" w:rsidR="00F70E3C" w:rsidP="00371401" w:rsidRDefault="005D3BA9" w14:paraId="4EAC3E13" w14:textId="6FCC470E">
      <w:pPr>
        <w:suppressAutoHyphens/>
        <w:rPr>
          <w:rFonts w:eastAsiaTheme="minorHAnsi" w:cstheme="minorBidi"/>
          <w:color w:val="auto"/>
          <w:lang w:eastAsia="en-US"/>
        </w:rPr>
      </w:pPr>
      <w:r w:rsidRPr="00371401">
        <w:rPr>
          <w:rFonts w:eastAsiaTheme="minorHAnsi" w:cstheme="minorBidi"/>
          <w:color w:val="auto"/>
          <w:lang w:eastAsia="en-US"/>
        </w:rPr>
        <w:t>I</w:t>
      </w:r>
      <w:r w:rsidRPr="00371401" w:rsidR="00F70E3C">
        <w:rPr>
          <w:rFonts w:eastAsiaTheme="minorHAnsi" w:cstheme="minorBidi"/>
          <w:color w:val="auto"/>
          <w:lang w:eastAsia="en-US"/>
        </w:rPr>
        <w:t>n 2021 tot en met 2024 was de gemiddelde totale doorlooptijd respectievelijk ruim 16, 21, 26 en 22 maanden. In vergelijking met 2024 is in 2025 de gemiddelde</w:t>
      </w:r>
      <w:r w:rsidRPr="00371401" w:rsidR="00CC3091">
        <w:rPr>
          <w:rFonts w:eastAsiaTheme="minorHAnsi" w:cstheme="minorBidi"/>
          <w:color w:val="auto"/>
          <w:lang w:eastAsia="en-US"/>
        </w:rPr>
        <w:t xml:space="preserve"> doorlooptijd afgenomen tot ongeveer 19 maanden. Dit komt doordat de</w:t>
      </w:r>
      <w:r w:rsidRPr="00371401" w:rsidR="00F70E3C">
        <w:rPr>
          <w:rFonts w:eastAsiaTheme="minorHAnsi" w:cstheme="minorBidi"/>
          <w:color w:val="auto"/>
          <w:lang w:eastAsia="en-US"/>
        </w:rPr>
        <w:t xml:space="preserve"> tijd tussen markttoelating en de indiening van een compleet vergoedingsdossier </w:t>
      </w:r>
      <w:r w:rsidRPr="00371401" w:rsidR="00CC3091">
        <w:rPr>
          <w:rFonts w:eastAsiaTheme="minorHAnsi" w:cstheme="minorBidi"/>
          <w:color w:val="auto"/>
          <w:lang w:eastAsia="en-US"/>
        </w:rPr>
        <w:t>met 3 maanden is</w:t>
      </w:r>
      <w:r w:rsidRPr="00371401" w:rsidR="00F70E3C">
        <w:rPr>
          <w:rFonts w:eastAsiaTheme="minorHAnsi" w:cstheme="minorBidi"/>
          <w:color w:val="auto"/>
          <w:lang w:eastAsia="en-US"/>
        </w:rPr>
        <w:t xml:space="preserve"> afgenomen</w:t>
      </w:r>
      <w:r w:rsidRPr="00371401" w:rsidR="00CC3091">
        <w:rPr>
          <w:rFonts w:eastAsiaTheme="minorHAnsi" w:cstheme="minorBidi"/>
          <w:color w:val="auto"/>
          <w:lang w:eastAsia="en-US"/>
        </w:rPr>
        <w:t>. D</w:t>
      </w:r>
      <w:r w:rsidRPr="00371401" w:rsidR="00F70E3C">
        <w:rPr>
          <w:rFonts w:eastAsiaTheme="minorHAnsi" w:cstheme="minorBidi"/>
          <w:color w:val="auto"/>
          <w:lang w:eastAsia="en-US"/>
        </w:rPr>
        <w:t xml:space="preserve">e gemiddelde tijd voor beoordeling door het Zorginstituut en voor de prijsonderhandelingen </w:t>
      </w:r>
      <w:r w:rsidRPr="00371401" w:rsidR="00CC3091">
        <w:rPr>
          <w:rFonts w:eastAsiaTheme="minorHAnsi" w:cstheme="minorBidi"/>
          <w:color w:val="auto"/>
          <w:lang w:eastAsia="en-US"/>
        </w:rPr>
        <w:t xml:space="preserve">zijn </w:t>
      </w:r>
      <w:r w:rsidRPr="00371401" w:rsidR="00F70E3C">
        <w:rPr>
          <w:rFonts w:eastAsiaTheme="minorHAnsi" w:cstheme="minorBidi"/>
          <w:color w:val="auto"/>
          <w:lang w:eastAsia="en-US"/>
        </w:rPr>
        <w:t xml:space="preserve">nagenoeg gelijk gebleven in 2025 ten opzichte van het voorgaande jaar 2024.  </w:t>
      </w:r>
    </w:p>
    <w:p w:rsidRPr="00371401" w:rsidR="00F70E3C" w:rsidP="00371401" w:rsidRDefault="00F70E3C" w14:paraId="75B03E2A" w14:textId="1DE90C4D">
      <w:pPr>
        <w:suppressAutoHyphens/>
        <w:rPr>
          <w:rFonts w:eastAsiaTheme="minorHAnsi" w:cstheme="minorBidi"/>
          <w:color w:val="auto"/>
          <w:lang w:eastAsia="en-US"/>
        </w:rPr>
      </w:pPr>
    </w:p>
    <w:p w:rsidRPr="00371401" w:rsidR="00F70E3C" w:rsidP="00371401" w:rsidRDefault="000F4444" w14:paraId="054DDA3B" w14:textId="272DCF46">
      <w:pPr>
        <w:suppressAutoHyphens/>
        <w:rPr>
          <w:b/>
          <w:bCs/>
        </w:rPr>
      </w:pPr>
      <w:r w:rsidRPr="00371401">
        <w:rPr>
          <w:b/>
          <w:bCs/>
        </w:rPr>
        <w:t>6</w:t>
      </w:r>
      <w:r w:rsidRPr="00371401" w:rsidR="00F70E3C">
        <w:rPr>
          <w:b/>
          <w:bCs/>
        </w:rPr>
        <w:t>.3 Doorlooptijden extramurale geneesmiddelen</w:t>
      </w:r>
    </w:p>
    <w:p w:rsidRPr="00371401" w:rsidR="00F70E3C" w:rsidP="00371401" w:rsidRDefault="00F70E3C" w14:paraId="16B9BE69" w14:textId="5C470599">
      <w:pPr>
        <w:suppressAutoHyphens/>
        <w:rPr>
          <w:rFonts w:eastAsiaTheme="minorHAnsi" w:cstheme="minorBidi"/>
          <w:color w:val="auto"/>
          <w:lang w:eastAsia="en-US"/>
        </w:rPr>
      </w:pPr>
      <w:r w:rsidRPr="00371401">
        <w:rPr>
          <w:rFonts w:eastAsiaTheme="minorHAnsi" w:cstheme="minorBidi"/>
          <w:color w:val="auto"/>
          <w:lang w:eastAsia="en-US"/>
        </w:rPr>
        <w:t xml:space="preserve">Voor de extramurale geneesmiddelen zijn alle jaren vanaf 2021 tot en met 2025 bij elkaar genomen voor het berekenen van de gemiddelde doorlooptijden. Dit is gedaan omdat het aantal geneesmiddelen wat per jaar instroomde in het basispakket na het afsluiten van een financieel arrangement laag was, waardoor de gemiddelde doorlooptijd per jaar een vertekend beeld zou kunnen geven. De totale gemiddelde doorlooptijd voor de extramurale geneesmiddelen met een financieel arrangement is vanaf 2021 tot en met 2025 bijna 28 maanden. Ruim 17 maanden hiervan wordt gebruikt vanaf markttoelating tot indiening van een compleet vergoedingsdossier door de leverancier bij het Zorginstituut. De beoordeling door het Zorginstituut en onderhandeling bedroegen gemiddeld respectievelijk minder dan 5 en 6 maanden. </w:t>
      </w:r>
    </w:p>
    <w:p w:rsidR="00F70E3C" w:rsidP="00371401" w:rsidRDefault="00F70E3C" w14:paraId="6ECA85BA" w14:textId="5C346B11">
      <w:pPr>
        <w:suppressAutoHyphens/>
        <w:rPr>
          <w:rFonts w:eastAsiaTheme="minorHAnsi" w:cstheme="minorBidi"/>
          <w:color w:val="auto"/>
          <w:lang w:eastAsia="en-US"/>
        </w:rPr>
      </w:pPr>
    </w:p>
    <w:p w:rsidRPr="00371401" w:rsidR="00371401" w:rsidP="00371401" w:rsidRDefault="00371401" w14:paraId="1ED0D2AB" w14:textId="77777777">
      <w:pPr>
        <w:suppressAutoHyphens/>
        <w:rPr>
          <w:rFonts w:eastAsiaTheme="minorHAnsi" w:cstheme="minorBidi"/>
          <w:color w:val="auto"/>
          <w:lang w:eastAsia="en-US"/>
        </w:rPr>
      </w:pPr>
    </w:p>
    <w:p w:rsidRPr="00371401" w:rsidR="00F70E3C" w:rsidP="00371401" w:rsidRDefault="000F4444" w14:paraId="6A792AA0" w14:textId="1BA5516B">
      <w:pPr>
        <w:suppressAutoHyphens/>
        <w:rPr>
          <w:b/>
          <w:bCs/>
        </w:rPr>
      </w:pPr>
      <w:r w:rsidRPr="00371401">
        <w:rPr>
          <w:b/>
          <w:bCs/>
        </w:rPr>
        <w:lastRenderedPageBreak/>
        <w:t>6</w:t>
      </w:r>
      <w:r w:rsidRPr="00371401" w:rsidR="00F70E3C">
        <w:rPr>
          <w:b/>
          <w:bCs/>
        </w:rPr>
        <w:t>.4 Huidige stand van zaken</w:t>
      </w:r>
      <w:r w:rsidRPr="00371401">
        <w:rPr>
          <w:b/>
          <w:bCs/>
        </w:rPr>
        <w:t xml:space="preserve"> doorlooptijden</w:t>
      </w:r>
    </w:p>
    <w:p w:rsidR="00F70E3C" w:rsidP="00371401" w:rsidRDefault="00F70E3C" w14:paraId="45653848" w14:textId="18BCF2E5">
      <w:pPr>
        <w:suppressAutoHyphens/>
        <w:rPr>
          <w:rFonts w:eastAsiaTheme="minorHAnsi" w:cstheme="minorBidi"/>
          <w:color w:val="auto"/>
          <w:lang w:eastAsia="en-US"/>
        </w:rPr>
      </w:pPr>
      <w:r w:rsidRPr="00371401">
        <w:rPr>
          <w:rFonts w:eastAsiaTheme="minorHAnsi" w:cstheme="minorBidi"/>
          <w:color w:val="auto"/>
          <w:lang w:eastAsia="en-US"/>
        </w:rPr>
        <w:t>Op 1 januari 2026 was er voor 71 intramurale geneesmiddelen die zijn opgenomen in de sluis nog geen dossier door de leverancier ingediend bij het Zorginstituut en zaten 12 dossiers van intramurale geneesmiddelen in het beoordelingsproces van het Zorginstituut. Daarnaast liepen er prijsonderhandelingen tussen VWS en leveranciers voor 13 intramurale geneesmiddelen en 7 extramurale geneesmiddelen waarvoor een onderhandeladvies gegeven was door het Zorginstituut.</w:t>
      </w:r>
    </w:p>
    <w:p w:rsidRPr="00371401" w:rsidR="00371401" w:rsidP="00371401" w:rsidRDefault="00371401" w14:paraId="368B63C9" w14:textId="77777777">
      <w:pPr>
        <w:suppressAutoHyphens/>
        <w:rPr>
          <w:rFonts w:eastAsiaTheme="minorHAnsi" w:cstheme="minorBidi"/>
          <w:color w:val="auto"/>
          <w:lang w:eastAsia="en-US"/>
        </w:rPr>
      </w:pPr>
    </w:p>
    <w:p w:rsidRPr="00371401" w:rsidR="00F70E3C" w:rsidP="00371401" w:rsidRDefault="00F70E3C" w14:paraId="73AC98BA" w14:textId="6E77B1AA">
      <w:pPr>
        <w:suppressAutoHyphens/>
        <w:rPr>
          <w:rFonts w:eastAsia="Times New Roman" w:cs="Times New Roman"/>
          <w:i/>
        </w:rPr>
      </w:pPr>
      <w:r w:rsidRPr="00371401">
        <w:rPr>
          <w:rFonts w:eastAsia="Times New Roman" w:cs="Times New Roman"/>
          <w:b/>
          <w:bCs/>
          <w:iCs/>
        </w:rPr>
        <w:t>Vooruitblik</w:t>
      </w:r>
    </w:p>
    <w:p w:rsidRPr="00371401" w:rsidR="00F70E3C" w:rsidP="00371401" w:rsidRDefault="00600BDF" w14:paraId="03EE2191" w14:textId="33D4C665">
      <w:pPr>
        <w:suppressAutoHyphens/>
        <w:rPr>
          <w:rFonts w:eastAsia="Times New Roman" w:cs="Times New Roman"/>
        </w:rPr>
      </w:pPr>
      <w:r w:rsidRPr="00371401">
        <w:rPr>
          <w:rFonts w:eastAsia="Times New Roman" w:cs="Times New Roman"/>
        </w:rPr>
        <w:t xml:space="preserve">Het kabinet werkt </w:t>
      </w:r>
      <w:r w:rsidRPr="00371401" w:rsidR="006F5E7E">
        <w:rPr>
          <w:rFonts w:eastAsia="Times New Roman" w:cs="Times New Roman"/>
        </w:rPr>
        <w:t xml:space="preserve">aan een toekomstbestendig stelsel waarin nieuwe, effectieve medicijnen zo snel mogelijk beschikbaar komen voor patiënten die er baat bij hebben, tegen een maatschappelijk aanvaardbare prijs. </w:t>
      </w:r>
      <w:r w:rsidRPr="00371401" w:rsidR="00D672D9">
        <w:rPr>
          <w:rFonts w:eastAsia="Times New Roman" w:cs="Times New Roman"/>
        </w:rPr>
        <w:t>De</w:t>
      </w:r>
      <w:r w:rsidRPr="00371401" w:rsidR="00F70E3C">
        <w:rPr>
          <w:rFonts w:eastAsia="Times New Roman" w:cs="Times New Roman"/>
        </w:rPr>
        <w:t xml:space="preserve"> Kamer is eerder bericht over de plannen voor een toekomstbestendig stelse</w:t>
      </w:r>
      <w:r w:rsidRPr="00371401" w:rsidR="006F5E7E">
        <w:rPr>
          <w:rFonts w:eastAsia="Times New Roman" w:cs="Times New Roman"/>
        </w:rPr>
        <w:t>l</w:t>
      </w:r>
      <w:r w:rsidRPr="00371401" w:rsidR="006F5E7E">
        <w:rPr>
          <w:rStyle w:val="Voetnootmarkering"/>
          <w:rFonts w:eastAsia="Times New Roman" w:cs="Times New Roman"/>
        </w:rPr>
        <w:footnoteReference w:id="15"/>
      </w:r>
      <w:r w:rsidRPr="00371401" w:rsidR="00F70E3C">
        <w:rPr>
          <w:rFonts w:eastAsia="Times New Roman" w:cs="Times New Roman"/>
        </w:rPr>
        <w:t>.</w:t>
      </w:r>
    </w:p>
    <w:p w:rsidRPr="00371401" w:rsidR="00F70E3C" w:rsidP="00371401" w:rsidRDefault="00F70E3C" w14:paraId="618A77E3" w14:textId="77777777">
      <w:pPr>
        <w:suppressAutoHyphens/>
        <w:rPr>
          <w:rFonts w:eastAsia="Times New Roman" w:cs="Times New Roman"/>
        </w:rPr>
      </w:pPr>
    </w:p>
    <w:p w:rsidRPr="00371401" w:rsidR="00F70E3C" w:rsidP="00371401" w:rsidRDefault="00F70E3C" w14:paraId="182632DB" w14:textId="29C8CAFE">
      <w:pPr>
        <w:suppressAutoHyphens/>
        <w:rPr>
          <w:rFonts w:eastAsia="Times New Roman" w:cs="Times New Roman"/>
        </w:rPr>
      </w:pPr>
      <w:r w:rsidRPr="00371401">
        <w:rPr>
          <w:rFonts w:eastAsia="Times New Roman" w:cs="Times New Roman"/>
        </w:rPr>
        <w:t xml:space="preserve">In de eerste helft van 2027 zal </w:t>
      </w:r>
      <w:r w:rsidRPr="00371401" w:rsidR="007C0116">
        <w:rPr>
          <w:rFonts w:eastAsia="Times New Roman" w:cs="Times New Roman"/>
        </w:rPr>
        <w:t>het kabinet</w:t>
      </w:r>
      <w:r w:rsidRPr="00371401">
        <w:rPr>
          <w:rFonts w:eastAsia="Times New Roman" w:cs="Times New Roman"/>
        </w:rPr>
        <w:t xml:space="preserve"> </w:t>
      </w:r>
      <w:r w:rsidRPr="00371401" w:rsidR="00A16B8F">
        <w:rPr>
          <w:rFonts w:eastAsia="Times New Roman" w:cs="Times New Roman"/>
        </w:rPr>
        <w:t>de</w:t>
      </w:r>
      <w:r w:rsidRPr="00371401">
        <w:rPr>
          <w:rFonts w:eastAsia="Times New Roman" w:cs="Times New Roman"/>
        </w:rPr>
        <w:t xml:space="preserve"> Kamer opnieuw informeren over de voortgang van d</w:t>
      </w:r>
      <w:r w:rsidRPr="00371401" w:rsidR="00A16B8F">
        <w:rPr>
          <w:rFonts w:eastAsia="Times New Roman" w:cs="Times New Roman"/>
        </w:rPr>
        <w:t>e</w:t>
      </w:r>
      <w:r w:rsidRPr="00371401">
        <w:rPr>
          <w:rFonts w:eastAsia="Times New Roman" w:cs="Times New Roman"/>
        </w:rPr>
        <w:t xml:space="preserve"> financiële arrangementen voor dure geneesmiddelen.</w:t>
      </w:r>
    </w:p>
    <w:p w:rsidRPr="00371401" w:rsidR="00AD546F" w:rsidP="00371401" w:rsidRDefault="00AD546F" w14:paraId="3500F028" w14:textId="77777777">
      <w:pPr>
        <w:suppressAutoHyphens/>
        <w:rPr>
          <w:rFonts w:eastAsia="Times New Roman" w:cs="Times New Roman"/>
        </w:rPr>
      </w:pPr>
    </w:p>
    <w:p w:rsidRPr="00371401" w:rsidR="00F70E3C" w:rsidP="00371401" w:rsidRDefault="00F70E3C" w14:paraId="0C79CAE9" w14:textId="77777777">
      <w:pPr>
        <w:pStyle w:val="StandaardSlotzin"/>
        <w:suppressAutoHyphens/>
        <w:spacing w:before="0"/>
      </w:pPr>
      <w:r w:rsidRPr="00371401">
        <w:t>Hoogachtend,</w:t>
      </w:r>
    </w:p>
    <w:p w:rsidRPr="00371401" w:rsidR="00F70E3C" w:rsidP="00371401" w:rsidRDefault="00F70E3C" w14:paraId="376A0DD5" w14:textId="77777777">
      <w:pPr>
        <w:suppressAutoHyphens/>
      </w:pPr>
    </w:p>
    <w:p w:rsidR="00371401" w:rsidP="00371401" w:rsidRDefault="00F70E3C" w14:paraId="3898C5AA" w14:textId="77777777">
      <w:pPr>
        <w:suppressAutoHyphens/>
      </w:pPr>
      <w:r w:rsidRPr="00371401">
        <w:t>de minister van Volksgezondheid,</w:t>
      </w:r>
    </w:p>
    <w:p w:rsidRPr="00371401" w:rsidR="00F70E3C" w:rsidP="00371401" w:rsidRDefault="00F70E3C" w14:paraId="7AA17F43" w14:textId="57E3EB57">
      <w:pPr>
        <w:suppressAutoHyphens/>
      </w:pPr>
      <w:r w:rsidRPr="00371401">
        <w:t xml:space="preserve">Welzijn en Sport, </w:t>
      </w:r>
    </w:p>
    <w:p w:rsidRPr="00371401" w:rsidR="006F5E7E" w:rsidP="00371401" w:rsidRDefault="006F5E7E" w14:paraId="5E7F064E" w14:textId="56116FF5">
      <w:pPr>
        <w:suppressAutoHyphens/>
        <w:rPr>
          <w:b/>
          <w:bCs/>
        </w:rPr>
      </w:pPr>
    </w:p>
    <w:p w:rsidRPr="00371401" w:rsidR="00AD546F" w:rsidP="00371401" w:rsidRDefault="00AD546F" w14:paraId="3BFBAE56" w14:textId="77777777">
      <w:pPr>
        <w:suppressAutoHyphens/>
        <w:rPr>
          <w:b/>
          <w:bCs/>
        </w:rPr>
      </w:pPr>
    </w:p>
    <w:p w:rsidRPr="00371401" w:rsidR="00AD546F" w:rsidP="00371401" w:rsidRDefault="00AD546F" w14:paraId="00D0EF90" w14:textId="77777777">
      <w:pPr>
        <w:suppressAutoHyphens/>
        <w:rPr>
          <w:b/>
          <w:bCs/>
        </w:rPr>
      </w:pPr>
    </w:p>
    <w:p w:rsidRPr="00371401" w:rsidR="00AD546F" w:rsidP="00371401" w:rsidRDefault="00AD546F" w14:paraId="412C1A21" w14:textId="77777777">
      <w:pPr>
        <w:suppressAutoHyphens/>
        <w:rPr>
          <w:b/>
          <w:bCs/>
        </w:rPr>
      </w:pPr>
    </w:p>
    <w:p w:rsidRPr="00371401" w:rsidR="00AD546F" w:rsidP="00371401" w:rsidRDefault="00AD546F" w14:paraId="328702FF" w14:textId="77777777">
      <w:pPr>
        <w:suppressAutoHyphens/>
        <w:rPr>
          <w:b/>
          <w:bCs/>
        </w:rPr>
      </w:pPr>
    </w:p>
    <w:p w:rsidRPr="00371401" w:rsidR="00AD546F" w:rsidP="00371401" w:rsidRDefault="00AD546F" w14:paraId="63958962" w14:textId="77777777">
      <w:pPr>
        <w:suppressAutoHyphens/>
        <w:rPr>
          <w:b/>
          <w:bCs/>
        </w:rPr>
      </w:pPr>
    </w:p>
    <w:p w:rsidR="00AD546F" w:rsidP="00371401" w:rsidRDefault="00AD546F" w14:paraId="5BFE9446" w14:textId="2653A4A9">
      <w:pPr>
        <w:suppressAutoHyphens/>
        <w:rPr>
          <w:b/>
          <w:bCs/>
        </w:rPr>
      </w:pPr>
      <w:r w:rsidRPr="00371401">
        <w:t>S</w:t>
      </w:r>
      <w:r w:rsidRPr="00371401" w:rsidR="00A16B8F">
        <w:t>ophie</w:t>
      </w:r>
      <w:r w:rsidRPr="00371401">
        <w:t xml:space="preserve"> Hermans</w:t>
      </w:r>
      <w:r w:rsidRPr="00371401">
        <w:rPr>
          <w:b/>
          <w:bCs/>
        </w:rPr>
        <w:t xml:space="preserve"> </w:t>
      </w:r>
    </w:p>
    <w:p w:rsidRPr="00371401" w:rsidR="00371401" w:rsidP="00371401" w:rsidRDefault="00371401" w14:paraId="67703829" w14:textId="77777777">
      <w:pPr>
        <w:suppressAutoHyphens/>
        <w:rPr>
          <w:b/>
          <w:bCs/>
        </w:rPr>
      </w:pPr>
    </w:p>
    <w:sectPr w:rsidRPr="00371401" w:rsidR="00371401">
      <w:headerReference w:type="default" r:id="rId12"/>
      <w:head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91924" w14:textId="77777777" w:rsidR="00285F28" w:rsidRDefault="00285F28">
      <w:pPr>
        <w:spacing w:line="240" w:lineRule="auto"/>
      </w:pPr>
      <w:r>
        <w:separator/>
      </w:r>
    </w:p>
  </w:endnote>
  <w:endnote w:type="continuationSeparator" w:id="0">
    <w:p w14:paraId="306874A1" w14:textId="77777777" w:rsidR="00285F28" w:rsidRDefault="00285F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22E69" w14:textId="77777777" w:rsidR="00285F28" w:rsidRDefault="00285F28">
      <w:pPr>
        <w:spacing w:line="240" w:lineRule="auto"/>
      </w:pPr>
      <w:r>
        <w:separator/>
      </w:r>
    </w:p>
  </w:footnote>
  <w:footnote w:type="continuationSeparator" w:id="0">
    <w:p w14:paraId="43D5D32F" w14:textId="77777777" w:rsidR="00285F28" w:rsidRDefault="00285F28">
      <w:pPr>
        <w:spacing w:line="240" w:lineRule="auto"/>
      </w:pPr>
      <w:r>
        <w:continuationSeparator/>
      </w:r>
    </w:p>
  </w:footnote>
  <w:footnote w:id="1">
    <w:p w14:paraId="356A0E47" w14:textId="1BC93461" w:rsidR="00BA3A40" w:rsidRPr="00AD546F" w:rsidRDefault="00BA3A40">
      <w:pPr>
        <w:pStyle w:val="Voetnoottekst"/>
        <w:rPr>
          <w:sz w:val="13"/>
          <w:szCs w:val="13"/>
        </w:rPr>
      </w:pPr>
      <w:r w:rsidRPr="00AD546F">
        <w:rPr>
          <w:rStyle w:val="Voetnootmarkering"/>
          <w:sz w:val="13"/>
          <w:szCs w:val="13"/>
        </w:rPr>
        <w:footnoteRef/>
      </w:r>
      <w:r w:rsidRPr="00AD546F">
        <w:rPr>
          <w:sz w:val="13"/>
          <w:szCs w:val="13"/>
        </w:rPr>
        <w:t xml:space="preserve"> In een financieel arrangement zijn financiële afspraken vastgelegd over een geneesmiddel</w:t>
      </w:r>
      <w:r w:rsidR="00161C4A" w:rsidRPr="00AD546F">
        <w:rPr>
          <w:sz w:val="13"/>
          <w:szCs w:val="13"/>
        </w:rPr>
        <w:t xml:space="preserve"> </w:t>
      </w:r>
      <w:r w:rsidRPr="00AD546F">
        <w:rPr>
          <w:sz w:val="13"/>
          <w:szCs w:val="13"/>
        </w:rPr>
        <w:t>tussen de leverancier en de minister van Volksgezondheid, Welzijn en Sport.</w:t>
      </w:r>
    </w:p>
  </w:footnote>
  <w:footnote w:id="2">
    <w:p w14:paraId="7C993AC3" w14:textId="2D9CFE7E" w:rsidR="00DE3EFA" w:rsidRPr="00EA4EAA" w:rsidRDefault="00DE3EFA">
      <w:pPr>
        <w:pStyle w:val="Voetnoottekst"/>
        <w:rPr>
          <w:sz w:val="16"/>
          <w:szCs w:val="16"/>
        </w:rPr>
      </w:pPr>
      <w:r w:rsidRPr="00AD546F">
        <w:rPr>
          <w:rStyle w:val="Voetnootmarkering"/>
          <w:sz w:val="13"/>
          <w:szCs w:val="13"/>
        </w:rPr>
        <w:footnoteRef/>
      </w:r>
      <w:r w:rsidRPr="00AD546F">
        <w:rPr>
          <w:sz w:val="13"/>
          <w:szCs w:val="13"/>
        </w:rPr>
        <w:t xml:space="preserve"> Een pakketwaardige prijs is een prijs waarbij wordt voldaan aan de vier pakketcriteria waaraan een geneesmiddel wordt getoetst door het Zorginstituut Nederland</w:t>
      </w:r>
      <w:r w:rsidR="00F70E3C" w:rsidRPr="00AD546F">
        <w:rPr>
          <w:sz w:val="13"/>
          <w:szCs w:val="13"/>
        </w:rPr>
        <w:t>.</w:t>
      </w:r>
    </w:p>
  </w:footnote>
  <w:footnote w:id="3">
    <w:p w14:paraId="0458A2E5" w14:textId="0FFB9ABF" w:rsidR="00701006" w:rsidRPr="00AD546F" w:rsidRDefault="00701006">
      <w:pPr>
        <w:pStyle w:val="Voetnoottekst"/>
        <w:rPr>
          <w:sz w:val="13"/>
          <w:szCs w:val="13"/>
        </w:rPr>
      </w:pPr>
      <w:r w:rsidRPr="00AD546F">
        <w:rPr>
          <w:rStyle w:val="Voetnootmarkering"/>
          <w:sz w:val="13"/>
          <w:szCs w:val="13"/>
        </w:rPr>
        <w:footnoteRef/>
      </w:r>
      <w:r w:rsidRPr="00AD546F">
        <w:rPr>
          <w:sz w:val="13"/>
          <w:szCs w:val="13"/>
        </w:rPr>
        <w:t xml:space="preserve"> </w:t>
      </w:r>
      <w:bookmarkStart w:id="0" w:name="_Hlk231998986"/>
      <w:r w:rsidR="0075392A" w:rsidRPr="0075392A">
        <w:rPr>
          <w:sz w:val="13"/>
          <w:szCs w:val="13"/>
        </w:rPr>
        <w:t>36800-XVI-191</w:t>
      </w:r>
      <w:r w:rsidR="0075392A">
        <w:rPr>
          <w:sz w:val="13"/>
          <w:szCs w:val="13"/>
        </w:rPr>
        <w:t xml:space="preserve">, </w:t>
      </w:r>
      <w:r w:rsidR="002E52A9" w:rsidRPr="00AD546F">
        <w:rPr>
          <w:sz w:val="13"/>
          <w:szCs w:val="13"/>
        </w:rPr>
        <w:t>Beleidsbrief VWS 24 april 2026</w:t>
      </w:r>
    </w:p>
    <w:bookmarkEnd w:id="0"/>
  </w:footnote>
  <w:footnote w:id="4">
    <w:p w14:paraId="342AD478" w14:textId="7B414904" w:rsidR="00701006" w:rsidRPr="00AD546F" w:rsidRDefault="00701006">
      <w:pPr>
        <w:pStyle w:val="Voetnoottekst"/>
        <w:rPr>
          <w:sz w:val="13"/>
          <w:szCs w:val="13"/>
        </w:rPr>
      </w:pPr>
      <w:r w:rsidRPr="00AD546F">
        <w:rPr>
          <w:rStyle w:val="Voetnootmarkering"/>
          <w:sz w:val="13"/>
          <w:szCs w:val="13"/>
        </w:rPr>
        <w:footnoteRef/>
      </w:r>
      <w:r w:rsidRPr="00AD546F">
        <w:rPr>
          <w:sz w:val="13"/>
          <w:szCs w:val="13"/>
        </w:rPr>
        <w:t xml:space="preserve"> Tweede Kamer, vergaderjaar 2025-2026, 29 477, nr. 971</w:t>
      </w:r>
    </w:p>
  </w:footnote>
  <w:footnote w:id="5">
    <w:p w14:paraId="097FB48B" w14:textId="77777777" w:rsidR="00DA284A" w:rsidRDefault="00DA284A" w:rsidP="00DA284A">
      <w:pPr>
        <w:pStyle w:val="Voetnoottekst"/>
      </w:pPr>
      <w:r w:rsidRPr="00AD546F">
        <w:rPr>
          <w:rStyle w:val="Voetnootmarkering"/>
          <w:sz w:val="13"/>
          <w:szCs w:val="13"/>
        </w:rPr>
        <w:footnoteRef/>
      </w:r>
      <w:r w:rsidRPr="00AD546F">
        <w:rPr>
          <w:sz w:val="13"/>
          <w:szCs w:val="13"/>
        </w:rPr>
        <w:t xml:space="preserve"> De criteria voor de inzet van de sluis zijn wettelijk vastgelegd. Een geneesmiddel (indicatie) kan in aanmerking komen voor plaatsing in de sluis indien de totale kosten € 20 miljoen of meer per jaar bedragen voor alle indicaties, of indien de kosten bij één indicatie meer dan </w:t>
      </w:r>
      <w:r w:rsidRPr="00AD546F">
        <w:rPr>
          <w:sz w:val="13"/>
          <w:szCs w:val="13"/>
        </w:rPr>
        <w:br/>
        <w:t>€ 10 miljoen bedragen én meer dan € 50.000 per patiënt.</w:t>
      </w:r>
    </w:p>
  </w:footnote>
  <w:footnote w:id="6">
    <w:p w14:paraId="1688D478" w14:textId="63F66C79" w:rsidR="00E5254A" w:rsidRPr="00E5254A" w:rsidRDefault="00E5254A">
      <w:pPr>
        <w:pStyle w:val="Voetnoottekst"/>
        <w:rPr>
          <w:sz w:val="13"/>
          <w:szCs w:val="13"/>
        </w:rPr>
      </w:pPr>
      <w:r w:rsidRPr="00E5254A">
        <w:rPr>
          <w:rStyle w:val="Voetnootmarkering"/>
          <w:sz w:val="13"/>
          <w:szCs w:val="13"/>
        </w:rPr>
        <w:footnoteRef/>
      </w:r>
      <w:r w:rsidRPr="00E5254A">
        <w:rPr>
          <w:sz w:val="13"/>
          <w:szCs w:val="13"/>
        </w:rPr>
        <w:t xml:space="preserve"> Zie https://puc.overheid.nl/nza/doc/PUC_802735_22/1</w:t>
      </w:r>
    </w:p>
  </w:footnote>
  <w:footnote w:id="7">
    <w:p w14:paraId="189246C7" w14:textId="77777777" w:rsidR="00862800" w:rsidRPr="00AD546F" w:rsidRDefault="00862800" w:rsidP="00862800">
      <w:pPr>
        <w:pStyle w:val="Voetnoottekst"/>
        <w:rPr>
          <w:sz w:val="13"/>
          <w:szCs w:val="13"/>
        </w:rPr>
      </w:pPr>
      <w:r w:rsidRPr="00AD546F">
        <w:rPr>
          <w:rStyle w:val="Voetnootmarkering"/>
          <w:sz w:val="13"/>
          <w:szCs w:val="13"/>
        </w:rPr>
        <w:footnoteRef/>
      </w:r>
      <w:r w:rsidRPr="00AD546F">
        <w:rPr>
          <w:sz w:val="13"/>
          <w:szCs w:val="13"/>
        </w:rPr>
        <w:t xml:space="preserve"> Zie https://puc.overheid.nl/nza/doc/PUC_802735_22/1</w:t>
      </w:r>
    </w:p>
  </w:footnote>
  <w:footnote w:id="8">
    <w:p w14:paraId="7A28E293" w14:textId="77777777" w:rsidR="008A7042" w:rsidRPr="00AD546F" w:rsidRDefault="008A7042" w:rsidP="008A7042">
      <w:pPr>
        <w:pStyle w:val="Voetnoottekst"/>
        <w:rPr>
          <w:sz w:val="13"/>
          <w:szCs w:val="13"/>
        </w:rPr>
      </w:pPr>
      <w:r w:rsidRPr="00AD546F">
        <w:rPr>
          <w:rStyle w:val="Voetnootmarkering"/>
          <w:sz w:val="13"/>
          <w:szCs w:val="13"/>
        </w:rPr>
        <w:footnoteRef/>
      </w:r>
      <w:r w:rsidRPr="00AD546F">
        <w:rPr>
          <w:sz w:val="13"/>
          <w:szCs w:val="13"/>
        </w:rPr>
        <w:t xml:space="preserve"> Voor geneesmiddelen geldt op dit moment 9% btw.</w:t>
      </w:r>
    </w:p>
  </w:footnote>
  <w:footnote w:id="9">
    <w:p w14:paraId="3C44D588" w14:textId="77777777" w:rsidR="00F70E3C" w:rsidRPr="00AD546F" w:rsidRDefault="00F70E3C" w:rsidP="00F70E3C">
      <w:pPr>
        <w:pStyle w:val="Voetnoottekst"/>
        <w:rPr>
          <w:sz w:val="13"/>
          <w:szCs w:val="13"/>
        </w:rPr>
      </w:pPr>
      <w:r w:rsidRPr="00AD546F">
        <w:rPr>
          <w:rStyle w:val="Voetnootmarkering"/>
          <w:sz w:val="13"/>
          <w:szCs w:val="13"/>
        </w:rPr>
        <w:footnoteRef/>
      </w:r>
      <w:r w:rsidRPr="00AD546F">
        <w:rPr>
          <w:sz w:val="13"/>
          <w:szCs w:val="13"/>
        </w:rPr>
        <w:t xml:space="preserve"> Tweede Kamer, vergaderjaar 2024-2025, 29 477, nr. 935  </w:t>
      </w:r>
    </w:p>
  </w:footnote>
  <w:footnote w:id="10">
    <w:p w14:paraId="72F00400" w14:textId="22CC65F3" w:rsidR="00766A07" w:rsidRPr="00AD546F" w:rsidRDefault="00766A07">
      <w:pPr>
        <w:pStyle w:val="Voetnoottekst"/>
        <w:rPr>
          <w:sz w:val="13"/>
          <w:szCs w:val="13"/>
        </w:rPr>
      </w:pPr>
      <w:r w:rsidRPr="00AD546F">
        <w:rPr>
          <w:rStyle w:val="Voetnootmarkering"/>
          <w:sz w:val="13"/>
          <w:szCs w:val="13"/>
        </w:rPr>
        <w:footnoteRef/>
      </w:r>
      <w:r w:rsidRPr="00AD546F">
        <w:rPr>
          <w:sz w:val="13"/>
          <w:szCs w:val="13"/>
        </w:rPr>
        <w:t xml:space="preserve"> Tweede Kamer, vergaderjaar 2025-2026, 29 477, nr. 945</w:t>
      </w:r>
    </w:p>
  </w:footnote>
  <w:footnote w:id="11">
    <w:p w14:paraId="36E29601" w14:textId="4A02C8E6" w:rsidR="00766A07" w:rsidRPr="00AD546F" w:rsidRDefault="00766A07">
      <w:pPr>
        <w:pStyle w:val="Voetnoottekst"/>
        <w:rPr>
          <w:sz w:val="13"/>
          <w:szCs w:val="13"/>
        </w:rPr>
      </w:pPr>
      <w:r w:rsidRPr="00AD546F">
        <w:rPr>
          <w:rStyle w:val="Voetnootmarkering"/>
          <w:sz w:val="13"/>
          <w:szCs w:val="13"/>
        </w:rPr>
        <w:footnoteRef/>
      </w:r>
      <w:r w:rsidRPr="00AD546F">
        <w:rPr>
          <w:sz w:val="13"/>
          <w:szCs w:val="13"/>
        </w:rPr>
        <w:t xml:space="preserve"> Tweede Kamer, vergaderjaar 2025-2026, 29 477, nr. 955  </w:t>
      </w:r>
    </w:p>
  </w:footnote>
  <w:footnote w:id="12">
    <w:p w14:paraId="37C0A995" w14:textId="77777777" w:rsidR="00F70E3C" w:rsidRPr="001C6242" w:rsidRDefault="00F70E3C" w:rsidP="00F70E3C">
      <w:pPr>
        <w:pStyle w:val="Voetnoottekst"/>
        <w:rPr>
          <w:sz w:val="16"/>
          <w:szCs w:val="16"/>
        </w:rPr>
      </w:pPr>
      <w:r w:rsidRPr="00AD546F">
        <w:rPr>
          <w:rStyle w:val="Voetnootmarkering"/>
          <w:sz w:val="13"/>
          <w:szCs w:val="13"/>
        </w:rPr>
        <w:footnoteRef/>
      </w:r>
      <w:r w:rsidRPr="00AD546F">
        <w:rPr>
          <w:sz w:val="13"/>
          <w:szCs w:val="13"/>
        </w:rPr>
        <w:t xml:space="preserve"> Tweede Kamer, vergaderjaar 2025-2026, 29 477, nr. 971</w:t>
      </w:r>
      <w:r w:rsidRPr="00A128B7">
        <w:rPr>
          <w:sz w:val="16"/>
          <w:szCs w:val="16"/>
        </w:rPr>
        <w:t xml:space="preserve">  </w:t>
      </w:r>
    </w:p>
  </w:footnote>
  <w:footnote w:id="13">
    <w:p w14:paraId="75369789" w14:textId="77777777" w:rsidR="00F70E3C" w:rsidRPr="00AD546F" w:rsidRDefault="00F70E3C" w:rsidP="00F70E3C">
      <w:pPr>
        <w:pStyle w:val="Voetnoottekst"/>
        <w:rPr>
          <w:sz w:val="13"/>
          <w:szCs w:val="13"/>
        </w:rPr>
      </w:pPr>
      <w:r w:rsidRPr="00AD546F">
        <w:rPr>
          <w:rStyle w:val="Voetnootmarkering"/>
          <w:sz w:val="13"/>
          <w:szCs w:val="13"/>
        </w:rPr>
        <w:footnoteRef/>
      </w:r>
      <w:r w:rsidRPr="00AD546F">
        <w:rPr>
          <w:sz w:val="13"/>
          <w:szCs w:val="13"/>
        </w:rPr>
        <w:t xml:space="preserve"> </w:t>
      </w:r>
      <w:hyperlink r:id="rId1" w:history="1">
        <w:r w:rsidRPr="00AD546F">
          <w:rPr>
            <w:rStyle w:val="Hyperlink"/>
            <w:sz w:val="13"/>
            <w:szCs w:val="13"/>
          </w:rPr>
          <w:t>Link</w:t>
        </w:r>
      </w:hyperlink>
      <w:r w:rsidRPr="00AD546F">
        <w:rPr>
          <w:sz w:val="13"/>
          <w:szCs w:val="13"/>
        </w:rPr>
        <w:t xml:space="preserve"> naar Dashboard Doorlooptijden Geneesmiddelen</w:t>
      </w:r>
    </w:p>
  </w:footnote>
  <w:footnote w:id="14">
    <w:p w14:paraId="4A605DE0" w14:textId="77777777" w:rsidR="00F70E3C" w:rsidRPr="00AD546F" w:rsidRDefault="00F70E3C" w:rsidP="00F70E3C">
      <w:pPr>
        <w:pStyle w:val="Voetnoottekst"/>
        <w:rPr>
          <w:sz w:val="13"/>
          <w:szCs w:val="13"/>
        </w:rPr>
      </w:pPr>
      <w:r w:rsidRPr="00AD546F">
        <w:rPr>
          <w:rStyle w:val="Voetnootmarkering"/>
          <w:sz w:val="13"/>
          <w:szCs w:val="13"/>
        </w:rPr>
        <w:footnoteRef/>
      </w:r>
      <w:r w:rsidRPr="00AD546F">
        <w:rPr>
          <w:sz w:val="13"/>
          <w:szCs w:val="13"/>
        </w:rPr>
        <w:t xml:space="preserve"> Een breed financieel arrangement is een arrangement waarbij afspraken zijn gemaakt over alle indicaties van een geneesmiddel. Bij brede financiële arrangementen wordt voor nieuwe indicatie geen nieuw advies gegeven door het Zorginstituut en hoeft dus ook niet meer onderhandeld te worden omdat deze indicaties als binnen de afspraken vallen. </w:t>
      </w:r>
    </w:p>
  </w:footnote>
  <w:footnote w:id="15">
    <w:p w14:paraId="25A4C71B" w14:textId="68D6DD63" w:rsidR="006F5E7E" w:rsidRPr="00A16B8F" w:rsidRDefault="006F5E7E" w:rsidP="006F5E7E">
      <w:pPr>
        <w:pStyle w:val="Voetnoottekst"/>
        <w:rPr>
          <w:sz w:val="13"/>
          <w:szCs w:val="13"/>
        </w:rPr>
      </w:pPr>
      <w:r w:rsidRPr="006F5E7E">
        <w:rPr>
          <w:rStyle w:val="Voetnootmarkering"/>
          <w:sz w:val="16"/>
          <w:szCs w:val="16"/>
        </w:rPr>
        <w:footnoteRef/>
      </w:r>
      <w:r w:rsidRPr="006F5E7E">
        <w:rPr>
          <w:sz w:val="16"/>
          <w:szCs w:val="16"/>
        </w:rPr>
        <w:t xml:space="preserve"> </w:t>
      </w:r>
      <w:r w:rsidRPr="00A16B8F">
        <w:rPr>
          <w:sz w:val="13"/>
          <w:szCs w:val="13"/>
        </w:rPr>
        <w:t xml:space="preserve">Tweede Kamer, vergaderjaar 2025-2026, 29 477, nr. 960 </w:t>
      </w:r>
    </w:p>
    <w:p w14:paraId="6EBAE51B" w14:textId="3D770C3C" w:rsidR="006F5E7E" w:rsidRDefault="006F5E7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1783" w14:textId="77777777" w:rsidR="00E960D8" w:rsidRDefault="00CC5350">
    <w:pPr>
      <w:pStyle w:val="MarginlessContainer"/>
    </w:pPr>
    <w:r>
      <w:rPr>
        <w:noProof/>
      </w:rPr>
      <mc:AlternateContent>
        <mc:Choice Requires="wps">
          <w:drawing>
            <wp:anchor distT="0" distB="0" distL="0" distR="0" simplePos="0" relativeHeight="251653120" behindDoc="0" locked="1" layoutInCell="1" allowOverlap="1" wp14:anchorId="3D03107E" wp14:editId="399C956E">
              <wp:simplePos x="0" y="0"/>
              <wp:positionH relativeFrom="page">
                <wp:posOffset>5903595</wp:posOffset>
              </wp:positionH>
              <wp:positionV relativeFrom="page">
                <wp:posOffset>1907539</wp:posOffset>
              </wp:positionV>
              <wp:extent cx="1259840" cy="8009890"/>
              <wp:effectExtent l="0" t="0" r="0" b="0"/>
              <wp:wrapNone/>
              <wp:docPr id="10"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DD57F03" w14:textId="77777777" w:rsidR="001B0095" w:rsidRDefault="00CC5350" w:rsidP="001B0095">
                          <w:pPr>
                            <w:pStyle w:val="StandaardReferentiegegevenskop"/>
                            <w:spacing w:line="240" w:lineRule="auto"/>
                          </w:pPr>
                          <w:r>
                            <w:t>Kenmerk</w:t>
                          </w:r>
                        </w:p>
                        <w:p w14:paraId="72766DD4" w14:textId="224AEF9B" w:rsidR="001B0095" w:rsidRDefault="001B0095" w:rsidP="001B0095">
                          <w:pPr>
                            <w:pStyle w:val="Referentiegegevens"/>
                            <w:spacing w:line="240" w:lineRule="auto"/>
                          </w:pPr>
                          <w:r w:rsidRPr="001E56AB">
                            <w:t>4419370-1100187-GMT</w:t>
                          </w:r>
                        </w:p>
                        <w:p w14:paraId="7C27A0A9" w14:textId="3E538FF4" w:rsidR="000F53F5" w:rsidRPr="000F53F5" w:rsidRDefault="000F53F5" w:rsidP="001B0095">
                          <w:pPr>
                            <w:pStyle w:val="StandaardReferentiegegevenskop"/>
                            <w:spacing w:line="360" w:lineRule="auto"/>
                          </w:pPr>
                        </w:p>
                      </w:txbxContent>
                    </wps:txbx>
                    <wps:bodyPr vert="horz" wrap="square" lIns="0" tIns="0" rIns="0" bIns="0" anchor="t" anchorCtr="0"/>
                  </wps:wsp>
                </a:graphicData>
              </a:graphic>
            </wp:anchor>
          </w:drawing>
        </mc:Choice>
        <mc:Fallback>
          <w:pict>
            <v:shapetype w14:anchorId="3D03107E" id="_x0000_t202" coordsize="21600,21600" o:spt="202" path="m,l,21600r21600,l21600,xe">
              <v:stroke joinstyle="miter"/>
              <v:path gradientshapeok="t" o:connecttype="rect"/>
            </v:shapetype>
            <v:shape id="Colofon_3" o:spid="_x0000_s1026" type="#_x0000_t202" style="position:absolute;margin-left:464.85pt;margin-top:150.2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" filled="f" stroked="f">
              <v:textbox inset="0,0,0,0">
                <w:txbxContent>
                  <w:p w14:paraId="2DD57F03" w14:textId="77777777" w:rsidR="001B0095" w:rsidRDefault="00CC5350" w:rsidP="001B0095">
                    <w:pPr>
                      <w:pStyle w:val="StandaardReferentiegegevenskop"/>
                      <w:spacing w:line="240" w:lineRule="auto"/>
                    </w:pPr>
                    <w:r>
                      <w:t>Kenmerk</w:t>
                    </w:r>
                  </w:p>
                  <w:p w14:paraId="72766DD4" w14:textId="224AEF9B" w:rsidR="001B0095" w:rsidRDefault="001B0095" w:rsidP="001B0095">
                    <w:pPr>
                      <w:pStyle w:val="Referentiegegevens"/>
                      <w:spacing w:line="240" w:lineRule="auto"/>
                    </w:pPr>
                    <w:r w:rsidRPr="001E56AB">
                      <w:t>4419370-1100187-GMT</w:t>
                    </w:r>
                  </w:p>
                  <w:p w14:paraId="7C27A0A9" w14:textId="3E538FF4" w:rsidR="000F53F5" w:rsidRPr="000F53F5" w:rsidRDefault="000F53F5" w:rsidP="001B0095">
                    <w:pPr>
                      <w:pStyle w:val="StandaardReferentiegegevenskop"/>
                      <w:spacing w:line="360" w:lineRule="auto"/>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71D66C4" wp14:editId="4DFC43D2">
              <wp:simplePos x="0" y="0"/>
              <wp:positionH relativeFrom="page">
                <wp:posOffset>5903595</wp:posOffset>
              </wp:positionH>
              <wp:positionV relativeFrom="page">
                <wp:posOffset>10223500</wp:posOffset>
              </wp:positionV>
              <wp:extent cx="1259840" cy="179705"/>
              <wp:effectExtent l="0" t="0" r="0" b="0"/>
              <wp:wrapNone/>
              <wp:docPr id="11"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EFB76B1" w14:textId="62F8AFC3" w:rsidR="00E960D8" w:rsidRDefault="00CC5350">
                          <w:pPr>
                            <w:pStyle w:val="Standaard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71D66C4" id="Paginanummer_3" o:spid="_x0000_s1027" type="#_x0000_t202" style="position:absolute;margin-left:464.8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1EFB76B1" w14:textId="62F8AFC3" w:rsidR="00E960D8" w:rsidRDefault="00CC5350">
                    <w:pPr>
                      <w:pStyle w:val="Standaard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39BA" w14:textId="77777777" w:rsidR="00E960D8" w:rsidRDefault="00CC5350">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61C2A83A" wp14:editId="03BCAA37">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139BEC3" w14:textId="77777777" w:rsidR="00CC5350" w:rsidRDefault="00CC5350"/>
                      </w:txbxContent>
                    </wps:txbx>
                    <wps:bodyPr vert="horz" wrap="square" lIns="0" tIns="0" rIns="0" bIns="0" anchor="t" anchorCtr="0"/>
                  </wps:wsp>
                </a:graphicData>
              </a:graphic>
            </wp:anchor>
          </w:drawing>
        </mc:Choice>
        <mc:Fallback>
          <w:pict>
            <v:shapetype w14:anchorId="61C2A83A" id="_x0000_t202" coordsize="21600,21600" o:spt="202" path="m,l,21600r21600,l21600,xe">
              <v:stroke joinstyle="miter"/>
              <v:path gradientshapeok="t" o:connecttype="rect"/>
            </v:shapetype>
            <v:shape id="Logo_2" o:spid="_x0000_s1028" type="#_x0000_t202" style="position:absolute;margin-left:277.75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EkhB/6VAQAAFAMAAA4A&#10;AAAAAAAAAAAAAAAALgIAAGRycy9lMm9Eb2MueG1sUEsBAi0AFAAGAAgAAAAhAAajJ1TdAAAACAEA&#10;AA8AAAAAAAAAAAAAAAAA7wMAAGRycy9kb3ducmV2LnhtbFBLBQYAAAAABAAEAPMAAAD5BAAAAAA=&#10;" filled="f" stroked="f">
              <v:textbox inset="0,0,0,0">
                <w:txbxContent>
                  <w:p w14:paraId="5139BEC3" w14:textId="77777777" w:rsidR="00CC5350" w:rsidRDefault="00CC5350"/>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7DABE18" wp14:editId="1DBB8ED0">
              <wp:simplePos x="0" y="0"/>
              <wp:positionH relativeFrom="page">
                <wp:posOffset>3995420</wp:posOffset>
              </wp:positionH>
              <wp:positionV relativeFrom="page">
                <wp:posOffset>0</wp:posOffset>
              </wp:positionV>
              <wp:extent cx="2339975" cy="1778000"/>
              <wp:effectExtent l="0" t="0" r="0" b="0"/>
              <wp:wrapNone/>
              <wp:docPr id="2"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63192CF9" w14:textId="77777777" w:rsidR="00E960D8" w:rsidRDefault="00CC5350">
                          <w:pPr>
                            <w:pStyle w:val="MarginlessContainer"/>
                          </w:pPr>
                          <w:r>
                            <w:rPr>
                              <w:noProof/>
                            </w:rPr>
                            <w:drawing>
                              <wp:inline distT="0" distB="0" distL="0" distR="0" wp14:anchorId="1027CF9C" wp14:editId="62543C95">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DABE18" id="Woordmerk_2" o:spid="_x0000_s1029" type="#_x0000_t202" style="position:absolute;margin-left:314.6pt;margin-top:0;width:184.25pt;height:140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" filled="f" stroked="f">
              <v:textbox inset="0,0,0,0">
                <w:txbxContent>
                  <w:p w14:paraId="63192CF9" w14:textId="77777777" w:rsidR="00E960D8" w:rsidRDefault="00CC5350">
                    <w:pPr>
                      <w:pStyle w:val="MarginlessContainer"/>
                    </w:pPr>
                    <w:r>
                      <w:rPr>
                        <w:noProof/>
                      </w:rPr>
                      <w:drawing>
                        <wp:inline distT="0" distB="0" distL="0" distR="0" wp14:anchorId="1027CF9C" wp14:editId="62543C95">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F629136" wp14:editId="4369A1AE">
              <wp:simplePos x="0" y="0"/>
              <wp:positionH relativeFrom="page">
                <wp:posOffset>1007744</wp:posOffset>
              </wp:positionH>
              <wp:positionV relativeFrom="page">
                <wp:posOffset>1691639</wp:posOffset>
              </wp:positionV>
              <wp:extent cx="3561715" cy="142875"/>
              <wp:effectExtent l="0" t="0" r="0" b="0"/>
              <wp:wrapNone/>
              <wp:docPr id="4"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B422FF1" w14:textId="77777777" w:rsidR="00CC5350" w:rsidRDefault="00CC5350"/>
                      </w:txbxContent>
                    </wps:txbx>
                    <wps:bodyPr vert="horz" wrap="square" lIns="0" tIns="0" rIns="0" bIns="0" anchor="t" anchorCtr="0"/>
                  </wps:wsp>
                </a:graphicData>
              </a:graphic>
            </wp:anchor>
          </w:drawing>
        </mc:Choice>
        <mc:Fallback>
          <w:pict>
            <v:shape w14:anchorId="3F629136" id="Retourregel_2" o:spid="_x0000_s1030" type="#_x0000_t202" style="position:absolute;margin-left:79.35pt;margin-top:133.2pt;width:280.45pt;height:1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2B422FF1" w14:textId="77777777" w:rsidR="00CC5350" w:rsidRDefault="00CC5350"/>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66C5A9D" wp14:editId="45DD2109">
              <wp:simplePos x="0" y="0"/>
              <wp:positionH relativeFrom="page">
                <wp:posOffset>1007744</wp:posOffset>
              </wp:positionH>
              <wp:positionV relativeFrom="page">
                <wp:posOffset>1943735</wp:posOffset>
              </wp:positionV>
              <wp:extent cx="3491865" cy="1079500"/>
              <wp:effectExtent l="0" t="0" r="0" b="0"/>
              <wp:wrapNone/>
              <wp:docPr id="5"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170BB96" w14:textId="264D0A54" w:rsidR="00E960D8" w:rsidRDefault="00CC535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66C5A9D" id="Toezendgegevens_2" o:spid="_x0000_s1031" type="#_x0000_t202" style="position:absolute;margin-left:79.35pt;margin-top:153.05pt;width:274.9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BMMe5rlgEAABUD&#10;AAAOAAAAAAAAAAAAAAAAAC4CAABkcnMvZTJvRG9jLnhtbFBLAQItABQABgAIAAAAIQCW7QUW4AAA&#10;AAsBAAAPAAAAAAAAAAAAAAAAAPADAABkcnMvZG93bnJldi54bWxQSwUGAAAAAAQABADzAAAA/QQA&#10;AAAA&#10;" filled="f" stroked="f">
              <v:textbox inset="0,0,0,0">
                <w:txbxContent>
                  <w:p w14:paraId="2170BB96" w14:textId="264D0A54" w:rsidR="00E960D8" w:rsidRDefault="00CC5350">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F49349B" wp14:editId="4673EC16">
              <wp:simplePos x="0" y="0"/>
              <wp:positionH relativeFrom="page">
                <wp:posOffset>5921375</wp:posOffset>
              </wp:positionH>
              <wp:positionV relativeFrom="page">
                <wp:posOffset>1943735</wp:posOffset>
              </wp:positionV>
              <wp:extent cx="1259840" cy="8009890"/>
              <wp:effectExtent l="0" t="0" r="0" b="0"/>
              <wp:wrapNone/>
              <wp:docPr id="6"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14FFB39" w14:textId="3580B92F" w:rsidR="00E960D8" w:rsidRDefault="00CC5350">
                          <w:pPr>
                            <w:pStyle w:val="StandaardAfzendgegevenskop"/>
                          </w:pPr>
                          <w:r>
                            <w:t>Bezoekadres</w:t>
                          </w:r>
                        </w:p>
                        <w:p w14:paraId="6465830F" w14:textId="77777777" w:rsidR="00E960D8" w:rsidRDefault="00CC5350">
                          <w:pPr>
                            <w:pStyle w:val="StandaardAfzendgegevens"/>
                          </w:pPr>
                          <w:r>
                            <w:t>Parnassusplein 5</w:t>
                          </w:r>
                        </w:p>
                        <w:p w14:paraId="2561CFFC" w14:textId="77777777" w:rsidR="00E960D8" w:rsidRDefault="00CC5350">
                          <w:pPr>
                            <w:pStyle w:val="StandaardAfzendgegevens"/>
                          </w:pPr>
                          <w:r>
                            <w:t>2511 VX  Den Haag</w:t>
                          </w:r>
                        </w:p>
                        <w:p w14:paraId="3474C1DA" w14:textId="77777777" w:rsidR="00E960D8" w:rsidRDefault="00CC5350">
                          <w:pPr>
                            <w:pStyle w:val="StandaardAfzendgegevens"/>
                          </w:pPr>
                          <w:r>
                            <w:t>www.rijksoverheid.nl</w:t>
                          </w:r>
                        </w:p>
                        <w:p w14:paraId="7E3D90B9" w14:textId="77777777" w:rsidR="00E960D8" w:rsidRDefault="00E960D8">
                          <w:pPr>
                            <w:pStyle w:val="WitregelW2"/>
                          </w:pPr>
                        </w:p>
                        <w:p w14:paraId="1AE602D1" w14:textId="705F2399" w:rsidR="00E960D8" w:rsidRDefault="00CC5350" w:rsidP="001B0095">
                          <w:pPr>
                            <w:pStyle w:val="StandaardReferentiegegevenskop"/>
                            <w:spacing w:line="240" w:lineRule="auto"/>
                          </w:pPr>
                          <w:r>
                            <w:t>Kenmerk</w:t>
                          </w:r>
                        </w:p>
                        <w:p w14:paraId="22FFC0DA" w14:textId="2FD6D744" w:rsidR="00392AD3" w:rsidRDefault="00392AD3" w:rsidP="001B0095">
                          <w:pPr>
                            <w:pStyle w:val="Referentiegegevens"/>
                            <w:spacing w:line="240" w:lineRule="auto"/>
                          </w:pPr>
                          <w:r w:rsidRPr="001E56AB">
                            <w:t>4419370-1100187-GMT</w:t>
                          </w:r>
                        </w:p>
                        <w:p w14:paraId="0D9B4AB4" w14:textId="77777777" w:rsidR="00E960D8" w:rsidRDefault="00E960D8">
                          <w:pPr>
                            <w:pStyle w:val="WitregelW1"/>
                          </w:pPr>
                        </w:p>
                        <w:p w14:paraId="198D843B" w14:textId="77777777" w:rsidR="00E960D8" w:rsidRDefault="00CC5350">
                          <w:pPr>
                            <w:pStyle w:val="StandaardReferentiegegevenskop"/>
                          </w:pPr>
                          <w:r>
                            <w:t>Bijlage(n)</w:t>
                          </w:r>
                        </w:p>
                        <w:p w14:paraId="65167EAF" w14:textId="0317C7D3" w:rsidR="00E960D8" w:rsidRDefault="00392AD3">
                          <w:pPr>
                            <w:pStyle w:val="StandaardReferentiegegevens"/>
                          </w:pPr>
                          <w:r>
                            <w:t>1</w:t>
                          </w:r>
                        </w:p>
                        <w:p w14:paraId="2B06E2B5" w14:textId="77777777" w:rsidR="00E960D8" w:rsidRDefault="00CC5350">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 w14:anchorId="4F49349B" id="Colofon_2" o:spid="_x0000_s1032" type="#_x0000_t202" style="position:absolute;margin-left:466.25pt;margin-top:153.05pt;width:99.2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314FFB39" w14:textId="3580B92F" w:rsidR="00E960D8" w:rsidRDefault="00CC5350">
                    <w:pPr>
                      <w:pStyle w:val="StandaardAfzendgegevenskop"/>
                    </w:pPr>
                    <w:r>
                      <w:t>Bezoekadres</w:t>
                    </w:r>
                  </w:p>
                  <w:p w14:paraId="6465830F" w14:textId="77777777" w:rsidR="00E960D8" w:rsidRDefault="00CC5350">
                    <w:pPr>
                      <w:pStyle w:val="StandaardAfzendgegevens"/>
                    </w:pPr>
                    <w:r>
                      <w:t>Parnassusplein 5</w:t>
                    </w:r>
                  </w:p>
                  <w:p w14:paraId="2561CFFC" w14:textId="77777777" w:rsidR="00E960D8" w:rsidRDefault="00CC5350">
                    <w:pPr>
                      <w:pStyle w:val="StandaardAfzendgegevens"/>
                    </w:pPr>
                    <w:r>
                      <w:t>2511 VX  Den Haag</w:t>
                    </w:r>
                  </w:p>
                  <w:p w14:paraId="3474C1DA" w14:textId="77777777" w:rsidR="00E960D8" w:rsidRDefault="00CC5350">
                    <w:pPr>
                      <w:pStyle w:val="StandaardAfzendgegevens"/>
                    </w:pPr>
                    <w:r>
                      <w:t>www.rijksoverheid.nl</w:t>
                    </w:r>
                  </w:p>
                  <w:p w14:paraId="7E3D90B9" w14:textId="77777777" w:rsidR="00E960D8" w:rsidRDefault="00E960D8">
                    <w:pPr>
                      <w:pStyle w:val="WitregelW2"/>
                    </w:pPr>
                  </w:p>
                  <w:p w14:paraId="1AE602D1" w14:textId="705F2399" w:rsidR="00E960D8" w:rsidRDefault="00CC5350" w:rsidP="001B0095">
                    <w:pPr>
                      <w:pStyle w:val="StandaardReferentiegegevenskop"/>
                      <w:spacing w:line="240" w:lineRule="auto"/>
                    </w:pPr>
                    <w:r>
                      <w:t>Kenmerk</w:t>
                    </w:r>
                  </w:p>
                  <w:p w14:paraId="22FFC0DA" w14:textId="2FD6D744" w:rsidR="00392AD3" w:rsidRDefault="00392AD3" w:rsidP="001B0095">
                    <w:pPr>
                      <w:pStyle w:val="Referentiegegevens"/>
                      <w:spacing w:line="240" w:lineRule="auto"/>
                    </w:pPr>
                    <w:r w:rsidRPr="001E56AB">
                      <w:t>4419370-1100187-GMT</w:t>
                    </w:r>
                  </w:p>
                  <w:p w14:paraId="0D9B4AB4" w14:textId="77777777" w:rsidR="00E960D8" w:rsidRDefault="00E960D8">
                    <w:pPr>
                      <w:pStyle w:val="WitregelW1"/>
                    </w:pPr>
                  </w:p>
                  <w:p w14:paraId="198D843B" w14:textId="77777777" w:rsidR="00E960D8" w:rsidRDefault="00CC5350">
                    <w:pPr>
                      <w:pStyle w:val="StandaardReferentiegegevenskop"/>
                    </w:pPr>
                    <w:r>
                      <w:t>Bijlage(n)</w:t>
                    </w:r>
                  </w:p>
                  <w:p w14:paraId="65167EAF" w14:textId="0317C7D3" w:rsidR="00E960D8" w:rsidRDefault="00392AD3">
                    <w:pPr>
                      <w:pStyle w:val="StandaardReferentiegegevens"/>
                    </w:pPr>
                    <w:r>
                      <w:t>1</w:t>
                    </w:r>
                  </w:p>
                  <w:p w14:paraId="2B06E2B5" w14:textId="77777777" w:rsidR="00E960D8" w:rsidRDefault="00CC5350">
                    <w:pPr>
                      <w:pStyle w:val="StandaardColofonItalic45v"/>
                    </w:pPr>
                    <w:r>
                      <w:t>Correspondentie uitsluitend richten aan het retouradres met vermelding van de datum en het kenmerk van deze brief.</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834D04C" wp14:editId="1BABE540">
              <wp:simplePos x="0" y="0"/>
              <wp:positionH relativeFrom="margin">
                <wp:align>right</wp:align>
              </wp:positionH>
              <wp:positionV relativeFrom="page">
                <wp:posOffset>3633470</wp:posOffset>
              </wp:positionV>
              <wp:extent cx="4778375" cy="635635"/>
              <wp:effectExtent l="0" t="0" r="0" b="0"/>
              <wp:wrapNone/>
              <wp:docPr id="7" name="Documentgegevens"/>
              <wp:cNvGraphicFramePr/>
              <a:graphic xmlns:a="http://schemas.openxmlformats.org/drawingml/2006/main">
                <a:graphicData uri="http://schemas.microsoft.com/office/word/2010/wordprocessingShape">
                  <wps:wsp>
                    <wps:cNvSpPr txBox="1"/>
                    <wps:spPr>
                      <a:xfrm>
                        <a:off x="0" y="0"/>
                        <a:ext cx="4778734" cy="635635"/>
                      </a:xfrm>
                      <a:prstGeom prst="rect">
                        <a:avLst/>
                      </a:prstGeom>
                      <a:noFill/>
                    </wps:spPr>
                    <wps:txbx>
                      <w:txbxContent>
                        <w:tbl>
                          <w:tblPr>
                            <w:tblW w:w="7513" w:type="dxa"/>
                            <w:tblLayout w:type="fixed"/>
                            <w:tblLook w:val="07E0" w:firstRow="1" w:lastRow="1" w:firstColumn="1" w:lastColumn="1" w:noHBand="1" w:noVBand="1"/>
                          </w:tblPr>
                          <w:tblGrid>
                            <w:gridCol w:w="1140"/>
                            <w:gridCol w:w="6373"/>
                          </w:tblGrid>
                          <w:tr w:rsidR="00E960D8" w14:paraId="0A8DC5FF" w14:textId="77777777" w:rsidTr="00371401">
                            <w:trPr>
                              <w:trHeight w:val="200"/>
                            </w:trPr>
                            <w:tc>
                              <w:tcPr>
                                <w:tcW w:w="1140" w:type="dxa"/>
                              </w:tcPr>
                              <w:p w14:paraId="5EE9CD8B" w14:textId="77777777" w:rsidR="00E960D8" w:rsidRDefault="00E960D8"/>
                            </w:tc>
                            <w:tc>
                              <w:tcPr>
                                <w:tcW w:w="6373" w:type="dxa"/>
                              </w:tcPr>
                              <w:p w14:paraId="4A7F23D0" w14:textId="77777777" w:rsidR="00E960D8" w:rsidRDefault="00E960D8"/>
                            </w:tc>
                          </w:tr>
                          <w:tr w:rsidR="00E960D8" w14:paraId="092F7BA5" w14:textId="77777777" w:rsidTr="00371401">
                            <w:trPr>
                              <w:trHeight w:val="240"/>
                            </w:trPr>
                            <w:tc>
                              <w:tcPr>
                                <w:tcW w:w="1140" w:type="dxa"/>
                              </w:tcPr>
                              <w:p w14:paraId="7BF17C88" w14:textId="77777777" w:rsidR="00E960D8" w:rsidRDefault="00CC5350">
                                <w:r>
                                  <w:t>Datum</w:t>
                                </w:r>
                              </w:p>
                            </w:tc>
                            <w:tc>
                              <w:tcPr>
                                <w:tcW w:w="6373" w:type="dxa"/>
                              </w:tcPr>
                              <w:p w14:paraId="7A4376BF" w14:textId="18B4B03A" w:rsidR="00E960D8" w:rsidRDefault="00DF6EE6">
                                <w:r>
                                  <w:t>29 juni 2026</w:t>
                                </w:r>
                              </w:p>
                            </w:tc>
                          </w:tr>
                          <w:tr w:rsidR="00E960D8" w14:paraId="4E33EC2B" w14:textId="77777777" w:rsidTr="00371401">
                            <w:trPr>
                              <w:trHeight w:val="228"/>
                            </w:trPr>
                            <w:tc>
                              <w:tcPr>
                                <w:tcW w:w="1140" w:type="dxa"/>
                              </w:tcPr>
                              <w:p w14:paraId="7DA71EF6" w14:textId="77777777" w:rsidR="00E960D8" w:rsidRDefault="00CC5350">
                                <w:r>
                                  <w:t>Betreft</w:t>
                                </w:r>
                              </w:p>
                            </w:tc>
                            <w:tc>
                              <w:tcPr>
                                <w:tcW w:w="6373" w:type="dxa"/>
                              </w:tcPr>
                              <w:p w14:paraId="0F5BC226" w14:textId="05FA4646" w:rsidR="00E960D8" w:rsidRDefault="00CC5350">
                                <w:r>
                                  <w:t xml:space="preserve">Voortgangsbrief financiële arrangementen </w:t>
                                </w:r>
                                <w:r w:rsidR="008736BC">
                                  <w:t>g</w:t>
                                </w:r>
                                <w:r>
                                  <w:t>eneesmiddelen</w:t>
                                </w:r>
                                <w:r w:rsidR="00195AA4">
                                  <w:t xml:space="preserve"> 2025</w:t>
                                </w:r>
                              </w:p>
                            </w:tc>
                          </w:tr>
                          <w:tr w:rsidR="00E960D8" w14:paraId="033EBAE3" w14:textId="77777777" w:rsidTr="00371401">
                            <w:trPr>
                              <w:trHeight w:val="200"/>
                            </w:trPr>
                            <w:tc>
                              <w:tcPr>
                                <w:tcW w:w="1140" w:type="dxa"/>
                              </w:tcPr>
                              <w:p w14:paraId="38F80896" w14:textId="77777777" w:rsidR="00E960D8" w:rsidRDefault="00E960D8"/>
                            </w:tc>
                            <w:tc>
                              <w:tcPr>
                                <w:tcW w:w="6373" w:type="dxa"/>
                              </w:tcPr>
                              <w:p w14:paraId="1E6E299A" w14:textId="77777777" w:rsidR="00E960D8" w:rsidRDefault="00E960D8"/>
                            </w:tc>
                          </w:tr>
                        </w:tbl>
                        <w:p w14:paraId="189443F3" w14:textId="77777777" w:rsidR="00CC5350" w:rsidRDefault="00CC5350"/>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834D04C" id="Documentgegevens" o:spid="_x0000_s1033" type="#_x0000_t202" style="position:absolute;margin-left:325.05pt;margin-top:286.1pt;width:376.25pt;height:50.05pt;z-index:251660288;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" filled="f" stroked="f">
              <v:textbox inset="0,0,0,0">
                <w:txbxContent>
                  <w:tbl>
                    <w:tblPr>
                      <w:tblW w:w="7513" w:type="dxa"/>
                      <w:tblLayout w:type="fixed"/>
                      <w:tblLook w:val="07E0" w:firstRow="1" w:lastRow="1" w:firstColumn="1" w:lastColumn="1" w:noHBand="1" w:noVBand="1"/>
                    </w:tblPr>
                    <w:tblGrid>
                      <w:gridCol w:w="1140"/>
                      <w:gridCol w:w="6373"/>
                    </w:tblGrid>
                    <w:tr w:rsidR="00E960D8" w14:paraId="0A8DC5FF" w14:textId="77777777" w:rsidTr="00371401">
                      <w:trPr>
                        <w:trHeight w:val="200"/>
                      </w:trPr>
                      <w:tc>
                        <w:tcPr>
                          <w:tcW w:w="1140" w:type="dxa"/>
                        </w:tcPr>
                        <w:p w14:paraId="5EE9CD8B" w14:textId="77777777" w:rsidR="00E960D8" w:rsidRDefault="00E960D8"/>
                      </w:tc>
                      <w:tc>
                        <w:tcPr>
                          <w:tcW w:w="6373" w:type="dxa"/>
                        </w:tcPr>
                        <w:p w14:paraId="4A7F23D0" w14:textId="77777777" w:rsidR="00E960D8" w:rsidRDefault="00E960D8"/>
                      </w:tc>
                    </w:tr>
                    <w:tr w:rsidR="00E960D8" w14:paraId="092F7BA5" w14:textId="77777777" w:rsidTr="00371401">
                      <w:trPr>
                        <w:trHeight w:val="240"/>
                      </w:trPr>
                      <w:tc>
                        <w:tcPr>
                          <w:tcW w:w="1140" w:type="dxa"/>
                        </w:tcPr>
                        <w:p w14:paraId="7BF17C88" w14:textId="77777777" w:rsidR="00E960D8" w:rsidRDefault="00CC5350">
                          <w:r>
                            <w:t>Datum</w:t>
                          </w:r>
                        </w:p>
                      </w:tc>
                      <w:tc>
                        <w:tcPr>
                          <w:tcW w:w="6373" w:type="dxa"/>
                        </w:tcPr>
                        <w:p w14:paraId="7A4376BF" w14:textId="18B4B03A" w:rsidR="00E960D8" w:rsidRDefault="00DF6EE6">
                          <w:r>
                            <w:t>29 juni 2026</w:t>
                          </w:r>
                        </w:p>
                      </w:tc>
                    </w:tr>
                    <w:tr w:rsidR="00E960D8" w14:paraId="4E33EC2B" w14:textId="77777777" w:rsidTr="00371401">
                      <w:trPr>
                        <w:trHeight w:val="228"/>
                      </w:trPr>
                      <w:tc>
                        <w:tcPr>
                          <w:tcW w:w="1140" w:type="dxa"/>
                        </w:tcPr>
                        <w:p w14:paraId="7DA71EF6" w14:textId="77777777" w:rsidR="00E960D8" w:rsidRDefault="00CC5350">
                          <w:r>
                            <w:t>Betreft</w:t>
                          </w:r>
                        </w:p>
                      </w:tc>
                      <w:tc>
                        <w:tcPr>
                          <w:tcW w:w="6373" w:type="dxa"/>
                        </w:tcPr>
                        <w:p w14:paraId="0F5BC226" w14:textId="05FA4646" w:rsidR="00E960D8" w:rsidRDefault="00CC5350">
                          <w:r>
                            <w:t xml:space="preserve">Voortgangsbrief financiële arrangementen </w:t>
                          </w:r>
                          <w:r w:rsidR="008736BC">
                            <w:t>g</w:t>
                          </w:r>
                          <w:r>
                            <w:t>eneesmiddelen</w:t>
                          </w:r>
                          <w:r w:rsidR="00195AA4">
                            <w:t xml:space="preserve"> 2025</w:t>
                          </w:r>
                        </w:p>
                      </w:tc>
                    </w:tr>
                    <w:tr w:rsidR="00E960D8" w14:paraId="033EBAE3" w14:textId="77777777" w:rsidTr="00371401">
                      <w:trPr>
                        <w:trHeight w:val="200"/>
                      </w:trPr>
                      <w:tc>
                        <w:tcPr>
                          <w:tcW w:w="1140" w:type="dxa"/>
                        </w:tcPr>
                        <w:p w14:paraId="38F80896" w14:textId="77777777" w:rsidR="00E960D8" w:rsidRDefault="00E960D8"/>
                      </w:tc>
                      <w:tc>
                        <w:tcPr>
                          <w:tcW w:w="6373" w:type="dxa"/>
                        </w:tcPr>
                        <w:p w14:paraId="1E6E299A" w14:textId="77777777" w:rsidR="00E960D8" w:rsidRDefault="00E960D8"/>
                      </w:tc>
                    </w:tr>
                  </w:tbl>
                  <w:p w14:paraId="189443F3" w14:textId="77777777" w:rsidR="00CC5350" w:rsidRDefault="00CC5350"/>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0CA253B3" wp14:editId="4A71BD50">
              <wp:simplePos x="0" y="0"/>
              <wp:positionH relativeFrom="page">
                <wp:posOffset>1007744</wp:posOffset>
              </wp:positionH>
              <wp:positionV relativeFrom="page">
                <wp:posOffset>10223500</wp:posOffset>
              </wp:positionV>
              <wp:extent cx="1799589" cy="179705"/>
              <wp:effectExtent l="0" t="0" r="0" b="0"/>
              <wp:wrapNone/>
              <wp:docPr id="8"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6A787DA" w14:textId="77777777" w:rsidR="00CC5350" w:rsidRDefault="00CC5350"/>
                      </w:txbxContent>
                    </wps:txbx>
                    <wps:bodyPr vert="horz" wrap="square" lIns="0" tIns="0" rIns="0" bIns="0" anchor="t" anchorCtr="0"/>
                  </wps:wsp>
                </a:graphicData>
              </a:graphic>
            </wp:anchor>
          </w:drawing>
        </mc:Choice>
        <mc:Fallback>
          <w:pict>
            <v:shape w14:anchorId="0CA253B3" id="Rubricering onder vervolgpagina" o:spid="_x0000_s1034"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hcGzhkgEAABQDAAAO&#10;AAAAAAAAAAAAAAAAAC4CAABkcnMvZTJvRG9jLnhtbFBLAQItABQABgAIAAAAIQBZ7g9Q4QAAAA0B&#10;AAAPAAAAAAAAAAAAAAAAAOwDAABkcnMvZG93bnJldi54bWxQSwUGAAAAAAQABADzAAAA+gQAAAAA&#10;" filled="f" stroked="f">
              <v:textbox inset="0,0,0,0">
                <w:txbxContent>
                  <w:p w14:paraId="06A787DA" w14:textId="77777777" w:rsidR="00CC5350" w:rsidRDefault="00CC5350"/>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8788440" wp14:editId="12764B18">
              <wp:simplePos x="0" y="0"/>
              <wp:positionH relativeFrom="page">
                <wp:posOffset>5921375</wp:posOffset>
              </wp:positionH>
              <wp:positionV relativeFrom="page">
                <wp:posOffset>10223500</wp:posOffset>
              </wp:positionV>
              <wp:extent cx="1259840" cy="179705"/>
              <wp:effectExtent l="0" t="0" r="0" b="0"/>
              <wp:wrapNone/>
              <wp:docPr id="9"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5F2525D" w14:textId="77777777" w:rsidR="00E960D8" w:rsidRDefault="00CC5350">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8788440" id="Paginanummer_2" o:spid="_x0000_s1035" type="#_x0000_t202" style="position:absolute;margin-left:466.25pt;margin-top:805pt;width:99.2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55F2525D" w14:textId="77777777" w:rsidR="00E960D8" w:rsidRDefault="00CC5350">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A4FE58"/>
    <w:multiLevelType w:val="multilevel"/>
    <w:tmpl w:val="D7C3866B"/>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F17500"/>
    <w:multiLevelType w:val="multilevel"/>
    <w:tmpl w:val="B6E2D3CD"/>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FF55A26"/>
    <w:multiLevelType w:val="multilevel"/>
    <w:tmpl w:val="E726F74F"/>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E080B87"/>
    <w:multiLevelType w:val="multilevel"/>
    <w:tmpl w:val="354F06EF"/>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1D7C50E"/>
    <w:multiLevelType w:val="multilevel"/>
    <w:tmpl w:val="2A9E5082"/>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3BC2D1F"/>
    <w:multiLevelType w:val="multilevel"/>
    <w:tmpl w:val="669F5EA8"/>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9730C50"/>
    <w:multiLevelType w:val="multilevel"/>
    <w:tmpl w:val="2BDB62DB"/>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AF29625"/>
    <w:multiLevelType w:val="multilevel"/>
    <w:tmpl w:val="0F583453"/>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1E84128"/>
    <w:multiLevelType w:val="multilevel"/>
    <w:tmpl w:val="4AE5580F"/>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E4031F"/>
    <w:multiLevelType w:val="hybridMultilevel"/>
    <w:tmpl w:val="B9941456"/>
    <w:lvl w:ilvl="0" w:tplc="5A30448A">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40D7293"/>
    <w:multiLevelType w:val="multilevel"/>
    <w:tmpl w:val="E309920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8A2175"/>
    <w:multiLevelType w:val="hybridMultilevel"/>
    <w:tmpl w:val="86308874"/>
    <w:lvl w:ilvl="0" w:tplc="30965EE6">
      <w:start w:val="1"/>
      <w:numFmt w:val="bullet"/>
      <w:lvlText w:val="-"/>
      <w:lvlJc w:val="left"/>
      <w:pPr>
        <w:ind w:left="720" w:hanging="360"/>
      </w:pPr>
      <w:rPr>
        <w:rFonts w:ascii="Verdana" w:eastAsia="Times New Roman" w:hAnsi="Verdana"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A5B6F10"/>
    <w:multiLevelType w:val="hybridMultilevel"/>
    <w:tmpl w:val="E61C3EC0"/>
    <w:lvl w:ilvl="0" w:tplc="E68C1C38">
      <w:start w:val="7"/>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3530A1F"/>
    <w:multiLevelType w:val="hybridMultilevel"/>
    <w:tmpl w:val="9AC401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5CF2394"/>
    <w:multiLevelType w:val="hybridMultilevel"/>
    <w:tmpl w:val="0532AAF6"/>
    <w:lvl w:ilvl="0" w:tplc="4B2A0E6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8C2C9CA"/>
    <w:multiLevelType w:val="multilevel"/>
    <w:tmpl w:val="15C5C0B5"/>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76591C"/>
    <w:multiLevelType w:val="hybridMultilevel"/>
    <w:tmpl w:val="5D20222C"/>
    <w:lvl w:ilvl="0" w:tplc="84D42DB2">
      <w:numFmt w:val="bullet"/>
      <w:lvlText w:val=""/>
      <w:lvlJc w:val="left"/>
      <w:pPr>
        <w:ind w:left="720" w:hanging="360"/>
      </w:pPr>
      <w:rPr>
        <w:rFonts w:ascii="Wingdings" w:eastAsia="DejaVu Sans" w:hAnsi="Wingdings"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B911A72"/>
    <w:multiLevelType w:val="hybridMultilevel"/>
    <w:tmpl w:val="36804260"/>
    <w:lvl w:ilvl="0" w:tplc="0413000F">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D793D34"/>
    <w:multiLevelType w:val="multilevel"/>
    <w:tmpl w:val="586A698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1B353EA"/>
    <w:multiLevelType w:val="multilevel"/>
    <w:tmpl w:val="E82096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AA73424"/>
    <w:multiLevelType w:val="hybridMultilevel"/>
    <w:tmpl w:val="F2C069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B6F1562"/>
    <w:multiLevelType w:val="hybridMultilevel"/>
    <w:tmpl w:val="94945C50"/>
    <w:lvl w:ilvl="0" w:tplc="88B651B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E0E7561"/>
    <w:multiLevelType w:val="multilevel"/>
    <w:tmpl w:val="B187868C"/>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11FDC8"/>
    <w:multiLevelType w:val="multilevel"/>
    <w:tmpl w:val="48552756"/>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D5297B"/>
    <w:multiLevelType w:val="multilevel"/>
    <w:tmpl w:val="F85EE9A4"/>
    <w:lvl w:ilvl="0">
      <w:start w:val="1"/>
      <w:numFmt w:val="decimal"/>
      <w:lvlText w:val="%1."/>
      <w:lvlJc w:val="left"/>
      <w:pPr>
        <w:ind w:left="360" w:hanging="360"/>
      </w:pPr>
      <w:rPr>
        <w:rFonts w:hint="default"/>
      </w:rPr>
    </w:lvl>
    <w:lvl w:ilvl="1">
      <w:start w:val="2"/>
      <w:numFmt w:val="decimal"/>
      <w:isLgl/>
      <w:lvlText w:val="%1.%2"/>
      <w:lvlJc w:val="left"/>
      <w:pPr>
        <w:ind w:left="75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3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70" w:hanging="1440"/>
      </w:pPr>
      <w:rPr>
        <w:rFonts w:hint="default"/>
      </w:rPr>
    </w:lvl>
    <w:lvl w:ilvl="8">
      <w:start w:val="1"/>
      <w:numFmt w:val="decimal"/>
      <w:isLgl/>
      <w:lvlText w:val="%1.%2.%3.%4.%5.%6.%7.%8.%9"/>
      <w:lvlJc w:val="left"/>
      <w:pPr>
        <w:ind w:left="4920" w:hanging="1800"/>
      </w:pPr>
      <w:rPr>
        <w:rFonts w:hint="default"/>
      </w:rPr>
    </w:lvl>
  </w:abstractNum>
  <w:abstractNum w:abstractNumId="25" w15:restartNumberingAfterBreak="0">
    <w:nsid w:val="58209513"/>
    <w:multiLevelType w:val="multilevel"/>
    <w:tmpl w:val="F44A0653"/>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8D0959"/>
    <w:multiLevelType w:val="hybridMultilevel"/>
    <w:tmpl w:val="AB02D6D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36479098">
    <w:abstractNumId w:val="22"/>
  </w:num>
  <w:num w:numId="2" w16cid:durableId="388771656">
    <w:abstractNumId w:val="7"/>
  </w:num>
  <w:num w:numId="3" w16cid:durableId="1403720346">
    <w:abstractNumId w:val="5"/>
  </w:num>
  <w:num w:numId="4" w16cid:durableId="710689060">
    <w:abstractNumId w:val="1"/>
  </w:num>
  <w:num w:numId="5" w16cid:durableId="469254606">
    <w:abstractNumId w:val="15"/>
  </w:num>
  <w:num w:numId="6" w16cid:durableId="5833228">
    <w:abstractNumId w:val="8"/>
  </w:num>
  <w:num w:numId="7" w16cid:durableId="2119912359">
    <w:abstractNumId w:val="0"/>
  </w:num>
  <w:num w:numId="8" w16cid:durableId="1266885078">
    <w:abstractNumId w:val="3"/>
  </w:num>
  <w:num w:numId="9" w16cid:durableId="1484541109">
    <w:abstractNumId w:val="6"/>
  </w:num>
  <w:num w:numId="10" w16cid:durableId="1301224408">
    <w:abstractNumId w:val="10"/>
  </w:num>
  <w:num w:numId="11" w16cid:durableId="1482430345">
    <w:abstractNumId w:val="25"/>
  </w:num>
  <w:num w:numId="12" w16cid:durableId="93523687">
    <w:abstractNumId w:val="23"/>
  </w:num>
  <w:num w:numId="13" w16cid:durableId="2073503672">
    <w:abstractNumId w:val="4"/>
  </w:num>
  <w:num w:numId="14" w16cid:durableId="1624847876">
    <w:abstractNumId w:val="2"/>
  </w:num>
  <w:num w:numId="15" w16cid:durableId="1614047475">
    <w:abstractNumId w:val="11"/>
  </w:num>
  <w:num w:numId="16" w16cid:durableId="2037728421">
    <w:abstractNumId w:val="14"/>
  </w:num>
  <w:num w:numId="17" w16cid:durableId="1411080173">
    <w:abstractNumId w:val="21"/>
  </w:num>
  <w:num w:numId="18" w16cid:durableId="1028022393">
    <w:abstractNumId w:val="20"/>
  </w:num>
  <w:num w:numId="19" w16cid:durableId="1262949688">
    <w:abstractNumId w:val="9"/>
  </w:num>
  <w:num w:numId="20" w16cid:durableId="1954900495">
    <w:abstractNumId w:val="18"/>
  </w:num>
  <w:num w:numId="21" w16cid:durableId="1575241903">
    <w:abstractNumId w:val="17"/>
  </w:num>
  <w:num w:numId="22" w16cid:durableId="1288123760">
    <w:abstractNumId w:val="24"/>
  </w:num>
  <w:num w:numId="23" w16cid:durableId="2118135797">
    <w:abstractNumId w:val="19"/>
  </w:num>
  <w:num w:numId="24" w16cid:durableId="784353436">
    <w:abstractNumId w:val="16"/>
  </w:num>
  <w:num w:numId="25" w16cid:durableId="985015651">
    <w:abstractNumId w:val="13"/>
  </w:num>
  <w:num w:numId="26" w16cid:durableId="1991058139">
    <w:abstractNumId w:val="26"/>
  </w:num>
  <w:num w:numId="27" w16cid:durableId="7291847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350"/>
    <w:rsid w:val="000154D3"/>
    <w:rsid w:val="00020686"/>
    <w:rsid w:val="000225E0"/>
    <w:rsid w:val="0002343C"/>
    <w:rsid w:val="00030C61"/>
    <w:rsid w:val="00034BB9"/>
    <w:rsid w:val="00035246"/>
    <w:rsid w:val="0004102B"/>
    <w:rsid w:val="000410D8"/>
    <w:rsid w:val="0004195B"/>
    <w:rsid w:val="00044272"/>
    <w:rsid w:val="00045B7C"/>
    <w:rsid w:val="000546AF"/>
    <w:rsid w:val="00056C40"/>
    <w:rsid w:val="00062248"/>
    <w:rsid w:val="00063AEA"/>
    <w:rsid w:val="00072A82"/>
    <w:rsid w:val="00085447"/>
    <w:rsid w:val="000942D6"/>
    <w:rsid w:val="000A6188"/>
    <w:rsid w:val="000B2B7C"/>
    <w:rsid w:val="000B3E27"/>
    <w:rsid w:val="000C17EA"/>
    <w:rsid w:val="000C2921"/>
    <w:rsid w:val="000C4721"/>
    <w:rsid w:val="000E20EE"/>
    <w:rsid w:val="000E70D2"/>
    <w:rsid w:val="000F2275"/>
    <w:rsid w:val="000F4444"/>
    <w:rsid w:val="000F467E"/>
    <w:rsid w:val="000F53F5"/>
    <w:rsid w:val="000F6417"/>
    <w:rsid w:val="001013D7"/>
    <w:rsid w:val="00102330"/>
    <w:rsid w:val="00102B8B"/>
    <w:rsid w:val="0010536B"/>
    <w:rsid w:val="00110C0E"/>
    <w:rsid w:val="00111F11"/>
    <w:rsid w:val="001123F5"/>
    <w:rsid w:val="00116309"/>
    <w:rsid w:val="001177F4"/>
    <w:rsid w:val="00122ABA"/>
    <w:rsid w:val="001243FA"/>
    <w:rsid w:val="0012578D"/>
    <w:rsid w:val="00125B4D"/>
    <w:rsid w:val="00127C28"/>
    <w:rsid w:val="001318E5"/>
    <w:rsid w:val="00137017"/>
    <w:rsid w:val="00141328"/>
    <w:rsid w:val="00142430"/>
    <w:rsid w:val="0014381C"/>
    <w:rsid w:val="00147D0D"/>
    <w:rsid w:val="00153F50"/>
    <w:rsid w:val="00161C4A"/>
    <w:rsid w:val="001639E7"/>
    <w:rsid w:val="001664E7"/>
    <w:rsid w:val="0017085B"/>
    <w:rsid w:val="00175A9D"/>
    <w:rsid w:val="00176BEC"/>
    <w:rsid w:val="001815BD"/>
    <w:rsid w:val="0018197A"/>
    <w:rsid w:val="00184BA0"/>
    <w:rsid w:val="0018519C"/>
    <w:rsid w:val="0018609F"/>
    <w:rsid w:val="00186D20"/>
    <w:rsid w:val="00191D05"/>
    <w:rsid w:val="00195AA4"/>
    <w:rsid w:val="001A59AD"/>
    <w:rsid w:val="001B001C"/>
    <w:rsid w:val="001B0095"/>
    <w:rsid w:val="001C0785"/>
    <w:rsid w:val="001C3033"/>
    <w:rsid w:val="001D0DB7"/>
    <w:rsid w:val="001D107F"/>
    <w:rsid w:val="001D144E"/>
    <w:rsid w:val="001D1621"/>
    <w:rsid w:val="001D6A91"/>
    <w:rsid w:val="001F087A"/>
    <w:rsid w:val="001F4BAA"/>
    <w:rsid w:val="001F4EA5"/>
    <w:rsid w:val="0020093A"/>
    <w:rsid w:val="00200F0F"/>
    <w:rsid w:val="00215831"/>
    <w:rsid w:val="00224B5A"/>
    <w:rsid w:val="00225E3D"/>
    <w:rsid w:val="002267B0"/>
    <w:rsid w:val="0023008D"/>
    <w:rsid w:val="00231C56"/>
    <w:rsid w:val="00232C98"/>
    <w:rsid w:val="00234EE0"/>
    <w:rsid w:val="00241DE9"/>
    <w:rsid w:val="002464F9"/>
    <w:rsid w:val="0025763E"/>
    <w:rsid w:val="002624E4"/>
    <w:rsid w:val="00265CEE"/>
    <w:rsid w:val="00273DE7"/>
    <w:rsid w:val="00277CF6"/>
    <w:rsid w:val="00282DFA"/>
    <w:rsid w:val="00283073"/>
    <w:rsid w:val="0028509C"/>
    <w:rsid w:val="00285F28"/>
    <w:rsid w:val="0028630A"/>
    <w:rsid w:val="002869F3"/>
    <w:rsid w:val="0028731B"/>
    <w:rsid w:val="002900A4"/>
    <w:rsid w:val="0029632C"/>
    <w:rsid w:val="00296E8D"/>
    <w:rsid w:val="002A029E"/>
    <w:rsid w:val="002A6B71"/>
    <w:rsid w:val="002B2070"/>
    <w:rsid w:val="002B5BA3"/>
    <w:rsid w:val="002C14B1"/>
    <w:rsid w:val="002C2BE6"/>
    <w:rsid w:val="002C3987"/>
    <w:rsid w:val="002D5CA2"/>
    <w:rsid w:val="002D5DD9"/>
    <w:rsid w:val="002D69CC"/>
    <w:rsid w:val="002E2788"/>
    <w:rsid w:val="002E31FA"/>
    <w:rsid w:val="002E52A9"/>
    <w:rsid w:val="002E75F8"/>
    <w:rsid w:val="00301ACB"/>
    <w:rsid w:val="00305585"/>
    <w:rsid w:val="003119BE"/>
    <w:rsid w:val="00312576"/>
    <w:rsid w:val="00312CC9"/>
    <w:rsid w:val="00316494"/>
    <w:rsid w:val="003169D5"/>
    <w:rsid w:val="003169E7"/>
    <w:rsid w:val="00316AB2"/>
    <w:rsid w:val="00316C93"/>
    <w:rsid w:val="003179B3"/>
    <w:rsid w:val="00320BA1"/>
    <w:rsid w:val="00320F07"/>
    <w:rsid w:val="00321B45"/>
    <w:rsid w:val="00326F33"/>
    <w:rsid w:val="003279DD"/>
    <w:rsid w:val="00330A8D"/>
    <w:rsid w:val="00332459"/>
    <w:rsid w:val="0033363B"/>
    <w:rsid w:val="00345370"/>
    <w:rsid w:val="00345A2C"/>
    <w:rsid w:val="00345A9D"/>
    <w:rsid w:val="00346C42"/>
    <w:rsid w:val="003500B4"/>
    <w:rsid w:val="00352304"/>
    <w:rsid w:val="00354FFD"/>
    <w:rsid w:val="00355499"/>
    <w:rsid w:val="00360460"/>
    <w:rsid w:val="0036059F"/>
    <w:rsid w:val="00366543"/>
    <w:rsid w:val="00367B91"/>
    <w:rsid w:val="00371401"/>
    <w:rsid w:val="00385261"/>
    <w:rsid w:val="003876A1"/>
    <w:rsid w:val="00390D52"/>
    <w:rsid w:val="00392AD3"/>
    <w:rsid w:val="003972BC"/>
    <w:rsid w:val="003A037B"/>
    <w:rsid w:val="003A063A"/>
    <w:rsid w:val="003A06A4"/>
    <w:rsid w:val="003A2355"/>
    <w:rsid w:val="003A4241"/>
    <w:rsid w:val="003A4256"/>
    <w:rsid w:val="003B1230"/>
    <w:rsid w:val="003B347B"/>
    <w:rsid w:val="003C22AD"/>
    <w:rsid w:val="003C3AED"/>
    <w:rsid w:val="003C5744"/>
    <w:rsid w:val="003C6320"/>
    <w:rsid w:val="003C6346"/>
    <w:rsid w:val="003C7D60"/>
    <w:rsid w:val="003D0248"/>
    <w:rsid w:val="003D32C9"/>
    <w:rsid w:val="003D4C0C"/>
    <w:rsid w:val="003D50CD"/>
    <w:rsid w:val="003D7475"/>
    <w:rsid w:val="003E0CA8"/>
    <w:rsid w:val="003E4259"/>
    <w:rsid w:val="003F164E"/>
    <w:rsid w:val="003F3CAC"/>
    <w:rsid w:val="003F79A4"/>
    <w:rsid w:val="00401F2D"/>
    <w:rsid w:val="00403DAA"/>
    <w:rsid w:val="00405160"/>
    <w:rsid w:val="00414310"/>
    <w:rsid w:val="00414BD8"/>
    <w:rsid w:val="00427BBC"/>
    <w:rsid w:val="00430E61"/>
    <w:rsid w:val="004326A1"/>
    <w:rsid w:val="00435131"/>
    <w:rsid w:val="0043583B"/>
    <w:rsid w:val="00440AB6"/>
    <w:rsid w:val="0044209E"/>
    <w:rsid w:val="004535FA"/>
    <w:rsid w:val="00463C8D"/>
    <w:rsid w:val="00471BFE"/>
    <w:rsid w:val="00473752"/>
    <w:rsid w:val="00476747"/>
    <w:rsid w:val="00477C47"/>
    <w:rsid w:val="00483331"/>
    <w:rsid w:val="00483A7D"/>
    <w:rsid w:val="00490E0B"/>
    <w:rsid w:val="0049347C"/>
    <w:rsid w:val="004A22C7"/>
    <w:rsid w:val="004A45DC"/>
    <w:rsid w:val="004B0876"/>
    <w:rsid w:val="004B6F1B"/>
    <w:rsid w:val="004C149C"/>
    <w:rsid w:val="004C493E"/>
    <w:rsid w:val="004E2075"/>
    <w:rsid w:val="004E3A84"/>
    <w:rsid w:val="004E4763"/>
    <w:rsid w:val="004F0F1D"/>
    <w:rsid w:val="004F1A74"/>
    <w:rsid w:val="004F4F6F"/>
    <w:rsid w:val="004F5081"/>
    <w:rsid w:val="004F5102"/>
    <w:rsid w:val="00501130"/>
    <w:rsid w:val="00512B7D"/>
    <w:rsid w:val="00520253"/>
    <w:rsid w:val="00522855"/>
    <w:rsid w:val="00527C61"/>
    <w:rsid w:val="00530CF8"/>
    <w:rsid w:val="00540103"/>
    <w:rsid w:val="00540238"/>
    <w:rsid w:val="00550A4A"/>
    <w:rsid w:val="00560E2F"/>
    <w:rsid w:val="00566418"/>
    <w:rsid w:val="005666D7"/>
    <w:rsid w:val="00566B5B"/>
    <w:rsid w:val="00570FF6"/>
    <w:rsid w:val="005751CA"/>
    <w:rsid w:val="00584E8C"/>
    <w:rsid w:val="00590C9E"/>
    <w:rsid w:val="00591081"/>
    <w:rsid w:val="00592B4B"/>
    <w:rsid w:val="005931E9"/>
    <w:rsid w:val="00593226"/>
    <w:rsid w:val="0059479B"/>
    <w:rsid w:val="00595FB9"/>
    <w:rsid w:val="00596D1F"/>
    <w:rsid w:val="005976FF"/>
    <w:rsid w:val="0059781D"/>
    <w:rsid w:val="00597F51"/>
    <w:rsid w:val="005A156C"/>
    <w:rsid w:val="005A1D46"/>
    <w:rsid w:val="005B17A7"/>
    <w:rsid w:val="005B3842"/>
    <w:rsid w:val="005B4251"/>
    <w:rsid w:val="005B7E81"/>
    <w:rsid w:val="005C746A"/>
    <w:rsid w:val="005D1DFE"/>
    <w:rsid w:val="005D3BA9"/>
    <w:rsid w:val="005D6E8F"/>
    <w:rsid w:val="005E29F2"/>
    <w:rsid w:val="005E2FD1"/>
    <w:rsid w:val="005E5BE6"/>
    <w:rsid w:val="005E5C24"/>
    <w:rsid w:val="005E5C8A"/>
    <w:rsid w:val="005E6663"/>
    <w:rsid w:val="005F0F54"/>
    <w:rsid w:val="005F357F"/>
    <w:rsid w:val="005F5978"/>
    <w:rsid w:val="00600BDF"/>
    <w:rsid w:val="006020EF"/>
    <w:rsid w:val="00604FA4"/>
    <w:rsid w:val="00610FBC"/>
    <w:rsid w:val="00617F13"/>
    <w:rsid w:val="00635177"/>
    <w:rsid w:val="00635CB9"/>
    <w:rsid w:val="0063624A"/>
    <w:rsid w:val="006369A7"/>
    <w:rsid w:val="006415E7"/>
    <w:rsid w:val="00644617"/>
    <w:rsid w:val="006457C3"/>
    <w:rsid w:val="0064632B"/>
    <w:rsid w:val="00647762"/>
    <w:rsid w:val="00651D3A"/>
    <w:rsid w:val="00660435"/>
    <w:rsid w:val="00660D2A"/>
    <w:rsid w:val="00660E9A"/>
    <w:rsid w:val="00662FBC"/>
    <w:rsid w:val="00663F4C"/>
    <w:rsid w:val="00671859"/>
    <w:rsid w:val="00671B4E"/>
    <w:rsid w:val="00673880"/>
    <w:rsid w:val="00677E16"/>
    <w:rsid w:val="00680C22"/>
    <w:rsid w:val="00681C99"/>
    <w:rsid w:val="006833B4"/>
    <w:rsid w:val="00690878"/>
    <w:rsid w:val="00693708"/>
    <w:rsid w:val="006B3ECD"/>
    <w:rsid w:val="006C460C"/>
    <w:rsid w:val="006C5350"/>
    <w:rsid w:val="006C5403"/>
    <w:rsid w:val="006D5F0A"/>
    <w:rsid w:val="006D5F93"/>
    <w:rsid w:val="006F2452"/>
    <w:rsid w:val="006F57B0"/>
    <w:rsid w:val="006F5936"/>
    <w:rsid w:val="006F5E7E"/>
    <w:rsid w:val="00701006"/>
    <w:rsid w:val="00702DFA"/>
    <w:rsid w:val="00704B6B"/>
    <w:rsid w:val="007053E3"/>
    <w:rsid w:val="007156B5"/>
    <w:rsid w:val="0072152A"/>
    <w:rsid w:val="00726CEA"/>
    <w:rsid w:val="00730F48"/>
    <w:rsid w:val="0073100A"/>
    <w:rsid w:val="00731248"/>
    <w:rsid w:val="0073457A"/>
    <w:rsid w:val="0073677A"/>
    <w:rsid w:val="00742C7E"/>
    <w:rsid w:val="00746FB1"/>
    <w:rsid w:val="00751575"/>
    <w:rsid w:val="00752E9C"/>
    <w:rsid w:val="0075392A"/>
    <w:rsid w:val="00753B31"/>
    <w:rsid w:val="00754EE3"/>
    <w:rsid w:val="007551AB"/>
    <w:rsid w:val="007558BF"/>
    <w:rsid w:val="00761395"/>
    <w:rsid w:val="0076368C"/>
    <w:rsid w:val="00766A07"/>
    <w:rsid w:val="007707CF"/>
    <w:rsid w:val="0077517F"/>
    <w:rsid w:val="0077689B"/>
    <w:rsid w:val="00785B8D"/>
    <w:rsid w:val="00791F62"/>
    <w:rsid w:val="007948DC"/>
    <w:rsid w:val="0079739A"/>
    <w:rsid w:val="007A02D4"/>
    <w:rsid w:val="007A094A"/>
    <w:rsid w:val="007A2239"/>
    <w:rsid w:val="007A3A5B"/>
    <w:rsid w:val="007A6D01"/>
    <w:rsid w:val="007A7C43"/>
    <w:rsid w:val="007B1656"/>
    <w:rsid w:val="007B2BCC"/>
    <w:rsid w:val="007C0116"/>
    <w:rsid w:val="007C371D"/>
    <w:rsid w:val="007C5B91"/>
    <w:rsid w:val="007D054C"/>
    <w:rsid w:val="007D1639"/>
    <w:rsid w:val="007D1701"/>
    <w:rsid w:val="007D69C4"/>
    <w:rsid w:val="007E064F"/>
    <w:rsid w:val="007E3189"/>
    <w:rsid w:val="007F1A99"/>
    <w:rsid w:val="007F1E62"/>
    <w:rsid w:val="007F3A67"/>
    <w:rsid w:val="007F646C"/>
    <w:rsid w:val="008134E1"/>
    <w:rsid w:val="008151BF"/>
    <w:rsid w:val="00815254"/>
    <w:rsid w:val="00816533"/>
    <w:rsid w:val="00820B2B"/>
    <w:rsid w:val="00832689"/>
    <w:rsid w:val="00841428"/>
    <w:rsid w:val="00841E2A"/>
    <w:rsid w:val="00842EFA"/>
    <w:rsid w:val="00843E1C"/>
    <w:rsid w:val="0084441D"/>
    <w:rsid w:val="00856FC6"/>
    <w:rsid w:val="00862800"/>
    <w:rsid w:val="0086674F"/>
    <w:rsid w:val="008736BC"/>
    <w:rsid w:val="00880886"/>
    <w:rsid w:val="00881523"/>
    <w:rsid w:val="00881F37"/>
    <w:rsid w:val="008823FB"/>
    <w:rsid w:val="00882A8F"/>
    <w:rsid w:val="008875AF"/>
    <w:rsid w:val="00887744"/>
    <w:rsid w:val="0089027B"/>
    <w:rsid w:val="008925B8"/>
    <w:rsid w:val="008931EA"/>
    <w:rsid w:val="008A2C8E"/>
    <w:rsid w:val="008A2CDA"/>
    <w:rsid w:val="008A3985"/>
    <w:rsid w:val="008A7042"/>
    <w:rsid w:val="008A7397"/>
    <w:rsid w:val="008B3487"/>
    <w:rsid w:val="008B3FF5"/>
    <w:rsid w:val="008C3A5B"/>
    <w:rsid w:val="008C4DFC"/>
    <w:rsid w:val="008D05A7"/>
    <w:rsid w:val="008D3778"/>
    <w:rsid w:val="008D3AF5"/>
    <w:rsid w:val="008E143D"/>
    <w:rsid w:val="008E32EA"/>
    <w:rsid w:val="008F1E80"/>
    <w:rsid w:val="0090194A"/>
    <w:rsid w:val="0090227B"/>
    <w:rsid w:val="0090302D"/>
    <w:rsid w:val="00906206"/>
    <w:rsid w:val="00910244"/>
    <w:rsid w:val="009122C0"/>
    <w:rsid w:val="00914D2B"/>
    <w:rsid w:val="00920AD3"/>
    <w:rsid w:val="00922597"/>
    <w:rsid w:val="0093134C"/>
    <w:rsid w:val="00933EAE"/>
    <w:rsid w:val="00944127"/>
    <w:rsid w:val="00944339"/>
    <w:rsid w:val="00946FEA"/>
    <w:rsid w:val="009473EB"/>
    <w:rsid w:val="00952405"/>
    <w:rsid w:val="00960DE1"/>
    <w:rsid w:val="00963D72"/>
    <w:rsid w:val="0097794B"/>
    <w:rsid w:val="00977C72"/>
    <w:rsid w:val="00981AD7"/>
    <w:rsid w:val="0098261A"/>
    <w:rsid w:val="0098571C"/>
    <w:rsid w:val="0098718F"/>
    <w:rsid w:val="009906BA"/>
    <w:rsid w:val="00991B6B"/>
    <w:rsid w:val="00992DC4"/>
    <w:rsid w:val="0099409B"/>
    <w:rsid w:val="009B0537"/>
    <w:rsid w:val="009C36C5"/>
    <w:rsid w:val="009C4B12"/>
    <w:rsid w:val="009C5318"/>
    <w:rsid w:val="009C6362"/>
    <w:rsid w:val="009D4E61"/>
    <w:rsid w:val="009D7717"/>
    <w:rsid w:val="009E0382"/>
    <w:rsid w:val="009E6ED1"/>
    <w:rsid w:val="009E74D8"/>
    <w:rsid w:val="009E7B14"/>
    <w:rsid w:val="009F0C9E"/>
    <w:rsid w:val="009F156A"/>
    <w:rsid w:val="009F3F86"/>
    <w:rsid w:val="009F46D9"/>
    <w:rsid w:val="009F46F4"/>
    <w:rsid w:val="009F6A5E"/>
    <w:rsid w:val="00A064B8"/>
    <w:rsid w:val="00A10411"/>
    <w:rsid w:val="00A15C18"/>
    <w:rsid w:val="00A16B8F"/>
    <w:rsid w:val="00A17C98"/>
    <w:rsid w:val="00A2565E"/>
    <w:rsid w:val="00A25E30"/>
    <w:rsid w:val="00A26726"/>
    <w:rsid w:val="00A274AF"/>
    <w:rsid w:val="00A334B4"/>
    <w:rsid w:val="00A335D8"/>
    <w:rsid w:val="00A402B7"/>
    <w:rsid w:val="00A464F6"/>
    <w:rsid w:val="00A50296"/>
    <w:rsid w:val="00A56411"/>
    <w:rsid w:val="00A577B2"/>
    <w:rsid w:val="00A70112"/>
    <w:rsid w:val="00A719AD"/>
    <w:rsid w:val="00A91207"/>
    <w:rsid w:val="00A9210B"/>
    <w:rsid w:val="00A928FD"/>
    <w:rsid w:val="00A9508A"/>
    <w:rsid w:val="00AA1C5E"/>
    <w:rsid w:val="00AA5CFE"/>
    <w:rsid w:val="00AA673A"/>
    <w:rsid w:val="00AA71A7"/>
    <w:rsid w:val="00AA737D"/>
    <w:rsid w:val="00AD546F"/>
    <w:rsid w:val="00AE31A5"/>
    <w:rsid w:val="00AF109D"/>
    <w:rsid w:val="00AF6244"/>
    <w:rsid w:val="00AF62B8"/>
    <w:rsid w:val="00B000D0"/>
    <w:rsid w:val="00B1478D"/>
    <w:rsid w:val="00B1621E"/>
    <w:rsid w:val="00B171BF"/>
    <w:rsid w:val="00B31825"/>
    <w:rsid w:val="00B429AC"/>
    <w:rsid w:val="00B44ABF"/>
    <w:rsid w:val="00B4546E"/>
    <w:rsid w:val="00B455EB"/>
    <w:rsid w:val="00B47346"/>
    <w:rsid w:val="00B510C8"/>
    <w:rsid w:val="00B53B0F"/>
    <w:rsid w:val="00B57C46"/>
    <w:rsid w:val="00B61630"/>
    <w:rsid w:val="00B61D2A"/>
    <w:rsid w:val="00B72D6B"/>
    <w:rsid w:val="00B7709A"/>
    <w:rsid w:val="00B77443"/>
    <w:rsid w:val="00B827C6"/>
    <w:rsid w:val="00B83399"/>
    <w:rsid w:val="00B85F41"/>
    <w:rsid w:val="00B86221"/>
    <w:rsid w:val="00B87F2B"/>
    <w:rsid w:val="00B94D51"/>
    <w:rsid w:val="00BA3A40"/>
    <w:rsid w:val="00BA4F5B"/>
    <w:rsid w:val="00BB17CF"/>
    <w:rsid w:val="00BB1CF4"/>
    <w:rsid w:val="00BB2FB1"/>
    <w:rsid w:val="00BC17C5"/>
    <w:rsid w:val="00BD1034"/>
    <w:rsid w:val="00BD72AC"/>
    <w:rsid w:val="00BE004E"/>
    <w:rsid w:val="00BE2AC6"/>
    <w:rsid w:val="00BE3543"/>
    <w:rsid w:val="00BE7D02"/>
    <w:rsid w:val="00BF1481"/>
    <w:rsid w:val="00BF525B"/>
    <w:rsid w:val="00BF7C26"/>
    <w:rsid w:val="00C02FF7"/>
    <w:rsid w:val="00C03454"/>
    <w:rsid w:val="00C0361E"/>
    <w:rsid w:val="00C21C07"/>
    <w:rsid w:val="00C25BCE"/>
    <w:rsid w:val="00C438FE"/>
    <w:rsid w:val="00C47ABD"/>
    <w:rsid w:val="00C51D53"/>
    <w:rsid w:val="00C53954"/>
    <w:rsid w:val="00C60A20"/>
    <w:rsid w:val="00C61F66"/>
    <w:rsid w:val="00C66268"/>
    <w:rsid w:val="00C73AEB"/>
    <w:rsid w:val="00C755EE"/>
    <w:rsid w:val="00C80CC7"/>
    <w:rsid w:val="00C824D6"/>
    <w:rsid w:val="00C84751"/>
    <w:rsid w:val="00C92ADC"/>
    <w:rsid w:val="00C9327F"/>
    <w:rsid w:val="00C93E30"/>
    <w:rsid w:val="00C954BC"/>
    <w:rsid w:val="00C97301"/>
    <w:rsid w:val="00CA23AA"/>
    <w:rsid w:val="00CA3126"/>
    <w:rsid w:val="00CA56E3"/>
    <w:rsid w:val="00CB56D9"/>
    <w:rsid w:val="00CC1206"/>
    <w:rsid w:val="00CC3091"/>
    <w:rsid w:val="00CC5350"/>
    <w:rsid w:val="00CC5F4D"/>
    <w:rsid w:val="00CD03E5"/>
    <w:rsid w:val="00CD0707"/>
    <w:rsid w:val="00CD2138"/>
    <w:rsid w:val="00CD49DA"/>
    <w:rsid w:val="00CD7E79"/>
    <w:rsid w:val="00CE3FF6"/>
    <w:rsid w:val="00CE70EA"/>
    <w:rsid w:val="00CE79FF"/>
    <w:rsid w:val="00CF03C9"/>
    <w:rsid w:val="00CF0B48"/>
    <w:rsid w:val="00CF405B"/>
    <w:rsid w:val="00CF62C2"/>
    <w:rsid w:val="00CF7E55"/>
    <w:rsid w:val="00D020FC"/>
    <w:rsid w:val="00D043A4"/>
    <w:rsid w:val="00D14110"/>
    <w:rsid w:val="00D15C13"/>
    <w:rsid w:val="00D21072"/>
    <w:rsid w:val="00D23488"/>
    <w:rsid w:val="00D2358B"/>
    <w:rsid w:val="00D36159"/>
    <w:rsid w:val="00D3765E"/>
    <w:rsid w:val="00D617D3"/>
    <w:rsid w:val="00D61D83"/>
    <w:rsid w:val="00D667C0"/>
    <w:rsid w:val="00D672D9"/>
    <w:rsid w:val="00D73916"/>
    <w:rsid w:val="00D903FE"/>
    <w:rsid w:val="00D923E6"/>
    <w:rsid w:val="00D93171"/>
    <w:rsid w:val="00D933A0"/>
    <w:rsid w:val="00D97AD2"/>
    <w:rsid w:val="00DA284A"/>
    <w:rsid w:val="00DA5144"/>
    <w:rsid w:val="00DB289E"/>
    <w:rsid w:val="00DB2D3A"/>
    <w:rsid w:val="00DB36E3"/>
    <w:rsid w:val="00DB5150"/>
    <w:rsid w:val="00DC1D66"/>
    <w:rsid w:val="00DD2733"/>
    <w:rsid w:val="00DD2A2D"/>
    <w:rsid w:val="00DD5D3B"/>
    <w:rsid w:val="00DE3EFA"/>
    <w:rsid w:val="00DE5654"/>
    <w:rsid w:val="00DE5773"/>
    <w:rsid w:val="00DE6481"/>
    <w:rsid w:val="00DF68BE"/>
    <w:rsid w:val="00DF6EE6"/>
    <w:rsid w:val="00E014BF"/>
    <w:rsid w:val="00E0750A"/>
    <w:rsid w:val="00E10234"/>
    <w:rsid w:val="00E13284"/>
    <w:rsid w:val="00E1616A"/>
    <w:rsid w:val="00E1666A"/>
    <w:rsid w:val="00E16FA1"/>
    <w:rsid w:val="00E21D78"/>
    <w:rsid w:val="00E22E46"/>
    <w:rsid w:val="00E30210"/>
    <w:rsid w:val="00E3027C"/>
    <w:rsid w:val="00E30F17"/>
    <w:rsid w:val="00E32A49"/>
    <w:rsid w:val="00E35109"/>
    <w:rsid w:val="00E40199"/>
    <w:rsid w:val="00E4284F"/>
    <w:rsid w:val="00E4327F"/>
    <w:rsid w:val="00E44274"/>
    <w:rsid w:val="00E45AF2"/>
    <w:rsid w:val="00E45F51"/>
    <w:rsid w:val="00E50A54"/>
    <w:rsid w:val="00E51767"/>
    <w:rsid w:val="00E5254A"/>
    <w:rsid w:val="00E54035"/>
    <w:rsid w:val="00E547EC"/>
    <w:rsid w:val="00E5500E"/>
    <w:rsid w:val="00E662C4"/>
    <w:rsid w:val="00E75D68"/>
    <w:rsid w:val="00E7745E"/>
    <w:rsid w:val="00E8155A"/>
    <w:rsid w:val="00E850AD"/>
    <w:rsid w:val="00E87D4A"/>
    <w:rsid w:val="00E910C3"/>
    <w:rsid w:val="00E92507"/>
    <w:rsid w:val="00E960D8"/>
    <w:rsid w:val="00E96427"/>
    <w:rsid w:val="00EA4BE8"/>
    <w:rsid w:val="00EA4EAA"/>
    <w:rsid w:val="00EA5FFD"/>
    <w:rsid w:val="00EB1C66"/>
    <w:rsid w:val="00EB61A5"/>
    <w:rsid w:val="00EC3654"/>
    <w:rsid w:val="00EC5F11"/>
    <w:rsid w:val="00ED1683"/>
    <w:rsid w:val="00ED6EBF"/>
    <w:rsid w:val="00EE39C6"/>
    <w:rsid w:val="00EF0289"/>
    <w:rsid w:val="00F006EE"/>
    <w:rsid w:val="00F02414"/>
    <w:rsid w:val="00F02769"/>
    <w:rsid w:val="00F073BD"/>
    <w:rsid w:val="00F1036D"/>
    <w:rsid w:val="00F14AE2"/>
    <w:rsid w:val="00F22B79"/>
    <w:rsid w:val="00F25DE4"/>
    <w:rsid w:val="00F310F3"/>
    <w:rsid w:val="00F3132E"/>
    <w:rsid w:val="00F37A16"/>
    <w:rsid w:val="00F37F62"/>
    <w:rsid w:val="00F41D8E"/>
    <w:rsid w:val="00F42041"/>
    <w:rsid w:val="00F42075"/>
    <w:rsid w:val="00F42480"/>
    <w:rsid w:val="00F4436D"/>
    <w:rsid w:val="00F50D3B"/>
    <w:rsid w:val="00F53DE3"/>
    <w:rsid w:val="00F54C07"/>
    <w:rsid w:val="00F5624F"/>
    <w:rsid w:val="00F601F0"/>
    <w:rsid w:val="00F70E3C"/>
    <w:rsid w:val="00F80971"/>
    <w:rsid w:val="00F82854"/>
    <w:rsid w:val="00F834A5"/>
    <w:rsid w:val="00F9216A"/>
    <w:rsid w:val="00F93995"/>
    <w:rsid w:val="00F94144"/>
    <w:rsid w:val="00F94DC5"/>
    <w:rsid w:val="00FA2D26"/>
    <w:rsid w:val="00FA48F0"/>
    <w:rsid w:val="00FA7BE9"/>
    <w:rsid w:val="00FB05F2"/>
    <w:rsid w:val="00FB09FE"/>
    <w:rsid w:val="00FB524B"/>
    <w:rsid w:val="00FD3690"/>
    <w:rsid w:val="00FE056A"/>
    <w:rsid w:val="00FE137F"/>
    <w:rsid w:val="00FE1964"/>
    <w:rsid w:val="00FE6227"/>
    <w:rsid w:val="00FE6BD7"/>
    <w:rsid w:val="00FE7A28"/>
    <w:rsid w:val="00FF22C3"/>
    <w:rsid w:val="00FF4DB9"/>
    <w:rsid w:val="00FF66B5"/>
    <w:rsid w:val="00FF73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2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Lijst">
    <w:name w:val="Communicatie Lijst"/>
    <w:basedOn w:val="Standaard"/>
    <w:next w:val="Communicatieopsommingkop1"/>
    <w:pPr>
      <w:ind w:firstLine="20"/>
    </w:pPr>
  </w:style>
  <w:style w:type="paragraph" w:customStyle="1" w:styleId="Communicatienummering">
    <w:name w:val="Communicatie nummering"/>
    <w:basedOn w:val="Standaard"/>
    <w:next w:val="Standaard"/>
  </w:style>
  <w:style w:type="paragraph" w:customStyle="1" w:styleId="Communicatieopsommingkop1">
    <w:name w:val="Communicatie opsomming kop 1"/>
    <w:basedOn w:val="Standaard"/>
    <w:pPr>
      <w:numPr>
        <w:numId w:val="2"/>
      </w:numPr>
      <w:ind w:firstLine="20"/>
    </w:pPr>
  </w:style>
  <w:style w:type="paragraph" w:customStyle="1" w:styleId="Huisstijl-Colofon">
    <w:name w:val="Huisstijl - Colofon"/>
    <w:basedOn w:val="Standaard"/>
    <w:next w:val="Standaard"/>
    <w:pPr>
      <w:numPr>
        <w:numId w:val="4"/>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5"/>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5"/>
      </w:numPr>
      <w:tabs>
        <w:tab w:val="left" w:pos="0"/>
      </w:tabs>
      <w:spacing w:before="240"/>
      <w:ind w:left="-1120"/>
    </w:pPr>
    <w:rPr>
      <w:b/>
    </w:rPr>
  </w:style>
  <w:style w:type="paragraph" w:customStyle="1" w:styleId="Huisstijl-Kop3">
    <w:name w:val="Huisstijl - Kop 3"/>
    <w:basedOn w:val="Standaard"/>
    <w:next w:val="Standaard"/>
    <w:pPr>
      <w:numPr>
        <w:ilvl w:val="2"/>
        <w:numId w:val="5"/>
      </w:numPr>
      <w:tabs>
        <w:tab w:val="left" w:pos="0"/>
      </w:tabs>
      <w:spacing w:before="240"/>
      <w:ind w:left="-1120"/>
    </w:pPr>
    <w:rPr>
      <w:i/>
    </w:rPr>
  </w:style>
  <w:style w:type="paragraph" w:customStyle="1" w:styleId="Huisstijl-Kop4">
    <w:name w:val="Huisstijl - Kop 4"/>
    <w:basedOn w:val="Standaard"/>
    <w:next w:val="Standaard"/>
    <w:pPr>
      <w:numPr>
        <w:ilvl w:val="3"/>
        <w:numId w:val="5"/>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7"/>
      </w:numPr>
    </w:pPr>
  </w:style>
  <w:style w:type="paragraph" w:customStyle="1" w:styleId="IGJNotaterbesluitvorming-">
    <w:name w:val="IGJ Nota ter besluitvorming -"/>
    <w:basedOn w:val="Standaard"/>
    <w:next w:val="Standaard"/>
    <w:pPr>
      <w:numPr>
        <w:numId w:val="7"/>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6"/>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8"/>
      </w:numPr>
      <w:spacing w:before="600" w:after="300" w:line="300" w:lineRule="exact"/>
    </w:pPr>
    <w:rPr>
      <w:sz w:val="24"/>
      <w:szCs w:val="24"/>
    </w:rPr>
  </w:style>
  <w:style w:type="paragraph" w:customStyle="1" w:styleId="IGJVoorhangnota11">
    <w:name w:val="IGJ Voorhangnota 1.1"/>
    <w:basedOn w:val="Standaard"/>
    <w:next w:val="Standaard"/>
    <w:pPr>
      <w:numPr>
        <w:ilvl w:val="1"/>
        <w:numId w:val="8"/>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9"/>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9"/>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10"/>
      </w:numPr>
    </w:pPr>
  </w:style>
  <w:style w:type="paragraph" w:customStyle="1" w:styleId="Lijstniveau2">
    <w:name w:val="Lijst niveau 2"/>
    <w:basedOn w:val="Standaard"/>
    <w:pPr>
      <w:numPr>
        <w:ilvl w:val="1"/>
        <w:numId w:val="10"/>
      </w:numPr>
    </w:pPr>
  </w:style>
  <w:style w:type="paragraph" w:customStyle="1" w:styleId="Lijstniveau3">
    <w:name w:val="Lijst niveau 3"/>
    <w:basedOn w:val="Standaard"/>
    <w:pPr>
      <w:numPr>
        <w:ilvl w:val="2"/>
        <w:numId w:val="10"/>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1"/>
      </w:numPr>
    </w:pPr>
    <w:rPr>
      <w:b/>
    </w:rPr>
  </w:style>
  <w:style w:type="paragraph" w:customStyle="1" w:styleId="VWSAdviesMinisterraad2">
    <w:name w:val="VWS Advies Ministerraad 2"/>
    <w:basedOn w:val="Standaard"/>
    <w:next w:val="Standaard"/>
    <w:pPr>
      <w:numPr>
        <w:ilvl w:val="1"/>
        <w:numId w:val="11"/>
      </w:numPr>
    </w:pPr>
  </w:style>
  <w:style w:type="paragraph" w:customStyle="1" w:styleId="VWSAdviesMinisterraad3">
    <w:name w:val="VWS Advies Ministerraad 3"/>
    <w:basedOn w:val="Standaard"/>
    <w:next w:val="Standaard"/>
    <w:pPr>
      <w:numPr>
        <w:ilvl w:val="2"/>
        <w:numId w:val="11"/>
      </w:numPr>
    </w:pPr>
    <w:rPr>
      <w:b/>
    </w:rPr>
  </w:style>
  <w:style w:type="paragraph" w:customStyle="1" w:styleId="VWSAdviesMinisterraad4">
    <w:name w:val="VWS Advies Ministerraad 4"/>
    <w:basedOn w:val="Standaard"/>
    <w:next w:val="Standaard"/>
    <w:pPr>
      <w:numPr>
        <w:ilvl w:val="3"/>
        <w:numId w:val="11"/>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3"/>
      </w:numPr>
    </w:pPr>
  </w:style>
  <w:style w:type="paragraph" w:customStyle="1" w:styleId="VWSNtb-inspringen">
    <w:name w:val="VWS Ntb - inspringen"/>
    <w:basedOn w:val="Standaard"/>
    <w:next w:val="Standaard"/>
    <w:pPr>
      <w:numPr>
        <w:ilvl w:val="2"/>
        <w:numId w:val="13"/>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2"/>
      </w:numPr>
    </w:pPr>
  </w:style>
  <w:style w:type="paragraph" w:customStyle="1" w:styleId="VWSNtbKop">
    <w:name w:val="VWS Ntb Kop"/>
    <w:basedOn w:val="Standaard"/>
    <w:next w:val="Standaard"/>
    <w:pPr>
      <w:numPr>
        <w:numId w:val="13"/>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4"/>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CC5350"/>
    <w:pPr>
      <w:textAlignment w:val="auto"/>
    </w:pPr>
    <w:rPr>
      <w:rFonts w:ascii="Verdana" w:hAnsi="Verdana"/>
      <w:color w:val="000000"/>
      <w:sz w:val="18"/>
      <w:szCs w:val="18"/>
    </w:rPr>
  </w:style>
  <w:style w:type="paragraph" w:styleId="Lijstalinea">
    <w:name w:val="List Paragraph"/>
    <w:basedOn w:val="Standaard"/>
    <w:uiPriority w:val="34"/>
    <w:qFormat/>
    <w:rsid w:val="00CC5350"/>
    <w:pPr>
      <w:autoSpaceDN/>
      <w:spacing w:line="240" w:lineRule="atLeast"/>
      <w:ind w:left="720"/>
      <w:contextualSpacing/>
      <w:textAlignment w:val="auto"/>
    </w:pPr>
    <w:rPr>
      <w:rFonts w:asciiTheme="minorHAnsi" w:eastAsiaTheme="minorHAnsi" w:hAnsiTheme="minorHAnsi" w:cstheme="minorBidi"/>
      <w:color w:val="auto"/>
      <w:sz w:val="22"/>
      <w:szCs w:val="22"/>
      <w:lang w:eastAsia="en-US"/>
    </w:rPr>
  </w:style>
  <w:style w:type="table" w:styleId="Gemiddeldearcering1-accent1">
    <w:name w:val="Medium Shading 1 Accent 1"/>
    <w:basedOn w:val="Standaardtabel"/>
    <w:uiPriority w:val="63"/>
    <w:semiHidden/>
    <w:unhideWhenUsed/>
    <w:rsid w:val="00CC5350"/>
    <w:pPr>
      <w:textAlignment w:val="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Voetnoottekst">
    <w:name w:val="footnote text"/>
    <w:basedOn w:val="Standaard"/>
    <w:link w:val="VoetnoottekstChar"/>
    <w:uiPriority w:val="99"/>
    <w:semiHidden/>
    <w:unhideWhenUsed/>
    <w:rsid w:val="00CC535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C5350"/>
    <w:rPr>
      <w:rFonts w:ascii="Verdana" w:hAnsi="Verdana"/>
      <w:color w:val="000000"/>
    </w:rPr>
  </w:style>
  <w:style w:type="character" w:styleId="Voetnootmarkering">
    <w:name w:val="footnote reference"/>
    <w:basedOn w:val="Standaardalinea-lettertype"/>
    <w:uiPriority w:val="99"/>
    <w:semiHidden/>
    <w:unhideWhenUsed/>
    <w:rsid w:val="00CC5350"/>
    <w:rPr>
      <w:vertAlign w:val="superscript"/>
    </w:rPr>
  </w:style>
  <w:style w:type="character" w:styleId="Hyperlink">
    <w:name w:val="Hyperlink"/>
    <w:uiPriority w:val="99"/>
    <w:unhideWhenUsed/>
    <w:rsid w:val="00CC5350"/>
    <w:rPr>
      <w:color w:val="0563C1"/>
      <w:u w:val="single"/>
    </w:rPr>
  </w:style>
  <w:style w:type="paragraph" w:styleId="Koptekst">
    <w:name w:val="header"/>
    <w:basedOn w:val="Standaard"/>
    <w:link w:val="KoptekstChar"/>
    <w:uiPriority w:val="99"/>
    <w:unhideWhenUsed/>
    <w:rsid w:val="000F53F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F53F5"/>
    <w:rPr>
      <w:rFonts w:ascii="Verdana" w:hAnsi="Verdana"/>
      <w:color w:val="000000"/>
      <w:sz w:val="18"/>
      <w:szCs w:val="18"/>
    </w:rPr>
  </w:style>
  <w:style w:type="paragraph" w:styleId="Voettekst">
    <w:name w:val="footer"/>
    <w:basedOn w:val="Standaard"/>
    <w:link w:val="VoettekstChar"/>
    <w:uiPriority w:val="99"/>
    <w:unhideWhenUsed/>
    <w:rsid w:val="000F53F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F53F5"/>
    <w:rPr>
      <w:rFonts w:ascii="Verdana" w:hAnsi="Verdana"/>
      <w:color w:val="000000"/>
      <w:sz w:val="18"/>
      <w:szCs w:val="18"/>
    </w:rPr>
  </w:style>
  <w:style w:type="character" w:styleId="GevolgdeHyperlink">
    <w:name w:val="FollowedHyperlink"/>
    <w:basedOn w:val="Standaardalinea-lettertype"/>
    <w:uiPriority w:val="99"/>
    <w:semiHidden/>
    <w:unhideWhenUsed/>
    <w:rsid w:val="00C824D6"/>
    <w:rPr>
      <w:color w:val="954F72" w:themeColor="followedHyperlink"/>
      <w:u w:val="single"/>
    </w:rPr>
  </w:style>
  <w:style w:type="character" w:styleId="Verwijzingopmerking">
    <w:name w:val="annotation reference"/>
    <w:basedOn w:val="Standaardalinea-lettertype"/>
    <w:uiPriority w:val="99"/>
    <w:semiHidden/>
    <w:unhideWhenUsed/>
    <w:rsid w:val="00B171BF"/>
    <w:rPr>
      <w:sz w:val="16"/>
      <w:szCs w:val="16"/>
    </w:rPr>
  </w:style>
  <w:style w:type="paragraph" w:styleId="Tekstopmerking">
    <w:name w:val="annotation text"/>
    <w:basedOn w:val="Standaard"/>
    <w:link w:val="TekstopmerkingChar"/>
    <w:uiPriority w:val="99"/>
    <w:unhideWhenUsed/>
    <w:rsid w:val="00B171BF"/>
    <w:pPr>
      <w:spacing w:line="240" w:lineRule="auto"/>
    </w:pPr>
    <w:rPr>
      <w:sz w:val="20"/>
      <w:szCs w:val="20"/>
    </w:rPr>
  </w:style>
  <w:style w:type="character" w:customStyle="1" w:styleId="TekstopmerkingChar">
    <w:name w:val="Tekst opmerking Char"/>
    <w:basedOn w:val="Standaardalinea-lettertype"/>
    <w:link w:val="Tekstopmerking"/>
    <w:uiPriority w:val="99"/>
    <w:rsid w:val="00B171B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171BF"/>
    <w:rPr>
      <w:b/>
      <w:bCs/>
    </w:rPr>
  </w:style>
  <w:style w:type="character" w:customStyle="1" w:styleId="OnderwerpvanopmerkingChar">
    <w:name w:val="Onderwerp van opmerking Char"/>
    <w:basedOn w:val="TekstopmerkingChar"/>
    <w:link w:val="Onderwerpvanopmerking"/>
    <w:uiPriority w:val="99"/>
    <w:semiHidden/>
    <w:rsid w:val="00B171BF"/>
    <w:rPr>
      <w:rFonts w:ascii="Verdana" w:hAnsi="Verdana"/>
      <w:b/>
      <w:bCs/>
      <w:color w:val="000000"/>
    </w:rPr>
  </w:style>
  <w:style w:type="character" w:styleId="Onopgelostemelding">
    <w:name w:val="Unresolved Mention"/>
    <w:basedOn w:val="Standaardalinea-lettertype"/>
    <w:uiPriority w:val="99"/>
    <w:semiHidden/>
    <w:unhideWhenUsed/>
    <w:rsid w:val="00C438FE"/>
    <w:rPr>
      <w:color w:val="605E5C"/>
      <w:shd w:val="clear" w:color="auto" w:fill="E1DFDD"/>
    </w:rPr>
  </w:style>
  <w:style w:type="paragraph" w:styleId="Revisie">
    <w:name w:val="Revision"/>
    <w:hidden/>
    <w:uiPriority w:val="99"/>
    <w:semiHidden/>
    <w:rsid w:val="00E35109"/>
    <w:pPr>
      <w:autoSpaceDN/>
      <w:textAlignment w:val="auto"/>
    </w:pPr>
    <w:rPr>
      <w:rFonts w:ascii="Verdana" w:hAnsi="Verdana"/>
      <w:color w:val="000000"/>
      <w:sz w:val="18"/>
      <w:szCs w:val="18"/>
    </w:rPr>
  </w:style>
  <w:style w:type="paragraph" w:styleId="Normaalweb">
    <w:name w:val="Normal (Web)"/>
    <w:basedOn w:val="Standaard"/>
    <w:uiPriority w:val="99"/>
    <w:semiHidden/>
    <w:unhideWhenUsed/>
    <w:rsid w:val="00CE79FF"/>
    <w:rPr>
      <w:rFonts w:ascii="Times New Roman" w:hAnsi="Times New Roman" w:cs="Times New Roman"/>
      <w:sz w:val="24"/>
      <w:szCs w:val="24"/>
    </w:rPr>
  </w:style>
  <w:style w:type="table" w:styleId="Tabelraster">
    <w:name w:val="Table Grid"/>
    <w:basedOn w:val="Standaardtabel"/>
    <w:uiPriority w:val="39"/>
    <w:rsid w:val="00F70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gegevens">
    <w:name w:val="Referentiegegevens"/>
    <w:basedOn w:val="Standaard"/>
    <w:next w:val="Standaard"/>
    <w:rsid w:val="00392AD3"/>
    <w:pPr>
      <w:spacing w:line="180" w:lineRule="exact"/>
    </w:pPr>
    <w:rPr>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1513">
      <w:bodyDiv w:val="1"/>
      <w:marLeft w:val="0"/>
      <w:marRight w:val="0"/>
      <w:marTop w:val="0"/>
      <w:marBottom w:val="0"/>
      <w:divBdr>
        <w:top w:val="none" w:sz="0" w:space="0" w:color="auto"/>
        <w:left w:val="none" w:sz="0" w:space="0" w:color="auto"/>
        <w:bottom w:val="none" w:sz="0" w:space="0" w:color="auto"/>
        <w:right w:val="none" w:sz="0" w:space="0" w:color="auto"/>
      </w:divBdr>
      <w:divsChild>
        <w:div w:id="2068259826">
          <w:marLeft w:val="0"/>
          <w:marRight w:val="0"/>
          <w:marTop w:val="0"/>
          <w:marBottom w:val="0"/>
          <w:divBdr>
            <w:top w:val="none" w:sz="0" w:space="0" w:color="auto"/>
            <w:left w:val="none" w:sz="0" w:space="0" w:color="auto"/>
            <w:bottom w:val="none" w:sz="0" w:space="0" w:color="auto"/>
            <w:right w:val="none" w:sz="0" w:space="0" w:color="auto"/>
          </w:divBdr>
          <w:divsChild>
            <w:div w:id="282882366">
              <w:marLeft w:val="0"/>
              <w:marRight w:val="0"/>
              <w:marTop w:val="0"/>
              <w:marBottom w:val="0"/>
              <w:divBdr>
                <w:top w:val="none" w:sz="0" w:space="0" w:color="auto"/>
                <w:left w:val="none" w:sz="0" w:space="0" w:color="auto"/>
                <w:bottom w:val="none" w:sz="0" w:space="0" w:color="auto"/>
                <w:right w:val="none" w:sz="0" w:space="0" w:color="auto"/>
              </w:divBdr>
              <w:divsChild>
                <w:div w:id="1772437065">
                  <w:marLeft w:val="0"/>
                  <w:marRight w:val="0"/>
                  <w:marTop w:val="0"/>
                  <w:marBottom w:val="0"/>
                  <w:divBdr>
                    <w:top w:val="none" w:sz="0" w:space="0" w:color="auto"/>
                    <w:left w:val="none" w:sz="0" w:space="0" w:color="auto"/>
                    <w:bottom w:val="none" w:sz="0" w:space="0" w:color="auto"/>
                    <w:right w:val="none" w:sz="0" w:space="0" w:color="auto"/>
                  </w:divBdr>
                  <w:divsChild>
                    <w:div w:id="1100414992">
                      <w:marLeft w:val="0"/>
                      <w:marRight w:val="0"/>
                      <w:marTop w:val="0"/>
                      <w:marBottom w:val="0"/>
                      <w:divBdr>
                        <w:top w:val="none" w:sz="0" w:space="0" w:color="auto"/>
                        <w:left w:val="none" w:sz="0" w:space="0" w:color="auto"/>
                        <w:bottom w:val="none" w:sz="0" w:space="0" w:color="auto"/>
                        <w:right w:val="none" w:sz="0" w:space="0" w:color="auto"/>
                      </w:divBdr>
                      <w:divsChild>
                        <w:div w:id="369257678">
                          <w:marLeft w:val="0"/>
                          <w:marRight w:val="0"/>
                          <w:marTop w:val="0"/>
                          <w:marBottom w:val="0"/>
                          <w:divBdr>
                            <w:top w:val="none" w:sz="0" w:space="0" w:color="auto"/>
                            <w:left w:val="none" w:sz="0" w:space="0" w:color="auto"/>
                            <w:bottom w:val="none" w:sz="0" w:space="0" w:color="auto"/>
                            <w:right w:val="none" w:sz="0" w:space="0" w:color="auto"/>
                          </w:divBdr>
                          <w:divsChild>
                            <w:div w:id="1366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6074">
      <w:bodyDiv w:val="1"/>
      <w:marLeft w:val="0"/>
      <w:marRight w:val="0"/>
      <w:marTop w:val="0"/>
      <w:marBottom w:val="0"/>
      <w:divBdr>
        <w:top w:val="none" w:sz="0" w:space="0" w:color="auto"/>
        <w:left w:val="none" w:sz="0" w:space="0" w:color="auto"/>
        <w:bottom w:val="none" w:sz="0" w:space="0" w:color="auto"/>
        <w:right w:val="none" w:sz="0" w:space="0" w:color="auto"/>
      </w:divBdr>
    </w:div>
    <w:div w:id="239750778">
      <w:bodyDiv w:val="1"/>
      <w:marLeft w:val="0"/>
      <w:marRight w:val="0"/>
      <w:marTop w:val="0"/>
      <w:marBottom w:val="0"/>
      <w:divBdr>
        <w:top w:val="none" w:sz="0" w:space="0" w:color="auto"/>
        <w:left w:val="none" w:sz="0" w:space="0" w:color="auto"/>
        <w:bottom w:val="none" w:sz="0" w:space="0" w:color="auto"/>
        <w:right w:val="none" w:sz="0" w:space="0" w:color="auto"/>
      </w:divBdr>
    </w:div>
    <w:div w:id="927159877">
      <w:bodyDiv w:val="1"/>
      <w:marLeft w:val="0"/>
      <w:marRight w:val="0"/>
      <w:marTop w:val="0"/>
      <w:marBottom w:val="0"/>
      <w:divBdr>
        <w:top w:val="none" w:sz="0" w:space="0" w:color="auto"/>
        <w:left w:val="none" w:sz="0" w:space="0" w:color="auto"/>
        <w:bottom w:val="none" w:sz="0" w:space="0" w:color="auto"/>
        <w:right w:val="none" w:sz="0" w:space="0" w:color="auto"/>
      </w:divBdr>
    </w:div>
    <w:div w:id="1552574211">
      <w:bodyDiv w:val="1"/>
      <w:marLeft w:val="0"/>
      <w:marRight w:val="0"/>
      <w:marTop w:val="0"/>
      <w:marBottom w:val="0"/>
      <w:divBdr>
        <w:top w:val="none" w:sz="0" w:space="0" w:color="auto"/>
        <w:left w:val="none" w:sz="0" w:space="0" w:color="auto"/>
        <w:bottom w:val="none" w:sz="0" w:space="0" w:color="auto"/>
        <w:right w:val="none" w:sz="0" w:space="0" w:color="auto"/>
      </w:divBdr>
    </w:div>
    <w:div w:id="1660033108">
      <w:bodyDiv w:val="1"/>
      <w:marLeft w:val="0"/>
      <w:marRight w:val="0"/>
      <w:marTop w:val="0"/>
      <w:marBottom w:val="0"/>
      <w:divBdr>
        <w:top w:val="none" w:sz="0" w:space="0" w:color="auto"/>
        <w:left w:val="none" w:sz="0" w:space="0" w:color="auto"/>
        <w:bottom w:val="none" w:sz="0" w:space="0" w:color="auto"/>
        <w:right w:val="none" w:sz="0" w:space="0" w:color="auto"/>
      </w:divBdr>
      <w:divsChild>
        <w:div w:id="1464468639">
          <w:marLeft w:val="0"/>
          <w:marRight w:val="0"/>
          <w:marTop w:val="0"/>
          <w:marBottom w:val="0"/>
          <w:divBdr>
            <w:top w:val="none" w:sz="0" w:space="0" w:color="auto"/>
            <w:left w:val="none" w:sz="0" w:space="0" w:color="auto"/>
            <w:bottom w:val="none" w:sz="0" w:space="0" w:color="auto"/>
            <w:right w:val="none" w:sz="0" w:space="0" w:color="auto"/>
          </w:divBdr>
          <w:divsChild>
            <w:div w:id="1237742639">
              <w:marLeft w:val="0"/>
              <w:marRight w:val="0"/>
              <w:marTop w:val="0"/>
              <w:marBottom w:val="0"/>
              <w:divBdr>
                <w:top w:val="none" w:sz="0" w:space="0" w:color="auto"/>
                <w:left w:val="none" w:sz="0" w:space="0" w:color="auto"/>
                <w:bottom w:val="none" w:sz="0" w:space="0" w:color="auto"/>
                <w:right w:val="none" w:sz="0" w:space="0" w:color="auto"/>
              </w:divBdr>
              <w:divsChild>
                <w:div w:id="672073240">
                  <w:marLeft w:val="0"/>
                  <w:marRight w:val="0"/>
                  <w:marTop w:val="0"/>
                  <w:marBottom w:val="0"/>
                  <w:divBdr>
                    <w:top w:val="none" w:sz="0" w:space="0" w:color="auto"/>
                    <w:left w:val="none" w:sz="0" w:space="0" w:color="auto"/>
                    <w:bottom w:val="none" w:sz="0" w:space="0" w:color="auto"/>
                    <w:right w:val="none" w:sz="0" w:space="0" w:color="auto"/>
                  </w:divBdr>
                  <w:divsChild>
                    <w:div w:id="2033604892">
                      <w:marLeft w:val="0"/>
                      <w:marRight w:val="0"/>
                      <w:marTop w:val="0"/>
                      <w:marBottom w:val="0"/>
                      <w:divBdr>
                        <w:top w:val="none" w:sz="0" w:space="0" w:color="auto"/>
                        <w:left w:val="none" w:sz="0" w:space="0" w:color="auto"/>
                        <w:bottom w:val="none" w:sz="0" w:space="0" w:color="auto"/>
                        <w:right w:val="none" w:sz="0" w:space="0" w:color="auto"/>
                      </w:divBdr>
                      <w:divsChild>
                        <w:div w:id="1961719082">
                          <w:marLeft w:val="0"/>
                          <w:marRight w:val="0"/>
                          <w:marTop w:val="0"/>
                          <w:marBottom w:val="0"/>
                          <w:divBdr>
                            <w:top w:val="none" w:sz="0" w:space="0" w:color="auto"/>
                            <w:left w:val="none" w:sz="0" w:space="0" w:color="auto"/>
                            <w:bottom w:val="none" w:sz="0" w:space="0" w:color="auto"/>
                            <w:right w:val="none" w:sz="0" w:space="0" w:color="auto"/>
                          </w:divBdr>
                          <w:divsChild>
                            <w:div w:id="149167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4353">
      <w:bodyDiv w:val="1"/>
      <w:marLeft w:val="0"/>
      <w:marRight w:val="0"/>
      <w:marTop w:val="0"/>
      <w:marBottom w:val="0"/>
      <w:divBdr>
        <w:top w:val="none" w:sz="0" w:space="0" w:color="auto"/>
        <w:left w:val="none" w:sz="0" w:space="0" w:color="auto"/>
        <w:bottom w:val="none" w:sz="0" w:space="0" w:color="auto"/>
        <w:right w:val="none" w:sz="0" w:space="0" w:color="auto"/>
      </w:divBdr>
    </w:div>
    <w:div w:id="1695111263">
      <w:bodyDiv w:val="1"/>
      <w:marLeft w:val="0"/>
      <w:marRight w:val="0"/>
      <w:marTop w:val="0"/>
      <w:marBottom w:val="0"/>
      <w:divBdr>
        <w:top w:val="none" w:sz="0" w:space="0" w:color="auto"/>
        <w:left w:val="none" w:sz="0" w:space="0" w:color="auto"/>
        <w:bottom w:val="none" w:sz="0" w:space="0" w:color="auto"/>
        <w:right w:val="none" w:sz="0" w:space="0" w:color="auto"/>
      </w:divBdr>
    </w:div>
    <w:div w:id="1804075084">
      <w:bodyDiv w:val="1"/>
      <w:marLeft w:val="0"/>
      <w:marRight w:val="0"/>
      <w:marTop w:val="0"/>
      <w:marBottom w:val="0"/>
      <w:divBdr>
        <w:top w:val="none" w:sz="0" w:space="0" w:color="auto"/>
        <w:left w:val="none" w:sz="0" w:space="0" w:color="auto"/>
        <w:bottom w:val="none" w:sz="0" w:space="0" w:color="auto"/>
        <w:right w:val="none" w:sz="0" w:space="0" w:color="auto"/>
      </w:divBdr>
    </w:div>
    <w:div w:id="1865710157">
      <w:bodyDiv w:val="1"/>
      <w:marLeft w:val="0"/>
      <w:marRight w:val="0"/>
      <w:marTop w:val="0"/>
      <w:marBottom w:val="0"/>
      <w:divBdr>
        <w:top w:val="none" w:sz="0" w:space="0" w:color="auto"/>
        <w:left w:val="none" w:sz="0" w:space="0" w:color="auto"/>
        <w:bottom w:val="none" w:sz="0" w:space="0" w:color="auto"/>
        <w:right w:val="none" w:sz="0" w:space="0" w:color="auto"/>
      </w:divBdr>
    </w:div>
    <w:div w:id="1934512537">
      <w:bodyDiv w:val="1"/>
      <w:marLeft w:val="0"/>
      <w:marRight w:val="0"/>
      <w:marTop w:val="0"/>
      <w:marBottom w:val="0"/>
      <w:divBdr>
        <w:top w:val="none" w:sz="0" w:space="0" w:color="auto"/>
        <w:left w:val="none" w:sz="0" w:space="0" w:color="auto"/>
        <w:bottom w:val="none" w:sz="0" w:space="0" w:color="auto"/>
        <w:right w:val="none" w:sz="0" w:space="0" w:color="auto"/>
      </w:divBdr>
    </w:div>
    <w:div w:id="1970235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webSetting" Target="webSettings0.xml" Id="rId25"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image" Target="media/image4.jpeg"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image" Target="media/image3.jpeg" Id="rId10"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app.powerbi.com/view?r=eyJrIjoiOGM3Y2NlOTctY2UxZS00YWUzLWE5ZjMtYzNmNjVhMjQzOGE5IiwidCI6IjUzZmYxMTIzLTAxNjMtNDY2NS04YmY2LWY2YzA5YjdmMWVhNyIsImMiOjh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5397</ap:Words>
  <ap:Characters>29685</ap:Characters>
  <ap:DocSecurity>0</ap:DocSecurity>
  <ap:Lines>247</ap:Lines>
  <ap:Paragraphs>70</ap:Paragraphs>
  <ap:ScaleCrop>false</ap:ScaleCrop>
  <ap:LinksUpToDate>false</ap:LinksUpToDate>
  <ap:CharactersWithSpaces>35012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2026-06-29T11:03:00.0000000Z</dcterms:created>
  <dcterms:modified xsi:type="dcterms:W3CDTF">2026-06-29T11:03:00.0000000Z</dcterms:modified>
  <dc:description>------------------------</dc:description>
  <version/>
  <category/>
</coreProperties>
</file>