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A30" w:rsidP="00512F58" w:rsidRDefault="00B23A30" w14:paraId="24483FBE" w14:textId="77777777"/>
    <w:p w:rsidR="00B66243" w:rsidP="00512F58" w:rsidRDefault="00B66243" w14:paraId="51CFF329" w14:textId="77777777"/>
    <w:p w:rsidRPr="00B66243" w:rsidR="0010399A" w:rsidP="00512F58" w:rsidRDefault="00C9392D" w14:paraId="23574789" w14:textId="5695F474">
      <w:r w:rsidRPr="00B66243">
        <w:t xml:space="preserve">Hierbij bied ik uw Kamer </w:t>
      </w:r>
      <w:r w:rsidRPr="00B66243" w:rsidR="00744F69">
        <w:t xml:space="preserve">aan </w:t>
      </w:r>
      <w:r w:rsidRPr="00B66243">
        <w:t>het rapport</w:t>
      </w:r>
      <w:r w:rsidRPr="00B66243" w:rsidR="0010399A">
        <w:t xml:space="preserve"> </w:t>
      </w:r>
      <w:r w:rsidRPr="00B66243">
        <w:t>“Precair preventief pionieren. Een verkennend onderzoek naar preventieve mogelijkheden in binnen- en buitenland voor een veilige terugkeer in de samenleving van hoogrisicogedetineerden”.</w:t>
      </w:r>
      <w:r w:rsidRPr="00B66243" w:rsidR="0010399A">
        <w:t xml:space="preserve"> Het onderzoek is uitgevoerd door de Rijksuniversiteit Groningen en de Erasmus Universiteit Rotterdam</w:t>
      </w:r>
      <w:r w:rsidRPr="00B66243" w:rsidR="00744F69">
        <w:t>, in opdracht van het Wetenschappelijk Onderzoek- en Datacentrum (WODC)</w:t>
      </w:r>
      <w:r w:rsidRPr="00B66243" w:rsidR="0010399A">
        <w:t>.</w:t>
      </w:r>
    </w:p>
    <w:p w:rsidRPr="00B66243" w:rsidR="00C9392D" w:rsidP="00512F58" w:rsidRDefault="00C9392D" w14:paraId="5C897F8F" w14:textId="66601E72"/>
    <w:p w:rsidRPr="00B66243" w:rsidR="00E27DB3" w:rsidP="00512F58" w:rsidRDefault="00E27DB3" w14:paraId="4011B7CA" w14:textId="23DAE350">
      <w:pPr>
        <w:rPr>
          <w:b/>
        </w:rPr>
      </w:pPr>
      <w:r w:rsidRPr="00B66243">
        <w:rPr>
          <w:b/>
        </w:rPr>
        <w:t>Aanleiding</w:t>
      </w:r>
    </w:p>
    <w:p w:rsidRPr="00B66243" w:rsidR="00BF2F09" w:rsidP="00BF2F09" w:rsidRDefault="0010399A" w14:paraId="59F8A2F1" w14:textId="77777777">
      <w:r w:rsidRPr="00B66243">
        <w:t xml:space="preserve">De intensieve aanpak van georganiseerde criminaliteit heeft geleid tot een toename van het aantal hoogrisicogedetineerden. Deze gedetineerden worden geplaatst </w:t>
      </w:r>
      <w:r w:rsidRPr="00B66243" w:rsidR="00744F69">
        <w:t xml:space="preserve">in </w:t>
      </w:r>
      <w:r w:rsidRPr="00B66243">
        <w:t xml:space="preserve">de Extra Beveiligde Inrichting (EBI) of </w:t>
      </w:r>
      <w:r w:rsidRPr="00B66243" w:rsidR="00744F69">
        <w:t xml:space="preserve">op </w:t>
      </w:r>
      <w:r w:rsidRPr="00B66243">
        <w:t>een Afdeling</w:t>
      </w:r>
      <w:r w:rsidRPr="00B66243" w:rsidR="00A926E1">
        <w:t xml:space="preserve"> voor</w:t>
      </w:r>
      <w:r w:rsidRPr="00B66243">
        <w:t xml:space="preserve"> Intensief Toezicht (AIT). </w:t>
      </w:r>
      <w:r w:rsidRPr="00B66243" w:rsidR="00C9392D">
        <w:t>Door zicht te houden op de veiligheidsrisico’s die uitgaan van deze specifieke groep</w:t>
      </w:r>
      <w:r w:rsidRPr="00B66243">
        <w:t xml:space="preserve"> en </w:t>
      </w:r>
      <w:r w:rsidRPr="00B66243" w:rsidR="00C2126E">
        <w:t xml:space="preserve">door </w:t>
      </w:r>
      <w:r w:rsidRPr="00B66243">
        <w:t>aanvullende veiligheidsmaatregelen te treffen</w:t>
      </w:r>
      <w:r w:rsidRPr="00B66243" w:rsidR="00C9392D">
        <w:t xml:space="preserve"> wordt </w:t>
      </w:r>
      <w:r w:rsidRPr="00B66243" w:rsidR="00A926E1">
        <w:t xml:space="preserve">voortgezet crimineel handelen vanuit detentie (VCHD) zoveel mogelijk voorkomen en </w:t>
      </w:r>
      <w:r w:rsidRPr="00B66243" w:rsidR="00C9392D">
        <w:t>de samenleving zo goed mogelijk beschermd tegen deze gedetineerden.</w:t>
      </w:r>
      <w:r w:rsidRPr="00B66243">
        <w:t xml:space="preserve"> </w:t>
      </w:r>
    </w:p>
    <w:p w:rsidRPr="00B66243" w:rsidR="00BF2F09" w:rsidP="00BF2F09" w:rsidRDefault="00BF2F09" w14:paraId="54A560E0" w14:textId="77777777"/>
    <w:p w:rsidRPr="00B66243" w:rsidR="00E54D66" w:rsidP="00E54D66" w:rsidRDefault="00BF2F09" w14:paraId="00A59FFE" w14:textId="18341B72">
      <w:r w:rsidRPr="00B66243">
        <w:t>Het WODC</w:t>
      </w:r>
      <w:r w:rsidRPr="00B66243">
        <w:noBreakHyphen/>
        <w:t>rapport ‘Vergelijkend onderzoek Italiaans 41</w:t>
      </w:r>
      <w:r w:rsidRPr="00B66243">
        <w:noBreakHyphen/>
        <w:t>bis detentieregime’ (</w:t>
      </w:r>
      <w:proofErr w:type="spellStart"/>
      <w:r w:rsidRPr="00B66243">
        <w:t>Struijk</w:t>
      </w:r>
      <w:proofErr w:type="spellEnd"/>
      <w:r w:rsidRPr="00B66243">
        <w:t xml:space="preserve"> e.a.) leidde tot de vraag of een voor de samenleving veilige terugkeer voor deze doelgroep überhaupt haalbaar is en of het huidig instrumentarium aan taxatie-instrumenten tijdens detentie en toezicht-mogelijkheden na detentie toereikend is voor deze specifieke doelgroep. Het WODC is daarom verzocht om </w:t>
      </w:r>
      <w:r w:rsidRPr="00B66243" w:rsidR="00FD7EB7">
        <w:t xml:space="preserve">hier </w:t>
      </w:r>
      <w:r w:rsidRPr="00B66243">
        <w:t xml:space="preserve">nader onderzoek </w:t>
      </w:r>
      <w:r w:rsidRPr="00B66243" w:rsidR="00FD7EB7">
        <w:t xml:space="preserve">naar </w:t>
      </w:r>
      <w:r w:rsidRPr="00B66243" w:rsidR="004C2645">
        <w:t>te doen</w:t>
      </w:r>
      <w:r w:rsidRPr="00B66243">
        <w:t xml:space="preserve">. </w:t>
      </w:r>
      <w:r w:rsidRPr="00B66243" w:rsidR="00E54D66">
        <w:t>Bijgevoegd treft u de resultaten van het onderzoek aan.</w:t>
      </w:r>
    </w:p>
    <w:p w:rsidRPr="00B66243" w:rsidR="00BF2F09" w:rsidP="00512F58" w:rsidRDefault="00BF2F09" w14:paraId="1F3133A3" w14:textId="568C17EA"/>
    <w:p w:rsidRPr="00B66243" w:rsidR="002E3722" w:rsidP="00512F58" w:rsidRDefault="00BF2F09" w14:paraId="5683C153" w14:textId="545B40AA">
      <w:r w:rsidRPr="00B66243">
        <w:t>I</w:t>
      </w:r>
      <w:r w:rsidRPr="00B66243" w:rsidR="002E3722">
        <w:t xml:space="preserve">n deze brief schets ik kort </w:t>
      </w:r>
      <w:r w:rsidRPr="00B66243" w:rsidR="00A95278">
        <w:t>de belangrijkste uitkomsten van</w:t>
      </w:r>
      <w:r w:rsidRPr="00B66243" w:rsidR="002E3722">
        <w:t xml:space="preserve"> het WODC</w:t>
      </w:r>
      <w:r w:rsidRPr="00B66243" w:rsidR="002E3722">
        <w:noBreakHyphen/>
        <w:t xml:space="preserve">onderzoek, </w:t>
      </w:r>
      <w:r w:rsidRPr="00B66243" w:rsidR="00A95278">
        <w:t xml:space="preserve">de aanbevelingen en </w:t>
      </w:r>
      <w:r w:rsidRPr="00B66243" w:rsidR="002E3722">
        <w:t>geef ik mijn inhoudelijke reactie</w:t>
      </w:r>
      <w:r w:rsidRPr="00B66243" w:rsidR="004C2645">
        <w:t>. Tot slot</w:t>
      </w:r>
      <w:r w:rsidRPr="00B66243" w:rsidR="002E3722">
        <w:t xml:space="preserve"> ga ik in op enkele</w:t>
      </w:r>
      <w:r w:rsidRPr="00B66243" w:rsidR="00E54D66">
        <w:t xml:space="preserve"> andere</w:t>
      </w:r>
      <w:r w:rsidRPr="00B66243" w:rsidR="002E3722">
        <w:t xml:space="preserve"> relevante ontwikkelingen</w:t>
      </w:r>
      <w:r w:rsidRPr="00B66243" w:rsidR="00FD7727">
        <w:t xml:space="preserve">: </w:t>
      </w:r>
      <w:r w:rsidRPr="00B66243" w:rsidR="001F29E3">
        <w:t>de aanpak van drones en een eerder incident inzake laptops</w:t>
      </w:r>
      <w:r w:rsidRPr="00B66243" w:rsidR="002E3722">
        <w:t>.</w:t>
      </w:r>
    </w:p>
    <w:p w:rsidRPr="00B66243" w:rsidR="00DD3656" w:rsidP="00512F58" w:rsidRDefault="002E3722" w14:paraId="3D2C1D8B" w14:textId="0C0C6AE7">
      <w:pPr>
        <w:rPr>
          <w:rFonts w:cs="Calibri"/>
          <w:color w:val="000000" w:themeColor="text1"/>
        </w:rPr>
      </w:pPr>
      <w:r w:rsidRPr="00B66243">
        <w:rPr>
          <w:rFonts w:cs="Calibri"/>
          <w:color w:val="000000" w:themeColor="text1"/>
        </w:rPr>
        <w:br/>
      </w:r>
      <w:r w:rsidRPr="00B66243" w:rsidR="00DD3656">
        <w:rPr>
          <w:b/>
          <w:bCs/>
        </w:rPr>
        <w:t>Uitkomsten van het onderzoek</w:t>
      </w:r>
    </w:p>
    <w:p w:rsidRPr="00B66243" w:rsidR="002066E2" w:rsidP="00512F58" w:rsidRDefault="00741466" w14:paraId="02B1C275" w14:textId="4DE03C23">
      <w:pPr>
        <w:spacing w:line="259" w:lineRule="auto"/>
        <w:rPr>
          <w:rFonts w:eastAsia="Calibri" w:cs="Arial"/>
          <w:szCs w:val="22"/>
          <w:lang w:eastAsia="en-US"/>
        </w:rPr>
      </w:pPr>
      <w:r w:rsidRPr="00B66243">
        <w:rPr>
          <w:rFonts w:cs="Calibri"/>
          <w:color w:val="000000" w:themeColor="text1"/>
        </w:rPr>
        <w:t xml:space="preserve">Het </w:t>
      </w:r>
      <w:r w:rsidRPr="00B66243" w:rsidR="00EA1C35">
        <w:rPr>
          <w:rFonts w:eastAsia="Calibri" w:cs="Arial"/>
          <w:szCs w:val="22"/>
          <w:lang w:eastAsia="en-US"/>
        </w:rPr>
        <w:t xml:space="preserve">onderzoek is specifiek gericht op </w:t>
      </w:r>
      <w:r w:rsidRPr="00B66243" w:rsidR="00161DBF">
        <w:rPr>
          <w:rFonts w:eastAsia="Calibri" w:cs="Arial"/>
          <w:szCs w:val="22"/>
          <w:lang w:eastAsia="en-US"/>
        </w:rPr>
        <w:t xml:space="preserve">de groep </w:t>
      </w:r>
      <w:r w:rsidRPr="00B66243" w:rsidR="00EA1C35">
        <w:rPr>
          <w:rFonts w:eastAsia="Calibri" w:cs="Arial"/>
          <w:szCs w:val="22"/>
          <w:lang w:eastAsia="en-US"/>
        </w:rPr>
        <w:t>hoogrisicogedetineerden</w:t>
      </w:r>
      <w:r w:rsidRPr="00B66243" w:rsidR="002E3722">
        <w:rPr>
          <w:rFonts w:eastAsia="Calibri" w:cs="Arial"/>
          <w:szCs w:val="22"/>
          <w:lang w:eastAsia="en-US"/>
        </w:rPr>
        <w:t xml:space="preserve"> </w:t>
      </w:r>
      <w:r w:rsidRPr="00B66243" w:rsidR="00161DBF">
        <w:rPr>
          <w:rFonts w:eastAsia="Calibri" w:cs="Arial"/>
          <w:szCs w:val="22"/>
          <w:lang w:eastAsia="en-US"/>
        </w:rPr>
        <w:t xml:space="preserve">die worden </w:t>
      </w:r>
      <w:r w:rsidRPr="00B66243" w:rsidR="00EA1C35">
        <w:rPr>
          <w:rFonts w:eastAsia="Calibri" w:cs="Arial"/>
          <w:szCs w:val="22"/>
          <w:lang w:eastAsia="en-US"/>
        </w:rPr>
        <w:t xml:space="preserve">geplaatst in </w:t>
      </w:r>
      <w:r w:rsidRPr="00B66243" w:rsidR="002E3722">
        <w:rPr>
          <w:rFonts w:eastAsia="Calibri" w:cs="Arial"/>
          <w:szCs w:val="22"/>
          <w:lang w:eastAsia="en-US"/>
        </w:rPr>
        <w:t>de</w:t>
      </w:r>
      <w:r w:rsidRPr="00B66243" w:rsidR="00EA1C35">
        <w:rPr>
          <w:rFonts w:eastAsia="Calibri" w:cs="Arial"/>
          <w:szCs w:val="22"/>
          <w:lang w:eastAsia="en-US"/>
        </w:rPr>
        <w:t xml:space="preserve"> EBI of </w:t>
      </w:r>
      <w:r w:rsidRPr="00B66243" w:rsidR="00744F69">
        <w:rPr>
          <w:rFonts w:eastAsia="Calibri" w:cs="Arial"/>
          <w:szCs w:val="22"/>
          <w:lang w:eastAsia="en-US"/>
        </w:rPr>
        <w:t xml:space="preserve">op </w:t>
      </w:r>
      <w:r w:rsidRPr="00B66243" w:rsidR="00EA1C35">
        <w:rPr>
          <w:rFonts w:eastAsia="Calibri" w:cs="Arial"/>
          <w:szCs w:val="22"/>
          <w:lang w:eastAsia="en-US"/>
        </w:rPr>
        <w:t xml:space="preserve">een AIT. </w:t>
      </w:r>
      <w:r w:rsidRPr="00B66243" w:rsidR="00DD3656">
        <w:rPr>
          <w:rFonts w:eastAsia="Calibri" w:cs="Arial"/>
          <w:szCs w:val="22"/>
          <w:lang w:eastAsia="en-US"/>
        </w:rPr>
        <w:t>Het betreft een literatuur- en documentstudie aangevuld met interviews, waarbij tien landen</w:t>
      </w:r>
      <w:r w:rsidRPr="00B66243" w:rsidR="0045063B">
        <w:rPr>
          <w:rFonts w:eastAsia="Calibri" w:cs="Arial"/>
          <w:szCs w:val="22"/>
          <w:lang w:eastAsia="en-US"/>
        </w:rPr>
        <w:t xml:space="preserve"> verkennend</w:t>
      </w:r>
      <w:r w:rsidRPr="00B66243" w:rsidR="00744F69">
        <w:rPr>
          <w:rFonts w:eastAsia="Calibri" w:cs="Arial"/>
          <w:szCs w:val="22"/>
          <w:lang w:eastAsia="en-US"/>
        </w:rPr>
        <w:t xml:space="preserve"> zijn</w:t>
      </w:r>
      <w:r w:rsidRPr="00B66243" w:rsidR="00DD3656">
        <w:rPr>
          <w:rFonts w:eastAsia="Calibri" w:cs="Arial"/>
          <w:szCs w:val="22"/>
          <w:lang w:eastAsia="en-US"/>
        </w:rPr>
        <w:t xml:space="preserve"> onderzocht (Canada, Denemarken, Duitsland, Engeland</w:t>
      </w:r>
      <w:r w:rsidRPr="00B66243" w:rsidR="0045063B">
        <w:rPr>
          <w:rFonts w:eastAsia="Calibri" w:cs="Arial"/>
          <w:szCs w:val="22"/>
          <w:lang w:eastAsia="en-US"/>
        </w:rPr>
        <w:t xml:space="preserve"> &amp; Wales</w:t>
      </w:r>
      <w:r w:rsidRPr="00B66243" w:rsidR="00DD3656">
        <w:rPr>
          <w:rFonts w:eastAsia="Calibri" w:cs="Arial"/>
          <w:szCs w:val="22"/>
          <w:lang w:eastAsia="en-US"/>
        </w:rPr>
        <w:t>, Italië, Noorwegen, Oostenrijk, Verenigde Staten</w:t>
      </w:r>
      <w:r w:rsidRPr="00B66243" w:rsidR="006B3C14">
        <w:rPr>
          <w:rFonts w:eastAsia="Calibri" w:cs="Arial"/>
          <w:szCs w:val="22"/>
          <w:lang w:eastAsia="en-US"/>
        </w:rPr>
        <w:t xml:space="preserve"> (VS)</w:t>
      </w:r>
      <w:r w:rsidRPr="00B66243" w:rsidR="00DD3656">
        <w:rPr>
          <w:rFonts w:eastAsia="Calibri" w:cs="Arial"/>
          <w:szCs w:val="22"/>
          <w:lang w:eastAsia="en-US"/>
        </w:rPr>
        <w:t>, Zweden en Zwitserland).</w:t>
      </w:r>
    </w:p>
    <w:p w:rsidRPr="00B66243" w:rsidR="00DD3656" w:rsidP="00512F58" w:rsidRDefault="00DD3656" w14:paraId="29418DE8" w14:textId="77777777">
      <w:pPr>
        <w:spacing w:line="259" w:lineRule="auto"/>
        <w:rPr>
          <w:rFonts w:eastAsia="Calibri" w:cs="Arial"/>
          <w:szCs w:val="22"/>
          <w:lang w:eastAsia="en-US"/>
        </w:rPr>
      </w:pPr>
    </w:p>
    <w:p w:rsidRPr="00B66243" w:rsidR="00A35A10" w:rsidRDefault="00A35A10" w14:paraId="50E29F90" w14:textId="77777777">
      <w:pPr>
        <w:spacing w:line="240" w:lineRule="auto"/>
        <w:rPr>
          <w:rFonts w:eastAsia="Calibri" w:cs="Arial"/>
          <w:i/>
          <w:iCs/>
          <w:szCs w:val="22"/>
          <w:lang w:eastAsia="en-US"/>
        </w:rPr>
      </w:pPr>
      <w:r w:rsidRPr="00B66243">
        <w:rPr>
          <w:rFonts w:eastAsia="Calibri" w:cs="Arial"/>
          <w:i/>
          <w:iCs/>
          <w:szCs w:val="22"/>
          <w:lang w:eastAsia="en-US"/>
        </w:rPr>
        <w:br w:type="page"/>
      </w:r>
    </w:p>
    <w:p w:rsidRPr="00B66243" w:rsidR="004B192B" w:rsidP="00512F58" w:rsidRDefault="00DD3656" w14:paraId="6830DA40" w14:textId="067EFDFE">
      <w:pPr>
        <w:spacing w:line="259" w:lineRule="auto"/>
        <w:rPr>
          <w:rFonts w:eastAsia="Calibri" w:cs="Arial"/>
          <w:szCs w:val="22"/>
          <w:lang w:eastAsia="en-US"/>
        </w:rPr>
      </w:pPr>
      <w:r w:rsidRPr="00B66243">
        <w:rPr>
          <w:rFonts w:eastAsia="Calibri" w:cs="Arial"/>
          <w:i/>
          <w:iCs/>
          <w:szCs w:val="22"/>
          <w:lang w:eastAsia="en-US"/>
        </w:rPr>
        <w:t>Instrumentarium tijdens detentie</w:t>
      </w:r>
      <w:r w:rsidRPr="00B66243" w:rsidR="004B192B">
        <w:rPr>
          <w:rFonts w:eastAsia="Calibri" w:cs="Arial"/>
          <w:szCs w:val="22"/>
          <w:lang w:eastAsia="en-US"/>
        </w:rPr>
        <w:t xml:space="preserve"> </w:t>
      </w:r>
    </w:p>
    <w:p w:rsidRPr="00B66243" w:rsidR="00E23905" w:rsidP="005A7C75" w:rsidRDefault="0066052F" w14:paraId="41DB5EB8" w14:textId="64109000">
      <w:pPr>
        <w:spacing w:line="259" w:lineRule="auto"/>
        <w:rPr>
          <w:rFonts w:eastAsia="Calibri" w:cs="Arial"/>
          <w:szCs w:val="22"/>
          <w:lang w:eastAsia="en-US"/>
        </w:rPr>
      </w:pPr>
      <w:r w:rsidRPr="00B66243">
        <w:rPr>
          <w:rFonts w:eastAsia="Calibri" w:cs="Arial"/>
          <w:szCs w:val="22"/>
          <w:lang w:eastAsia="en-US"/>
        </w:rPr>
        <w:t>Uit de rechtsvergelijkende verkenning blijkt dat slechts de VS</w:t>
      </w:r>
      <w:r w:rsidRPr="00B66243" w:rsidR="005A7C75">
        <w:rPr>
          <w:rFonts w:eastAsia="Calibri" w:cs="Arial"/>
          <w:szCs w:val="22"/>
          <w:lang w:eastAsia="en-US"/>
        </w:rPr>
        <w:t xml:space="preserve"> (</w:t>
      </w:r>
      <w:proofErr w:type="spellStart"/>
      <w:r w:rsidRPr="00B66243" w:rsidR="005A7C75">
        <w:rPr>
          <w:rFonts w:eastAsia="Calibri" w:cs="Arial"/>
          <w:szCs w:val="22"/>
          <w:lang w:eastAsia="en-US"/>
        </w:rPr>
        <w:t>Supermax</w:t>
      </w:r>
      <w:proofErr w:type="spellEnd"/>
      <w:r w:rsidRPr="00B66243" w:rsidR="005A7C75">
        <w:rPr>
          <w:rFonts w:eastAsia="Calibri" w:cs="Arial"/>
          <w:szCs w:val="22"/>
          <w:lang w:eastAsia="en-US"/>
        </w:rPr>
        <w:t xml:space="preserve"> prison-concept</w:t>
      </w:r>
      <w:r w:rsidRPr="00B66243" w:rsidR="005A7C75">
        <w:rPr>
          <w:rFonts w:eastAsia="Calibri" w:cs="Arial"/>
          <w:i/>
          <w:iCs/>
          <w:szCs w:val="22"/>
          <w:lang w:eastAsia="en-US"/>
        </w:rPr>
        <w:t>)</w:t>
      </w:r>
      <w:r w:rsidRPr="00B66243">
        <w:rPr>
          <w:rFonts w:eastAsia="Calibri" w:cs="Arial"/>
          <w:szCs w:val="22"/>
          <w:lang w:eastAsia="en-US"/>
        </w:rPr>
        <w:t xml:space="preserve">, Italië </w:t>
      </w:r>
      <w:r w:rsidRPr="00B66243" w:rsidR="005A7C75">
        <w:rPr>
          <w:rFonts w:eastAsia="Calibri" w:cs="Arial"/>
          <w:szCs w:val="22"/>
          <w:lang w:eastAsia="en-US"/>
        </w:rPr>
        <w:t>(41bis regime)</w:t>
      </w:r>
      <w:r w:rsidRPr="00B66243">
        <w:rPr>
          <w:rFonts w:eastAsia="Calibri" w:cs="Arial"/>
          <w:szCs w:val="22"/>
          <w:lang w:eastAsia="en-US"/>
        </w:rPr>
        <w:t>en Zweden</w:t>
      </w:r>
      <w:r w:rsidRPr="00B66243" w:rsidR="005A7C75">
        <w:rPr>
          <w:rFonts w:eastAsia="Calibri" w:cs="Arial"/>
          <w:szCs w:val="22"/>
          <w:lang w:eastAsia="en-US"/>
        </w:rPr>
        <w:t xml:space="preserve"> </w:t>
      </w:r>
      <w:r w:rsidRPr="00B66243" w:rsidR="005A7C75">
        <w:rPr>
          <w:rFonts w:eastAsia="Calibri" w:cs="Arial"/>
          <w:i/>
          <w:iCs/>
          <w:szCs w:val="22"/>
          <w:lang w:eastAsia="en-US"/>
        </w:rPr>
        <w:t>(</w:t>
      </w:r>
      <w:r w:rsidRPr="00B66243" w:rsidR="005A7C75">
        <w:rPr>
          <w:rFonts w:eastAsia="Calibri" w:cs="Arial"/>
          <w:szCs w:val="22"/>
          <w:lang w:eastAsia="en-US"/>
        </w:rPr>
        <w:t>Fenix-afdeling</w:t>
      </w:r>
      <w:r w:rsidRPr="00B66243" w:rsidR="005A7C75">
        <w:rPr>
          <w:rFonts w:eastAsia="Calibri" w:cs="Arial"/>
          <w:i/>
          <w:iCs/>
          <w:szCs w:val="22"/>
          <w:lang w:eastAsia="en-US"/>
        </w:rPr>
        <w:t>)</w:t>
      </w:r>
      <w:r w:rsidRPr="00B66243">
        <w:rPr>
          <w:rFonts w:eastAsia="Calibri" w:cs="Arial"/>
          <w:szCs w:val="22"/>
          <w:lang w:eastAsia="en-US"/>
        </w:rPr>
        <w:t xml:space="preserve"> penitentiaire regimes kennen die </w:t>
      </w:r>
      <w:r w:rsidRPr="00B66243" w:rsidR="009958AD">
        <w:rPr>
          <w:rFonts w:eastAsia="Calibri" w:cs="Arial"/>
          <w:szCs w:val="22"/>
          <w:lang w:eastAsia="en-US"/>
        </w:rPr>
        <w:t xml:space="preserve">tijdens detentie </w:t>
      </w:r>
      <w:r w:rsidRPr="00B66243">
        <w:rPr>
          <w:rFonts w:eastAsia="Calibri" w:cs="Arial"/>
          <w:szCs w:val="22"/>
          <w:lang w:eastAsia="en-US"/>
        </w:rPr>
        <w:t xml:space="preserve">direct zijn toegesneden op hoogrisicogedetineerden met (potentiële) banden met </w:t>
      </w:r>
      <w:r w:rsidRPr="00B66243" w:rsidR="006B3C14">
        <w:rPr>
          <w:rFonts w:eastAsia="Calibri" w:cs="Arial"/>
          <w:szCs w:val="22"/>
          <w:lang w:eastAsia="en-US"/>
        </w:rPr>
        <w:t xml:space="preserve">de </w:t>
      </w:r>
      <w:r w:rsidRPr="00B66243">
        <w:rPr>
          <w:rFonts w:eastAsia="Calibri" w:cs="Arial"/>
          <w:szCs w:val="22"/>
          <w:lang w:eastAsia="en-US"/>
        </w:rPr>
        <w:t>georganiseerde criminaliteit</w:t>
      </w:r>
      <w:r w:rsidRPr="00B66243" w:rsidR="00CA452D">
        <w:rPr>
          <w:rFonts w:eastAsia="Calibri" w:cs="Arial"/>
          <w:szCs w:val="22"/>
          <w:lang w:eastAsia="en-US"/>
        </w:rPr>
        <w:t>.</w:t>
      </w:r>
      <w:r w:rsidRPr="00B66243" w:rsidR="005A7C75">
        <w:rPr>
          <w:rFonts w:eastAsia="Calibri" w:cs="Arial"/>
          <w:szCs w:val="22"/>
          <w:lang w:eastAsia="en-US"/>
        </w:rPr>
        <w:t xml:space="preserve"> </w:t>
      </w:r>
      <w:r w:rsidRPr="00B66243" w:rsidR="004744DF">
        <w:rPr>
          <w:rFonts w:eastAsia="Calibri" w:cs="Arial"/>
          <w:szCs w:val="22"/>
          <w:lang w:eastAsia="en-US"/>
        </w:rPr>
        <w:t xml:space="preserve">De drie landen </w:t>
      </w:r>
      <w:r w:rsidRPr="00B66243" w:rsidR="005A7C75">
        <w:rPr>
          <w:rFonts w:eastAsia="Calibri" w:cs="Arial"/>
          <w:szCs w:val="22"/>
          <w:lang w:eastAsia="en-US"/>
        </w:rPr>
        <w:t>laten</w:t>
      </w:r>
      <w:r w:rsidRPr="00B66243" w:rsidR="006B3C14">
        <w:rPr>
          <w:rFonts w:eastAsia="Calibri" w:cs="Arial"/>
          <w:szCs w:val="22"/>
          <w:lang w:eastAsia="en-US"/>
        </w:rPr>
        <w:t xml:space="preserve"> volgens de onderzoekers</w:t>
      </w:r>
      <w:r w:rsidRPr="00B66243" w:rsidR="004744DF">
        <w:rPr>
          <w:rFonts w:eastAsia="Calibri" w:cs="Arial"/>
          <w:szCs w:val="22"/>
          <w:lang w:eastAsia="en-US"/>
        </w:rPr>
        <w:t xml:space="preserve"> zien dat</w:t>
      </w:r>
      <w:r w:rsidRPr="00B66243" w:rsidR="005F5B30">
        <w:rPr>
          <w:rFonts w:eastAsia="Calibri" w:cs="Arial"/>
          <w:szCs w:val="22"/>
          <w:lang w:eastAsia="en-US"/>
        </w:rPr>
        <w:t xml:space="preserve"> deze</w:t>
      </w:r>
      <w:r w:rsidRPr="00B66243" w:rsidR="004744DF">
        <w:rPr>
          <w:rFonts w:eastAsia="Calibri" w:cs="Arial"/>
          <w:szCs w:val="22"/>
          <w:lang w:eastAsia="en-US"/>
        </w:rPr>
        <w:t xml:space="preserve"> hoog</w:t>
      </w:r>
      <w:r w:rsidRPr="00B66243" w:rsidR="006B3C14">
        <w:rPr>
          <w:rFonts w:eastAsia="Calibri" w:cs="Arial"/>
          <w:szCs w:val="22"/>
          <w:lang w:eastAsia="en-US"/>
        </w:rPr>
        <w:t xml:space="preserve"> </w:t>
      </w:r>
      <w:r w:rsidRPr="00B66243" w:rsidR="004744DF">
        <w:rPr>
          <w:rFonts w:eastAsia="Calibri" w:cs="Arial"/>
          <w:szCs w:val="22"/>
          <w:lang w:eastAsia="en-US"/>
        </w:rPr>
        <w:t>beveiligde regimes onmiskenbaar draaien om risicobeheersing, isolatie en het voorkomen van criminele voortzetting vanuit detentie.</w:t>
      </w:r>
      <w:r w:rsidRPr="00B66243" w:rsidR="00770CC1">
        <w:rPr>
          <w:rFonts w:eastAsia="Calibri" w:cs="Arial"/>
          <w:szCs w:val="22"/>
          <w:lang w:eastAsia="en-US"/>
        </w:rPr>
        <w:t xml:space="preserve"> </w:t>
      </w:r>
      <w:r w:rsidRPr="00B66243" w:rsidR="004744DF">
        <w:rPr>
          <w:rFonts w:eastAsia="Calibri" w:cs="Arial"/>
          <w:szCs w:val="22"/>
          <w:lang w:eastAsia="en-US"/>
        </w:rPr>
        <w:t xml:space="preserve">Tegelijkertijd verschillen ze in </w:t>
      </w:r>
      <w:r w:rsidRPr="00B66243" w:rsidR="00AA7595">
        <w:rPr>
          <w:rFonts w:eastAsia="Calibri" w:cs="Arial"/>
          <w:szCs w:val="22"/>
          <w:lang w:eastAsia="en-US"/>
        </w:rPr>
        <w:t xml:space="preserve">de </w:t>
      </w:r>
      <w:r w:rsidRPr="00B66243" w:rsidR="004744DF">
        <w:rPr>
          <w:rFonts w:eastAsia="Calibri" w:cs="Arial"/>
          <w:szCs w:val="22"/>
          <w:lang w:eastAsia="en-US"/>
        </w:rPr>
        <w:t xml:space="preserve">mate van rechtspositionele inbedding, duur en mogelijkheden tot herbeoordeling of </w:t>
      </w:r>
      <w:proofErr w:type="spellStart"/>
      <w:r w:rsidRPr="00B66243" w:rsidR="004744DF">
        <w:rPr>
          <w:rFonts w:eastAsia="Calibri" w:cs="Arial"/>
          <w:szCs w:val="22"/>
          <w:lang w:eastAsia="en-US"/>
        </w:rPr>
        <w:t>afschaling</w:t>
      </w:r>
      <w:proofErr w:type="spellEnd"/>
      <w:r w:rsidRPr="00B66243" w:rsidR="004744DF">
        <w:rPr>
          <w:rFonts w:eastAsia="Calibri" w:cs="Arial"/>
          <w:szCs w:val="22"/>
          <w:lang w:eastAsia="en-US"/>
        </w:rPr>
        <w:t>. Waar de VS en Italië vooral worden gekenmerkt door langdurige of structurele isolatie</w:t>
      </w:r>
      <w:r w:rsidRPr="00B66243" w:rsidR="00E23905">
        <w:rPr>
          <w:rFonts w:eastAsia="Calibri" w:cs="Arial"/>
          <w:szCs w:val="22"/>
          <w:lang w:eastAsia="en-US"/>
        </w:rPr>
        <w:t xml:space="preserve"> gericht op het beperken van de risico’s tijdens detentie, </w:t>
      </w:r>
      <w:r w:rsidRPr="00B66243" w:rsidR="004744DF">
        <w:rPr>
          <w:rFonts w:eastAsia="Calibri" w:cs="Arial"/>
          <w:szCs w:val="22"/>
          <w:lang w:eastAsia="en-US"/>
        </w:rPr>
        <w:t>zonder duidelijke uitstroommechanismen</w:t>
      </w:r>
      <w:r w:rsidRPr="00B66243" w:rsidR="00E23905">
        <w:rPr>
          <w:rFonts w:eastAsia="Calibri" w:cs="Arial"/>
          <w:szCs w:val="22"/>
          <w:lang w:eastAsia="en-US"/>
        </w:rPr>
        <w:t xml:space="preserve"> </w:t>
      </w:r>
      <w:r w:rsidRPr="00B66243" w:rsidR="004744DF">
        <w:rPr>
          <w:rFonts w:eastAsia="Calibri" w:cs="Arial"/>
          <w:szCs w:val="22"/>
          <w:lang w:eastAsia="en-US"/>
        </w:rPr>
        <w:t>biedt Zweden meer periodieke herbeoordeling en een meer mensgericht regime</w:t>
      </w:r>
      <w:r w:rsidRPr="00B66243" w:rsidR="00E23905">
        <w:rPr>
          <w:rFonts w:eastAsia="Calibri" w:cs="Arial"/>
          <w:szCs w:val="22"/>
          <w:lang w:eastAsia="en-US"/>
        </w:rPr>
        <w:t xml:space="preserve"> aangevuld met een inzet op risicobeperking na detentie middels preventieve detentie</w:t>
      </w:r>
      <w:r w:rsidRPr="00B66243" w:rsidR="004744DF">
        <w:rPr>
          <w:rFonts w:eastAsia="Calibri" w:cs="Arial"/>
          <w:szCs w:val="22"/>
          <w:lang w:eastAsia="en-US"/>
        </w:rPr>
        <w:t xml:space="preserve">. </w:t>
      </w:r>
    </w:p>
    <w:p w:rsidRPr="00B66243" w:rsidR="005A7C75" w:rsidP="005A7C75" w:rsidRDefault="005A7C75" w14:paraId="3D82A7C5" w14:textId="77777777">
      <w:pPr>
        <w:spacing w:line="259" w:lineRule="auto"/>
        <w:rPr>
          <w:rFonts w:eastAsia="Calibri" w:cs="Arial"/>
          <w:szCs w:val="22"/>
          <w:lang w:eastAsia="en-US"/>
        </w:rPr>
      </w:pPr>
    </w:p>
    <w:p w:rsidRPr="00B66243" w:rsidR="008F5C6F" w:rsidP="00512F58" w:rsidRDefault="008F5C6F" w14:paraId="6154785E" w14:textId="27A15F92">
      <w:pPr>
        <w:spacing w:line="259" w:lineRule="auto"/>
        <w:rPr>
          <w:rFonts w:eastAsia="Calibri" w:cs="Arial"/>
          <w:szCs w:val="22"/>
          <w:lang w:eastAsia="en-US"/>
        </w:rPr>
      </w:pPr>
      <w:r w:rsidRPr="00B66243">
        <w:rPr>
          <w:rFonts w:eastAsia="Calibri" w:cs="Arial"/>
          <w:szCs w:val="22"/>
          <w:lang w:eastAsia="en-US"/>
        </w:rPr>
        <w:t>Op basis van de bevindingen van het verkennend rechtsvergelijkend onderzoek conclu</w:t>
      </w:r>
      <w:r w:rsidRPr="00B66243" w:rsidR="005A7C75">
        <w:rPr>
          <w:rFonts w:eastAsia="Calibri" w:cs="Arial"/>
          <w:szCs w:val="22"/>
          <w:lang w:eastAsia="en-US"/>
        </w:rPr>
        <w:t xml:space="preserve">deren de onderzoekers </w:t>
      </w:r>
      <w:r w:rsidRPr="00B66243">
        <w:rPr>
          <w:rFonts w:eastAsia="Calibri" w:cs="Arial"/>
          <w:szCs w:val="22"/>
          <w:lang w:eastAsia="en-US"/>
        </w:rPr>
        <w:t>dat buitenlandse voorbeelden</w:t>
      </w:r>
      <w:r w:rsidRPr="00B66243" w:rsidR="005A7C75">
        <w:rPr>
          <w:rFonts w:eastAsia="Calibri" w:cs="Arial"/>
          <w:szCs w:val="22"/>
          <w:lang w:eastAsia="en-US"/>
        </w:rPr>
        <w:t xml:space="preserve"> op dit moment</w:t>
      </w:r>
      <w:r w:rsidRPr="00B66243">
        <w:rPr>
          <w:rFonts w:eastAsia="Calibri" w:cs="Arial"/>
          <w:szCs w:val="22"/>
          <w:lang w:eastAsia="en-US"/>
        </w:rPr>
        <w:t xml:space="preserve"> geen nieuwe, bruikbare oplossingen</w:t>
      </w:r>
      <w:r w:rsidRPr="00B66243" w:rsidR="005A7C75">
        <w:rPr>
          <w:rFonts w:eastAsia="Calibri" w:cs="Arial"/>
          <w:szCs w:val="22"/>
          <w:lang w:eastAsia="en-US"/>
        </w:rPr>
        <w:t xml:space="preserve"> bieden om VCHD verder tegen te gaan</w:t>
      </w:r>
      <w:r w:rsidRPr="00B66243" w:rsidR="006B3C14">
        <w:rPr>
          <w:rFonts w:eastAsia="Calibri" w:cs="Arial"/>
          <w:szCs w:val="22"/>
          <w:lang w:eastAsia="en-US"/>
        </w:rPr>
        <w:t xml:space="preserve"> vanuit detentie</w:t>
      </w:r>
      <w:r w:rsidRPr="00B66243">
        <w:rPr>
          <w:rFonts w:eastAsia="Calibri" w:cs="Arial"/>
          <w:szCs w:val="22"/>
          <w:lang w:eastAsia="en-US"/>
        </w:rPr>
        <w:t>. Nederland heeft al veel maatregelen overgenomen</w:t>
      </w:r>
      <w:r w:rsidRPr="00B66243" w:rsidR="005A7C75">
        <w:rPr>
          <w:rFonts w:eastAsia="Calibri" w:cs="Arial"/>
          <w:szCs w:val="22"/>
          <w:lang w:eastAsia="en-US"/>
        </w:rPr>
        <w:t>, en loopt</w:t>
      </w:r>
      <w:r w:rsidRPr="00B66243" w:rsidR="006B3C14">
        <w:rPr>
          <w:rFonts w:eastAsia="Calibri" w:cs="Arial"/>
          <w:szCs w:val="22"/>
          <w:lang w:eastAsia="en-US"/>
        </w:rPr>
        <w:t xml:space="preserve"> zo concluderen de onderzoekers</w:t>
      </w:r>
      <w:r w:rsidRPr="00B66243" w:rsidR="005A7C75">
        <w:rPr>
          <w:rFonts w:eastAsia="Calibri" w:cs="Arial"/>
          <w:szCs w:val="22"/>
          <w:lang w:eastAsia="en-US"/>
        </w:rPr>
        <w:t xml:space="preserve"> internationaal voorop</w:t>
      </w:r>
      <w:r w:rsidRPr="00B66243" w:rsidR="006B3C14">
        <w:rPr>
          <w:rFonts w:eastAsia="Calibri" w:cs="Arial"/>
          <w:szCs w:val="22"/>
          <w:lang w:eastAsia="en-US"/>
        </w:rPr>
        <w:t xml:space="preserve">, De </w:t>
      </w:r>
      <w:r w:rsidRPr="00B66243" w:rsidR="005A7C75">
        <w:rPr>
          <w:rFonts w:eastAsia="Calibri" w:cs="Arial"/>
          <w:szCs w:val="22"/>
          <w:lang w:eastAsia="en-US"/>
        </w:rPr>
        <w:t>onderzoekers</w:t>
      </w:r>
      <w:r w:rsidRPr="00B66243" w:rsidR="006B3C14">
        <w:rPr>
          <w:rFonts w:eastAsia="Calibri" w:cs="Arial"/>
          <w:szCs w:val="22"/>
          <w:lang w:eastAsia="en-US"/>
        </w:rPr>
        <w:t xml:space="preserve"> geven aan dat </w:t>
      </w:r>
      <w:r w:rsidRPr="00B66243" w:rsidR="005A7C75">
        <w:rPr>
          <w:rFonts w:eastAsia="Calibri" w:cs="Arial"/>
          <w:szCs w:val="22"/>
          <w:lang w:eastAsia="en-US"/>
        </w:rPr>
        <w:t>Nederland</w:t>
      </w:r>
      <w:r w:rsidRPr="00B66243">
        <w:rPr>
          <w:rFonts w:eastAsia="Calibri" w:cs="Arial"/>
          <w:szCs w:val="22"/>
          <w:lang w:eastAsia="en-US"/>
        </w:rPr>
        <w:t xml:space="preserve"> nu vooral voor de opgave</w:t>
      </w:r>
      <w:r w:rsidRPr="00B66243" w:rsidR="006B3C14">
        <w:rPr>
          <w:rFonts w:eastAsia="Calibri" w:cs="Arial"/>
          <w:szCs w:val="22"/>
          <w:lang w:eastAsia="en-US"/>
        </w:rPr>
        <w:t xml:space="preserve"> staat</w:t>
      </w:r>
      <w:r w:rsidRPr="00B66243">
        <w:rPr>
          <w:rFonts w:eastAsia="Calibri" w:cs="Arial"/>
          <w:szCs w:val="22"/>
          <w:lang w:eastAsia="en-US"/>
        </w:rPr>
        <w:t xml:space="preserve"> om de effectiviteit te evalueren en een juiste balans te vinden tussen veiligheid en re-integratie</w:t>
      </w:r>
      <w:r w:rsidRPr="00B66243" w:rsidR="005A7C75">
        <w:rPr>
          <w:rFonts w:eastAsia="Calibri" w:cs="Arial"/>
          <w:szCs w:val="22"/>
          <w:lang w:eastAsia="en-US"/>
        </w:rPr>
        <w:t>.</w:t>
      </w:r>
    </w:p>
    <w:p w:rsidRPr="00B66243" w:rsidR="005A7C75" w:rsidP="00512F58" w:rsidRDefault="005A7C75" w14:paraId="17D28CCC" w14:textId="77777777">
      <w:pPr>
        <w:spacing w:line="259" w:lineRule="auto"/>
        <w:rPr>
          <w:rFonts w:eastAsia="Calibri" w:cs="Arial"/>
          <w:szCs w:val="22"/>
          <w:lang w:eastAsia="en-US"/>
        </w:rPr>
      </w:pPr>
    </w:p>
    <w:p w:rsidRPr="00B66243" w:rsidR="00741466" w:rsidP="00512F58" w:rsidRDefault="00741466" w14:paraId="67627FE8" w14:textId="45CA297F">
      <w:pPr>
        <w:spacing w:line="259" w:lineRule="auto"/>
        <w:rPr>
          <w:rFonts w:eastAsia="Calibri" w:cs="Arial"/>
          <w:i/>
          <w:iCs/>
          <w:szCs w:val="22"/>
          <w:lang w:eastAsia="en-US"/>
        </w:rPr>
      </w:pPr>
      <w:r w:rsidRPr="00B66243">
        <w:rPr>
          <w:rFonts w:eastAsia="Calibri" w:cs="Arial"/>
          <w:i/>
          <w:iCs/>
          <w:szCs w:val="22"/>
          <w:lang w:eastAsia="en-US"/>
        </w:rPr>
        <w:t>Risicotaxatie</w:t>
      </w:r>
      <w:r w:rsidRPr="00B66243" w:rsidR="00D375A2">
        <w:rPr>
          <w:rFonts w:eastAsia="Calibri" w:cs="Arial"/>
          <w:i/>
          <w:iCs/>
          <w:szCs w:val="22"/>
          <w:lang w:eastAsia="en-US"/>
        </w:rPr>
        <w:t xml:space="preserve"> en re-integratie</w:t>
      </w:r>
    </w:p>
    <w:p w:rsidRPr="00B66243" w:rsidR="007A2779" w:rsidP="00512F58" w:rsidRDefault="00741466" w14:paraId="3299C776" w14:textId="049B0B75">
      <w:pPr>
        <w:spacing w:line="259" w:lineRule="auto"/>
        <w:rPr>
          <w:rFonts w:cs="Calibri"/>
        </w:rPr>
      </w:pPr>
      <w:r w:rsidRPr="00B66243">
        <w:rPr>
          <w:rFonts w:eastAsia="Calibri" w:cs="Arial"/>
          <w:szCs w:val="22"/>
          <w:lang w:eastAsia="en-US"/>
        </w:rPr>
        <w:t>Internationaal is</w:t>
      </w:r>
      <w:r w:rsidRPr="00B66243" w:rsidR="00CD6C4F">
        <w:rPr>
          <w:rFonts w:eastAsia="Calibri" w:cs="Arial"/>
          <w:szCs w:val="22"/>
          <w:lang w:eastAsia="en-US"/>
        </w:rPr>
        <w:t xml:space="preserve"> er</w:t>
      </w:r>
      <w:r w:rsidRPr="00B66243">
        <w:rPr>
          <w:rFonts w:eastAsia="Calibri" w:cs="Arial"/>
          <w:szCs w:val="22"/>
          <w:lang w:eastAsia="en-US"/>
        </w:rPr>
        <w:t xml:space="preserve"> </w:t>
      </w:r>
      <w:r w:rsidRPr="00B66243" w:rsidR="00CD6C4F">
        <w:rPr>
          <w:rFonts w:eastAsia="Calibri" w:cs="Arial"/>
          <w:szCs w:val="22"/>
          <w:lang w:eastAsia="en-US"/>
        </w:rPr>
        <w:t xml:space="preserve">vrijwel </w:t>
      </w:r>
      <w:r w:rsidRPr="00B66243">
        <w:rPr>
          <w:rFonts w:eastAsia="Calibri" w:cs="Arial"/>
          <w:szCs w:val="22"/>
          <w:lang w:eastAsia="en-US"/>
        </w:rPr>
        <w:t xml:space="preserve">geen </w:t>
      </w:r>
      <w:r w:rsidRPr="00B66243" w:rsidR="00CD6C4F">
        <w:rPr>
          <w:rFonts w:eastAsia="Calibri" w:cs="Arial"/>
          <w:szCs w:val="22"/>
          <w:lang w:eastAsia="en-US"/>
        </w:rPr>
        <w:t>risicotaxatie-</w:t>
      </w:r>
      <w:r w:rsidRPr="00B66243">
        <w:rPr>
          <w:rFonts w:eastAsia="Calibri" w:cs="Arial"/>
          <w:szCs w:val="22"/>
          <w:lang w:eastAsia="en-US"/>
        </w:rPr>
        <w:t xml:space="preserve">instrument beschikbaar dat adequaat en valide risico’s inschat bij hoogrisicogedetineerden. </w:t>
      </w:r>
      <w:r w:rsidRPr="00B66243" w:rsidR="005036F6">
        <w:rPr>
          <w:rFonts w:eastAsia="Calibri" w:cs="Arial"/>
          <w:szCs w:val="22"/>
          <w:lang w:eastAsia="en-US"/>
        </w:rPr>
        <w:t xml:space="preserve">De onderzoekers geven aan dat </w:t>
      </w:r>
      <w:r w:rsidRPr="00B66243" w:rsidR="007025B8">
        <w:rPr>
          <w:rFonts w:eastAsia="Calibri" w:cs="Arial"/>
          <w:szCs w:val="22"/>
          <w:lang w:eastAsia="en-US"/>
        </w:rPr>
        <w:t xml:space="preserve">landen (waaronder Nederland) hun beslissingen </w:t>
      </w:r>
      <w:r w:rsidRPr="00B66243" w:rsidR="005036F6">
        <w:rPr>
          <w:rFonts w:eastAsia="Calibri" w:cs="Arial"/>
          <w:szCs w:val="22"/>
          <w:lang w:eastAsia="en-US"/>
        </w:rPr>
        <w:t>i</w:t>
      </w:r>
      <w:r w:rsidRPr="00B66243">
        <w:rPr>
          <w:rFonts w:eastAsia="Calibri" w:cs="Arial"/>
          <w:szCs w:val="22"/>
          <w:lang w:eastAsia="en-US"/>
        </w:rPr>
        <w:t>n de praktijk</w:t>
      </w:r>
      <w:r w:rsidRPr="00B66243">
        <w:rPr>
          <w:rFonts w:eastAsia="Calibri" w:cs="Arial"/>
          <w:lang w:eastAsia="en-US"/>
        </w:rPr>
        <w:t xml:space="preserve"> </w:t>
      </w:r>
      <w:r w:rsidRPr="00B66243" w:rsidR="005036F6">
        <w:rPr>
          <w:rFonts w:eastAsia="Calibri" w:cs="Arial"/>
          <w:lang w:eastAsia="en-US"/>
        </w:rPr>
        <w:t xml:space="preserve">baseren </w:t>
      </w:r>
      <w:r w:rsidRPr="00B66243">
        <w:rPr>
          <w:rFonts w:eastAsia="Calibri" w:cs="Arial"/>
          <w:lang w:eastAsia="en-US"/>
        </w:rPr>
        <w:t xml:space="preserve">op operationele informatie zoals inlichtingen, observaties en veiligheidsgegevens, zonder dat deze </w:t>
      </w:r>
      <w:r w:rsidRPr="00B66243" w:rsidR="003C39B3">
        <w:rPr>
          <w:rFonts w:eastAsia="Calibri" w:cs="Arial"/>
          <w:lang w:eastAsia="en-US"/>
        </w:rPr>
        <w:t xml:space="preserve">informatie </w:t>
      </w:r>
      <w:r w:rsidRPr="00B66243">
        <w:rPr>
          <w:rFonts w:eastAsia="Calibri" w:cs="Arial"/>
          <w:lang w:eastAsia="en-US"/>
        </w:rPr>
        <w:t>systematisch word</w:t>
      </w:r>
      <w:r w:rsidRPr="00B66243" w:rsidR="003C39B3">
        <w:rPr>
          <w:rFonts w:eastAsia="Calibri" w:cs="Arial"/>
          <w:lang w:eastAsia="en-US"/>
        </w:rPr>
        <w:t>t</w:t>
      </w:r>
      <w:r w:rsidRPr="00B66243">
        <w:rPr>
          <w:rFonts w:eastAsia="Calibri" w:cs="Arial"/>
          <w:lang w:eastAsia="en-US"/>
        </w:rPr>
        <w:t xml:space="preserve"> gewogen in een gestandaardiseerde risicoanalyse. Het enige meer gestructureerde en mogelijk relevante instrument dat internationaal is aangetroffen, is de Canadese Multi Level </w:t>
      </w:r>
      <w:proofErr w:type="spellStart"/>
      <w:r w:rsidRPr="00B66243">
        <w:rPr>
          <w:rFonts w:eastAsia="Calibri" w:cs="Arial"/>
          <w:lang w:eastAsia="en-US"/>
        </w:rPr>
        <w:t>Guidelines</w:t>
      </w:r>
      <w:proofErr w:type="spellEnd"/>
      <w:r w:rsidRPr="00B66243">
        <w:rPr>
          <w:rFonts w:eastAsia="Calibri" w:cs="Arial"/>
          <w:lang w:eastAsia="en-US"/>
        </w:rPr>
        <w:t xml:space="preserve"> </w:t>
      </w:r>
      <w:proofErr w:type="spellStart"/>
      <w:r w:rsidRPr="00B66243">
        <w:rPr>
          <w:rFonts w:eastAsia="Calibri" w:cs="Arial"/>
          <w:lang w:eastAsia="en-US"/>
        </w:rPr>
        <w:t>for</w:t>
      </w:r>
      <w:proofErr w:type="spellEnd"/>
      <w:r w:rsidRPr="00B66243">
        <w:rPr>
          <w:rFonts w:eastAsia="Calibri" w:cs="Arial"/>
          <w:lang w:eastAsia="en-US"/>
        </w:rPr>
        <w:t xml:space="preserve"> Group </w:t>
      </w:r>
      <w:proofErr w:type="spellStart"/>
      <w:r w:rsidRPr="00B66243">
        <w:rPr>
          <w:rFonts w:eastAsia="Calibri" w:cs="Arial"/>
          <w:lang w:eastAsia="en-US"/>
        </w:rPr>
        <w:t>Based</w:t>
      </w:r>
      <w:proofErr w:type="spellEnd"/>
      <w:r w:rsidRPr="00B66243">
        <w:rPr>
          <w:rFonts w:eastAsia="Calibri" w:cs="Arial"/>
          <w:lang w:eastAsia="en-US"/>
        </w:rPr>
        <w:t xml:space="preserve"> </w:t>
      </w:r>
      <w:proofErr w:type="spellStart"/>
      <w:r w:rsidRPr="00B66243">
        <w:rPr>
          <w:rFonts w:eastAsia="Calibri" w:cs="Arial"/>
          <w:lang w:eastAsia="en-US"/>
        </w:rPr>
        <w:t>Violence</w:t>
      </w:r>
      <w:proofErr w:type="spellEnd"/>
      <w:r w:rsidRPr="00B66243" w:rsidR="007A2779">
        <w:rPr>
          <w:rFonts w:eastAsia="Calibri" w:cs="Arial"/>
          <w:lang w:eastAsia="en-US"/>
        </w:rPr>
        <w:t xml:space="preserve"> (MLG)</w:t>
      </w:r>
      <w:r w:rsidRPr="00B66243">
        <w:rPr>
          <w:rFonts w:eastAsia="Calibri" w:cs="Arial"/>
          <w:lang w:eastAsia="en-US"/>
        </w:rPr>
        <w:t>.</w:t>
      </w:r>
      <w:r w:rsidRPr="00B66243" w:rsidR="00CD6C4F">
        <w:rPr>
          <w:rFonts w:eastAsia="Calibri" w:cs="Arial"/>
          <w:lang w:eastAsia="en-US"/>
        </w:rPr>
        <w:t xml:space="preserve"> Dit </w:t>
      </w:r>
      <w:r w:rsidRPr="00B66243" w:rsidR="007A2779">
        <w:rPr>
          <w:rFonts w:cs="Calibri"/>
        </w:rPr>
        <w:t>instrument is ontwikkeld in reactie op een behoefte aan specifieke instrumenten v</w:t>
      </w:r>
      <w:r w:rsidRPr="00B66243" w:rsidR="00CD6C4F">
        <w:rPr>
          <w:rFonts w:cs="Calibri"/>
        </w:rPr>
        <w:t>oor een</w:t>
      </w:r>
      <w:r w:rsidRPr="00B66243" w:rsidR="007A2779">
        <w:rPr>
          <w:rFonts w:cs="Calibri"/>
        </w:rPr>
        <w:t xml:space="preserve"> gestructureerd professioneel oordeel voor extremistisch geweld. </w:t>
      </w:r>
      <w:r w:rsidRPr="00B66243" w:rsidR="00DD5592">
        <w:rPr>
          <w:rFonts w:cs="Calibri"/>
        </w:rPr>
        <w:t xml:space="preserve">Als </w:t>
      </w:r>
      <w:r w:rsidRPr="00B66243" w:rsidR="00FF33EE">
        <w:rPr>
          <w:rFonts w:cs="Calibri"/>
        </w:rPr>
        <w:t>éé</w:t>
      </w:r>
      <w:r w:rsidRPr="00B66243" w:rsidR="00163409">
        <w:rPr>
          <w:rFonts w:cs="Calibri"/>
        </w:rPr>
        <w:t xml:space="preserve">n van de </w:t>
      </w:r>
      <w:r w:rsidRPr="00B66243" w:rsidR="00DD5592">
        <w:rPr>
          <w:rFonts w:cs="Calibri"/>
        </w:rPr>
        <w:t xml:space="preserve">specifieke contexten voor het geweld wordt de georganiseerde misdaad genoemd. </w:t>
      </w:r>
      <w:r w:rsidRPr="00B66243" w:rsidR="00F75650">
        <w:rPr>
          <w:rFonts w:cs="Calibri"/>
        </w:rPr>
        <w:t>Het model bestrijkt zestien factoren op vier domeinen, van individu tot groep en samenleving.</w:t>
      </w:r>
      <w:r w:rsidRPr="00B66243" w:rsidR="005C1E4D">
        <w:rPr>
          <w:rFonts w:ascii="Calibri" w:hAnsi="Calibri" w:cs="Calibri"/>
        </w:rPr>
        <w:t xml:space="preserve"> </w:t>
      </w:r>
      <w:r w:rsidRPr="00B66243" w:rsidR="007A2779">
        <w:rPr>
          <w:rFonts w:cs="Calibri"/>
        </w:rPr>
        <w:t>Het gaat om geweld door een individu, wiens beslissingen</w:t>
      </w:r>
      <w:r w:rsidRPr="00B66243" w:rsidR="00AA7595">
        <w:rPr>
          <w:rFonts w:cs="Calibri"/>
        </w:rPr>
        <w:t xml:space="preserve"> en</w:t>
      </w:r>
      <w:r w:rsidRPr="00B66243" w:rsidR="007A2779">
        <w:rPr>
          <w:rFonts w:cs="Calibri"/>
        </w:rPr>
        <w:t xml:space="preserve"> gedragingen worden beïnvloed door een groep waartoe ze behoren</w:t>
      </w:r>
      <w:r w:rsidRPr="00B66243" w:rsidR="003C39B3">
        <w:rPr>
          <w:rFonts w:cs="Calibri"/>
        </w:rPr>
        <w:t xml:space="preserve"> of waarmee ze </w:t>
      </w:r>
      <w:r w:rsidRPr="00B66243" w:rsidR="007A2779">
        <w:rPr>
          <w:rFonts w:cs="Calibri"/>
        </w:rPr>
        <w:t>zich associëren of identificeren.</w:t>
      </w:r>
      <w:r w:rsidRPr="00B66243" w:rsidR="00DD5592">
        <w:rPr>
          <w:rFonts w:cs="Calibri"/>
        </w:rPr>
        <w:t xml:space="preserve"> </w:t>
      </w:r>
      <w:r w:rsidRPr="00B66243" w:rsidR="007A2779">
        <w:rPr>
          <w:rFonts w:cs="Calibri"/>
        </w:rPr>
        <w:t>De empirische onderbouwing komt grotendeels vanuit de forensische psychologie en criminologie.</w:t>
      </w:r>
      <w:r w:rsidRPr="00B66243" w:rsidR="009F0399">
        <w:rPr>
          <w:rFonts w:cs="Calibri"/>
        </w:rPr>
        <w:t xml:space="preserve"> </w:t>
      </w:r>
      <w:r w:rsidRPr="00B66243" w:rsidR="007A2779">
        <w:rPr>
          <w:rFonts w:cs="Calibri"/>
        </w:rPr>
        <w:t xml:space="preserve"> </w:t>
      </w:r>
    </w:p>
    <w:p w:rsidRPr="00B66243" w:rsidR="00032656" w:rsidP="00512F58" w:rsidRDefault="00D375A2" w14:paraId="156744B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Calibri" w:hAnsi="Calibri" w:cs="Calibri"/>
          <w:sz w:val="23"/>
          <w:szCs w:val="23"/>
        </w:rPr>
      </w:pPr>
      <w:r w:rsidRPr="00B66243">
        <w:rPr>
          <w:rFonts w:eastAsia="Calibri" w:cs="Arial"/>
          <w:i/>
          <w:iCs/>
          <w:szCs w:val="22"/>
          <w:lang w:eastAsia="en-US"/>
        </w:rPr>
        <w:br/>
      </w:r>
      <w:r w:rsidRPr="00B66243" w:rsidR="00691F0B">
        <w:rPr>
          <w:rFonts w:eastAsia="Calibri" w:cs="Arial"/>
          <w:szCs w:val="22"/>
          <w:lang w:eastAsia="en-US"/>
        </w:rPr>
        <w:t>De onderzoekers constateren dat specifieke re-integratieprogramma’s (in en na detentie) voor hoogrisicogedetineerden vrijwel in alle onderzochte landen ontbreken. Er wordt aangegeven dat het moeilijk is om effectieve interventies te ontwikkelen voor personen met diepgewortelde criminele attitudes en/of sterke banden met criminele organisaties.</w:t>
      </w:r>
      <w:r w:rsidRPr="00B66243" w:rsidR="00691F0B">
        <w:rPr>
          <w:rFonts w:cs="Calibri"/>
          <w:color w:val="000000" w:themeColor="text1"/>
        </w:rPr>
        <w:t xml:space="preserve"> Canada en de Verenigde Staten </w:t>
      </w:r>
      <w:r w:rsidRPr="00B66243" w:rsidR="009F0399">
        <w:rPr>
          <w:rFonts w:cs="Calibri"/>
          <w:color w:val="000000" w:themeColor="text1"/>
        </w:rPr>
        <w:t xml:space="preserve">bieden daarentegen wel </w:t>
      </w:r>
      <w:r w:rsidRPr="00B66243" w:rsidR="00691F0B">
        <w:rPr>
          <w:rFonts w:cs="Calibri"/>
          <w:color w:val="000000" w:themeColor="text1"/>
        </w:rPr>
        <w:t xml:space="preserve">interessante aanknopingspunten door </w:t>
      </w:r>
      <w:r w:rsidRPr="00B66243" w:rsidR="00FA47CF">
        <w:rPr>
          <w:rFonts w:cs="Calibri"/>
          <w:color w:val="000000" w:themeColor="text1"/>
        </w:rPr>
        <w:t xml:space="preserve">het </w:t>
      </w:r>
      <w:r w:rsidRPr="00B66243" w:rsidR="00691F0B">
        <w:rPr>
          <w:rFonts w:cs="Calibri"/>
          <w:color w:val="000000" w:themeColor="text1"/>
        </w:rPr>
        <w:t>gebruik van groepsgerichte risicoclassificatie (</w:t>
      </w:r>
      <w:r w:rsidRPr="00B66243" w:rsidR="00691F0B">
        <w:rPr>
          <w:rFonts w:cs="Calibri"/>
          <w:i/>
          <w:iCs/>
          <w:color w:val="000000" w:themeColor="text1"/>
        </w:rPr>
        <w:t xml:space="preserve">Security </w:t>
      </w:r>
      <w:proofErr w:type="spellStart"/>
      <w:r w:rsidRPr="00B66243" w:rsidR="00691F0B">
        <w:rPr>
          <w:rFonts w:cs="Calibri"/>
          <w:i/>
          <w:iCs/>
          <w:color w:val="000000" w:themeColor="text1"/>
        </w:rPr>
        <w:t>Threat</w:t>
      </w:r>
      <w:proofErr w:type="spellEnd"/>
      <w:r w:rsidRPr="00B66243" w:rsidR="00691F0B">
        <w:rPr>
          <w:rFonts w:cs="Calibri"/>
          <w:i/>
          <w:iCs/>
          <w:color w:val="000000" w:themeColor="text1"/>
        </w:rPr>
        <w:t xml:space="preserve"> Group</w:t>
      </w:r>
      <w:r w:rsidRPr="00B66243" w:rsidR="0045063B">
        <w:rPr>
          <w:rFonts w:cs="Calibri"/>
          <w:i/>
          <w:iCs/>
          <w:color w:val="000000" w:themeColor="text1"/>
        </w:rPr>
        <w:t>, STG</w:t>
      </w:r>
      <w:r w:rsidRPr="00B66243" w:rsidR="00691F0B">
        <w:rPr>
          <w:rFonts w:cs="Calibri"/>
          <w:color w:val="000000" w:themeColor="text1"/>
        </w:rPr>
        <w:t>)</w:t>
      </w:r>
      <w:r w:rsidRPr="00B66243" w:rsidR="009F0399">
        <w:rPr>
          <w:rFonts w:cs="Calibri"/>
          <w:color w:val="000000" w:themeColor="text1"/>
        </w:rPr>
        <w:t>.</w:t>
      </w:r>
      <w:r w:rsidRPr="00B66243" w:rsidR="00A678F5">
        <w:rPr>
          <w:rStyle w:val="Voetnootmarkering"/>
          <w:rFonts w:cs="Calibri"/>
          <w:color w:val="000000" w:themeColor="text1"/>
        </w:rPr>
        <w:footnoteReference w:id="1"/>
      </w:r>
      <w:r w:rsidRPr="00B66243" w:rsidR="00B17454">
        <w:rPr>
          <w:rFonts w:ascii="Calibri" w:hAnsi="Calibri" w:cs="Calibri"/>
          <w:sz w:val="23"/>
          <w:szCs w:val="23"/>
        </w:rPr>
        <w:t xml:space="preserve"> </w:t>
      </w:r>
    </w:p>
    <w:p w:rsidRPr="00B66243" w:rsidR="00032656" w:rsidP="00512F58" w:rsidRDefault="00032656" w14:paraId="3C4D274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Calibri" w:hAnsi="Calibri" w:cs="Calibri"/>
          <w:sz w:val="23"/>
          <w:szCs w:val="23"/>
        </w:rPr>
      </w:pPr>
    </w:p>
    <w:p w:rsidRPr="00B66243" w:rsidR="00032656" w:rsidP="00512F58" w:rsidRDefault="00D73689" w14:paraId="6EF0DA8B" w14:textId="6C2C3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rPr>
      </w:pPr>
      <w:r w:rsidRPr="00B66243">
        <w:rPr>
          <w:rFonts w:cs="Calibri"/>
          <w:color w:val="000000" w:themeColor="text1"/>
        </w:rPr>
        <w:t>D</w:t>
      </w:r>
      <w:r w:rsidRPr="00B66243" w:rsidR="00032656">
        <w:rPr>
          <w:rFonts w:cs="Calibri"/>
          <w:color w:val="000000" w:themeColor="text1"/>
        </w:rPr>
        <w:t xml:space="preserve">e uitvoering van het STG-beleid </w:t>
      </w:r>
      <w:r w:rsidRPr="00B66243">
        <w:rPr>
          <w:rFonts w:cs="Calibri"/>
          <w:color w:val="000000" w:themeColor="text1"/>
        </w:rPr>
        <w:t xml:space="preserve">betreft in Canada </w:t>
      </w:r>
      <w:r w:rsidRPr="00B66243" w:rsidR="00032656">
        <w:rPr>
          <w:rFonts w:cs="Calibri"/>
          <w:color w:val="000000" w:themeColor="text1"/>
        </w:rPr>
        <w:t xml:space="preserve">een multidisciplinair systeem, waarbij er periodiek inlichtingen en advisering plaatsvindt vanuit gevangenismanagement maar ook ‘case management’ inclusief psychologen en reclasseringswerkers om een dynamische, individuele en actuele benadering te borgen. </w:t>
      </w:r>
      <w:r w:rsidRPr="00B66243" w:rsidR="009F0399">
        <w:rPr>
          <w:rFonts w:cs="Calibri"/>
          <w:color w:val="000000" w:themeColor="text1"/>
        </w:rPr>
        <w:t xml:space="preserve">Daarbij kent </w:t>
      </w:r>
      <w:r w:rsidRPr="00B66243" w:rsidR="00691F0B">
        <w:rPr>
          <w:rFonts w:cs="Calibri"/>
          <w:color w:val="000000" w:themeColor="text1"/>
        </w:rPr>
        <w:t xml:space="preserve">Canada één specifiek re-integratieprogramma </w:t>
      </w:r>
      <w:r w:rsidRPr="00B66243" w:rsidR="00FC1723">
        <w:rPr>
          <w:rFonts w:cs="Calibri"/>
          <w:color w:val="000000" w:themeColor="text1"/>
        </w:rPr>
        <w:t xml:space="preserve">dat </w:t>
      </w:r>
      <w:r w:rsidRPr="00B66243" w:rsidR="00691F0B">
        <w:rPr>
          <w:rFonts w:cs="Calibri"/>
          <w:color w:val="000000" w:themeColor="text1"/>
        </w:rPr>
        <w:t xml:space="preserve">via cognitieve gedragstherapie gericht is op het verminderen van criminogene factoren voor de onderzoeksdoelgroep. </w:t>
      </w:r>
      <w:r w:rsidRPr="00B66243">
        <w:rPr>
          <w:rFonts w:cs="Calibri"/>
          <w:color w:val="000000" w:themeColor="text1"/>
        </w:rPr>
        <w:t>Het</w:t>
      </w:r>
      <w:r w:rsidRPr="00B66243" w:rsidR="00032656">
        <w:rPr>
          <w:rFonts w:cs="Calibri"/>
          <w:color w:val="000000" w:themeColor="text1"/>
        </w:rPr>
        <w:t xml:space="preserve"> </w:t>
      </w:r>
      <w:r w:rsidRPr="00B66243">
        <w:rPr>
          <w:rFonts w:cs="Calibri"/>
          <w:color w:val="000000" w:themeColor="text1"/>
        </w:rPr>
        <w:t xml:space="preserve">Counter-Point programma </w:t>
      </w:r>
      <w:r w:rsidRPr="00B66243" w:rsidR="00032656">
        <w:rPr>
          <w:rFonts w:cs="Calibri"/>
          <w:color w:val="000000" w:themeColor="text1"/>
        </w:rPr>
        <w:t>h</w:t>
      </w:r>
      <w:r w:rsidRPr="00B66243">
        <w:rPr>
          <w:rFonts w:cs="Calibri"/>
          <w:color w:val="000000" w:themeColor="text1"/>
        </w:rPr>
        <w:t>oudt</w:t>
      </w:r>
      <w:r w:rsidRPr="00B66243" w:rsidR="00032656">
        <w:rPr>
          <w:rFonts w:cs="Calibri"/>
          <w:color w:val="000000" w:themeColor="text1"/>
        </w:rPr>
        <w:t xml:space="preserve"> een cognitieve gedragstherapie in van ongeveer 10 weken, dat start tijdens detentie en gericht is op de voor deze daders vaak zo kenmerkende criminogene factoren van een </w:t>
      </w:r>
      <w:r w:rsidRPr="00B66243" w:rsidR="00032656">
        <w:rPr>
          <w:rFonts w:cs="Calibri"/>
          <w:i/>
          <w:iCs/>
          <w:color w:val="000000" w:themeColor="text1"/>
        </w:rPr>
        <w:t xml:space="preserve">pro criminele attitude </w:t>
      </w:r>
      <w:r w:rsidRPr="00B66243" w:rsidR="00032656">
        <w:rPr>
          <w:rFonts w:cs="Calibri"/>
          <w:color w:val="000000" w:themeColor="text1"/>
        </w:rPr>
        <w:t xml:space="preserve">en een </w:t>
      </w:r>
      <w:r w:rsidRPr="00B66243" w:rsidR="00032656">
        <w:rPr>
          <w:rFonts w:cs="Calibri"/>
          <w:i/>
          <w:iCs/>
          <w:color w:val="000000" w:themeColor="text1"/>
        </w:rPr>
        <w:t>antisociale context</w:t>
      </w:r>
      <w:r w:rsidRPr="00B66243" w:rsidR="00032656">
        <w:rPr>
          <w:rFonts w:cs="Calibri"/>
          <w:color w:val="000000" w:themeColor="text1"/>
        </w:rPr>
        <w:t>.</w:t>
      </w:r>
      <w:r w:rsidRPr="00B66243">
        <w:rPr>
          <w:rStyle w:val="Voetnootmarkering"/>
          <w:rFonts w:cs="Calibri"/>
          <w:color w:val="000000" w:themeColor="text1"/>
        </w:rPr>
        <w:footnoteReference w:id="2"/>
      </w:r>
      <w:r w:rsidRPr="00B66243" w:rsidR="00032656">
        <w:rPr>
          <w:rFonts w:cs="Calibri"/>
          <w:color w:val="000000" w:themeColor="text1"/>
        </w:rPr>
        <w:t xml:space="preserve"> De onderzoekers verwijzen naar een onderzoek waar een follow-up periode van ruim 6 jaar liet zien dat er een reductie in recidive optrad als de betrokkene het programma volledig afrondde. Waar 36% van de deelnemers een nieuw strafbaar feit bleek te hebben gepleegd, was dat 52% bij de deelnemers die voortijdig waren uitgevallen en 64% bij een controlegroep.</w:t>
      </w:r>
    </w:p>
    <w:p w:rsidRPr="00B66243" w:rsidR="00032656" w:rsidP="00512F58" w:rsidRDefault="00032656" w14:paraId="1BA1F61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rPr>
      </w:pPr>
    </w:p>
    <w:p w:rsidRPr="00B66243" w:rsidR="00691F0B" w:rsidP="00512F58" w:rsidRDefault="00803F3E" w14:paraId="6CAAFAAA" w14:textId="15F8A8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rPr>
      </w:pPr>
      <w:r w:rsidRPr="00B66243">
        <w:rPr>
          <w:rFonts w:cs="Calibri"/>
          <w:color w:val="000000" w:themeColor="text1"/>
        </w:rPr>
        <w:t>In Canada wordt ten aanzien van de frequentie van taxatie meer dan in andere landen, gemonitord of, en bevorderd dat, gedetineerden met een STG-status (meer) afstand nemen van hun groep (</w:t>
      </w:r>
      <w:proofErr w:type="spellStart"/>
      <w:r w:rsidRPr="00B66243">
        <w:rPr>
          <w:rFonts w:cs="Calibri"/>
          <w:i/>
          <w:iCs/>
          <w:color w:val="000000" w:themeColor="text1"/>
        </w:rPr>
        <w:t>disaffiliation</w:t>
      </w:r>
      <w:proofErr w:type="spellEnd"/>
      <w:r w:rsidRPr="00B66243">
        <w:rPr>
          <w:rFonts w:cs="Calibri"/>
          <w:color w:val="000000" w:themeColor="text1"/>
        </w:rPr>
        <w:t>)</w:t>
      </w:r>
      <w:r w:rsidRPr="00B66243" w:rsidR="00562895">
        <w:rPr>
          <w:rFonts w:cs="Calibri"/>
          <w:color w:val="000000" w:themeColor="text1"/>
        </w:rPr>
        <w:t xml:space="preserve"> </w:t>
      </w:r>
      <w:r w:rsidRPr="00B66243" w:rsidR="00EC0FD3">
        <w:rPr>
          <w:rFonts w:cs="Calibri"/>
          <w:color w:val="000000" w:themeColor="text1"/>
        </w:rPr>
        <w:t>Dit past volgens de onderzoekers bij Canada, dat</w:t>
      </w:r>
      <w:r w:rsidRPr="00B66243" w:rsidR="00562895">
        <w:rPr>
          <w:rFonts w:cs="Calibri"/>
          <w:color w:val="000000" w:themeColor="text1"/>
        </w:rPr>
        <w:t xml:space="preserve"> van </w:t>
      </w:r>
      <w:r w:rsidRPr="00B66243" w:rsidR="00B70A24">
        <w:rPr>
          <w:rFonts w:cs="Calibri"/>
          <w:color w:val="000000" w:themeColor="text1"/>
        </w:rPr>
        <w:t>oudsher investeert in de ontwikkeling van en het onderzoek naar gestructureerde risicotaxatie</w:t>
      </w:r>
      <w:r w:rsidRPr="00B66243" w:rsidR="00070850">
        <w:rPr>
          <w:rFonts w:cs="Calibri"/>
          <w:color w:val="000000" w:themeColor="text1"/>
        </w:rPr>
        <w:t xml:space="preserve"> waarin re-integratie tijdens de detentieperiode start en wordt uitgebouwd in de re-integratiefase.</w:t>
      </w:r>
      <w:r w:rsidRPr="00B66243" w:rsidR="00CA452D">
        <w:rPr>
          <w:rFonts w:cs="Calibri"/>
          <w:color w:val="000000" w:themeColor="text1"/>
        </w:rPr>
        <w:t xml:space="preserve"> </w:t>
      </w:r>
      <w:r w:rsidRPr="00B66243" w:rsidR="00691F0B">
        <w:rPr>
          <w:rFonts w:cs="Calibri"/>
          <w:color w:val="000000" w:themeColor="text1"/>
        </w:rPr>
        <w:t>De onderzoekers noemen Canad</w:t>
      </w:r>
      <w:r w:rsidRPr="00B66243" w:rsidR="00DD5592">
        <w:rPr>
          <w:rFonts w:cs="Calibri"/>
          <w:color w:val="000000" w:themeColor="text1"/>
        </w:rPr>
        <w:t>a</w:t>
      </w:r>
      <w:r w:rsidRPr="00B66243" w:rsidR="00691F0B">
        <w:rPr>
          <w:rFonts w:cs="Calibri"/>
          <w:color w:val="000000" w:themeColor="text1"/>
        </w:rPr>
        <w:t xml:space="preserve"> </w:t>
      </w:r>
      <w:r w:rsidRPr="00B66243" w:rsidR="007C2265">
        <w:rPr>
          <w:rFonts w:cs="Calibri"/>
          <w:color w:val="000000" w:themeColor="text1"/>
        </w:rPr>
        <w:t xml:space="preserve">dan ook </w:t>
      </w:r>
      <w:r w:rsidRPr="00B66243" w:rsidR="009F0399">
        <w:rPr>
          <w:rFonts w:cs="Calibri"/>
          <w:color w:val="000000" w:themeColor="text1"/>
        </w:rPr>
        <w:t xml:space="preserve">een gidsland en zien deze </w:t>
      </w:r>
      <w:r w:rsidRPr="00B66243" w:rsidR="00691F0B">
        <w:rPr>
          <w:rFonts w:cs="Calibri"/>
          <w:color w:val="000000" w:themeColor="text1"/>
        </w:rPr>
        <w:t xml:space="preserve">aanpak </w:t>
      </w:r>
      <w:r w:rsidRPr="00B66243" w:rsidR="009F0399">
        <w:rPr>
          <w:rFonts w:cs="Calibri"/>
          <w:color w:val="000000" w:themeColor="text1"/>
        </w:rPr>
        <w:t xml:space="preserve">als </w:t>
      </w:r>
      <w:r w:rsidRPr="00B66243" w:rsidR="00691F0B">
        <w:rPr>
          <w:rFonts w:cs="Calibri"/>
          <w:color w:val="000000" w:themeColor="text1"/>
        </w:rPr>
        <w:t>een relevant voorbeeld voor verdere ontwikkeling van interventies voor de</w:t>
      </w:r>
      <w:r w:rsidRPr="00B66243" w:rsidR="00FA47CF">
        <w:rPr>
          <w:rFonts w:cs="Calibri"/>
          <w:color w:val="000000" w:themeColor="text1"/>
        </w:rPr>
        <w:t xml:space="preserve"> </w:t>
      </w:r>
      <w:r w:rsidRPr="00B66243" w:rsidR="00691F0B">
        <w:rPr>
          <w:rFonts w:cs="Calibri"/>
          <w:color w:val="000000" w:themeColor="text1"/>
        </w:rPr>
        <w:t>onderzoeksdoelgroep</w:t>
      </w:r>
      <w:r w:rsidRPr="00B66243" w:rsidR="00FA47CF">
        <w:rPr>
          <w:rFonts w:cs="Calibri"/>
          <w:color w:val="000000" w:themeColor="text1"/>
        </w:rPr>
        <w:t xml:space="preserve"> van hoogrisicogedetineerden</w:t>
      </w:r>
      <w:r w:rsidRPr="00B66243" w:rsidR="00691F0B">
        <w:rPr>
          <w:rFonts w:cs="Calibri"/>
          <w:color w:val="000000" w:themeColor="text1"/>
        </w:rPr>
        <w:t>.</w:t>
      </w:r>
    </w:p>
    <w:p w:rsidRPr="00B66243" w:rsidR="00691F0B" w:rsidP="00512F58" w:rsidRDefault="00691F0B" w14:paraId="5EE854AC" w14:textId="77777777">
      <w:pPr>
        <w:tabs>
          <w:tab w:val="left" w:pos="0"/>
        </w:tabs>
        <w:rPr>
          <w:rFonts w:cs="Calibri"/>
        </w:rPr>
      </w:pPr>
    </w:p>
    <w:p w:rsidRPr="00B66243" w:rsidR="00960789" w:rsidP="00512F58" w:rsidRDefault="00691F0B" w14:paraId="1573C9D5" w14:textId="74A300E4">
      <w:pPr>
        <w:spacing w:line="259" w:lineRule="auto"/>
        <w:rPr>
          <w:rFonts w:eastAsia="Calibri" w:cs="Arial"/>
          <w:i/>
          <w:iCs/>
          <w:szCs w:val="22"/>
          <w:lang w:eastAsia="en-US"/>
        </w:rPr>
      </w:pPr>
      <w:r w:rsidRPr="00B66243">
        <w:rPr>
          <w:rFonts w:eastAsia="Calibri" w:cs="Arial"/>
          <w:i/>
          <w:iCs/>
          <w:szCs w:val="22"/>
          <w:lang w:eastAsia="en-US"/>
        </w:rPr>
        <w:t>Toezicht na detentie</w:t>
      </w:r>
    </w:p>
    <w:p w:rsidRPr="00B66243" w:rsidR="008C0662" w:rsidP="008C0662" w:rsidRDefault="008C0662" w14:paraId="33214E9E" w14:textId="35052B6B">
      <w:pPr>
        <w:spacing w:line="259" w:lineRule="auto"/>
        <w:rPr>
          <w:rFonts w:eastAsia="Calibri" w:cs="Arial"/>
          <w:szCs w:val="22"/>
          <w:lang w:eastAsia="en-US"/>
        </w:rPr>
      </w:pPr>
      <w:r w:rsidRPr="00B66243">
        <w:rPr>
          <w:rFonts w:eastAsia="Calibri" w:cs="Arial"/>
          <w:szCs w:val="22"/>
          <w:lang w:eastAsia="en-US"/>
        </w:rPr>
        <w:t xml:space="preserve">Voor de fase na detentie komt uit het onderzoek naar voren dat die interventies en toezichtmaatregelen, onder meer gericht op hoogrisicogedetineerden, (nog) niet ten volle (kunnen) worden benut. </w:t>
      </w:r>
    </w:p>
    <w:p w:rsidRPr="00B66243" w:rsidR="008C0662" w:rsidP="008C0662" w:rsidRDefault="008C0662" w14:paraId="524391C5" w14:textId="77777777">
      <w:pPr>
        <w:spacing w:line="259" w:lineRule="auto"/>
        <w:rPr>
          <w:rFonts w:eastAsia="Calibri" w:cs="Arial"/>
          <w:szCs w:val="22"/>
          <w:lang w:eastAsia="en-US"/>
        </w:rPr>
      </w:pPr>
    </w:p>
    <w:p w:rsidRPr="00B66243" w:rsidR="00C3301D" w:rsidP="00512F58" w:rsidRDefault="00691F0B" w14:paraId="57CAAB78" w14:textId="2B2C3E3C">
      <w:pPr>
        <w:spacing w:line="259" w:lineRule="auto"/>
        <w:rPr>
          <w:rFonts w:eastAsia="Calibri" w:cs="Arial"/>
          <w:szCs w:val="22"/>
          <w:lang w:eastAsia="en-US"/>
        </w:rPr>
      </w:pPr>
      <w:r w:rsidRPr="00B66243">
        <w:rPr>
          <w:rFonts w:eastAsia="Calibri" w:cs="Arial"/>
          <w:szCs w:val="22"/>
          <w:lang w:eastAsia="en-US"/>
        </w:rPr>
        <w:t xml:space="preserve">Nederland beschikt over verschillende interventies en toezichtmaatregelen om na detentie recidiverisico’s van gedetineerden te beheersen. Hierbij </w:t>
      </w:r>
      <w:r w:rsidRPr="00B66243" w:rsidR="00D84F33">
        <w:rPr>
          <w:rFonts w:eastAsia="Calibri" w:cs="Arial"/>
          <w:szCs w:val="22"/>
          <w:lang w:eastAsia="en-US"/>
        </w:rPr>
        <w:t xml:space="preserve">worden </w:t>
      </w:r>
      <w:r w:rsidRPr="00B66243">
        <w:rPr>
          <w:rFonts w:eastAsia="Calibri" w:cs="Arial"/>
          <w:szCs w:val="22"/>
          <w:lang w:eastAsia="en-US"/>
        </w:rPr>
        <w:t xml:space="preserve">de </w:t>
      </w:r>
      <w:proofErr w:type="spellStart"/>
      <w:r w:rsidRPr="00B66243">
        <w:rPr>
          <w:rFonts w:eastAsia="Calibri" w:cs="Arial"/>
          <w:szCs w:val="22"/>
          <w:lang w:eastAsia="en-US"/>
        </w:rPr>
        <w:t>gedragsbeïnvloedende</w:t>
      </w:r>
      <w:proofErr w:type="spellEnd"/>
      <w:r w:rsidRPr="00B66243">
        <w:rPr>
          <w:rFonts w:eastAsia="Calibri" w:cs="Arial"/>
          <w:szCs w:val="22"/>
          <w:lang w:eastAsia="en-US"/>
        </w:rPr>
        <w:t xml:space="preserve"> en vrijheidsbeperkende maatregel (GVM) en de voorwaardelijke invrijheidstelling (VI) genoemd. </w:t>
      </w:r>
      <w:r w:rsidRPr="00B66243" w:rsidR="00960789">
        <w:rPr>
          <w:rFonts w:cs="Calibri"/>
          <w:color w:val="000000" w:themeColor="text1"/>
        </w:rPr>
        <w:t>Met de VI kan een veroordeelde het laatste deel van de straf in vrijheid doorbrengen, zolang de veroordeelde zich aan de gestelde voorwaarde(n) houdt.</w:t>
      </w:r>
      <w:r w:rsidRPr="00B66243" w:rsidR="00960789">
        <w:rPr>
          <w:rStyle w:val="Voetnootmarkering"/>
          <w:rFonts w:cs="Calibri"/>
          <w:color w:val="000000" w:themeColor="text1"/>
        </w:rPr>
        <w:footnoteReference w:id="3"/>
      </w:r>
      <w:r w:rsidRPr="00B66243" w:rsidR="00C41C80">
        <w:rPr>
          <w:rFonts w:cs="Calibri"/>
          <w:color w:val="000000" w:themeColor="text1"/>
        </w:rPr>
        <w:t xml:space="preserve"> </w:t>
      </w:r>
      <w:r w:rsidRPr="00B66243" w:rsidR="00960789">
        <w:rPr>
          <w:rFonts w:eastAsia="Calibri" w:cs="Arial"/>
          <w:szCs w:val="22"/>
          <w:lang w:eastAsia="en-US"/>
        </w:rPr>
        <w:t>In de praktijk wordt</w:t>
      </w:r>
      <w:r w:rsidRPr="00B66243" w:rsidR="00A00EA0">
        <w:rPr>
          <w:rFonts w:eastAsia="Calibri" w:cs="Arial"/>
          <w:szCs w:val="22"/>
          <w:lang w:eastAsia="en-US"/>
        </w:rPr>
        <w:t xml:space="preserve"> door geïnterviewden</w:t>
      </w:r>
      <w:r w:rsidRPr="00B66243" w:rsidR="005A7C75">
        <w:rPr>
          <w:rFonts w:eastAsia="Calibri" w:cs="Arial"/>
          <w:szCs w:val="22"/>
          <w:lang w:eastAsia="en-US"/>
        </w:rPr>
        <w:t xml:space="preserve"> gesteld dat</w:t>
      </w:r>
      <w:r w:rsidRPr="00B66243" w:rsidR="00960789">
        <w:rPr>
          <w:rFonts w:eastAsia="Calibri" w:cs="Arial"/>
          <w:szCs w:val="22"/>
          <w:lang w:eastAsia="en-US"/>
        </w:rPr>
        <w:t xml:space="preserve"> het VI-kader sinds de wetswijziging Wet Straffen en Beschermen als te kort en te weinig inhoudsvol </w:t>
      </w:r>
      <w:r w:rsidRPr="00B66243" w:rsidR="00192A3D">
        <w:rPr>
          <w:rFonts w:eastAsia="Calibri" w:cs="Arial"/>
          <w:szCs w:val="22"/>
          <w:lang w:eastAsia="en-US"/>
        </w:rPr>
        <w:t xml:space="preserve">wordt </w:t>
      </w:r>
      <w:r w:rsidRPr="00B66243" w:rsidR="00960789">
        <w:rPr>
          <w:rFonts w:eastAsia="Calibri" w:cs="Arial"/>
          <w:szCs w:val="22"/>
          <w:lang w:eastAsia="en-US"/>
        </w:rPr>
        <w:t>ervaren om effectief te kunnen benutten voor recidiverisicobeheersing en re-integratiebegeleiding</w:t>
      </w:r>
      <w:r w:rsidRPr="00B66243" w:rsidR="008C0662">
        <w:rPr>
          <w:rFonts w:eastAsia="Calibri" w:cs="Arial"/>
          <w:szCs w:val="22"/>
          <w:lang w:eastAsia="en-US"/>
        </w:rPr>
        <w:t xml:space="preserve">. </w:t>
      </w:r>
      <w:r w:rsidRPr="00B66243" w:rsidR="00C3301D">
        <w:rPr>
          <w:rFonts w:eastAsia="Calibri" w:cs="Arial"/>
          <w:szCs w:val="22"/>
          <w:lang w:eastAsia="en-US"/>
        </w:rPr>
        <w:t>Bovendien k</w:t>
      </w:r>
      <w:r w:rsidRPr="00B66243" w:rsidR="00272C05">
        <w:rPr>
          <w:rFonts w:eastAsia="Calibri" w:cs="Arial"/>
          <w:szCs w:val="22"/>
          <w:lang w:eastAsia="en-US"/>
        </w:rPr>
        <w:t>unnen</w:t>
      </w:r>
      <w:r w:rsidRPr="00B66243" w:rsidR="00A35A10">
        <w:rPr>
          <w:rFonts w:eastAsia="Calibri" w:cs="Arial"/>
          <w:szCs w:val="22"/>
          <w:lang w:eastAsia="en-US"/>
        </w:rPr>
        <w:t xml:space="preserve"> </w:t>
      </w:r>
      <w:r w:rsidRPr="00B66243" w:rsidR="00712BC2">
        <w:rPr>
          <w:rFonts w:eastAsia="Calibri" w:cs="Arial"/>
          <w:szCs w:val="22"/>
          <w:lang w:eastAsia="en-US"/>
        </w:rPr>
        <w:t xml:space="preserve">langgestrafte </w:t>
      </w:r>
      <w:r w:rsidRPr="00B66243" w:rsidR="00C3301D">
        <w:rPr>
          <w:rFonts w:eastAsia="Calibri" w:cs="Arial"/>
          <w:szCs w:val="22"/>
          <w:lang w:eastAsia="en-US"/>
        </w:rPr>
        <w:t>gedetineerden</w:t>
      </w:r>
      <w:r w:rsidRPr="00B66243" w:rsidR="00272C05">
        <w:rPr>
          <w:rFonts w:eastAsia="Calibri" w:cs="Arial"/>
          <w:szCs w:val="22"/>
          <w:lang w:eastAsia="en-US"/>
        </w:rPr>
        <w:t>,</w:t>
      </w:r>
      <w:r w:rsidRPr="00B66243" w:rsidR="00867B19">
        <w:rPr>
          <w:rFonts w:eastAsia="Calibri" w:cs="Arial"/>
          <w:szCs w:val="22"/>
          <w:lang w:eastAsia="en-US"/>
        </w:rPr>
        <w:t xml:space="preserve"> volgens deskundigen, </w:t>
      </w:r>
      <w:r w:rsidRPr="00B66243" w:rsidR="00272C05">
        <w:rPr>
          <w:rFonts w:eastAsia="Calibri" w:cs="Arial"/>
          <w:szCs w:val="22"/>
          <w:lang w:eastAsia="en-US"/>
        </w:rPr>
        <w:t xml:space="preserve">ervoor kiezen </w:t>
      </w:r>
      <w:r w:rsidRPr="00B66243" w:rsidR="00C3301D">
        <w:rPr>
          <w:rFonts w:eastAsia="Calibri" w:cs="Arial"/>
          <w:szCs w:val="22"/>
          <w:lang w:eastAsia="en-US"/>
        </w:rPr>
        <w:t xml:space="preserve">om hun volledige straf uit te zitten zonder toezichtfase. Dit wordt als zorgelijk </w:t>
      </w:r>
      <w:r w:rsidRPr="00B66243" w:rsidR="003F2273">
        <w:rPr>
          <w:rFonts w:eastAsia="Calibri" w:cs="Arial"/>
          <w:szCs w:val="22"/>
          <w:lang w:eastAsia="en-US"/>
        </w:rPr>
        <w:t>gezien</w:t>
      </w:r>
      <w:r w:rsidRPr="00B66243" w:rsidR="00C3301D">
        <w:rPr>
          <w:rFonts w:eastAsia="Calibri" w:cs="Arial"/>
          <w:szCs w:val="22"/>
          <w:lang w:eastAsia="en-US"/>
        </w:rPr>
        <w:t xml:space="preserve">. </w:t>
      </w:r>
    </w:p>
    <w:p w:rsidRPr="00B66243" w:rsidR="00960789" w:rsidP="00512F58" w:rsidRDefault="00960789" w14:paraId="28E0B96A" w14:textId="77777777">
      <w:pPr>
        <w:spacing w:line="259" w:lineRule="auto"/>
        <w:rPr>
          <w:rFonts w:eastAsia="Calibri" w:cs="Arial"/>
          <w:szCs w:val="22"/>
          <w:lang w:eastAsia="en-US"/>
        </w:rPr>
      </w:pPr>
    </w:p>
    <w:p w:rsidRPr="00B66243" w:rsidR="008C0662" w:rsidP="00512F58" w:rsidRDefault="00691F0B" w14:paraId="6379D3AF" w14:textId="528EBB27">
      <w:pPr>
        <w:spacing w:line="259" w:lineRule="auto"/>
        <w:rPr>
          <w:rFonts w:eastAsia="Calibri" w:cs="Arial"/>
          <w:lang w:eastAsia="en-US"/>
        </w:rPr>
      </w:pPr>
      <w:r w:rsidRPr="00B66243">
        <w:rPr>
          <w:rFonts w:cs="Calibri"/>
        </w:rPr>
        <w:t>De GVM is in 2018 via de Wet langdurig toezicht ingevoerd om bestaande toezichtleemten op te vullen na afloop van een gevangenisstraf en/of tbs-maatregel, voor daders van ernstige gewelds- en zedendelicten die dan nog als recidivegevaarlijk worden beschouwd. Via de GVM kunnen voorwaarden worden gesteld</w:t>
      </w:r>
      <w:r w:rsidRPr="00B66243" w:rsidR="0045063B">
        <w:rPr>
          <w:rFonts w:cs="Calibri"/>
        </w:rPr>
        <w:t>, waarvan bij niet-naleving</w:t>
      </w:r>
      <w:r w:rsidRPr="00B66243" w:rsidR="00856F9C">
        <w:rPr>
          <w:rFonts w:cs="Calibri"/>
        </w:rPr>
        <w:t xml:space="preserve"> de consequentie </w:t>
      </w:r>
      <w:r w:rsidRPr="00B66243">
        <w:rPr>
          <w:rFonts w:cs="Calibri"/>
        </w:rPr>
        <w:t xml:space="preserve">vervangende hechtenis </w:t>
      </w:r>
      <w:r w:rsidRPr="00B66243" w:rsidR="00856F9C">
        <w:rPr>
          <w:rFonts w:cs="Calibri"/>
        </w:rPr>
        <w:t xml:space="preserve">kan zijn tot maximaal </w:t>
      </w:r>
      <w:r w:rsidRPr="00B66243">
        <w:rPr>
          <w:rFonts w:cs="Calibri"/>
        </w:rPr>
        <w:t>zes maanden (art. 6:6:23b lid 6 Sv onder verwijzing naar art. 38w Sr). De</w:t>
      </w:r>
      <w:r w:rsidRPr="00B66243" w:rsidR="00960789">
        <w:rPr>
          <w:rFonts w:cs="Calibri"/>
        </w:rPr>
        <w:t xml:space="preserve"> onderzoekers geven aan</w:t>
      </w:r>
      <w:r w:rsidRPr="00B66243" w:rsidR="00C41C80">
        <w:rPr>
          <w:rFonts w:cs="Calibri"/>
        </w:rPr>
        <w:t xml:space="preserve"> </w:t>
      </w:r>
      <w:r w:rsidRPr="00B66243" w:rsidR="00B6416E">
        <w:rPr>
          <w:rFonts w:cs="Calibri"/>
        </w:rPr>
        <w:t xml:space="preserve">dat </w:t>
      </w:r>
      <w:r w:rsidRPr="00B66243" w:rsidR="00C41C80">
        <w:rPr>
          <w:rFonts w:cs="Calibri"/>
        </w:rPr>
        <w:t xml:space="preserve">die stok achter de deur van zes maanden in de praktijk als ontoereikend </w:t>
      </w:r>
      <w:r w:rsidRPr="00B66243" w:rsidR="003D10B8">
        <w:rPr>
          <w:rFonts w:cs="Calibri"/>
        </w:rPr>
        <w:t xml:space="preserve">wordt </w:t>
      </w:r>
      <w:r w:rsidRPr="00B66243" w:rsidR="00C41C80">
        <w:rPr>
          <w:rFonts w:cs="Calibri"/>
        </w:rPr>
        <w:t>beschouwd. Zodra de maximale termijn van zes maanden is verstreken, zouden er namelijk geen consequenties meer mogelijk zijn voor eventuele overtredingen van de voorwaarden.</w:t>
      </w:r>
      <w:r w:rsidRPr="00B66243" w:rsidR="00C41C80">
        <w:rPr>
          <w:rFonts w:cs="Calibri"/>
        </w:rPr>
        <w:br/>
      </w:r>
    </w:p>
    <w:p w:rsidRPr="00B66243" w:rsidR="002D3E6D" w:rsidP="00512F58" w:rsidRDefault="002D3E6D" w14:paraId="0D7E1AD6" w14:textId="01CB0E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i/>
          <w:iCs/>
          <w:color w:val="000000" w:themeColor="text1"/>
        </w:rPr>
      </w:pPr>
      <w:r w:rsidRPr="00B66243">
        <w:rPr>
          <w:rFonts w:cs="Calibri"/>
          <w:i/>
          <w:iCs/>
          <w:color w:val="000000" w:themeColor="text1"/>
        </w:rPr>
        <w:t xml:space="preserve">Preventieve </w:t>
      </w:r>
      <w:r w:rsidRPr="00B66243" w:rsidR="006700CA">
        <w:rPr>
          <w:rFonts w:cs="Calibri"/>
          <w:i/>
          <w:iCs/>
          <w:color w:val="000000" w:themeColor="text1"/>
        </w:rPr>
        <w:t>detentie</w:t>
      </w:r>
      <w:r w:rsidRPr="00B66243">
        <w:rPr>
          <w:rFonts w:cs="Calibri"/>
          <w:i/>
          <w:iCs/>
          <w:color w:val="000000" w:themeColor="text1"/>
        </w:rPr>
        <w:t xml:space="preserve"> in het buitenland</w:t>
      </w:r>
    </w:p>
    <w:p w:rsidRPr="00B66243" w:rsidR="000906DA" w:rsidP="00512F58" w:rsidRDefault="006D55BB" w14:paraId="7EFED44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rPr>
      </w:pPr>
      <w:r w:rsidRPr="00B66243">
        <w:rPr>
          <w:rFonts w:cs="Calibri"/>
        </w:rPr>
        <w:t xml:space="preserve">Preventieve detentie is een vorm van vrijheidsbeneming van onbepaalde duur na afloop van de tenuitvoerlegging van de opgelegde gevangenisstraf waarmee </w:t>
      </w:r>
      <w:r w:rsidRPr="00B66243">
        <w:rPr>
          <w:rFonts w:cs="Calibri"/>
          <w:color w:val="000000" w:themeColor="text1"/>
        </w:rPr>
        <w:t xml:space="preserve">de samenleving wordt beschermd tegen langdurig gevaarlijke daders. </w:t>
      </w:r>
    </w:p>
    <w:p w:rsidRPr="00B66243" w:rsidR="00151810" w:rsidP="00512F58" w:rsidRDefault="00151810" w14:paraId="08704EF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rPr>
      </w:pPr>
    </w:p>
    <w:p w:rsidRPr="00B66243" w:rsidR="00616C10" w:rsidP="00CA4A44" w:rsidRDefault="00FA47CF" w14:paraId="70699E2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rPr>
      </w:pPr>
      <w:r w:rsidRPr="00B66243">
        <w:rPr>
          <w:rFonts w:cs="Calibri"/>
          <w:color w:val="000000" w:themeColor="text1"/>
        </w:rPr>
        <w:t>In het onderzoek wordt aangegeven dat p</w:t>
      </w:r>
      <w:r w:rsidRPr="00B66243" w:rsidR="006700CA">
        <w:rPr>
          <w:rFonts w:cs="Calibri"/>
          <w:color w:val="000000" w:themeColor="text1"/>
        </w:rPr>
        <w:t>reventieve detentie</w:t>
      </w:r>
      <w:r w:rsidRPr="00B66243" w:rsidR="002D3E6D">
        <w:rPr>
          <w:rFonts w:cs="Calibri"/>
          <w:color w:val="000000" w:themeColor="text1"/>
        </w:rPr>
        <w:t xml:space="preserve"> een strikt begrensd juridisch instrument</w:t>
      </w:r>
      <w:r w:rsidRPr="00B66243" w:rsidR="00512F58">
        <w:rPr>
          <w:rFonts w:cs="Calibri"/>
          <w:color w:val="000000" w:themeColor="text1"/>
        </w:rPr>
        <w:t xml:space="preserve"> </w:t>
      </w:r>
      <w:r w:rsidRPr="00B66243" w:rsidR="00856F9C">
        <w:rPr>
          <w:rFonts w:cs="Calibri"/>
          <w:color w:val="000000" w:themeColor="text1"/>
        </w:rPr>
        <w:t>betreft</w:t>
      </w:r>
      <w:r w:rsidRPr="00B66243" w:rsidR="002D3E6D">
        <w:rPr>
          <w:rFonts w:cs="Calibri"/>
          <w:color w:val="000000" w:themeColor="text1"/>
        </w:rPr>
        <w:t>, dat vrijwel uitsluitend wordt toegepast op (recidiverende) gewelds- en zedendelinquenten met een hoog ingeschat individueel risico. Op grond van onder meer het EVRM gelden er strikte mensenrechtelijke grenzen: preventieve detentie moet vanaf de veroordeling voorzienbaar zijn, mag niet arbitrair worden</w:t>
      </w:r>
      <w:r w:rsidRPr="00B66243" w:rsidR="00512F58">
        <w:rPr>
          <w:rFonts w:cs="Calibri"/>
          <w:color w:val="000000" w:themeColor="text1"/>
        </w:rPr>
        <w:t>,</w:t>
      </w:r>
      <w:r w:rsidRPr="00B66243" w:rsidR="002D3E6D">
        <w:rPr>
          <w:rFonts w:cs="Calibri"/>
          <w:color w:val="000000" w:themeColor="text1"/>
        </w:rPr>
        <w:t xml:space="preserve"> vereist reële behandel- en rehabilitatiemogelijkheden en moet proportioneel en subsidiair zijn ten opzichte van bestaande lichtere sancties. </w:t>
      </w:r>
      <w:r w:rsidRPr="00B66243" w:rsidR="00CA4A44">
        <w:rPr>
          <w:rFonts w:cs="Calibri"/>
          <w:color w:val="000000" w:themeColor="text1"/>
        </w:rPr>
        <w:br/>
      </w:r>
    </w:p>
    <w:p w:rsidRPr="00B66243" w:rsidR="00CA4A44" w:rsidP="00CA4A44" w:rsidRDefault="000906DA" w14:paraId="5229D859" w14:textId="1C5A33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rPr>
      </w:pPr>
      <w:r w:rsidRPr="00B66243">
        <w:rPr>
          <w:rFonts w:cs="Calibri"/>
          <w:color w:val="000000" w:themeColor="text1"/>
        </w:rPr>
        <w:t xml:space="preserve">In </w:t>
      </w:r>
      <w:r w:rsidRPr="00B66243" w:rsidR="003D10B8">
        <w:rPr>
          <w:rFonts w:cs="Calibri"/>
          <w:color w:val="000000" w:themeColor="text1"/>
        </w:rPr>
        <w:t xml:space="preserve">acht </w:t>
      </w:r>
      <w:r w:rsidRPr="00B66243">
        <w:rPr>
          <w:rFonts w:cs="Calibri"/>
          <w:color w:val="000000" w:themeColor="text1"/>
        </w:rPr>
        <w:t>verschillende landen (Canada, Denemarken, Duitsland, Engeland &amp; Wales,</w:t>
      </w:r>
      <w:r w:rsidRPr="00B66243" w:rsidR="003D10B8">
        <w:rPr>
          <w:rFonts w:cs="Calibri"/>
          <w:color w:val="000000" w:themeColor="text1"/>
        </w:rPr>
        <w:t xml:space="preserve"> Noorwegen,</w:t>
      </w:r>
      <w:r w:rsidRPr="00B66243">
        <w:rPr>
          <w:rFonts w:cs="Calibri"/>
          <w:color w:val="000000" w:themeColor="text1"/>
        </w:rPr>
        <w:t xml:space="preserve"> Oostenrijk, Zweden en Zwitserland) zijn kaders van preventieve detentie onderzocht. </w:t>
      </w:r>
      <w:r w:rsidRPr="00B66243" w:rsidR="00CA4A44">
        <w:rPr>
          <w:rFonts w:cs="Calibri"/>
          <w:color w:val="000000" w:themeColor="text1"/>
        </w:rPr>
        <w:t xml:space="preserve"> </w:t>
      </w:r>
    </w:p>
    <w:p w:rsidRPr="00B66243" w:rsidR="00CA4A44" w:rsidP="00CA4A44" w:rsidRDefault="00CA4A44" w14:paraId="69EEE4C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rPr>
      </w:pPr>
    </w:p>
    <w:p w:rsidRPr="00B66243" w:rsidR="000906DA" w:rsidP="00CA4A44" w:rsidRDefault="000906DA" w14:paraId="4063B8F2" w14:textId="26BFA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rPr>
      </w:pPr>
      <w:r w:rsidRPr="00B66243">
        <w:rPr>
          <w:rFonts w:cs="Calibri"/>
          <w:color w:val="000000" w:themeColor="text1"/>
        </w:rPr>
        <w:t xml:space="preserve">Vanwege het verkennende karakter van het onderzoek kan niet aangegeven worden of deze vormen van preventieve detentie overgenomen kunnen worden in Nederland. </w:t>
      </w:r>
      <w:r w:rsidRPr="00B66243" w:rsidR="003F399E">
        <w:rPr>
          <w:rFonts w:cs="Calibri"/>
          <w:color w:val="000000" w:themeColor="text1"/>
        </w:rPr>
        <w:t xml:space="preserve">De onderzoekers merken daarbij op </w:t>
      </w:r>
      <w:r w:rsidRPr="00B66243" w:rsidR="003F399E">
        <w:rPr>
          <w:rFonts w:cs="Calibri"/>
        </w:rPr>
        <w:t>dat een kader van preventieve detentie in Nederland voor deze doelgroep als prematuur word</w:t>
      </w:r>
      <w:r w:rsidRPr="00B66243" w:rsidR="008A4367">
        <w:rPr>
          <w:rFonts w:cs="Calibri"/>
        </w:rPr>
        <w:t>t</w:t>
      </w:r>
      <w:r w:rsidRPr="00B66243" w:rsidR="003F399E">
        <w:rPr>
          <w:rFonts w:cs="Calibri"/>
        </w:rPr>
        <w:t xml:space="preserve"> beschouwd. </w:t>
      </w:r>
      <w:r w:rsidRPr="00B66243">
        <w:rPr>
          <w:rFonts w:cs="Calibri"/>
        </w:rPr>
        <w:t xml:space="preserve">Er is nader onderzoek nodig, waarbij </w:t>
      </w:r>
      <w:r w:rsidRPr="00B66243" w:rsidR="003F399E">
        <w:rPr>
          <w:rFonts w:cs="Calibri"/>
        </w:rPr>
        <w:t xml:space="preserve">voor de onderzoeksdoelgroep </w:t>
      </w:r>
      <w:r w:rsidRPr="00B66243">
        <w:rPr>
          <w:rFonts w:cs="Calibri"/>
        </w:rPr>
        <w:t xml:space="preserve">wordt verwezen naar Zweden. </w:t>
      </w:r>
      <w:r w:rsidRPr="00B66243" w:rsidR="003F399E">
        <w:rPr>
          <w:rFonts w:cs="Calibri"/>
        </w:rPr>
        <w:t xml:space="preserve">In Zweden is preventieve detentie voor deze doelgroep in werking getreden. </w:t>
      </w:r>
      <w:r w:rsidRPr="00B66243">
        <w:rPr>
          <w:rFonts w:cs="Calibri"/>
        </w:rPr>
        <w:t>Gelet daarop volgt hieronder een toelichting op de</w:t>
      </w:r>
      <w:r w:rsidRPr="00B66243" w:rsidR="003F399E">
        <w:rPr>
          <w:rFonts w:cs="Calibri"/>
        </w:rPr>
        <w:t>ze</w:t>
      </w:r>
      <w:r w:rsidRPr="00B66243">
        <w:rPr>
          <w:rFonts w:cs="Calibri"/>
        </w:rPr>
        <w:t xml:space="preserve"> </w:t>
      </w:r>
      <w:r w:rsidRPr="00B66243" w:rsidR="003F399E">
        <w:rPr>
          <w:rFonts w:cs="Calibri"/>
        </w:rPr>
        <w:t xml:space="preserve">vorm van preventieve detentie. </w:t>
      </w:r>
      <w:r w:rsidRPr="00B66243">
        <w:rPr>
          <w:rFonts w:cs="Calibri"/>
        </w:rPr>
        <w:t>Voor een toelichting op de andere landen verwijs ik naar de bijlage onder deze brief.</w:t>
      </w:r>
    </w:p>
    <w:p w:rsidRPr="00B66243" w:rsidR="00276E78" w:rsidP="00512F58" w:rsidRDefault="00276E78" w14:paraId="6FDB24E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rPr>
      </w:pPr>
    </w:p>
    <w:p w:rsidRPr="00B66243" w:rsidR="00DE22FF" w:rsidP="00E003B8" w:rsidRDefault="00276E78" w14:paraId="57E53CF7" w14:textId="69A05A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hd w:val="clear" w:color="auto" w:fill="FFFFFF" w:themeFill="background1"/>
        </w:rPr>
      </w:pPr>
      <w:r w:rsidRPr="00B66243">
        <w:rPr>
          <w:rFonts w:cs="Calibri"/>
          <w:color w:val="000000" w:themeColor="text1"/>
          <w:shd w:val="clear" w:color="auto" w:fill="FFFFFF" w:themeFill="background1"/>
        </w:rPr>
        <w:t>In Zweden is recent – 15 april 2026 – het wetsvoorstel dat ziet op de invoering van een kader voor preventieve detentie (</w:t>
      </w:r>
      <w:proofErr w:type="spellStart"/>
      <w:r w:rsidRPr="00B66243">
        <w:rPr>
          <w:rFonts w:cs="Calibri"/>
          <w:i/>
          <w:iCs/>
          <w:color w:val="000000" w:themeColor="text1"/>
          <w:shd w:val="clear" w:color="auto" w:fill="FFFFFF" w:themeFill="background1"/>
        </w:rPr>
        <w:t>säkerhetsförvaring</w:t>
      </w:r>
      <w:proofErr w:type="spellEnd"/>
      <w:r w:rsidRPr="00B66243">
        <w:rPr>
          <w:rFonts w:cs="Calibri"/>
          <w:color w:val="000000" w:themeColor="text1"/>
          <w:shd w:val="clear" w:color="auto" w:fill="FFFFFF" w:themeFill="background1"/>
        </w:rPr>
        <w:t>) in werking getreden.</w:t>
      </w:r>
      <w:r w:rsidRPr="00B66243" w:rsidR="00E003B8">
        <w:rPr>
          <w:rFonts w:cs="Calibri"/>
          <w:color w:val="000000" w:themeColor="text1"/>
          <w:shd w:val="clear" w:color="auto" w:fill="FFFFFF" w:themeFill="background1"/>
        </w:rPr>
        <w:t xml:space="preserve"> </w:t>
      </w:r>
      <w:r w:rsidRPr="00B66243" w:rsidR="001B73DD">
        <w:rPr>
          <w:rFonts w:cs="Calibri"/>
          <w:color w:val="000000" w:themeColor="text1"/>
        </w:rPr>
        <w:t xml:space="preserve">Het ziet op individuele zeden- en (zware) geweldsdelinquenten alsook daders vanuit de georganiseerde criminaliteit. </w:t>
      </w:r>
      <w:r w:rsidRPr="00B66243" w:rsidR="00E003B8">
        <w:rPr>
          <w:rFonts w:cs="Calibri"/>
          <w:color w:val="000000" w:themeColor="text1"/>
          <w:shd w:val="clear" w:color="auto" w:fill="FFFFFF" w:themeFill="background1"/>
        </w:rPr>
        <w:t xml:space="preserve">Voor dit wetsvoorstel was brede politieke steun, ongeacht de politieke kleur. </w:t>
      </w:r>
      <w:r w:rsidRPr="00B66243" w:rsidR="00DE22FF">
        <w:rPr>
          <w:rFonts w:cs="Calibri"/>
          <w:color w:val="000000" w:themeColor="text1"/>
          <w:shd w:val="clear" w:color="auto" w:fill="FFFFFF" w:themeFill="background1"/>
        </w:rPr>
        <w:t>De invoering van deze sanctie wordt mede gemotiveerd doordat een systeem waarin iemand die ernstige gewelds- en zedendelicten heeft gepleegd na het uitzitten van zijn straf weer op vrije voeten wordt gesteld, ondanks een hoog recidiverisico, niet geloofwaardig wordt geacht.</w:t>
      </w:r>
    </w:p>
    <w:p w:rsidRPr="00B66243" w:rsidR="00E003B8" w:rsidP="00E003B8" w:rsidRDefault="00E003B8" w14:paraId="4DE1012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hd w:val="clear" w:color="auto" w:fill="FFFFFF" w:themeFill="background1"/>
        </w:rPr>
      </w:pPr>
    </w:p>
    <w:p w:rsidRPr="00B66243" w:rsidR="00270D36" w:rsidP="00142FD8" w:rsidRDefault="002B54BF" w14:paraId="29956A9A" w14:textId="090990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auto"/>
        </w:rPr>
      </w:pPr>
      <w:r w:rsidRPr="00B66243">
        <w:rPr>
          <w:rFonts w:cs="Calibri"/>
          <w:color w:val="auto"/>
          <w:shd w:val="clear" w:color="auto" w:fill="FFFFFF" w:themeFill="background1"/>
        </w:rPr>
        <w:t xml:space="preserve">De tenuitvoerlegging van </w:t>
      </w:r>
      <w:proofErr w:type="spellStart"/>
      <w:r w:rsidRPr="00B66243">
        <w:rPr>
          <w:rFonts w:cs="Calibri"/>
          <w:i/>
          <w:iCs/>
          <w:color w:val="auto"/>
          <w:shd w:val="clear" w:color="auto" w:fill="FFFFFF" w:themeFill="background1"/>
        </w:rPr>
        <w:t>säkerhetsförvaring</w:t>
      </w:r>
      <w:proofErr w:type="spellEnd"/>
      <w:r w:rsidRPr="00B66243">
        <w:rPr>
          <w:rFonts w:cs="Calibri"/>
          <w:i/>
          <w:iCs/>
          <w:color w:val="auto"/>
          <w:shd w:val="clear" w:color="auto" w:fill="FFFFFF" w:themeFill="background1"/>
        </w:rPr>
        <w:t xml:space="preserve"> </w:t>
      </w:r>
      <w:r w:rsidRPr="00B66243">
        <w:rPr>
          <w:rFonts w:cs="Calibri"/>
          <w:color w:val="auto"/>
          <w:shd w:val="clear" w:color="auto" w:fill="FFFFFF" w:themeFill="background1"/>
        </w:rPr>
        <w:t>is voorzien in het gevangeniswezen</w:t>
      </w:r>
      <w:r w:rsidRPr="00B66243" w:rsidR="00E003B8">
        <w:rPr>
          <w:rFonts w:cs="Calibri"/>
          <w:color w:val="auto"/>
          <w:shd w:val="clear" w:color="auto" w:fill="FFFFFF" w:themeFill="background1"/>
        </w:rPr>
        <w:t xml:space="preserve"> en geldt naast </w:t>
      </w:r>
      <w:r w:rsidRPr="00B66243" w:rsidR="00192A3D">
        <w:rPr>
          <w:rFonts w:cs="Calibri"/>
          <w:color w:val="auto"/>
          <w:shd w:val="clear" w:color="auto" w:fill="FFFFFF" w:themeFill="background1"/>
        </w:rPr>
        <w:t xml:space="preserve">de </w:t>
      </w:r>
      <w:r w:rsidRPr="00B66243" w:rsidR="00E003B8">
        <w:rPr>
          <w:rFonts w:cs="Calibri"/>
          <w:color w:val="auto"/>
        </w:rPr>
        <w:t>optie waarbij de strafrechter iemand kan doorverwijzen naar forensische psychiatrische zorg</w:t>
      </w:r>
      <w:r w:rsidRPr="00B66243" w:rsidR="00AE1BD6">
        <w:rPr>
          <w:rFonts w:cs="Calibri"/>
          <w:color w:val="auto"/>
        </w:rPr>
        <w:t>.</w:t>
      </w:r>
      <w:r w:rsidRPr="00B66243" w:rsidR="00E003B8">
        <w:rPr>
          <w:rFonts w:cs="Calibri"/>
          <w:color w:val="auto"/>
        </w:rPr>
        <w:t xml:space="preserve"> </w:t>
      </w:r>
      <w:proofErr w:type="spellStart"/>
      <w:r w:rsidRPr="00B66243" w:rsidR="00AE1BD6">
        <w:rPr>
          <w:rFonts w:cs="Calibri"/>
          <w:i/>
          <w:iCs/>
          <w:color w:val="auto"/>
        </w:rPr>
        <w:t>Säkerhetsförvaring</w:t>
      </w:r>
      <w:proofErr w:type="spellEnd"/>
      <w:r w:rsidRPr="00B66243" w:rsidR="00AE1BD6">
        <w:rPr>
          <w:rFonts w:cs="Calibri"/>
          <w:i/>
          <w:iCs/>
          <w:color w:val="auto"/>
        </w:rPr>
        <w:t xml:space="preserve"> </w:t>
      </w:r>
      <w:r w:rsidRPr="00B66243" w:rsidR="00AE1BD6">
        <w:rPr>
          <w:rFonts w:cs="Calibri"/>
          <w:color w:val="auto"/>
        </w:rPr>
        <w:t>kan worden opgelegd als iemand eerder is veroordeeld voor misdrijven tegen leven, gezondheid, vrijheid of rust, en daarvoor een gevangenisstraf van vier jaar of meer kon worden opgelegd. Op het delict waarvoor iemand terechtstaat moet ook vier jaar of meer staan. De straf kan ook opgelegd worden aan iemand die verdacht wordt van verschillende delicten en daarvoor terechtstaat</w:t>
      </w:r>
      <w:r w:rsidRPr="00B66243" w:rsidR="00DE22FF">
        <w:rPr>
          <w:rFonts w:cs="Calibri"/>
          <w:color w:val="auto"/>
        </w:rPr>
        <w:t>, waarbij onder meer</w:t>
      </w:r>
      <w:r w:rsidRPr="00B66243" w:rsidR="00AE1BD6">
        <w:rPr>
          <w:rFonts w:cs="Calibri"/>
          <w:color w:val="auto"/>
        </w:rPr>
        <w:t xml:space="preserve"> is vereist dat er een aanzienlijk risico bestaat op herhaling van ernstige misdrijven tegen het leven, de gezondheid, de vrijheid of de rust van anderen en dat een gevangenisstraf van bepaalde duur of andere maatregelen niet voldoende zijn om te voldoen aan de behoefte aan bescherming van de samenleving. </w:t>
      </w:r>
    </w:p>
    <w:p w:rsidRPr="00B66243" w:rsidR="00B7609A" w:rsidP="00142FD8" w:rsidRDefault="00CA4A44" w14:paraId="554ABDFC" w14:textId="281087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FF0000"/>
          <w:shd w:val="clear" w:color="auto" w:fill="FFFFFF" w:themeFill="background1"/>
        </w:rPr>
      </w:pPr>
      <w:r w:rsidRPr="00B66243">
        <w:rPr>
          <w:rFonts w:cs="Calibri"/>
          <w:color w:val="auto"/>
        </w:rPr>
        <w:br/>
      </w:r>
      <w:r w:rsidRPr="00B66243">
        <w:rPr>
          <w:rFonts w:cs="Calibri"/>
          <w:color w:val="auto"/>
          <w:shd w:val="clear" w:color="auto" w:fill="FFFFFF" w:themeFill="background1"/>
        </w:rPr>
        <w:t>D</w:t>
      </w:r>
      <w:r w:rsidRPr="00B66243" w:rsidR="00B7609A">
        <w:rPr>
          <w:rFonts w:cs="Calibri"/>
          <w:color w:val="auto"/>
        </w:rPr>
        <w:t>e rechtbank moet de kortste duur van de vrijheidsbeneming (minimumduur) vaststellen, welke overeenkomt met de duur van de gevangenisstraf die zou zijn opgelegd indien gevangenisstraf als straf was gekozen. Dit mag maximaal achttien jaar bedragen. Tevens moet de rechter de totale duur van de uitvoering (kaderduur) vaststellen</w:t>
      </w:r>
      <w:r w:rsidRPr="00B66243" w:rsidR="002B54BF">
        <w:rPr>
          <w:rFonts w:cs="Calibri"/>
          <w:color w:val="auto"/>
        </w:rPr>
        <w:t xml:space="preserve"> maar het kader kan oneindig verlengd worden.</w:t>
      </w:r>
      <w:r w:rsidRPr="00B66243" w:rsidR="00B7609A">
        <w:rPr>
          <w:rFonts w:cs="Calibri"/>
          <w:color w:val="auto"/>
        </w:rPr>
        <w:t xml:space="preserve"> </w:t>
      </w:r>
      <w:r w:rsidRPr="00B66243" w:rsidR="002B54BF">
        <w:rPr>
          <w:rFonts w:cs="Calibri"/>
          <w:color w:val="auto"/>
        </w:rPr>
        <w:t>Elk jaar kan een review worden aangevraagd</w:t>
      </w:r>
      <w:r w:rsidRPr="00B66243" w:rsidR="00270D36">
        <w:rPr>
          <w:rFonts w:cs="Calibri"/>
          <w:color w:val="auto"/>
        </w:rPr>
        <w:t>. D</w:t>
      </w:r>
      <w:r w:rsidRPr="00B66243" w:rsidR="00B7609A">
        <w:rPr>
          <w:rFonts w:cs="Calibri"/>
          <w:color w:val="auto"/>
        </w:rPr>
        <w:t>e rechtbank</w:t>
      </w:r>
      <w:r w:rsidRPr="00B66243" w:rsidR="00E003B8">
        <w:rPr>
          <w:rFonts w:cs="Calibri"/>
          <w:color w:val="auto"/>
        </w:rPr>
        <w:t xml:space="preserve"> </w:t>
      </w:r>
      <w:r w:rsidRPr="00B66243" w:rsidR="00270D36">
        <w:rPr>
          <w:rFonts w:cs="Calibri"/>
          <w:color w:val="auto"/>
        </w:rPr>
        <w:t xml:space="preserve">kan </w:t>
      </w:r>
      <w:r w:rsidRPr="00B66243" w:rsidR="00E003B8">
        <w:rPr>
          <w:rFonts w:cs="Calibri"/>
          <w:color w:val="auto"/>
        </w:rPr>
        <w:t>vervolgens</w:t>
      </w:r>
      <w:r w:rsidRPr="00B66243" w:rsidR="00B7609A">
        <w:rPr>
          <w:rFonts w:cs="Calibri"/>
          <w:color w:val="auto"/>
        </w:rPr>
        <w:t xml:space="preserve"> besluiten tot voorwaardelijke vrijlating</w:t>
      </w:r>
      <w:r w:rsidRPr="00B66243" w:rsidR="00E003B8">
        <w:rPr>
          <w:rFonts w:cs="Calibri"/>
          <w:color w:val="auto"/>
        </w:rPr>
        <w:t xml:space="preserve">, waarbij de rechtbank onder meer rekening houdt met </w:t>
      </w:r>
      <w:r w:rsidRPr="00B66243" w:rsidR="00AE1BD6">
        <w:rPr>
          <w:rFonts w:cs="Calibri"/>
          <w:color w:val="auto"/>
        </w:rPr>
        <w:t>het risico dat de veroordeelde opnieuw ernstige misdrijven pleegt tegen het leven, de gezondheid, de vrijheid of rust van anderen</w:t>
      </w:r>
      <w:r w:rsidRPr="00B66243" w:rsidR="00E003B8">
        <w:rPr>
          <w:rFonts w:cs="Calibri"/>
          <w:color w:val="auto"/>
        </w:rPr>
        <w:t xml:space="preserve"> en </w:t>
      </w:r>
      <w:r w:rsidRPr="00B66243" w:rsidR="00AE1BD6">
        <w:rPr>
          <w:rFonts w:cs="Calibri"/>
          <w:color w:val="auto"/>
        </w:rPr>
        <w:t>of de veroordeelde heeft meegewerkt aan maatregelen die gericht zijn op zijn of haar aanpassing in de samenleving.</w:t>
      </w:r>
      <w:r w:rsidRPr="00B66243" w:rsidR="00E003B8">
        <w:rPr>
          <w:rStyle w:val="Voetnootmarkering"/>
          <w:rFonts w:cs="Calibri"/>
          <w:color w:val="auto"/>
        </w:rPr>
        <w:footnoteReference w:id="4"/>
      </w:r>
    </w:p>
    <w:p w:rsidRPr="00B66243" w:rsidR="00DE22FF" w:rsidP="00142FD8" w:rsidRDefault="00DE22FF" w14:paraId="0118F51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rPr>
      </w:pPr>
    </w:p>
    <w:p w:rsidRPr="00B66243" w:rsidR="0011792A" w:rsidP="00512F58" w:rsidRDefault="0011792A" w14:paraId="0939E661" w14:textId="77777777">
      <w:pPr>
        <w:spacing w:line="259" w:lineRule="auto"/>
        <w:rPr>
          <w:b/>
          <w:bCs/>
        </w:rPr>
      </w:pPr>
    </w:p>
    <w:p w:rsidRPr="00B66243" w:rsidR="002E704D" w:rsidP="00512F58" w:rsidRDefault="00642D47" w14:paraId="40A6360C" w14:textId="0341AA96">
      <w:pPr>
        <w:spacing w:line="259" w:lineRule="auto"/>
        <w:rPr>
          <w:b/>
          <w:bCs/>
        </w:rPr>
      </w:pPr>
      <w:r w:rsidRPr="00B66243">
        <w:rPr>
          <w:b/>
          <w:bCs/>
        </w:rPr>
        <w:t>Aanbevelingen</w:t>
      </w:r>
    </w:p>
    <w:p w:rsidRPr="00B66243" w:rsidR="00151810" w:rsidP="00512F58" w:rsidRDefault="00151810" w14:paraId="40FB2760" w14:textId="77777777">
      <w:pPr>
        <w:spacing w:line="259" w:lineRule="auto"/>
        <w:rPr>
          <w:b/>
          <w:bCs/>
        </w:rPr>
      </w:pPr>
    </w:p>
    <w:p w:rsidRPr="00B66243" w:rsidR="00B25B84" w:rsidP="00512F58" w:rsidRDefault="002E704D" w14:paraId="43E7B86C" w14:textId="6CD3A910">
      <w:pPr>
        <w:spacing w:line="259" w:lineRule="auto"/>
        <w:rPr>
          <w:bCs/>
        </w:rPr>
      </w:pPr>
      <w:r w:rsidRPr="00B66243">
        <w:rPr>
          <w:u w:val="single"/>
        </w:rPr>
        <w:t>Aanbevelingen</w:t>
      </w:r>
      <w:r w:rsidRPr="00B66243" w:rsidR="00DD3656">
        <w:rPr>
          <w:b/>
          <w:bCs/>
        </w:rPr>
        <w:br/>
      </w:r>
      <w:r w:rsidRPr="00B66243" w:rsidR="00B25B84">
        <w:rPr>
          <w:bCs/>
        </w:rPr>
        <w:t>Hieronder worden de aanbevelingen uit het onderzoek kort weergegeven</w:t>
      </w:r>
      <w:r w:rsidRPr="00B66243" w:rsidR="00512F58">
        <w:rPr>
          <w:bCs/>
        </w:rPr>
        <w:t>, geclusterd per onderwerp</w:t>
      </w:r>
      <w:r w:rsidRPr="00B66243" w:rsidR="00B25B84">
        <w:rPr>
          <w:bCs/>
        </w:rPr>
        <w:t>.</w:t>
      </w:r>
      <w:r w:rsidRPr="00B66243" w:rsidR="00B25B84">
        <w:rPr>
          <w:bCs/>
        </w:rPr>
        <w:br/>
      </w:r>
    </w:p>
    <w:p w:rsidRPr="00B66243" w:rsidR="00C76F49" w:rsidP="00C76F49" w:rsidRDefault="000F5080" w14:paraId="06562EBD" w14:textId="77777777">
      <w:pPr>
        <w:autoSpaceDE w:val="0"/>
        <w:adjustRightInd w:val="0"/>
        <w:rPr>
          <w:rFonts w:eastAsia="Calibri" w:cs="Arial"/>
          <w:i/>
          <w:lang w:eastAsia="en-US"/>
        </w:rPr>
      </w:pPr>
      <w:r w:rsidRPr="00B66243">
        <w:rPr>
          <w:rFonts w:eastAsia="Calibri" w:cs="Arial"/>
          <w:i/>
          <w:lang w:eastAsia="en-US"/>
        </w:rPr>
        <w:t>Instrumentarium tijdens detentie</w:t>
      </w:r>
    </w:p>
    <w:p w:rsidRPr="00B66243" w:rsidR="00C76F49" w:rsidP="00C76F49" w:rsidRDefault="00C76F49" w14:paraId="4A6AA762" w14:textId="1154B67F">
      <w:pPr>
        <w:pStyle w:val="Lijstalinea"/>
        <w:numPr>
          <w:ilvl w:val="0"/>
          <w:numId w:val="5"/>
        </w:numPr>
        <w:autoSpaceDE w:val="0"/>
        <w:adjustRightInd w:val="0"/>
        <w:rPr>
          <w:rFonts w:ascii="Verdana" w:hAnsi="Verdana" w:eastAsia="Calibri" w:cs="Arial"/>
          <w:i/>
          <w:iCs/>
          <w:sz w:val="18"/>
          <w:szCs w:val="18"/>
        </w:rPr>
      </w:pPr>
      <w:r w:rsidRPr="00B66243">
        <w:rPr>
          <w:rFonts w:ascii="Verdana" w:hAnsi="Verdana" w:eastAsia="Calibri" w:cs="Arial"/>
          <w:iCs/>
          <w:sz w:val="18"/>
          <w:szCs w:val="18"/>
        </w:rPr>
        <w:t>De</w:t>
      </w:r>
      <w:r w:rsidRPr="00B66243">
        <w:rPr>
          <w:rFonts w:ascii="Verdana" w:hAnsi="Verdana" w:eastAsia="Calibri" w:cs="Arial"/>
          <w:sz w:val="18"/>
          <w:szCs w:val="18"/>
        </w:rPr>
        <w:t xml:space="preserve"> aanpak van georganiseerde criminaliteit binnen detentie </w:t>
      </w:r>
      <w:r w:rsidRPr="00B66243" w:rsidR="00540DBA">
        <w:rPr>
          <w:rFonts w:ascii="Verdana" w:hAnsi="Verdana" w:eastAsia="Calibri" w:cs="Arial"/>
          <w:sz w:val="18"/>
          <w:szCs w:val="18"/>
        </w:rPr>
        <w:t xml:space="preserve">is </w:t>
      </w:r>
      <w:r w:rsidRPr="00B66243">
        <w:rPr>
          <w:rFonts w:ascii="Verdana" w:hAnsi="Verdana" w:eastAsia="Calibri" w:cs="Arial"/>
          <w:sz w:val="18"/>
          <w:szCs w:val="18"/>
        </w:rPr>
        <w:t>sterk</w:t>
      </w:r>
      <w:r w:rsidRPr="00B66243" w:rsidR="00540DBA">
        <w:rPr>
          <w:rFonts w:ascii="Verdana" w:hAnsi="Verdana" w:eastAsia="Calibri" w:cs="Arial"/>
          <w:sz w:val="18"/>
          <w:szCs w:val="18"/>
        </w:rPr>
        <w:t xml:space="preserve"> </w:t>
      </w:r>
      <w:r w:rsidRPr="00B66243">
        <w:rPr>
          <w:rFonts w:ascii="Verdana" w:hAnsi="Verdana" w:eastAsia="Calibri" w:cs="Arial"/>
          <w:sz w:val="18"/>
          <w:szCs w:val="18"/>
        </w:rPr>
        <w:t>geïntensiveerd en aangescherpt.</w:t>
      </w:r>
      <w:r w:rsidRPr="00B66243">
        <w:rPr>
          <w:rFonts w:ascii="Verdana" w:hAnsi="Verdana" w:cs="Calibri"/>
          <w:sz w:val="18"/>
          <w:szCs w:val="18"/>
        </w:rPr>
        <w:t xml:space="preserve"> Voor de toekomst wordt het volgens de onderzoekers van belang geacht om de effecten </w:t>
      </w:r>
      <w:r w:rsidRPr="00B66243" w:rsidR="00E54D66">
        <w:rPr>
          <w:rFonts w:ascii="Verdana" w:hAnsi="Verdana" w:cs="Calibri"/>
          <w:sz w:val="18"/>
          <w:szCs w:val="18"/>
        </w:rPr>
        <w:t xml:space="preserve">van </w:t>
      </w:r>
      <w:r w:rsidRPr="00B66243">
        <w:rPr>
          <w:rFonts w:ascii="Verdana" w:hAnsi="Verdana" w:cs="Calibri"/>
          <w:sz w:val="18"/>
          <w:szCs w:val="18"/>
        </w:rPr>
        <w:t>alle nieuwe of aangescherpte maatregelen om VCHD tegen te gaan te evalueren.</w:t>
      </w:r>
    </w:p>
    <w:p w:rsidRPr="00B66243" w:rsidR="00C76F49" w:rsidP="000F5080" w:rsidRDefault="00C76F49" w14:paraId="12712E10" w14:textId="77777777">
      <w:pPr>
        <w:autoSpaceDE w:val="0"/>
        <w:adjustRightInd w:val="0"/>
        <w:rPr>
          <w:rFonts w:eastAsia="Calibri" w:cs="Arial"/>
          <w:i/>
          <w:lang w:eastAsia="en-US"/>
        </w:rPr>
      </w:pPr>
    </w:p>
    <w:p w:rsidRPr="00B66243" w:rsidR="00B25B84" w:rsidP="00512F58" w:rsidRDefault="00691F0B" w14:paraId="2D572495" w14:textId="6473575D">
      <w:pPr>
        <w:spacing w:line="259" w:lineRule="auto"/>
        <w:rPr>
          <w:rFonts w:eastAsia="Calibri" w:cs="Arial"/>
          <w:i/>
          <w:iCs/>
          <w:lang w:eastAsia="en-US"/>
        </w:rPr>
      </w:pPr>
      <w:r w:rsidRPr="00B66243">
        <w:rPr>
          <w:rFonts w:eastAsia="Calibri" w:cs="Arial"/>
          <w:i/>
          <w:lang w:eastAsia="en-US"/>
        </w:rPr>
        <w:t>Risico-taxatie</w:t>
      </w:r>
      <w:r w:rsidRPr="00B66243" w:rsidR="00D375A2">
        <w:rPr>
          <w:rFonts w:eastAsia="Calibri" w:cs="Arial"/>
          <w:i/>
          <w:lang w:eastAsia="en-US"/>
        </w:rPr>
        <w:t xml:space="preserve"> en r</w:t>
      </w:r>
      <w:r w:rsidRPr="00B66243" w:rsidR="00D375A2">
        <w:rPr>
          <w:rFonts w:eastAsia="Calibri" w:cs="Arial"/>
          <w:i/>
          <w:iCs/>
          <w:lang w:eastAsia="en-US"/>
        </w:rPr>
        <w:t xml:space="preserve">e-integratie </w:t>
      </w:r>
    </w:p>
    <w:p w:rsidRPr="00B66243" w:rsidR="00B25B84" w:rsidP="00512F58" w:rsidRDefault="00B25B84" w14:paraId="65C5CAE6" w14:textId="10D16662">
      <w:pPr>
        <w:pStyle w:val="Lijstalinea"/>
        <w:numPr>
          <w:ilvl w:val="0"/>
          <w:numId w:val="5"/>
        </w:numPr>
        <w:spacing w:line="259" w:lineRule="auto"/>
        <w:rPr>
          <w:rFonts w:ascii="Verdana" w:hAnsi="Verdana" w:eastAsia="Calibri" w:cs="Arial"/>
          <w:i/>
          <w:iCs/>
          <w:sz w:val="18"/>
          <w:szCs w:val="18"/>
        </w:rPr>
      </w:pPr>
      <w:r w:rsidRPr="00B66243">
        <w:rPr>
          <w:rFonts w:ascii="Verdana" w:hAnsi="Verdana" w:cs="Calibri"/>
          <w:sz w:val="18"/>
          <w:szCs w:val="18"/>
        </w:rPr>
        <w:t xml:space="preserve">Kijk naar </w:t>
      </w:r>
      <w:r w:rsidRPr="00B66243" w:rsidR="009139A7">
        <w:rPr>
          <w:rFonts w:ascii="Verdana" w:hAnsi="Verdana" w:eastAsia="Calibri" w:cs="Arial"/>
          <w:sz w:val="18"/>
          <w:szCs w:val="18"/>
        </w:rPr>
        <w:t>de mogelijke risicotaxatie</w:t>
      </w:r>
      <w:r w:rsidRPr="00B66243" w:rsidR="009B0752">
        <w:rPr>
          <w:rFonts w:ascii="Verdana" w:hAnsi="Verdana" w:eastAsia="Calibri" w:cs="Arial"/>
          <w:sz w:val="18"/>
          <w:szCs w:val="18"/>
        </w:rPr>
        <w:t xml:space="preserve"> </w:t>
      </w:r>
      <w:r w:rsidRPr="00B66243">
        <w:rPr>
          <w:rFonts w:ascii="Verdana" w:hAnsi="Verdana" w:eastAsia="Calibri" w:cs="Arial"/>
          <w:sz w:val="18"/>
          <w:szCs w:val="18"/>
        </w:rPr>
        <w:t>instrumenten</w:t>
      </w:r>
      <w:r w:rsidRPr="00B66243" w:rsidR="009139A7">
        <w:rPr>
          <w:rFonts w:ascii="Verdana" w:hAnsi="Verdana" w:eastAsia="Calibri" w:cs="Arial"/>
          <w:sz w:val="18"/>
          <w:szCs w:val="18"/>
        </w:rPr>
        <w:t xml:space="preserve"> en re-integratieprogramma’s</w:t>
      </w:r>
      <w:r w:rsidRPr="00B66243">
        <w:rPr>
          <w:rFonts w:ascii="Verdana" w:hAnsi="Verdana" w:eastAsia="Calibri" w:cs="Arial"/>
          <w:sz w:val="18"/>
          <w:szCs w:val="18"/>
        </w:rPr>
        <w:t xml:space="preserve"> uit Canada zoals de ML</w:t>
      </w:r>
      <w:r w:rsidRPr="00B66243" w:rsidR="00E11906">
        <w:rPr>
          <w:rFonts w:ascii="Verdana" w:hAnsi="Verdana" w:eastAsia="Calibri" w:cs="Arial"/>
          <w:sz w:val="18"/>
          <w:szCs w:val="18"/>
        </w:rPr>
        <w:t>G en</w:t>
      </w:r>
      <w:r w:rsidRPr="00B66243" w:rsidR="00C108F8">
        <w:rPr>
          <w:rFonts w:ascii="Verdana" w:hAnsi="Verdana" w:eastAsia="Calibri" w:cs="Arial"/>
          <w:sz w:val="18"/>
          <w:szCs w:val="18"/>
        </w:rPr>
        <w:t xml:space="preserve"> de groepsgerichte risicoclassificatie </w:t>
      </w:r>
      <w:r w:rsidRPr="00B66243" w:rsidR="00AA626C">
        <w:rPr>
          <w:rFonts w:ascii="Verdana" w:hAnsi="Verdana" w:eastAsia="Calibri" w:cs="Arial"/>
          <w:sz w:val="18"/>
          <w:szCs w:val="18"/>
        </w:rPr>
        <w:t>STG.</w:t>
      </w:r>
    </w:p>
    <w:p w:rsidRPr="00B66243" w:rsidR="00B25B84" w:rsidP="00512F58" w:rsidRDefault="00B25B84" w14:paraId="3961BEEE" w14:textId="78B618B7">
      <w:pPr>
        <w:pStyle w:val="Lijstalinea"/>
        <w:numPr>
          <w:ilvl w:val="0"/>
          <w:numId w:val="5"/>
        </w:numPr>
        <w:spacing w:line="259" w:lineRule="auto"/>
        <w:rPr>
          <w:rFonts w:ascii="Verdana" w:hAnsi="Verdana" w:eastAsia="Calibri" w:cs="Arial"/>
          <w:sz w:val="18"/>
          <w:szCs w:val="18"/>
        </w:rPr>
      </w:pPr>
      <w:r w:rsidRPr="00B66243">
        <w:rPr>
          <w:rFonts w:ascii="Verdana" w:hAnsi="Verdana" w:cs="Calibri"/>
          <w:sz w:val="18"/>
          <w:szCs w:val="18"/>
        </w:rPr>
        <w:t xml:space="preserve">Kijk naar de besluitvorming en bijbehorende </w:t>
      </w:r>
      <w:r w:rsidRPr="00B66243" w:rsidR="008B3CF5">
        <w:rPr>
          <w:rFonts w:ascii="Verdana" w:hAnsi="Verdana" w:cs="Calibri"/>
          <w:sz w:val="18"/>
          <w:szCs w:val="18"/>
        </w:rPr>
        <w:t>risicoanalyse</w:t>
      </w:r>
      <w:r w:rsidRPr="00B66243">
        <w:rPr>
          <w:rFonts w:ascii="Verdana" w:hAnsi="Verdana" w:cs="Calibri"/>
          <w:sz w:val="18"/>
          <w:szCs w:val="18"/>
        </w:rPr>
        <w:t xml:space="preserve"> rondom EBI-/AIT-plaatsing en </w:t>
      </w:r>
      <w:proofErr w:type="spellStart"/>
      <w:r w:rsidRPr="00B66243">
        <w:rPr>
          <w:rFonts w:ascii="Verdana" w:hAnsi="Verdana" w:cs="Calibri"/>
          <w:sz w:val="18"/>
          <w:szCs w:val="18"/>
        </w:rPr>
        <w:t>afschaling</w:t>
      </w:r>
      <w:proofErr w:type="spellEnd"/>
      <w:r w:rsidRPr="00B66243">
        <w:rPr>
          <w:rFonts w:ascii="Verdana" w:hAnsi="Verdana" w:cs="Calibri"/>
          <w:sz w:val="18"/>
          <w:szCs w:val="18"/>
        </w:rPr>
        <w:t xml:space="preserve"> </w:t>
      </w:r>
      <w:r w:rsidRPr="00B66243" w:rsidR="00151810">
        <w:rPr>
          <w:rFonts w:ascii="Verdana" w:hAnsi="Verdana" w:cs="Calibri"/>
          <w:sz w:val="18"/>
          <w:szCs w:val="18"/>
        </w:rPr>
        <w:t xml:space="preserve">om deze </w:t>
      </w:r>
      <w:r w:rsidRPr="00B66243">
        <w:rPr>
          <w:rFonts w:ascii="Verdana" w:hAnsi="Verdana" w:cs="Calibri"/>
          <w:sz w:val="18"/>
          <w:szCs w:val="18"/>
        </w:rPr>
        <w:t>meer geïntegreerd en gestructureerd vorm te geven, waarbij een hoogrisicogedetineerde</w:t>
      </w:r>
      <w:r w:rsidRPr="00B66243" w:rsidR="00151810">
        <w:rPr>
          <w:rFonts w:ascii="Verdana" w:hAnsi="Verdana" w:cs="Calibri"/>
          <w:sz w:val="18"/>
          <w:szCs w:val="18"/>
        </w:rPr>
        <w:t xml:space="preserve"> daadwerkelijk </w:t>
      </w:r>
      <w:r w:rsidRPr="00B66243">
        <w:rPr>
          <w:rFonts w:ascii="Verdana" w:hAnsi="Verdana" w:cs="Calibri"/>
          <w:sz w:val="18"/>
          <w:szCs w:val="18"/>
        </w:rPr>
        <w:t>in aanmerking kan komen voor een minder hoog beveiligd regime.</w:t>
      </w:r>
    </w:p>
    <w:p w:rsidRPr="00B66243" w:rsidR="00F57B8C" w:rsidP="007C262B" w:rsidRDefault="00D375A2" w14:paraId="33C69A6D" w14:textId="55C9F3BD">
      <w:pPr>
        <w:pStyle w:val="Lijstalinea"/>
        <w:numPr>
          <w:ilvl w:val="0"/>
          <w:numId w:val="5"/>
        </w:numPr>
        <w:spacing w:line="259" w:lineRule="auto"/>
        <w:rPr>
          <w:rFonts w:ascii="Verdana" w:hAnsi="Verdana" w:eastAsia="Calibri" w:cs="Arial"/>
          <w:sz w:val="18"/>
          <w:szCs w:val="18"/>
        </w:rPr>
      </w:pPr>
      <w:r w:rsidRPr="00B66243">
        <w:rPr>
          <w:rFonts w:ascii="Verdana" w:hAnsi="Verdana" w:cs="Calibri"/>
          <w:sz w:val="18"/>
          <w:szCs w:val="18"/>
        </w:rPr>
        <w:t xml:space="preserve">Laat zowel ten aanzien van de inrichting van het besluitvormingsproces, als </w:t>
      </w:r>
      <w:r w:rsidRPr="00B66243">
        <w:rPr>
          <w:rFonts w:ascii="Verdana" w:hAnsi="Verdana" w:cs="Calibri"/>
          <w:sz w:val="18"/>
          <w:szCs w:val="18"/>
        </w:rPr>
        <w:br/>
        <w:t xml:space="preserve">ten aanzien van de integratie van een gestructureerd risicotaxatie-instrument in een bredere </w:t>
      </w:r>
      <w:proofErr w:type="spellStart"/>
      <w:r w:rsidRPr="00B66243">
        <w:rPr>
          <w:rFonts w:ascii="Verdana" w:hAnsi="Verdana" w:cs="Calibri"/>
          <w:sz w:val="18"/>
          <w:szCs w:val="18"/>
        </w:rPr>
        <w:t>risico-analyse</w:t>
      </w:r>
      <w:proofErr w:type="spellEnd"/>
      <w:r w:rsidRPr="00B66243">
        <w:rPr>
          <w:rFonts w:ascii="Verdana" w:hAnsi="Verdana" w:cs="Calibri"/>
          <w:sz w:val="18"/>
          <w:szCs w:val="18"/>
        </w:rPr>
        <w:t>, het beleid en de praktijk ten aanzien van de Terroristenafdeling (TA) tot voorbeeld strekken</w:t>
      </w:r>
      <w:r w:rsidRPr="00B66243" w:rsidR="00151810">
        <w:rPr>
          <w:rFonts w:ascii="Verdana" w:hAnsi="Verdana" w:cs="Calibri"/>
          <w:sz w:val="18"/>
          <w:szCs w:val="18"/>
        </w:rPr>
        <w:t>. H</w:t>
      </w:r>
      <w:r w:rsidRPr="00B66243">
        <w:rPr>
          <w:rFonts w:ascii="Verdana" w:hAnsi="Verdana" w:cs="Calibri"/>
          <w:sz w:val="18"/>
          <w:szCs w:val="18"/>
        </w:rPr>
        <w:t xml:space="preserve">et instrument van de VERA-2R </w:t>
      </w:r>
      <w:r w:rsidRPr="00B66243" w:rsidR="00151810">
        <w:rPr>
          <w:rFonts w:ascii="Verdana" w:hAnsi="Verdana" w:cs="Calibri"/>
          <w:sz w:val="18"/>
          <w:szCs w:val="18"/>
        </w:rPr>
        <w:t xml:space="preserve">is </w:t>
      </w:r>
      <w:r w:rsidRPr="00B66243">
        <w:rPr>
          <w:rFonts w:ascii="Verdana" w:hAnsi="Verdana" w:cs="Calibri"/>
          <w:sz w:val="18"/>
          <w:szCs w:val="18"/>
        </w:rPr>
        <w:t>in dat proces op passende wijze ingevoerd en ingebed in onderzoek (en training) om de kwaliteit ervan doorlopend te verhogen.</w:t>
      </w:r>
    </w:p>
    <w:p w:rsidRPr="00B66243" w:rsidR="00A35A10" w:rsidRDefault="00A35A10" w14:paraId="46508681" w14:textId="36DD5557">
      <w:pPr>
        <w:spacing w:line="240" w:lineRule="auto"/>
        <w:rPr>
          <w:rFonts w:eastAsia="Calibri" w:cs="Arial"/>
          <w:i/>
          <w:iCs/>
          <w:lang w:eastAsia="en-US"/>
        </w:rPr>
      </w:pPr>
    </w:p>
    <w:p w:rsidRPr="00B66243" w:rsidR="002E704D" w:rsidP="00512F58" w:rsidRDefault="00691F0B" w14:paraId="30764393" w14:textId="1F5977AA">
      <w:pPr>
        <w:spacing w:line="259" w:lineRule="auto"/>
        <w:rPr>
          <w:rFonts w:eastAsia="Calibri" w:cs="Arial"/>
          <w:i/>
          <w:iCs/>
          <w:lang w:eastAsia="en-US"/>
        </w:rPr>
      </w:pPr>
      <w:r w:rsidRPr="00B66243">
        <w:rPr>
          <w:rFonts w:eastAsia="Calibri" w:cs="Arial"/>
          <w:i/>
          <w:iCs/>
          <w:lang w:eastAsia="en-US"/>
        </w:rPr>
        <w:t>Toezicht na detentie</w:t>
      </w:r>
    </w:p>
    <w:p w:rsidRPr="00B66243" w:rsidR="005C1E4D" w:rsidP="00512F58" w:rsidRDefault="00151810" w14:paraId="6DD37FB2" w14:textId="5C0080D6">
      <w:pPr>
        <w:pStyle w:val="Lijstalinea"/>
        <w:numPr>
          <w:ilvl w:val="0"/>
          <w:numId w:val="7"/>
        </w:numPr>
        <w:spacing w:line="259" w:lineRule="auto"/>
        <w:rPr>
          <w:rFonts w:ascii="Verdana" w:hAnsi="Verdana" w:cs="Calibri"/>
          <w:sz w:val="18"/>
          <w:szCs w:val="18"/>
        </w:rPr>
      </w:pPr>
      <w:r w:rsidRPr="00B66243">
        <w:rPr>
          <w:rFonts w:ascii="Verdana" w:hAnsi="Verdana" w:cs="Calibri"/>
          <w:sz w:val="18"/>
          <w:szCs w:val="18"/>
        </w:rPr>
        <w:t>Laat i</w:t>
      </w:r>
      <w:r w:rsidRPr="00B66243" w:rsidR="005C1E4D">
        <w:rPr>
          <w:rFonts w:ascii="Verdana" w:hAnsi="Verdana" w:cs="Calibri"/>
          <w:sz w:val="18"/>
          <w:szCs w:val="18"/>
        </w:rPr>
        <w:t xml:space="preserve">n de lopende wetsevaluaties van de VI-regeling en de GVM aandacht besteden aan de toepasbaarheid van beide kaders voor hoogrisicogedetineerden, en </w:t>
      </w:r>
      <w:r w:rsidRPr="00B66243" w:rsidR="00C108F8">
        <w:rPr>
          <w:rFonts w:ascii="Verdana" w:hAnsi="Verdana" w:cs="Calibri"/>
          <w:sz w:val="18"/>
          <w:szCs w:val="18"/>
        </w:rPr>
        <w:t xml:space="preserve">laat daarbij </w:t>
      </w:r>
      <w:r w:rsidRPr="00B66243" w:rsidR="005C1E4D">
        <w:rPr>
          <w:rFonts w:ascii="Verdana" w:hAnsi="Verdana" w:cs="Calibri"/>
          <w:sz w:val="18"/>
          <w:szCs w:val="18"/>
        </w:rPr>
        <w:t>bezie</w:t>
      </w:r>
      <w:r w:rsidRPr="00B66243" w:rsidR="00C108F8">
        <w:rPr>
          <w:rFonts w:ascii="Verdana" w:hAnsi="Verdana" w:cs="Calibri"/>
          <w:sz w:val="18"/>
          <w:szCs w:val="18"/>
        </w:rPr>
        <w:t>n</w:t>
      </w:r>
      <w:r w:rsidRPr="00B66243" w:rsidR="005C1E4D">
        <w:rPr>
          <w:rFonts w:ascii="Verdana" w:hAnsi="Verdana" w:cs="Calibri"/>
          <w:sz w:val="18"/>
          <w:szCs w:val="18"/>
        </w:rPr>
        <w:t xml:space="preserve"> of </w:t>
      </w:r>
      <w:r w:rsidRPr="00B66243">
        <w:rPr>
          <w:rFonts w:ascii="Verdana" w:hAnsi="Verdana" w:cs="Calibri"/>
          <w:sz w:val="18"/>
          <w:szCs w:val="18"/>
        </w:rPr>
        <w:t>een hogere</w:t>
      </w:r>
      <w:r w:rsidRPr="00B66243" w:rsidR="00C108F8">
        <w:rPr>
          <w:rFonts w:ascii="Verdana" w:hAnsi="Verdana" w:cs="Calibri"/>
          <w:sz w:val="18"/>
          <w:szCs w:val="18"/>
        </w:rPr>
        <w:t xml:space="preserve"> strafdreiging </w:t>
      </w:r>
      <w:r w:rsidRPr="00B66243">
        <w:rPr>
          <w:rFonts w:ascii="Verdana" w:hAnsi="Verdana" w:cs="Calibri"/>
          <w:sz w:val="18"/>
          <w:szCs w:val="18"/>
        </w:rPr>
        <w:t>(groter stok achter de deur) helpend kan zijn.</w:t>
      </w:r>
    </w:p>
    <w:p w:rsidRPr="00B66243" w:rsidR="00D375A2" w:rsidP="00512F58" w:rsidRDefault="00691F0B" w14:paraId="50EC880C" w14:textId="77777777">
      <w:pPr>
        <w:spacing w:line="259" w:lineRule="auto"/>
        <w:rPr>
          <w:rFonts w:eastAsia="Calibri" w:cs="Arial"/>
          <w:i/>
          <w:lang w:eastAsia="en-US"/>
        </w:rPr>
      </w:pPr>
      <w:r w:rsidRPr="00B66243">
        <w:rPr>
          <w:rFonts w:eastAsia="Calibri" w:cs="Arial"/>
          <w:i/>
          <w:iCs/>
          <w:lang w:eastAsia="en-US"/>
        </w:rPr>
        <w:br/>
        <w:t>Preventieve detentie</w:t>
      </w:r>
    </w:p>
    <w:p w:rsidRPr="00B66243" w:rsidR="00815853" w:rsidP="002E3000" w:rsidRDefault="005E49AF" w14:paraId="304B4C0D" w14:textId="7B1F865D">
      <w:pPr>
        <w:pStyle w:val="Lijstalinea"/>
        <w:numPr>
          <w:ilvl w:val="0"/>
          <w:numId w:val="7"/>
        </w:numPr>
        <w:spacing w:line="259" w:lineRule="auto"/>
        <w:rPr>
          <w:rFonts w:ascii="Verdana" w:hAnsi="Verdana" w:eastAsia="Calibri" w:cs="Arial"/>
          <w:i/>
          <w:sz w:val="18"/>
          <w:szCs w:val="18"/>
        </w:rPr>
      </w:pPr>
      <w:r w:rsidRPr="00B66243">
        <w:rPr>
          <w:rFonts w:ascii="Verdana" w:hAnsi="Verdana" w:eastAsia="Calibri" w:cs="Arial"/>
          <w:sz w:val="18"/>
          <w:szCs w:val="18"/>
        </w:rPr>
        <w:t>Ga o</w:t>
      </w:r>
      <w:r w:rsidRPr="00B66243" w:rsidR="00D375A2">
        <w:rPr>
          <w:rFonts w:ascii="Verdana" w:hAnsi="Verdana" w:eastAsia="Calibri" w:cs="Arial"/>
          <w:sz w:val="18"/>
          <w:szCs w:val="18"/>
        </w:rPr>
        <w:t>p termijn de uitwerking van preventieve detentie zoals recent, mede voor de onderzoeksdoelgroep, ingevoerd in Zweden nader onderzoeken</w:t>
      </w:r>
      <w:r w:rsidRPr="00B66243" w:rsidR="007D6460">
        <w:rPr>
          <w:rFonts w:ascii="Verdana" w:hAnsi="Verdana" w:eastAsia="Calibri" w:cs="Arial"/>
          <w:sz w:val="18"/>
          <w:szCs w:val="18"/>
        </w:rPr>
        <w:t>.</w:t>
      </w:r>
      <w:r w:rsidRPr="00B66243" w:rsidR="00BB1A56">
        <w:rPr>
          <w:rFonts w:ascii="Verdana" w:hAnsi="Verdana" w:eastAsia="Calibri" w:cs="Arial"/>
          <w:sz w:val="18"/>
          <w:szCs w:val="18"/>
        </w:rPr>
        <w:t xml:space="preserve"> </w:t>
      </w:r>
      <w:r w:rsidRPr="00B66243" w:rsidR="00994FDC">
        <w:rPr>
          <w:rFonts w:ascii="Verdana" w:hAnsi="Verdana"/>
          <w:sz w:val="18"/>
          <w:szCs w:val="18"/>
        </w:rPr>
        <w:t>H</w:t>
      </w:r>
      <w:r w:rsidRPr="00B66243" w:rsidR="00BB1A56">
        <w:rPr>
          <w:rFonts w:ascii="Verdana" w:hAnsi="Verdana"/>
          <w:sz w:val="18"/>
          <w:szCs w:val="18"/>
        </w:rPr>
        <w:t xml:space="preserve">oud ten aanzien van de toepassing van preventieve detentie op de onderzoeksdoelgroep, de wijze van tenuitvoerlegging en de juridische toetsing/houdbaarheid daarvan de ontwikkeling in Zweden zorgvuldig in de gaten, bijvoorbeeld door het laten uitvoeren van een specifiek </w:t>
      </w:r>
      <w:r w:rsidRPr="00B66243" w:rsidR="00BB1A56">
        <w:rPr>
          <w:rFonts w:ascii="Verdana" w:hAnsi="Verdana"/>
          <w:i/>
          <w:iCs/>
          <w:sz w:val="18"/>
          <w:szCs w:val="18"/>
        </w:rPr>
        <w:t xml:space="preserve">follow-up </w:t>
      </w:r>
      <w:r w:rsidRPr="00B66243" w:rsidR="00BB1A56">
        <w:rPr>
          <w:rFonts w:ascii="Verdana" w:hAnsi="Verdana"/>
          <w:sz w:val="18"/>
          <w:szCs w:val="18"/>
        </w:rPr>
        <w:t xml:space="preserve">onderzoek naar de Zweedse praktijk. </w:t>
      </w:r>
    </w:p>
    <w:p w:rsidRPr="00B66243" w:rsidR="00691F0B" w:rsidP="00512F58" w:rsidRDefault="00691F0B" w14:paraId="0ABE8CE1" w14:textId="77777777">
      <w:pPr>
        <w:spacing w:line="259" w:lineRule="auto"/>
        <w:rPr>
          <w:rFonts w:eastAsia="Calibri" w:cs="Arial"/>
          <w:szCs w:val="22"/>
          <w:lang w:eastAsia="en-US"/>
        </w:rPr>
      </w:pPr>
    </w:p>
    <w:p w:rsidRPr="00B66243" w:rsidR="000F5080" w:rsidP="00512F58" w:rsidRDefault="002321EA" w14:paraId="5CC06A07" w14:textId="26329352">
      <w:pPr>
        <w:autoSpaceDE w:val="0"/>
        <w:adjustRightInd w:val="0"/>
        <w:rPr>
          <w:rFonts w:eastAsia="Calibri" w:cs="Arial"/>
          <w:b/>
          <w:bCs/>
          <w:lang w:eastAsia="en-US"/>
        </w:rPr>
      </w:pPr>
      <w:r w:rsidRPr="00B66243">
        <w:rPr>
          <w:rFonts w:eastAsia="Calibri" w:cs="Arial"/>
          <w:b/>
          <w:bCs/>
          <w:lang w:eastAsia="en-US"/>
        </w:rPr>
        <w:t>Beleidsreactie</w:t>
      </w:r>
      <w:r w:rsidRPr="00B66243" w:rsidR="00E11906">
        <w:rPr>
          <w:rFonts w:eastAsia="Calibri" w:cs="Arial"/>
          <w:b/>
          <w:bCs/>
          <w:lang w:eastAsia="en-US"/>
        </w:rPr>
        <w:br/>
      </w:r>
    </w:p>
    <w:p w:rsidRPr="00B66243" w:rsidR="000F5080" w:rsidP="00512F58" w:rsidRDefault="000F5080" w14:paraId="020A63D8" w14:textId="77777777">
      <w:pPr>
        <w:autoSpaceDE w:val="0"/>
        <w:adjustRightInd w:val="0"/>
        <w:rPr>
          <w:rFonts w:eastAsia="Calibri" w:cs="Arial"/>
          <w:i/>
          <w:iCs/>
          <w:lang w:eastAsia="en-US"/>
        </w:rPr>
      </w:pPr>
      <w:r w:rsidRPr="00B66243">
        <w:rPr>
          <w:rFonts w:eastAsia="Calibri" w:cs="Arial"/>
          <w:i/>
          <w:iCs/>
          <w:lang w:eastAsia="en-US"/>
        </w:rPr>
        <w:t>Instrumentarium tijdens detentie</w:t>
      </w:r>
    </w:p>
    <w:p w:rsidRPr="00B66243" w:rsidR="002E704D" w:rsidP="00512F58" w:rsidRDefault="00C76F49" w14:paraId="1FA7BDE7" w14:textId="4CF663AB">
      <w:pPr>
        <w:autoSpaceDE w:val="0"/>
        <w:adjustRightInd w:val="0"/>
        <w:rPr>
          <w:rFonts w:cs="Calibri"/>
        </w:rPr>
      </w:pPr>
      <w:r w:rsidRPr="00B66243">
        <w:rPr>
          <w:rFonts w:eastAsia="Calibri" w:cs="Arial"/>
          <w:lang w:eastAsia="en-US"/>
        </w:rPr>
        <w:t>De</w:t>
      </w:r>
      <w:r w:rsidRPr="00B66243" w:rsidR="000F5080">
        <w:rPr>
          <w:rFonts w:eastAsia="Calibri" w:cs="Arial"/>
          <w:lang w:eastAsia="en-US"/>
        </w:rPr>
        <w:t xml:space="preserve"> aanpak van georganiseerde criminaliteit binnen detentie is </w:t>
      </w:r>
      <w:r w:rsidRPr="00B66243">
        <w:rPr>
          <w:rFonts w:eastAsia="Calibri" w:cs="Arial"/>
          <w:lang w:eastAsia="en-US"/>
        </w:rPr>
        <w:t>sinds 2021 flink versterkt om de samenleving, medewerkers van DJI en advocaten te beschermen tegen de risico’s die uitgaan van hoogrisicogedetineerden. Met de onderzoekers deel ik het belang van evaluatie van deze maatregelen.</w:t>
      </w:r>
      <w:r w:rsidRPr="00B66243" w:rsidR="001F29E3">
        <w:rPr>
          <w:rFonts w:eastAsia="Calibri" w:cs="Arial"/>
          <w:lang w:eastAsia="en-US"/>
        </w:rPr>
        <w:t xml:space="preserve"> </w:t>
      </w:r>
      <w:r w:rsidRPr="00B66243" w:rsidR="002E704D">
        <w:rPr>
          <w:rFonts w:cs="Calibri"/>
        </w:rPr>
        <w:t xml:space="preserve">Mijn ambtsvoorganger heeft </w:t>
      </w:r>
      <w:r w:rsidRPr="00B66243" w:rsidR="001F29E3">
        <w:rPr>
          <w:rFonts w:cs="Calibri"/>
        </w:rPr>
        <w:t xml:space="preserve">daarom </w:t>
      </w:r>
      <w:r w:rsidRPr="00B66243" w:rsidR="002E704D">
        <w:rPr>
          <w:rFonts w:cs="Calibri"/>
        </w:rPr>
        <w:t xml:space="preserve">het WODC verzocht om een beleidskader op te stellen voor monitoring en evaluatie van de van de maatregelen die sinds 2021 zijn getroffen om </w:t>
      </w:r>
      <w:r w:rsidRPr="00B66243" w:rsidR="004D3BA4">
        <w:rPr>
          <w:rFonts w:cs="Calibri"/>
        </w:rPr>
        <w:t>voortgezet crimineel handelen vanuit detentie (</w:t>
      </w:r>
      <w:r w:rsidRPr="00B66243" w:rsidR="002E704D">
        <w:rPr>
          <w:rFonts w:cs="Calibri"/>
        </w:rPr>
        <w:t>VCHD</w:t>
      </w:r>
      <w:r w:rsidRPr="00B66243" w:rsidR="004D3BA4">
        <w:rPr>
          <w:rFonts w:cs="Calibri"/>
        </w:rPr>
        <w:t>)</w:t>
      </w:r>
      <w:r w:rsidRPr="00B66243" w:rsidR="002E704D">
        <w:rPr>
          <w:rFonts w:cs="Calibri"/>
        </w:rPr>
        <w:t xml:space="preserve"> tegen te gaan. De verwachting is dat dit onderzoek eind 2026 wordt opgeleverd.</w:t>
      </w:r>
      <w:r w:rsidRPr="00B66243" w:rsidR="009D5C97">
        <w:rPr>
          <w:rFonts w:cs="Calibri"/>
        </w:rPr>
        <w:t xml:space="preserve"> Ik zal dit met uw Kamer delen.</w:t>
      </w:r>
      <w:r w:rsidRPr="00B66243" w:rsidR="002E704D">
        <w:rPr>
          <w:rFonts w:cs="Calibri"/>
        </w:rPr>
        <w:t xml:space="preserve"> </w:t>
      </w:r>
      <w:r w:rsidRPr="00B66243">
        <w:rPr>
          <w:rFonts w:eastAsia="Calibri" w:cs="Arial"/>
          <w:szCs w:val="22"/>
          <w:lang w:eastAsia="en-US"/>
        </w:rPr>
        <w:t xml:space="preserve"> </w:t>
      </w:r>
    </w:p>
    <w:p w:rsidRPr="00B66243" w:rsidR="008E3DD1" w:rsidP="008E3DD1" w:rsidRDefault="008E3DD1" w14:paraId="7FEEC39A" w14:textId="77777777">
      <w:pPr>
        <w:spacing w:line="259" w:lineRule="auto"/>
        <w:rPr>
          <w:rFonts w:eastAsia="Calibri" w:cs="Arial"/>
          <w:lang w:eastAsia="en-US"/>
        </w:rPr>
      </w:pPr>
    </w:p>
    <w:p w:rsidRPr="00B66243" w:rsidR="000F5080" w:rsidP="00512F58" w:rsidRDefault="000F5080" w14:paraId="65F2D053" w14:textId="77777777">
      <w:pPr>
        <w:spacing w:line="259" w:lineRule="auto"/>
        <w:rPr>
          <w:rFonts w:eastAsia="Calibri" w:cs="Arial"/>
          <w:u w:val="single"/>
          <w:lang w:eastAsia="en-US"/>
        </w:rPr>
      </w:pPr>
      <w:r w:rsidRPr="00B66243">
        <w:rPr>
          <w:rFonts w:eastAsia="Calibri" w:cs="Arial"/>
          <w:i/>
          <w:iCs/>
          <w:lang w:eastAsia="en-US"/>
        </w:rPr>
        <w:t>Risico-taxatie en re-integratie</w:t>
      </w:r>
      <w:r w:rsidRPr="00B66243">
        <w:rPr>
          <w:rFonts w:eastAsia="Calibri" w:cs="Arial"/>
          <w:u w:val="single"/>
          <w:lang w:eastAsia="en-US"/>
        </w:rPr>
        <w:t xml:space="preserve"> </w:t>
      </w:r>
    </w:p>
    <w:p w:rsidRPr="00B66243" w:rsidR="00EE7BBB" w:rsidP="0008015D" w:rsidRDefault="008E3DD1" w14:paraId="187E7E0A" w14:textId="77777777">
      <w:pPr>
        <w:spacing w:line="259" w:lineRule="auto"/>
        <w:rPr>
          <w:rFonts w:eastAsia="Calibri" w:cs="Arial"/>
          <w:color w:val="auto"/>
          <w:lang w:eastAsia="en-US"/>
        </w:rPr>
      </w:pPr>
      <w:r w:rsidRPr="00B66243">
        <w:rPr>
          <w:rFonts w:eastAsia="Calibri" w:cs="Arial"/>
          <w:lang w:eastAsia="en-US"/>
        </w:rPr>
        <w:t>Bij de detentie van</w:t>
      </w:r>
      <w:r w:rsidRPr="00B66243" w:rsidR="00F57B8C">
        <w:rPr>
          <w:rFonts w:eastAsia="Calibri" w:cs="Arial"/>
          <w:lang w:eastAsia="en-US"/>
        </w:rPr>
        <w:t xml:space="preserve"> hoogrisicogedetineerden</w:t>
      </w:r>
      <w:r w:rsidRPr="00B66243">
        <w:rPr>
          <w:rFonts w:eastAsia="Calibri" w:cs="Arial"/>
          <w:lang w:eastAsia="en-US"/>
        </w:rPr>
        <w:t xml:space="preserve"> staat veiligheid voorop waarbij </w:t>
      </w:r>
      <w:r w:rsidRPr="00B66243" w:rsidR="009019CD">
        <w:rPr>
          <w:rFonts w:eastAsia="Calibri" w:cs="Arial"/>
          <w:lang w:eastAsia="en-US"/>
        </w:rPr>
        <w:t>e</w:t>
      </w:r>
      <w:r w:rsidRPr="00B66243" w:rsidR="00680C1F">
        <w:rPr>
          <w:rFonts w:eastAsia="Calibri" w:cs="Arial"/>
          <w:lang w:eastAsia="en-US"/>
        </w:rPr>
        <w:t>lke twaalf maanden getoetst</w:t>
      </w:r>
      <w:r w:rsidRPr="00B66243">
        <w:rPr>
          <w:rFonts w:eastAsia="Calibri" w:cs="Arial"/>
          <w:lang w:eastAsia="en-US"/>
        </w:rPr>
        <w:t xml:space="preserve"> wordt</w:t>
      </w:r>
      <w:r w:rsidRPr="00B66243" w:rsidR="00680C1F">
        <w:rPr>
          <w:rFonts w:eastAsia="Calibri" w:cs="Arial"/>
          <w:lang w:eastAsia="en-US"/>
        </w:rPr>
        <w:t xml:space="preserve"> of plaatsing op een AIT of in een EBI nog noodzakelijk is. </w:t>
      </w:r>
      <w:r w:rsidRPr="00B66243" w:rsidR="00680C1F">
        <w:rPr>
          <w:rFonts w:eastAsia="Calibri" w:cs="Arial"/>
          <w:color w:val="auto"/>
          <w:lang w:eastAsia="en-US"/>
        </w:rPr>
        <w:t>Actuele informatie, bijvoorbeeld over (risico’s op) voortgezet crimineel handelen, kan reden zijn om die plaatsing te verlengen.</w:t>
      </w:r>
    </w:p>
    <w:p w:rsidRPr="00B66243" w:rsidR="008E65ED" w:rsidP="00512F58" w:rsidRDefault="00EE7BBB" w14:paraId="1C721642" w14:textId="3AA2C0CD">
      <w:pPr>
        <w:spacing w:line="259" w:lineRule="auto"/>
        <w:rPr>
          <w:rFonts w:eastAsia="Calibri" w:cs="Arial"/>
          <w:lang w:eastAsia="en-US"/>
        </w:rPr>
      </w:pPr>
      <w:r w:rsidRPr="00B66243">
        <w:rPr>
          <w:rFonts w:eastAsia="Calibri" w:cs="Arial"/>
          <w:color w:val="auto"/>
          <w:lang w:eastAsia="en-US"/>
        </w:rPr>
        <w:t>Het onderzoek heeft mogelijk waardevolle inzichten</w:t>
      </w:r>
      <w:r w:rsidRPr="00B66243" w:rsidR="005A1957">
        <w:rPr>
          <w:rFonts w:eastAsia="Calibri" w:cs="Arial"/>
          <w:color w:val="auto"/>
          <w:lang w:eastAsia="en-US"/>
        </w:rPr>
        <w:t xml:space="preserve"> opgeleverd</w:t>
      </w:r>
      <w:r w:rsidRPr="00B66243">
        <w:rPr>
          <w:rFonts w:eastAsia="Calibri" w:cs="Arial"/>
          <w:color w:val="auto"/>
          <w:lang w:eastAsia="en-US"/>
        </w:rPr>
        <w:t xml:space="preserve"> uit de Canadese vormgeving van het re-integratiebeleid ten aanzien van de zogeheten </w:t>
      </w:r>
      <w:r w:rsidRPr="00B66243">
        <w:rPr>
          <w:rFonts w:eastAsia="Calibri" w:cs="Arial"/>
          <w:i/>
          <w:iCs/>
          <w:color w:val="auto"/>
          <w:lang w:eastAsia="en-US"/>
        </w:rPr>
        <w:t xml:space="preserve">Security </w:t>
      </w:r>
      <w:proofErr w:type="spellStart"/>
      <w:r w:rsidRPr="00B66243">
        <w:rPr>
          <w:rFonts w:eastAsia="Calibri" w:cs="Arial"/>
          <w:i/>
          <w:iCs/>
          <w:color w:val="auto"/>
          <w:lang w:eastAsia="en-US"/>
        </w:rPr>
        <w:t>Threat</w:t>
      </w:r>
      <w:proofErr w:type="spellEnd"/>
      <w:r w:rsidRPr="00B66243">
        <w:rPr>
          <w:rFonts w:eastAsia="Calibri" w:cs="Arial"/>
          <w:i/>
          <w:iCs/>
          <w:color w:val="auto"/>
          <w:lang w:eastAsia="en-US"/>
        </w:rPr>
        <w:t xml:space="preserve"> </w:t>
      </w:r>
      <w:proofErr w:type="spellStart"/>
      <w:r w:rsidRPr="00B66243">
        <w:rPr>
          <w:rFonts w:eastAsia="Calibri" w:cs="Arial"/>
          <w:i/>
          <w:iCs/>
          <w:color w:val="auto"/>
          <w:lang w:eastAsia="en-US"/>
        </w:rPr>
        <w:t>Groups</w:t>
      </w:r>
      <w:proofErr w:type="spellEnd"/>
      <w:r w:rsidRPr="00B66243">
        <w:rPr>
          <w:rFonts w:eastAsia="Calibri" w:cs="Arial"/>
          <w:i/>
          <w:iCs/>
          <w:color w:val="auto"/>
          <w:lang w:eastAsia="en-US"/>
        </w:rPr>
        <w:t xml:space="preserve"> </w:t>
      </w:r>
      <w:r w:rsidRPr="00B66243">
        <w:rPr>
          <w:rFonts w:eastAsia="Calibri" w:cs="Arial"/>
          <w:color w:val="auto"/>
          <w:lang w:eastAsia="en-US"/>
        </w:rPr>
        <w:t>(STG)</w:t>
      </w:r>
      <w:r w:rsidRPr="00B66243" w:rsidR="005A1957">
        <w:rPr>
          <w:rFonts w:eastAsia="Calibri" w:cs="Arial"/>
          <w:color w:val="auto"/>
          <w:lang w:eastAsia="en-US"/>
        </w:rPr>
        <w:t xml:space="preserve"> waarbij Canada één specifiek re-integratieprogramma kent dat via cognitieve gedragstherapie gericht is op het verminderen van criminogene factoren voor de onderzoeksdoelgroep.</w:t>
      </w:r>
      <w:r w:rsidRPr="00B66243" w:rsidR="008E65ED">
        <w:rPr>
          <w:rFonts w:eastAsia="Calibri" w:cs="Arial"/>
          <w:color w:val="auto"/>
          <w:lang w:eastAsia="en-US"/>
        </w:rPr>
        <w:t xml:space="preserve"> </w:t>
      </w:r>
      <w:r w:rsidRPr="00B66243" w:rsidR="005A1957">
        <w:rPr>
          <w:rFonts w:eastAsia="Calibri" w:cs="Arial"/>
          <w:color w:val="auto"/>
          <w:lang w:eastAsia="en-US"/>
        </w:rPr>
        <w:t>Ik g</w:t>
      </w:r>
      <w:r w:rsidRPr="00B66243">
        <w:rPr>
          <w:rFonts w:eastAsia="Calibri" w:cs="Arial"/>
          <w:color w:val="auto"/>
          <w:lang w:eastAsia="en-US"/>
        </w:rPr>
        <w:t>a verkennen of, en op welke wijze, deze inzichten een bijdrage k</w:t>
      </w:r>
      <w:r w:rsidRPr="00B66243" w:rsidR="005A1957">
        <w:rPr>
          <w:rFonts w:eastAsia="Calibri" w:cs="Arial"/>
          <w:color w:val="auto"/>
          <w:lang w:eastAsia="en-US"/>
        </w:rPr>
        <w:t>unnen</w:t>
      </w:r>
      <w:r w:rsidRPr="00B66243">
        <w:rPr>
          <w:rFonts w:eastAsia="Calibri" w:cs="Arial"/>
          <w:color w:val="auto"/>
          <w:lang w:eastAsia="en-US"/>
        </w:rPr>
        <w:t xml:space="preserve"> leveren aan een </w:t>
      </w:r>
      <w:r w:rsidRPr="00B66243" w:rsidR="008D7BE2">
        <w:rPr>
          <w:rFonts w:eastAsia="Calibri" w:cs="Arial"/>
          <w:color w:val="auto"/>
          <w:lang w:eastAsia="en-US"/>
        </w:rPr>
        <w:t xml:space="preserve">zo </w:t>
      </w:r>
      <w:r w:rsidRPr="00B66243">
        <w:rPr>
          <w:rFonts w:eastAsia="Calibri" w:cs="Arial"/>
          <w:color w:val="auto"/>
          <w:lang w:eastAsia="en-US"/>
        </w:rPr>
        <w:t>veilig</w:t>
      </w:r>
      <w:r w:rsidRPr="00B66243" w:rsidR="008D7BE2">
        <w:rPr>
          <w:rFonts w:eastAsia="Calibri" w:cs="Arial"/>
          <w:color w:val="auto"/>
          <w:lang w:eastAsia="en-US"/>
        </w:rPr>
        <w:t xml:space="preserve"> mogelijke</w:t>
      </w:r>
      <w:r w:rsidRPr="00B66243">
        <w:rPr>
          <w:rFonts w:eastAsia="Calibri" w:cs="Arial"/>
          <w:color w:val="auto"/>
          <w:lang w:eastAsia="en-US"/>
        </w:rPr>
        <w:t xml:space="preserve"> terugkeer van hoogrisicogedetineerden in de samenleving.</w:t>
      </w:r>
      <w:r w:rsidRPr="00B66243" w:rsidR="008E65ED">
        <w:rPr>
          <w:rFonts w:eastAsia="Calibri" w:cs="Arial"/>
          <w:color w:val="auto"/>
          <w:lang w:eastAsia="en-US"/>
        </w:rPr>
        <w:t xml:space="preserve"> Daarbij ga ik t</w:t>
      </w:r>
      <w:r w:rsidRPr="00B66243" w:rsidR="005A1957">
        <w:rPr>
          <w:rFonts w:cs="Calibri"/>
          <w:color w:val="000000" w:themeColor="text1"/>
        </w:rPr>
        <w:t>en aanzien van de risicotaxatie - o</w:t>
      </w:r>
      <w:r w:rsidRPr="00B66243" w:rsidR="0029017C">
        <w:rPr>
          <w:rFonts w:cs="Calibri"/>
          <w:color w:val="000000" w:themeColor="text1"/>
        </w:rPr>
        <w:t xml:space="preserve">m </w:t>
      </w:r>
      <w:r w:rsidRPr="00B66243" w:rsidR="005A1957">
        <w:rPr>
          <w:rFonts w:cs="Calibri"/>
          <w:color w:val="000000" w:themeColor="text1"/>
        </w:rPr>
        <w:t>een</w:t>
      </w:r>
      <w:r w:rsidRPr="00B66243" w:rsidR="008E3DD1">
        <w:rPr>
          <w:rFonts w:cs="Calibri"/>
          <w:color w:val="000000" w:themeColor="text1"/>
        </w:rPr>
        <w:t xml:space="preserve"> meer</w:t>
      </w:r>
      <w:r w:rsidRPr="00B66243" w:rsidR="007421D2">
        <w:rPr>
          <w:rFonts w:cs="Calibri"/>
          <w:color w:val="000000" w:themeColor="text1"/>
        </w:rPr>
        <w:t xml:space="preserve"> </w:t>
      </w:r>
      <w:r w:rsidRPr="00B66243" w:rsidR="007421D2">
        <w:rPr>
          <w:rFonts w:cs="Calibri"/>
        </w:rPr>
        <w:t xml:space="preserve">gestructureerd risicotaxatie-instrument </w:t>
      </w:r>
      <w:r w:rsidRPr="00B66243" w:rsidR="00E11906">
        <w:rPr>
          <w:rFonts w:cs="Calibri"/>
        </w:rPr>
        <w:t xml:space="preserve">in te </w:t>
      </w:r>
      <w:r w:rsidRPr="00B66243" w:rsidR="005A1957">
        <w:rPr>
          <w:rFonts w:cs="Calibri"/>
        </w:rPr>
        <w:t xml:space="preserve">kunnen </w:t>
      </w:r>
      <w:r w:rsidRPr="00B66243" w:rsidR="00E11906">
        <w:rPr>
          <w:rFonts w:cs="Calibri"/>
        </w:rPr>
        <w:t>richten</w:t>
      </w:r>
      <w:r w:rsidRPr="00B66243" w:rsidR="005A1957">
        <w:rPr>
          <w:rFonts w:cs="Calibri"/>
        </w:rPr>
        <w:t>-</w:t>
      </w:r>
      <w:r w:rsidRPr="00B66243" w:rsidR="00E11906">
        <w:rPr>
          <w:rFonts w:cs="Calibri"/>
        </w:rPr>
        <w:t xml:space="preserve"> </w:t>
      </w:r>
      <w:r w:rsidRPr="00B66243" w:rsidR="00813AFD">
        <w:rPr>
          <w:rFonts w:cs="Calibri"/>
        </w:rPr>
        <w:t xml:space="preserve">verkennen of </w:t>
      </w:r>
      <w:r w:rsidRPr="00B66243" w:rsidR="004D3BA4">
        <w:rPr>
          <w:rFonts w:cs="Calibri"/>
        </w:rPr>
        <w:t xml:space="preserve">de </w:t>
      </w:r>
      <w:r w:rsidRPr="00B66243" w:rsidR="007421D2">
        <w:rPr>
          <w:rFonts w:eastAsia="Calibri" w:cs="Arial"/>
          <w:lang w:eastAsia="en-US"/>
        </w:rPr>
        <w:t xml:space="preserve">Canadese Multi Level </w:t>
      </w:r>
      <w:proofErr w:type="spellStart"/>
      <w:r w:rsidRPr="00B66243" w:rsidR="007421D2">
        <w:rPr>
          <w:rFonts w:eastAsia="Calibri" w:cs="Arial"/>
          <w:lang w:eastAsia="en-US"/>
        </w:rPr>
        <w:t>Guidelines</w:t>
      </w:r>
      <w:proofErr w:type="spellEnd"/>
      <w:r w:rsidRPr="00B66243" w:rsidR="007421D2">
        <w:rPr>
          <w:rFonts w:eastAsia="Calibri" w:cs="Arial"/>
          <w:lang w:eastAsia="en-US"/>
        </w:rPr>
        <w:t xml:space="preserve"> </w:t>
      </w:r>
      <w:proofErr w:type="spellStart"/>
      <w:r w:rsidRPr="00B66243" w:rsidR="007421D2">
        <w:rPr>
          <w:rFonts w:eastAsia="Calibri" w:cs="Arial"/>
          <w:lang w:eastAsia="en-US"/>
        </w:rPr>
        <w:t>for</w:t>
      </w:r>
      <w:proofErr w:type="spellEnd"/>
      <w:r w:rsidRPr="00B66243" w:rsidR="007421D2">
        <w:rPr>
          <w:rFonts w:eastAsia="Calibri" w:cs="Arial"/>
          <w:lang w:eastAsia="en-US"/>
        </w:rPr>
        <w:t xml:space="preserve"> Group </w:t>
      </w:r>
      <w:proofErr w:type="spellStart"/>
      <w:r w:rsidRPr="00B66243" w:rsidR="007421D2">
        <w:rPr>
          <w:rFonts w:eastAsia="Calibri" w:cs="Arial"/>
          <w:lang w:eastAsia="en-US"/>
        </w:rPr>
        <w:t>Based</w:t>
      </w:r>
      <w:proofErr w:type="spellEnd"/>
      <w:r w:rsidRPr="00B66243" w:rsidR="007421D2">
        <w:rPr>
          <w:rFonts w:eastAsia="Calibri" w:cs="Arial"/>
          <w:lang w:eastAsia="en-US"/>
        </w:rPr>
        <w:t xml:space="preserve"> </w:t>
      </w:r>
      <w:proofErr w:type="spellStart"/>
      <w:r w:rsidRPr="00B66243" w:rsidR="007421D2">
        <w:rPr>
          <w:rFonts w:eastAsia="Calibri" w:cs="Arial"/>
          <w:lang w:eastAsia="en-US"/>
        </w:rPr>
        <w:t>Violence</w:t>
      </w:r>
      <w:proofErr w:type="spellEnd"/>
      <w:r w:rsidRPr="00B66243" w:rsidR="007421D2">
        <w:rPr>
          <w:rFonts w:eastAsia="Calibri" w:cs="Arial"/>
          <w:lang w:eastAsia="en-US"/>
        </w:rPr>
        <w:t xml:space="preserve"> (MLG) </w:t>
      </w:r>
      <w:r w:rsidRPr="00B66243" w:rsidR="00813AFD">
        <w:rPr>
          <w:rFonts w:eastAsia="Calibri" w:cs="Arial"/>
          <w:lang w:eastAsia="en-US"/>
        </w:rPr>
        <w:t xml:space="preserve">hiervoor bruikbaar is. </w:t>
      </w:r>
      <w:r w:rsidRPr="00B66243" w:rsidR="008E65ED">
        <w:rPr>
          <w:rFonts w:eastAsia="Calibri" w:cs="Arial"/>
          <w:lang w:eastAsia="en-US"/>
        </w:rPr>
        <w:t>Bij relevante ontwikkelingen zal ik uw Kamer hierover informeren.</w:t>
      </w:r>
    </w:p>
    <w:p w:rsidRPr="00B66243" w:rsidR="008E65ED" w:rsidP="00512F58" w:rsidRDefault="008E65ED" w14:paraId="4806E3DF" w14:textId="77777777">
      <w:pPr>
        <w:spacing w:line="259" w:lineRule="auto"/>
        <w:rPr>
          <w:rFonts w:eastAsia="Calibri" w:cs="Arial"/>
          <w:lang w:eastAsia="en-US"/>
        </w:rPr>
      </w:pPr>
    </w:p>
    <w:p w:rsidRPr="00B66243" w:rsidR="002E704D" w:rsidP="00512F58" w:rsidRDefault="00786141" w14:paraId="5A01F835" w14:textId="5FCC9F44">
      <w:pPr>
        <w:spacing w:line="259" w:lineRule="auto"/>
        <w:rPr>
          <w:rFonts w:eastAsia="Calibri" w:cs="Arial"/>
          <w:lang w:eastAsia="en-US"/>
        </w:rPr>
      </w:pPr>
      <w:r w:rsidRPr="00B66243">
        <w:rPr>
          <w:rFonts w:cs="Calibri"/>
          <w:color w:val="000000" w:themeColor="text1"/>
        </w:rPr>
        <w:t xml:space="preserve">Verder ga ik de aanbevelingen </w:t>
      </w:r>
      <w:r w:rsidRPr="00B66243" w:rsidR="005E4AE4">
        <w:rPr>
          <w:rFonts w:cs="Calibri"/>
          <w:color w:val="000000" w:themeColor="text1"/>
        </w:rPr>
        <w:t>ten aanzien van</w:t>
      </w:r>
      <w:r w:rsidRPr="00B66243">
        <w:rPr>
          <w:rFonts w:cs="Calibri"/>
          <w:color w:val="000000" w:themeColor="text1"/>
        </w:rPr>
        <w:t xml:space="preserve"> de plaatsing in de EBI/AIT</w:t>
      </w:r>
      <w:r w:rsidRPr="00B66243" w:rsidR="005E4AE4">
        <w:rPr>
          <w:rFonts w:cs="Calibri"/>
          <w:color w:val="000000" w:themeColor="text1"/>
        </w:rPr>
        <w:t xml:space="preserve"> bezien in het licht van het on</w:t>
      </w:r>
      <w:r w:rsidRPr="00B66243">
        <w:rPr>
          <w:rFonts w:cs="Calibri"/>
          <w:color w:val="000000" w:themeColor="text1"/>
        </w:rPr>
        <w:t xml:space="preserve">derzoek naar het beoordelingskader over plaatsing naar aanleiding van de motie van het Kamerlid </w:t>
      </w:r>
      <w:proofErr w:type="spellStart"/>
      <w:r w:rsidRPr="00B66243">
        <w:rPr>
          <w:rFonts w:cs="Calibri"/>
          <w:color w:val="000000" w:themeColor="text1"/>
        </w:rPr>
        <w:t>Ellian</w:t>
      </w:r>
      <w:proofErr w:type="spellEnd"/>
      <w:r w:rsidRPr="00B66243">
        <w:rPr>
          <w:rFonts w:cs="Calibri"/>
          <w:color w:val="000000" w:themeColor="text1"/>
        </w:rPr>
        <w:t>.</w:t>
      </w:r>
      <w:r w:rsidRPr="00B66243">
        <w:rPr>
          <w:rStyle w:val="Voetnootmarkering"/>
          <w:rFonts w:cs="Calibri"/>
          <w:color w:val="000000" w:themeColor="text1"/>
        </w:rPr>
        <w:footnoteReference w:id="5"/>
      </w:r>
    </w:p>
    <w:p w:rsidRPr="00B66243" w:rsidR="007421D2" w:rsidP="00512F58" w:rsidRDefault="007421D2" w14:paraId="265B1B12" w14:textId="77777777">
      <w:pPr>
        <w:spacing w:line="259" w:lineRule="auto"/>
        <w:rPr>
          <w:rFonts w:cs="Calibri"/>
          <w:color w:val="000000" w:themeColor="text1"/>
        </w:rPr>
      </w:pPr>
    </w:p>
    <w:p w:rsidRPr="00B66243" w:rsidR="009139A7" w:rsidP="00512F58" w:rsidRDefault="009139A7" w14:paraId="48EF32AC" w14:textId="2391E9DD">
      <w:pPr>
        <w:spacing w:line="259" w:lineRule="auto"/>
        <w:rPr>
          <w:rFonts w:cs="Calibri"/>
          <w:i/>
          <w:color w:val="000000" w:themeColor="text1"/>
        </w:rPr>
      </w:pPr>
      <w:r w:rsidRPr="00B66243">
        <w:rPr>
          <w:rFonts w:cs="Calibri"/>
          <w:i/>
          <w:color w:val="000000" w:themeColor="text1"/>
        </w:rPr>
        <w:t>Toezicht na detentie</w:t>
      </w:r>
    </w:p>
    <w:p w:rsidRPr="00B66243" w:rsidR="007421D2" w:rsidP="00512F58" w:rsidRDefault="007421D2" w14:paraId="659FDBB8" w14:textId="50DFA74F">
      <w:pPr>
        <w:spacing w:line="259" w:lineRule="auto"/>
        <w:rPr>
          <w:rFonts w:cs="Calibri"/>
          <w:color w:val="000000" w:themeColor="text1"/>
        </w:rPr>
      </w:pPr>
      <w:r w:rsidRPr="00B66243">
        <w:rPr>
          <w:rFonts w:cs="Calibri"/>
          <w:color w:val="000000" w:themeColor="text1"/>
        </w:rPr>
        <w:t xml:space="preserve">Het WODC zal </w:t>
      </w:r>
      <w:r w:rsidRPr="00B66243" w:rsidR="004D3BA4">
        <w:rPr>
          <w:rFonts w:cs="Calibri"/>
          <w:color w:val="000000" w:themeColor="text1"/>
        </w:rPr>
        <w:t xml:space="preserve">worden </w:t>
      </w:r>
      <w:r w:rsidRPr="00B66243">
        <w:rPr>
          <w:rFonts w:cs="Calibri"/>
          <w:color w:val="000000" w:themeColor="text1"/>
        </w:rPr>
        <w:t>verzocht om in de lopende wetsevaluatie</w:t>
      </w:r>
      <w:r w:rsidRPr="00B66243" w:rsidR="006A2C4A">
        <w:rPr>
          <w:rFonts w:cs="Calibri"/>
          <w:color w:val="000000" w:themeColor="text1"/>
        </w:rPr>
        <w:t>s</w:t>
      </w:r>
      <w:r w:rsidRPr="00B66243">
        <w:rPr>
          <w:rFonts w:cs="Calibri"/>
          <w:color w:val="000000" w:themeColor="text1"/>
        </w:rPr>
        <w:t xml:space="preserve"> van de VI-regeling </w:t>
      </w:r>
      <w:r w:rsidRPr="00B66243" w:rsidR="00815853">
        <w:rPr>
          <w:rFonts w:cs="Calibri"/>
          <w:color w:val="000000" w:themeColor="text1"/>
        </w:rPr>
        <w:t xml:space="preserve">(Wet Straffen en Beschermen) </w:t>
      </w:r>
      <w:r w:rsidRPr="00B66243">
        <w:rPr>
          <w:rFonts w:cs="Calibri"/>
          <w:color w:val="000000" w:themeColor="text1"/>
        </w:rPr>
        <w:t xml:space="preserve">en de GVM </w:t>
      </w:r>
      <w:r w:rsidRPr="00B66243" w:rsidR="00FC6401">
        <w:rPr>
          <w:rFonts w:cs="Calibri"/>
          <w:color w:val="000000" w:themeColor="text1"/>
        </w:rPr>
        <w:t xml:space="preserve">(Wet langdurig toezicht) </w:t>
      </w:r>
      <w:r w:rsidRPr="00B66243">
        <w:rPr>
          <w:rFonts w:cs="Calibri"/>
          <w:color w:val="000000" w:themeColor="text1"/>
        </w:rPr>
        <w:t xml:space="preserve">ook aandacht te besteden aan de </w:t>
      </w:r>
      <w:r w:rsidRPr="00B66243" w:rsidR="00713FBE">
        <w:rPr>
          <w:rFonts w:cs="Calibri"/>
          <w:color w:val="000000" w:themeColor="text1"/>
        </w:rPr>
        <w:t>hoogrisicogedetineerde</w:t>
      </w:r>
      <w:r w:rsidRPr="00B66243" w:rsidR="004D3BA4">
        <w:rPr>
          <w:rFonts w:cs="Calibri"/>
          <w:color w:val="000000" w:themeColor="text1"/>
        </w:rPr>
        <w:t>n</w:t>
      </w:r>
      <w:r w:rsidRPr="00B66243" w:rsidR="005E4AE4">
        <w:rPr>
          <w:rFonts w:cs="Calibri"/>
          <w:color w:val="000000" w:themeColor="text1"/>
        </w:rPr>
        <w:t xml:space="preserve">. </w:t>
      </w:r>
      <w:r w:rsidRPr="00B66243" w:rsidR="00D074A6">
        <w:rPr>
          <w:rFonts w:cs="Calibri"/>
          <w:color w:val="000000" w:themeColor="text1"/>
        </w:rPr>
        <w:t xml:space="preserve">Met het WODC wordt overlegd hoe dit een plaats krijgt in het onderzoek. </w:t>
      </w:r>
      <w:r w:rsidRPr="00B66243" w:rsidR="004651C6">
        <w:rPr>
          <w:rFonts w:cs="Calibri"/>
          <w:color w:val="000000" w:themeColor="text1"/>
        </w:rPr>
        <w:t xml:space="preserve">De wetsevaluatie van de Wet langdurig toezicht wordt medio 2027 verwacht. </w:t>
      </w:r>
      <w:r w:rsidRPr="00B66243" w:rsidR="00815853">
        <w:rPr>
          <w:rFonts w:cs="Calibri"/>
          <w:color w:val="000000" w:themeColor="text1"/>
        </w:rPr>
        <w:t xml:space="preserve">De </w:t>
      </w:r>
      <w:r w:rsidRPr="00B66243" w:rsidR="006A2C4A">
        <w:rPr>
          <w:rFonts w:cs="Calibri"/>
          <w:color w:val="000000" w:themeColor="text1"/>
        </w:rPr>
        <w:t xml:space="preserve">Wetsevaluatie van de Wet Straffen en Beschermen wordt </w:t>
      </w:r>
      <w:r w:rsidRPr="00B66243" w:rsidR="004651C6">
        <w:rPr>
          <w:rFonts w:cs="Calibri"/>
          <w:color w:val="000000" w:themeColor="text1"/>
        </w:rPr>
        <w:t>de eerste helft van</w:t>
      </w:r>
      <w:r w:rsidRPr="00B66243" w:rsidR="006A2C4A">
        <w:rPr>
          <w:rFonts w:cs="Calibri"/>
          <w:color w:val="000000" w:themeColor="text1"/>
        </w:rPr>
        <w:t xml:space="preserve"> 2028</w:t>
      </w:r>
      <w:r w:rsidRPr="00B66243" w:rsidR="004651C6">
        <w:rPr>
          <w:rFonts w:cs="Calibri"/>
          <w:color w:val="000000" w:themeColor="text1"/>
        </w:rPr>
        <w:t xml:space="preserve"> verwacht</w:t>
      </w:r>
      <w:r w:rsidRPr="00B66243" w:rsidR="006A2C4A">
        <w:rPr>
          <w:rFonts w:cs="Calibri"/>
          <w:color w:val="000000" w:themeColor="text1"/>
        </w:rPr>
        <w:t xml:space="preserve">. </w:t>
      </w:r>
      <w:r w:rsidRPr="00B66243" w:rsidR="009139A7">
        <w:rPr>
          <w:rFonts w:cs="Calibri"/>
          <w:color w:val="000000" w:themeColor="text1"/>
        </w:rPr>
        <w:br/>
      </w:r>
    </w:p>
    <w:p w:rsidRPr="00B66243" w:rsidR="007421D2" w:rsidP="00512F58" w:rsidRDefault="009139A7" w14:paraId="1DD6D7A9" w14:textId="5F8E72D9">
      <w:pPr>
        <w:spacing w:line="259" w:lineRule="auto"/>
        <w:rPr>
          <w:rFonts w:cs="Calibri"/>
          <w:i/>
          <w:color w:val="000000" w:themeColor="text1"/>
        </w:rPr>
      </w:pPr>
      <w:r w:rsidRPr="00B66243">
        <w:rPr>
          <w:rFonts w:cs="Calibri"/>
          <w:i/>
          <w:color w:val="000000" w:themeColor="text1"/>
        </w:rPr>
        <w:t>Preventieve detentie</w:t>
      </w:r>
    </w:p>
    <w:p w:rsidRPr="00B66243" w:rsidR="00B434AB" w:rsidP="00B434AB" w:rsidRDefault="004716DF" w14:paraId="58B8F779" w14:textId="1770C17E">
      <w:pPr>
        <w:spacing w:line="259" w:lineRule="auto"/>
        <w:rPr>
          <w:rFonts w:cs="Calibri"/>
          <w:iCs/>
          <w:color w:val="000000" w:themeColor="text1"/>
        </w:rPr>
      </w:pPr>
      <w:r w:rsidRPr="00B66243">
        <w:rPr>
          <w:rFonts w:cs="Calibri"/>
          <w:iCs/>
          <w:color w:val="000000" w:themeColor="text1"/>
        </w:rPr>
        <w:t>Uit het onderzoek is naar voren gekomen dat Zweden</w:t>
      </w:r>
      <w:r w:rsidRPr="00B66243" w:rsidR="00DA50AD">
        <w:rPr>
          <w:rFonts w:cs="Calibri"/>
          <w:iCs/>
          <w:color w:val="000000" w:themeColor="text1"/>
        </w:rPr>
        <w:t>, als enige van de onderzochte landen,</w:t>
      </w:r>
      <w:r w:rsidRPr="00B66243">
        <w:rPr>
          <w:rFonts w:cs="Calibri"/>
          <w:iCs/>
          <w:color w:val="000000" w:themeColor="text1"/>
        </w:rPr>
        <w:t xml:space="preserve"> zich</w:t>
      </w:r>
      <w:r w:rsidRPr="00B66243" w:rsidR="00DA50AD">
        <w:rPr>
          <w:rFonts w:cs="Calibri"/>
          <w:iCs/>
          <w:color w:val="000000" w:themeColor="text1"/>
        </w:rPr>
        <w:t xml:space="preserve"> </w:t>
      </w:r>
      <w:r w:rsidRPr="00B66243">
        <w:rPr>
          <w:rFonts w:cs="Calibri"/>
          <w:iCs/>
          <w:color w:val="000000" w:themeColor="text1"/>
        </w:rPr>
        <w:t xml:space="preserve">inzet om de risico’s van hoogrisicogedetineerden </w:t>
      </w:r>
      <w:r w:rsidRPr="00B66243" w:rsidR="00941C20">
        <w:rPr>
          <w:rFonts w:cs="Calibri"/>
          <w:iCs/>
          <w:color w:val="000000" w:themeColor="text1"/>
        </w:rPr>
        <w:t xml:space="preserve">ook </w:t>
      </w:r>
      <w:r w:rsidRPr="00B66243">
        <w:rPr>
          <w:rFonts w:cs="Calibri"/>
          <w:iCs/>
          <w:color w:val="000000" w:themeColor="text1"/>
        </w:rPr>
        <w:t>na detentie te beperken door middel van preventieve detentie</w:t>
      </w:r>
      <w:r w:rsidRPr="00B66243" w:rsidR="00B70346">
        <w:rPr>
          <w:rFonts w:cs="Calibri"/>
          <w:iCs/>
          <w:color w:val="000000" w:themeColor="text1"/>
        </w:rPr>
        <w:t xml:space="preserve"> dat door de rechter is opgelegd</w:t>
      </w:r>
      <w:r w:rsidRPr="00B66243" w:rsidR="00DA50AD">
        <w:rPr>
          <w:rFonts w:cs="Calibri"/>
          <w:iCs/>
          <w:color w:val="000000" w:themeColor="text1"/>
        </w:rPr>
        <w:t xml:space="preserve">. </w:t>
      </w:r>
      <w:r w:rsidRPr="00B66243" w:rsidR="00A56707">
        <w:rPr>
          <w:rFonts w:cs="Calibri"/>
          <w:iCs/>
          <w:color w:val="000000" w:themeColor="text1"/>
        </w:rPr>
        <w:t>De rechter legt</w:t>
      </w:r>
      <w:r w:rsidRPr="00B66243" w:rsidR="00B70346">
        <w:rPr>
          <w:rFonts w:cs="Calibri"/>
          <w:iCs/>
          <w:color w:val="000000" w:themeColor="text1"/>
        </w:rPr>
        <w:t xml:space="preserve"> daarbij</w:t>
      </w:r>
      <w:r w:rsidRPr="00B66243" w:rsidR="00A56707">
        <w:rPr>
          <w:rFonts w:cs="Calibri"/>
          <w:iCs/>
          <w:color w:val="000000" w:themeColor="text1"/>
        </w:rPr>
        <w:t xml:space="preserve"> een minimumduur </w:t>
      </w:r>
      <w:r w:rsidRPr="00B66243" w:rsidR="00B434AB">
        <w:rPr>
          <w:rFonts w:cs="Calibri"/>
          <w:iCs/>
          <w:color w:val="000000" w:themeColor="text1"/>
        </w:rPr>
        <w:t xml:space="preserve">en een </w:t>
      </w:r>
      <w:r w:rsidRPr="00B66243" w:rsidR="00A56707">
        <w:rPr>
          <w:rFonts w:cs="Calibri"/>
          <w:iCs/>
          <w:color w:val="000000" w:themeColor="text1"/>
        </w:rPr>
        <w:t>maximumduur</w:t>
      </w:r>
      <w:r w:rsidRPr="00B66243" w:rsidR="00B434AB">
        <w:rPr>
          <w:rFonts w:cs="Calibri"/>
          <w:iCs/>
          <w:color w:val="000000" w:themeColor="text1"/>
        </w:rPr>
        <w:t xml:space="preserve"> op, </w:t>
      </w:r>
      <w:r w:rsidRPr="00B66243" w:rsidR="00A56707">
        <w:rPr>
          <w:rFonts w:cs="Calibri"/>
          <w:iCs/>
          <w:color w:val="000000" w:themeColor="text1"/>
        </w:rPr>
        <w:t xml:space="preserve">maar het kader kan oneindig </w:t>
      </w:r>
      <w:r w:rsidRPr="00B66243" w:rsidR="002121D9">
        <w:rPr>
          <w:rFonts w:cs="Calibri"/>
          <w:iCs/>
          <w:color w:val="000000" w:themeColor="text1"/>
        </w:rPr>
        <w:t xml:space="preserve">worden </w:t>
      </w:r>
      <w:r w:rsidRPr="00B66243" w:rsidR="00A56707">
        <w:rPr>
          <w:rFonts w:cs="Calibri"/>
          <w:iCs/>
          <w:color w:val="000000" w:themeColor="text1"/>
        </w:rPr>
        <w:t>verlengd</w:t>
      </w:r>
      <w:r w:rsidRPr="00B66243" w:rsidR="0033702C">
        <w:rPr>
          <w:rFonts w:cs="Calibri"/>
          <w:iCs/>
          <w:color w:val="000000" w:themeColor="text1"/>
        </w:rPr>
        <w:t xml:space="preserve"> waarbij e</w:t>
      </w:r>
      <w:r w:rsidRPr="00B66243" w:rsidR="00A56707">
        <w:rPr>
          <w:rFonts w:cs="Calibri"/>
          <w:iCs/>
          <w:color w:val="000000" w:themeColor="text1"/>
        </w:rPr>
        <w:t xml:space="preserve">lk jaar een </w:t>
      </w:r>
      <w:r w:rsidRPr="00B66243" w:rsidR="00A56707">
        <w:rPr>
          <w:rFonts w:cs="Calibri"/>
          <w:i/>
          <w:iCs/>
          <w:color w:val="000000" w:themeColor="text1"/>
        </w:rPr>
        <w:t xml:space="preserve">review </w:t>
      </w:r>
      <w:r w:rsidRPr="00B66243" w:rsidR="0033702C">
        <w:rPr>
          <w:rFonts w:cs="Calibri"/>
          <w:iCs/>
          <w:color w:val="000000" w:themeColor="text1"/>
        </w:rPr>
        <w:t>kan w</w:t>
      </w:r>
      <w:r w:rsidRPr="00B66243" w:rsidR="00A56707">
        <w:rPr>
          <w:rFonts w:cs="Calibri"/>
          <w:iCs/>
          <w:color w:val="000000" w:themeColor="text1"/>
        </w:rPr>
        <w:t>orden aangevraagd.</w:t>
      </w:r>
      <w:r w:rsidRPr="00B66243" w:rsidR="00B434AB">
        <w:rPr>
          <w:rFonts w:cs="Calibri"/>
          <w:iCs/>
          <w:color w:val="000000" w:themeColor="text1"/>
        </w:rPr>
        <w:t xml:space="preserve"> Zweden heeft deze invoering</w:t>
      </w:r>
      <w:r w:rsidRPr="00B66243" w:rsidR="009E08C0">
        <w:rPr>
          <w:rFonts w:cs="Calibri"/>
          <w:iCs/>
          <w:color w:val="000000" w:themeColor="text1"/>
        </w:rPr>
        <w:t xml:space="preserve"> </w:t>
      </w:r>
      <w:r w:rsidRPr="00B66243" w:rsidR="00B434AB">
        <w:rPr>
          <w:rFonts w:cs="Calibri"/>
          <w:iCs/>
          <w:color w:val="000000" w:themeColor="text1"/>
        </w:rPr>
        <w:t xml:space="preserve">gemotiveerd </w:t>
      </w:r>
      <w:r w:rsidRPr="00B66243" w:rsidR="00B434AB">
        <w:rPr>
          <w:rFonts w:cs="Calibri"/>
          <w:color w:val="000000" w:themeColor="text1"/>
          <w:shd w:val="clear" w:color="auto" w:fill="FFFFFF" w:themeFill="background1"/>
        </w:rPr>
        <w:t xml:space="preserve">doordat een systeem waarin iemand die ernstige gewelds- en zedendelicten heeft gepleegd na het uitzitten van zijn straf weer op vrije voeten wordt gesteld, ondanks een hoog recidiverisico, niet </w:t>
      </w:r>
      <w:r w:rsidRPr="00B66243" w:rsidR="009E08C0">
        <w:rPr>
          <w:rFonts w:cs="Calibri"/>
          <w:color w:val="000000" w:themeColor="text1"/>
          <w:shd w:val="clear" w:color="auto" w:fill="FFFFFF" w:themeFill="background1"/>
        </w:rPr>
        <w:t xml:space="preserve">als </w:t>
      </w:r>
      <w:r w:rsidRPr="00B66243" w:rsidR="00B434AB">
        <w:rPr>
          <w:rFonts w:cs="Calibri"/>
          <w:color w:val="000000" w:themeColor="text1"/>
          <w:shd w:val="clear" w:color="auto" w:fill="FFFFFF" w:themeFill="background1"/>
        </w:rPr>
        <w:t xml:space="preserve">geloofwaardig wordt geacht. </w:t>
      </w:r>
    </w:p>
    <w:p w:rsidRPr="00B66243" w:rsidR="002121D9" w:rsidP="00A52202" w:rsidRDefault="002121D9" w14:paraId="2FDC1185" w14:textId="49721095">
      <w:pPr>
        <w:spacing w:line="259" w:lineRule="auto"/>
        <w:rPr>
          <w:rFonts w:cs="Calibri"/>
          <w:iCs/>
          <w:color w:val="000000" w:themeColor="text1"/>
        </w:rPr>
      </w:pPr>
    </w:p>
    <w:p w:rsidRPr="00B66243" w:rsidR="00BA0741" w:rsidP="00512F58" w:rsidRDefault="0033702C" w14:paraId="6A2EEC11" w14:textId="4F9B04AC">
      <w:pPr>
        <w:spacing w:line="259" w:lineRule="auto"/>
        <w:rPr>
          <w:rFonts w:cs="Calibri"/>
          <w:iCs/>
          <w:color w:val="000000" w:themeColor="text1"/>
        </w:rPr>
      </w:pPr>
      <w:r w:rsidRPr="00B66243">
        <w:rPr>
          <w:rFonts w:cs="Calibri"/>
          <w:iCs/>
          <w:color w:val="000000" w:themeColor="text1"/>
        </w:rPr>
        <w:t>Anders dan Zweden, kent een deel van de onderzochte landen geen levenslange gevangenisstraf of het beschikt over een vorm van preventieve detentie dat ziet op een equivalent van de TBS maatregel. Dit laatste betreft echter een andere doelgroep dan de hoogrisicogedetineerden. Dit maakt</w:t>
      </w:r>
      <w:r w:rsidRPr="00B66243" w:rsidR="00B70346">
        <w:rPr>
          <w:rFonts w:cs="Calibri"/>
          <w:iCs/>
          <w:color w:val="000000" w:themeColor="text1"/>
        </w:rPr>
        <w:t xml:space="preserve"> </w:t>
      </w:r>
      <w:r w:rsidRPr="00B66243">
        <w:rPr>
          <w:rFonts w:cs="Calibri"/>
          <w:iCs/>
          <w:color w:val="000000" w:themeColor="text1"/>
        </w:rPr>
        <w:t>Zweden interessant.</w:t>
      </w:r>
    </w:p>
    <w:p w:rsidRPr="00B66243" w:rsidR="007C278A" w:rsidP="00512F58" w:rsidRDefault="00DA50AD" w14:paraId="71ECD686" w14:textId="5012D41A">
      <w:pPr>
        <w:spacing w:line="259" w:lineRule="auto"/>
        <w:rPr>
          <w:u w:val="single"/>
        </w:rPr>
      </w:pPr>
      <w:r w:rsidRPr="00B66243">
        <w:rPr>
          <w:rFonts w:cs="Calibri"/>
          <w:iCs/>
          <w:color w:val="000000" w:themeColor="text1"/>
        </w:rPr>
        <w:t xml:space="preserve">Omdat </w:t>
      </w:r>
      <w:r w:rsidRPr="00B66243" w:rsidR="00BA0741">
        <w:rPr>
          <w:rFonts w:cs="Calibri"/>
          <w:iCs/>
          <w:color w:val="000000" w:themeColor="text1"/>
        </w:rPr>
        <w:t>preventieve detentie zeer recent</w:t>
      </w:r>
      <w:r w:rsidRPr="00B66243">
        <w:rPr>
          <w:rFonts w:cs="Calibri"/>
          <w:iCs/>
          <w:color w:val="000000" w:themeColor="text1"/>
        </w:rPr>
        <w:t xml:space="preserve"> (15 april jl.) is ingevoerd, is</w:t>
      </w:r>
      <w:r w:rsidRPr="00B66243" w:rsidR="00941C20">
        <w:rPr>
          <w:rFonts w:cs="Calibri"/>
          <w:iCs/>
          <w:color w:val="000000" w:themeColor="text1"/>
        </w:rPr>
        <w:t xml:space="preserve"> het</w:t>
      </w:r>
      <w:r w:rsidRPr="00B66243" w:rsidR="00C97342">
        <w:rPr>
          <w:rFonts w:cs="Calibri"/>
          <w:iCs/>
          <w:color w:val="000000" w:themeColor="text1"/>
        </w:rPr>
        <w:t xml:space="preserve"> </w:t>
      </w:r>
      <w:r w:rsidRPr="00B66243" w:rsidR="00DB5B13">
        <w:rPr>
          <w:rFonts w:cs="Calibri"/>
          <w:iCs/>
          <w:color w:val="000000" w:themeColor="text1"/>
        </w:rPr>
        <w:t xml:space="preserve">nu </w:t>
      </w:r>
      <w:r w:rsidRPr="00B66243" w:rsidR="00C97342">
        <w:rPr>
          <w:rFonts w:cs="Calibri"/>
          <w:iCs/>
          <w:color w:val="000000" w:themeColor="text1"/>
        </w:rPr>
        <w:t>nog</w:t>
      </w:r>
      <w:r w:rsidRPr="00B66243" w:rsidR="00941C20">
        <w:rPr>
          <w:rFonts w:cs="Calibri"/>
          <w:iCs/>
          <w:color w:val="000000" w:themeColor="text1"/>
        </w:rPr>
        <w:t xml:space="preserve"> te prematuur om conclusies te trekken of dit van toegevoegde waarde is voor hoogrisicogedetineerden in Nederland. </w:t>
      </w:r>
      <w:r w:rsidRPr="00B66243" w:rsidR="006B3C14">
        <w:rPr>
          <w:rFonts w:cs="Calibri"/>
          <w:iCs/>
          <w:color w:val="000000" w:themeColor="text1"/>
        </w:rPr>
        <w:t xml:space="preserve">Ik </w:t>
      </w:r>
      <w:r w:rsidRPr="00B66243" w:rsidR="00941C20">
        <w:rPr>
          <w:rFonts w:cs="Calibri"/>
          <w:iCs/>
          <w:color w:val="000000" w:themeColor="text1"/>
        </w:rPr>
        <w:t xml:space="preserve">zal deze ontwikkeling zorgvuldig in de gaten houden, waarbij ik een follow up studie zal laten verrichten na vijf jaar. </w:t>
      </w:r>
      <w:r w:rsidRPr="00B66243" w:rsidR="006B3C14">
        <w:rPr>
          <w:rFonts w:cs="Calibri"/>
          <w:iCs/>
          <w:color w:val="000000" w:themeColor="text1"/>
        </w:rPr>
        <w:t xml:space="preserve"> </w:t>
      </w:r>
      <w:r w:rsidRPr="00B66243" w:rsidR="008E3DD1">
        <w:rPr>
          <w:rFonts w:cs="Calibri"/>
          <w:iCs/>
          <w:color w:val="000000" w:themeColor="text1"/>
        </w:rPr>
        <w:t xml:space="preserve">Daarbij zal er in de tussenliggende periode ambtelijk </w:t>
      </w:r>
      <w:r w:rsidRPr="00B66243" w:rsidR="00BA0741">
        <w:rPr>
          <w:rFonts w:cs="Calibri"/>
          <w:iCs/>
          <w:color w:val="000000" w:themeColor="text1"/>
        </w:rPr>
        <w:t xml:space="preserve">contact zijn </w:t>
      </w:r>
      <w:r w:rsidRPr="00B66243" w:rsidR="008E3DD1">
        <w:rPr>
          <w:rFonts w:cs="Calibri"/>
          <w:iCs/>
          <w:color w:val="000000" w:themeColor="text1"/>
        </w:rPr>
        <w:t xml:space="preserve">met Zweden om </w:t>
      </w:r>
      <w:r w:rsidRPr="00B66243" w:rsidR="00986FB0">
        <w:rPr>
          <w:rFonts w:cs="Calibri"/>
          <w:iCs/>
          <w:color w:val="000000" w:themeColor="text1"/>
        </w:rPr>
        <w:t xml:space="preserve">ook </w:t>
      </w:r>
      <w:r w:rsidRPr="00B66243" w:rsidR="008E3DD1">
        <w:rPr>
          <w:rFonts w:cs="Calibri"/>
          <w:iCs/>
          <w:color w:val="000000" w:themeColor="text1"/>
        </w:rPr>
        <w:t>tussentijd</w:t>
      </w:r>
      <w:r w:rsidRPr="00B66243" w:rsidR="00986FB0">
        <w:rPr>
          <w:rFonts w:cs="Calibri"/>
          <w:iCs/>
          <w:color w:val="000000" w:themeColor="text1"/>
        </w:rPr>
        <w:t>s</w:t>
      </w:r>
      <w:r w:rsidRPr="00B66243" w:rsidR="008E3DD1">
        <w:rPr>
          <w:rFonts w:cs="Calibri"/>
          <w:iCs/>
          <w:color w:val="000000" w:themeColor="text1"/>
        </w:rPr>
        <w:t xml:space="preserve"> ervaringen op te halen. </w:t>
      </w:r>
      <w:r w:rsidRPr="00B66243" w:rsidR="0062206C">
        <w:rPr>
          <w:rFonts w:cs="Calibri"/>
          <w:iCs/>
          <w:color w:val="000000" w:themeColor="text1"/>
        </w:rPr>
        <w:br/>
      </w:r>
      <w:r w:rsidRPr="00B66243" w:rsidR="00642D47">
        <w:rPr>
          <w:rFonts w:eastAsia="Calibri" w:cs="Arial"/>
          <w:i/>
          <w:iCs/>
          <w:szCs w:val="22"/>
          <w:lang w:eastAsia="en-US"/>
        </w:rPr>
        <w:br/>
      </w:r>
      <w:r w:rsidRPr="00B66243" w:rsidR="00B25B84">
        <w:rPr>
          <w:u w:val="single"/>
        </w:rPr>
        <w:t>Afrondend</w:t>
      </w:r>
    </w:p>
    <w:p w:rsidRPr="00B66243" w:rsidR="003212E8" w:rsidP="00512F58" w:rsidRDefault="00A51083" w14:paraId="374DECBE" w14:textId="68CDBBE9">
      <w:pPr>
        <w:spacing w:line="259" w:lineRule="auto"/>
        <w:rPr>
          <w:rFonts w:eastAsia="Calibri" w:cs="Arial"/>
          <w:szCs w:val="22"/>
          <w:lang w:eastAsia="en-US"/>
        </w:rPr>
      </w:pPr>
      <w:r w:rsidRPr="00B66243">
        <w:rPr>
          <w:rFonts w:eastAsia="Calibri" w:cs="Arial"/>
          <w:szCs w:val="22"/>
          <w:lang w:eastAsia="en-US"/>
        </w:rPr>
        <w:t xml:space="preserve">Ik ben </w:t>
      </w:r>
      <w:r w:rsidRPr="00B66243" w:rsidR="001F29E3">
        <w:rPr>
          <w:rFonts w:eastAsia="Calibri" w:cs="Arial"/>
          <w:szCs w:val="22"/>
          <w:lang w:eastAsia="en-US"/>
        </w:rPr>
        <w:t xml:space="preserve">de </w:t>
      </w:r>
      <w:r w:rsidRPr="00B66243">
        <w:rPr>
          <w:rFonts w:eastAsia="Calibri" w:cs="Arial"/>
          <w:szCs w:val="22"/>
          <w:lang w:eastAsia="en-US"/>
        </w:rPr>
        <w:t>onderzoekers erkentelijk voor het onderzoek</w:t>
      </w:r>
      <w:r w:rsidRPr="00B66243" w:rsidR="00BA3FA5">
        <w:rPr>
          <w:rFonts w:eastAsia="Calibri" w:cs="Arial"/>
          <w:szCs w:val="22"/>
          <w:lang w:eastAsia="en-US"/>
        </w:rPr>
        <w:t>. Hieruit blijkt onder meer</w:t>
      </w:r>
      <w:r w:rsidRPr="00B66243">
        <w:rPr>
          <w:rFonts w:eastAsia="Calibri" w:cs="Arial"/>
          <w:szCs w:val="22"/>
          <w:lang w:eastAsia="en-US"/>
        </w:rPr>
        <w:t xml:space="preserve"> dat het </w:t>
      </w:r>
      <w:r w:rsidRPr="00B66243" w:rsidR="003212E8">
        <w:rPr>
          <w:rFonts w:eastAsia="Calibri" w:cs="Arial"/>
          <w:szCs w:val="22"/>
          <w:lang w:eastAsia="en-US"/>
        </w:rPr>
        <w:t xml:space="preserve">beleid omtrent de aanpak van ‘ondermijnende criminaliteit’ vanuit detentie de afgelopen jaren flink </w:t>
      </w:r>
      <w:r w:rsidRPr="00B66243" w:rsidR="001F29E3">
        <w:rPr>
          <w:rFonts w:eastAsia="Calibri" w:cs="Arial"/>
          <w:szCs w:val="22"/>
          <w:lang w:eastAsia="en-US"/>
        </w:rPr>
        <w:t xml:space="preserve">is </w:t>
      </w:r>
      <w:r w:rsidRPr="00B66243" w:rsidR="003212E8">
        <w:rPr>
          <w:rFonts w:eastAsia="Calibri" w:cs="Arial"/>
          <w:szCs w:val="22"/>
          <w:lang w:eastAsia="en-US"/>
        </w:rPr>
        <w:t>versterkt. Nederland loopt</w:t>
      </w:r>
      <w:r w:rsidRPr="00B66243" w:rsidR="00713FBE">
        <w:rPr>
          <w:rFonts w:eastAsia="Calibri" w:cs="Arial"/>
          <w:szCs w:val="22"/>
          <w:lang w:eastAsia="en-US"/>
        </w:rPr>
        <w:t>, zoals de onderzoekers concluderen,</w:t>
      </w:r>
      <w:r w:rsidRPr="00B66243" w:rsidR="003212E8">
        <w:rPr>
          <w:rFonts w:eastAsia="Calibri" w:cs="Arial"/>
          <w:szCs w:val="22"/>
          <w:lang w:eastAsia="en-US"/>
        </w:rPr>
        <w:t xml:space="preserve"> internationaal voorop</w:t>
      </w:r>
      <w:r w:rsidRPr="00B66243" w:rsidR="00713FBE">
        <w:rPr>
          <w:rFonts w:eastAsia="Calibri" w:cs="Arial"/>
          <w:szCs w:val="22"/>
          <w:lang w:eastAsia="en-US"/>
        </w:rPr>
        <w:t xml:space="preserve">. </w:t>
      </w:r>
    </w:p>
    <w:p w:rsidRPr="00B66243" w:rsidR="00713FBE" w:rsidP="00512F58" w:rsidRDefault="00713FBE" w14:paraId="443D0F3F" w14:textId="77777777">
      <w:pPr>
        <w:spacing w:line="259" w:lineRule="auto"/>
        <w:rPr>
          <w:rFonts w:eastAsia="Calibri" w:cs="Arial"/>
          <w:szCs w:val="22"/>
          <w:lang w:eastAsia="en-US"/>
        </w:rPr>
      </w:pPr>
    </w:p>
    <w:p w:rsidRPr="00B66243" w:rsidR="00713FBE" w:rsidP="00512F58" w:rsidRDefault="000D530F" w14:paraId="636DA854" w14:textId="468548B2">
      <w:pPr>
        <w:spacing w:line="259" w:lineRule="auto"/>
      </w:pPr>
      <w:r w:rsidRPr="00B66243">
        <w:t xml:space="preserve">De uitkomsten van </w:t>
      </w:r>
      <w:r w:rsidRPr="00B66243" w:rsidR="00FB41B3">
        <w:t>dit</w:t>
      </w:r>
      <w:r w:rsidRPr="00B66243">
        <w:t xml:space="preserve"> onderzoek neem ik mee bij huidige en toekomstige beleidsontwikkeling voor deze doelgroep. Zo blijf ik kijken of</w:t>
      </w:r>
      <w:r w:rsidRPr="00B66243" w:rsidR="00713FBE">
        <w:t xml:space="preserve"> </w:t>
      </w:r>
      <w:r w:rsidRPr="00B66243" w:rsidR="005C5C07">
        <w:t xml:space="preserve">noodzakelijke veiligheidsmaatregelen </w:t>
      </w:r>
      <w:r w:rsidRPr="00B66243" w:rsidR="00713FBE">
        <w:t xml:space="preserve">nodig zijn </w:t>
      </w:r>
      <w:r w:rsidRPr="00B66243" w:rsidR="005C5C07">
        <w:t xml:space="preserve">om de samenleving </w:t>
      </w:r>
      <w:r w:rsidRPr="00B66243">
        <w:t xml:space="preserve">blijvend </w:t>
      </w:r>
      <w:r w:rsidRPr="00B66243" w:rsidR="005C5C07">
        <w:t>te beschermen</w:t>
      </w:r>
      <w:r w:rsidRPr="00B66243">
        <w:t xml:space="preserve">. </w:t>
      </w:r>
      <w:r w:rsidRPr="00B66243" w:rsidR="00713FBE">
        <w:rPr>
          <w:rFonts w:eastAsia="Calibri" w:cs="Arial"/>
          <w:szCs w:val="22"/>
          <w:lang w:eastAsia="en-US"/>
        </w:rPr>
        <w:t>Ik houd daarbij nadrukkelijk oog voor de balans tussen veiligheid van de maatschappij en de rechten van gedetineerden.</w:t>
      </w:r>
    </w:p>
    <w:p w:rsidRPr="00B66243" w:rsidR="00713FBE" w:rsidP="00512F58" w:rsidRDefault="00713FBE" w14:paraId="199A3B67" w14:textId="77777777">
      <w:pPr>
        <w:spacing w:line="259" w:lineRule="auto"/>
        <w:rPr>
          <w:rFonts w:eastAsia="Calibri" w:cs="Arial"/>
          <w:szCs w:val="22"/>
          <w:lang w:eastAsia="en-US"/>
        </w:rPr>
      </w:pPr>
    </w:p>
    <w:p w:rsidRPr="00B66243" w:rsidR="003212E8" w:rsidP="00512F58" w:rsidRDefault="00E375CB" w14:paraId="6DD9C2BE" w14:textId="584AB37F">
      <w:pPr>
        <w:spacing w:line="259" w:lineRule="auto"/>
        <w:rPr>
          <w:b/>
          <w:bCs/>
        </w:rPr>
      </w:pPr>
      <w:r w:rsidRPr="00B66243">
        <w:rPr>
          <w:b/>
          <w:bCs/>
        </w:rPr>
        <w:t>Overige punten</w:t>
      </w:r>
    </w:p>
    <w:p w:rsidRPr="00B66243" w:rsidR="00EC5A43" w:rsidP="00EC5A43" w:rsidRDefault="003212E8" w14:paraId="6707CB67" w14:textId="7B9044AC">
      <w:pPr>
        <w:pStyle w:val="broodtekst"/>
        <w:rPr>
          <w:i/>
          <w:iCs/>
        </w:rPr>
      </w:pPr>
      <w:r w:rsidRPr="00B66243">
        <w:rPr>
          <w:rFonts w:cs="FKFNB B+ Univers"/>
          <w:lang w:eastAsia="en-US"/>
        </w:rPr>
        <w:t xml:space="preserve">Tot slot wil ik uw Kamer in deze brief nader informeren over </w:t>
      </w:r>
      <w:r w:rsidRPr="00B66243" w:rsidR="008A6E21">
        <w:rPr>
          <w:rFonts w:cs="FKFNB B+ Univers"/>
          <w:lang w:eastAsia="en-US"/>
        </w:rPr>
        <w:t xml:space="preserve">een aantal relevante ontwikkelingen </w:t>
      </w:r>
      <w:r w:rsidRPr="00B66243">
        <w:rPr>
          <w:rFonts w:cs="FKFNB B+ Univers"/>
          <w:lang w:eastAsia="en-US"/>
        </w:rPr>
        <w:t>rondom drones</w:t>
      </w:r>
      <w:r w:rsidRPr="00B66243" w:rsidR="004D3BA4">
        <w:rPr>
          <w:rFonts w:cs="FKFNB B+ Univers"/>
          <w:lang w:eastAsia="en-US"/>
        </w:rPr>
        <w:t xml:space="preserve"> en laptops</w:t>
      </w:r>
      <w:r w:rsidRPr="00B66243">
        <w:rPr>
          <w:rFonts w:cs="FKFNB B+ Univers"/>
          <w:lang w:eastAsia="en-US"/>
        </w:rPr>
        <w:t>.</w:t>
      </w:r>
      <w:bookmarkStart w:name="_Hlk231481921" w:id="0"/>
      <w:r w:rsidRPr="00B66243" w:rsidR="00EC5A43">
        <w:rPr>
          <w:rFonts w:cs="FKFNB B+ Univers"/>
          <w:lang w:eastAsia="en-US"/>
        </w:rPr>
        <w:br/>
      </w:r>
    </w:p>
    <w:p w:rsidRPr="00B66243" w:rsidR="00E375CB" w:rsidP="00512F58" w:rsidRDefault="003212E8" w14:paraId="0D0F79C7" w14:textId="27CFB963">
      <w:pPr>
        <w:pStyle w:val="broodtekst"/>
        <w:rPr>
          <w:i/>
          <w:iCs/>
        </w:rPr>
      </w:pPr>
      <w:r w:rsidRPr="00B66243">
        <w:rPr>
          <w:i/>
          <w:iCs/>
        </w:rPr>
        <w:t>D</w:t>
      </w:r>
      <w:r w:rsidRPr="00B66243" w:rsidR="00DA4EC6">
        <w:rPr>
          <w:i/>
          <w:iCs/>
        </w:rPr>
        <w:t>rones</w:t>
      </w:r>
    </w:p>
    <w:p w:rsidRPr="00B66243" w:rsidR="00DA4EC6" w:rsidP="00512F58" w:rsidRDefault="003212E8" w14:paraId="15644FD4" w14:textId="2D7A1C9E">
      <w:r w:rsidRPr="00B66243">
        <w:rPr>
          <w:rFonts w:cs="FKFNB B+ Univers"/>
          <w:lang w:eastAsia="en-US"/>
        </w:rPr>
        <w:t>D</w:t>
      </w:r>
      <w:r w:rsidRPr="00B66243" w:rsidR="00DA4EC6">
        <w:rPr>
          <w:rFonts w:cs="FKFNB B+ Univers"/>
          <w:lang w:eastAsia="en-US"/>
        </w:rPr>
        <w:t xml:space="preserve">rones rondom </w:t>
      </w:r>
      <w:r w:rsidRPr="00B66243" w:rsidR="004D3BA4">
        <w:rPr>
          <w:rFonts w:cs="FKFNB B+ Univers"/>
          <w:lang w:eastAsia="en-US"/>
        </w:rPr>
        <w:t>penitentiaire inrichtingen (</w:t>
      </w:r>
      <w:proofErr w:type="spellStart"/>
      <w:r w:rsidRPr="00B66243" w:rsidR="00DA4EC6">
        <w:rPr>
          <w:rFonts w:cs="FKFNB B+ Univers"/>
          <w:lang w:eastAsia="en-US"/>
        </w:rPr>
        <w:t>PI’s</w:t>
      </w:r>
      <w:proofErr w:type="spellEnd"/>
      <w:r w:rsidRPr="00B66243" w:rsidR="004D3BA4">
        <w:rPr>
          <w:rFonts w:cs="FKFNB B+ Univers"/>
          <w:lang w:eastAsia="en-US"/>
        </w:rPr>
        <w:t>)</w:t>
      </w:r>
      <w:r w:rsidRPr="00B66243" w:rsidR="00DA4EC6">
        <w:rPr>
          <w:rFonts w:cs="FKFNB B+ Univers"/>
          <w:lang w:eastAsia="en-US"/>
        </w:rPr>
        <w:t xml:space="preserve"> brengen een groot veiligheidsrisico met zich mee. </w:t>
      </w:r>
      <w:r w:rsidRPr="00B66243">
        <w:t>Ik vind het, net als</w:t>
      </w:r>
      <w:r w:rsidRPr="00B66243" w:rsidR="00DA4EC6">
        <w:t xml:space="preserve"> </w:t>
      </w:r>
      <w:r w:rsidRPr="00B66243" w:rsidR="004D3BA4">
        <w:t>mijn ambtsvoorganger</w:t>
      </w:r>
      <w:r w:rsidRPr="00B66243">
        <w:t xml:space="preserve">, </w:t>
      </w:r>
      <w:r w:rsidRPr="00B66243" w:rsidR="00DA4EC6">
        <w:t xml:space="preserve">belangrijk dat </w:t>
      </w:r>
      <w:r w:rsidRPr="00B66243" w:rsidR="004D3BA4">
        <w:t xml:space="preserve">de </w:t>
      </w:r>
      <w:r w:rsidRPr="00B66243" w:rsidR="00DA4EC6">
        <w:t xml:space="preserve">DJI ook zelf drones uit de lucht kan </w:t>
      </w:r>
      <w:r w:rsidRPr="00B66243" w:rsidR="00EC5A43">
        <w:t>weren</w:t>
      </w:r>
      <w:r w:rsidRPr="00B66243" w:rsidR="00DA4EC6">
        <w:t xml:space="preserve">. Daarbij is toegezegd dat de (juridische) mogelijkheden om </w:t>
      </w:r>
      <w:r w:rsidRPr="00B66243" w:rsidR="004D3BA4">
        <w:t xml:space="preserve">de </w:t>
      </w:r>
      <w:r w:rsidRPr="00B66243" w:rsidR="00DA4EC6">
        <w:t>DJI zelf te laten beschikken over deze bevoegdheden worden verkend.</w:t>
      </w:r>
      <w:r w:rsidRPr="00B66243" w:rsidR="00DA4EC6">
        <w:rPr>
          <w:rStyle w:val="Voetnootmarkering"/>
        </w:rPr>
        <w:footnoteReference w:id="6"/>
      </w:r>
      <w:r w:rsidRPr="00B66243" w:rsidR="00DA4EC6">
        <w:t xml:space="preserve"> Kamerlid </w:t>
      </w:r>
      <w:proofErr w:type="spellStart"/>
      <w:r w:rsidRPr="00B66243" w:rsidR="00DA4EC6">
        <w:t>Ellian</w:t>
      </w:r>
      <w:proofErr w:type="spellEnd"/>
      <w:r w:rsidRPr="00B66243" w:rsidR="00DA4EC6">
        <w:t xml:space="preserve"> (VVD) heeft daarnaast op 26 november 2025 een motie ingediend waarin de regering </w:t>
      </w:r>
      <w:r w:rsidRPr="00B66243" w:rsidR="004D3BA4">
        <w:t xml:space="preserve">wordt </w:t>
      </w:r>
      <w:r w:rsidRPr="00B66243" w:rsidR="00DA4EC6">
        <w:t>verzocht om drones die een dreiging vormen voor militaire installaties en justitiële locaties op een veilige wijze te bestrijden.</w:t>
      </w:r>
      <w:r w:rsidRPr="00B66243">
        <w:rPr>
          <w:rStyle w:val="Voetnootmarkering"/>
        </w:rPr>
        <w:footnoteReference w:id="7"/>
      </w:r>
    </w:p>
    <w:p w:rsidRPr="00B66243" w:rsidR="00EC5A43" w:rsidP="00512F58" w:rsidRDefault="00EC5A43" w14:paraId="09F825DE" w14:textId="77777777"/>
    <w:p w:rsidRPr="00B66243" w:rsidR="00EC5A43" w:rsidP="00512F58" w:rsidRDefault="00EC5A43" w14:paraId="7497CAC9" w14:textId="385353AE">
      <w:r w:rsidRPr="00B66243">
        <w:t xml:space="preserve">Uit deze juridische analyse is naar voren gekomen dat het mogelijk is om DJI medewerkers, via een aanpassing van de Geweldsinstructie penitentiaire inrichtingen, de bevoegdheid te geven om drones boven </w:t>
      </w:r>
      <w:r w:rsidRPr="00B66243" w:rsidR="00222838">
        <w:t>en op terrein va</w:t>
      </w:r>
      <w:r w:rsidRPr="00B66243" w:rsidR="009105C5">
        <w:t>n</w:t>
      </w:r>
      <w:r w:rsidRPr="00B66243">
        <w:t xml:space="preserve"> </w:t>
      </w:r>
      <w:proofErr w:type="spellStart"/>
      <w:r w:rsidRPr="00B66243">
        <w:t>PI’s</w:t>
      </w:r>
      <w:proofErr w:type="spellEnd"/>
      <w:r w:rsidRPr="00B66243">
        <w:t xml:space="preserve"> met een extra of uitgebreid beveiligingsniveau te weren. Ik ga deze aanpassing op een zo kort mogelijke termijn doorvoeren. De aanpassing treedt met ingang van 1 juli 2026 in werking. </w:t>
      </w:r>
      <w:r w:rsidRPr="00B66243" w:rsidR="00FD2CEE">
        <w:t>Hierdoor kan</w:t>
      </w:r>
      <w:r w:rsidRPr="00B66243">
        <w:t xml:space="preserve"> de aanbesteding </w:t>
      </w:r>
      <w:r w:rsidRPr="00B66243" w:rsidR="00FD2CEE">
        <w:t xml:space="preserve">voor de aanschaf van </w:t>
      </w:r>
      <w:r w:rsidRPr="00B66243">
        <w:t>deze apparatuur worden gestart. Parallel wordt gewerkt aan het opleidingsprogramma voor de DJI medewerkers. De verwachting is dat vanaf het eerste kwartaal van 2027 daadwerkelijk gebruik kan worden gemaakt van eigen of gehuurde apparatuur.</w:t>
      </w:r>
      <w:r w:rsidRPr="00B66243" w:rsidR="007B63DE">
        <w:t xml:space="preserve"> </w:t>
      </w:r>
      <w:r w:rsidRPr="00B66243">
        <w:t xml:space="preserve">Deze aanpassing is </w:t>
      </w:r>
      <w:r w:rsidRPr="00B66243" w:rsidR="001B6D01">
        <w:t>daarmee</w:t>
      </w:r>
      <w:r w:rsidRPr="00B66243">
        <w:t xml:space="preserve"> een belangrijke stap in het verder beveiligen van </w:t>
      </w:r>
      <w:proofErr w:type="spellStart"/>
      <w:r w:rsidRPr="00B66243">
        <w:t>PI’s</w:t>
      </w:r>
      <w:proofErr w:type="spellEnd"/>
      <w:r w:rsidRPr="00B66243">
        <w:t xml:space="preserve"> met (hoog)risicogedetineerden</w:t>
      </w:r>
    </w:p>
    <w:p w:rsidRPr="00B66243" w:rsidR="0018472C" w:rsidP="00512F58" w:rsidRDefault="0018472C" w14:paraId="21D5A43B" w14:textId="77777777"/>
    <w:p w:rsidRPr="00B66243" w:rsidR="00B23A86" w:rsidP="00512F58" w:rsidRDefault="0018472C" w14:paraId="61702883" w14:textId="6AA1C67D">
      <w:r w:rsidRPr="00B66243">
        <w:rPr>
          <w:i/>
          <w:iCs/>
        </w:rPr>
        <w:t>Laptops</w:t>
      </w:r>
      <w:r w:rsidRPr="00B66243">
        <w:rPr>
          <w:i/>
          <w:iCs/>
        </w:rPr>
        <w:br/>
      </w:r>
      <w:r w:rsidRPr="00B66243" w:rsidR="0030532E">
        <w:t>Op 26</w:t>
      </w:r>
      <w:r w:rsidRPr="00B66243">
        <w:t xml:space="preserve"> januari 2026 heb ik uw Kamer geïnformeerd over een geconstateerde kwetsbaarheid in de beveiliging van laptops van </w:t>
      </w:r>
      <w:r w:rsidRPr="00B66243" w:rsidR="004D3BA4">
        <w:t xml:space="preserve">de </w:t>
      </w:r>
      <w:r w:rsidRPr="00B66243">
        <w:t>DJI die sommige gedetineerden op cel hebben.</w:t>
      </w:r>
      <w:r w:rsidRPr="00B66243">
        <w:rPr>
          <w:rStyle w:val="Voetnootmarkering"/>
        </w:rPr>
        <w:footnoteReference w:id="8"/>
      </w:r>
      <w:r w:rsidRPr="00B66243">
        <w:t xml:space="preserve"> </w:t>
      </w:r>
      <w:r w:rsidRPr="00B66243" w:rsidR="00B23A86">
        <w:t xml:space="preserve">Het gaat om laptops die justitiabelen uit opdracht van het OM krijgen ter voorbereiding op hun strafzaak. Dit betreft </w:t>
      </w:r>
      <w:r w:rsidRPr="00B66243" w:rsidR="00B23A86">
        <w:rPr>
          <w:i/>
          <w:iCs/>
        </w:rPr>
        <w:t xml:space="preserve">stand </w:t>
      </w:r>
      <w:proofErr w:type="spellStart"/>
      <w:r w:rsidRPr="00B66243" w:rsidR="00B23A86">
        <w:rPr>
          <w:i/>
          <w:iCs/>
        </w:rPr>
        <w:t>alone</w:t>
      </w:r>
      <w:proofErr w:type="spellEnd"/>
      <w:r w:rsidRPr="00B66243" w:rsidR="00B23A86">
        <w:t xml:space="preserve"> laptops die niet-geactiveerde wifi hebben en niet over andere functionaliteiten beschikken.</w:t>
      </w:r>
      <w:r w:rsidRPr="00B66243" w:rsidR="007A6BBA">
        <w:t xml:space="preserve"> In </w:t>
      </w:r>
      <w:r w:rsidRPr="00B66243" w:rsidR="0030532E">
        <w:t xml:space="preserve">bovengenoemde </w:t>
      </w:r>
      <w:r w:rsidRPr="00B66243" w:rsidR="007A6BBA">
        <w:t xml:space="preserve">brief aan uw Kamer </w:t>
      </w:r>
      <w:r w:rsidRPr="00B66243" w:rsidR="0030532E">
        <w:t>heeft mijn ambtsvoorganger</w:t>
      </w:r>
      <w:r w:rsidRPr="00B66243" w:rsidR="002321EA">
        <w:t xml:space="preserve"> toegezegd</w:t>
      </w:r>
      <w:r w:rsidRPr="00B66243" w:rsidR="0030532E">
        <w:t xml:space="preserve"> dit nader te onderzoeken</w:t>
      </w:r>
      <w:r w:rsidRPr="00B66243" w:rsidR="007A6BBA">
        <w:t xml:space="preserve"> </w:t>
      </w:r>
      <w:r w:rsidRPr="00B66243" w:rsidR="0030532E">
        <w:t>en</w:t>
      </w:r>
      <w:r w:rsidRPr="00B66243" w:rsidR="007A6BBA">
        <w:t xml:space="preserve"> u te informeren ove</w:t>
      </w:r>
      <w:r w:rsidRPr="00B66243" w:rsidR="0030532E">
        <w:t xml:space="preserve">r de uitkomsten van dit onderzoek en de verbeteracties. Dit wordt hieronder toegelicht. </w:t>
      </w:r>
    </w:p>
    <w:p w:rsidRPr="00B66243" w:rsidR="0030532E" w:rsidP="00512F58" w:rsidRDefault="0030532E" w14:paraId="46918F1B" w14:textId="77777777"/>
    <w:p w:rsidRPr="00B66243" w:rsidR="00DE0B44" w:rsidP="00DE0B44" w:rsidRDefault="00DE0B44" w14:paraId="47E8F768" w14:textId="58C5BE29">
      <w:r w:rsidRPr="00B66243">
        <w:t xml:space="preserve">In oktober 2025 is een deel van de laptops vervangen. Bij de laatste aanpassingen van de beveiligingssysteeminstellingen </w:t>
      </w:r>
      <w:r w:rsidRPr="00B66243" w:rsidR="00281E7A">
        <w:t>was</w:t>
      </w:r>
      <w:r w:rsidRPr="00B66243">
        <w:t xml:space="preserve"> de software niet op de juiste manier dichtgezet. Op vrijdag 23 januari 2026 is deze kwetsbaarheid geconstateerd. Door de betreffende fout in de instelling van de software bestond er een kans dat de toegang tot het internet niet volledig was afgesloten. De DJI heeft de laptops direct ingenomen en hiernaar onderzoek verricht. Uit het onderzoek is gebleken dat er geen aanwijzingen zijn die duiden op misbruik van de </w:t>
      </w:r>
      <w:r w:rsidRPr="00B66243" w:rsidR="00150806">
        <w:t>laptops</w:t>
      </w:r>
      <w:r w:rsidRPr="00B66243">
        <w:t xml:space="preserve"> door gedetineerden.</w:t>
      </w:r>
      <w:r w:rsidRPr="00B66243" w:rsidR="00FB41B3">
        <w:rPr>
          <w:rStyle w:val="Voetnootmarkering"/>
        </w:rPr>
        <w:footnoteReference w:id="9"/>
      </w:r>
      <w:r w:rsidRPr="00B66243">
        <w:t xml:space="preserve"> Om dit in de toekomst te voorkomen zijn er aanvullende veiligheidsmaatregelen getroffen op het gebied van het testen en controleren van de apparatuur.</w:t>
      </w:r>
    </w:p>
    <w:p w:rsidRPr="00B66243" w:rsidR="00DE0B44" w:rsidP="00512F58" w:rsidRDefault="00DE0B44" w14:paraId="2FC94A90" w14:textId="77777777"/>
    <w:p w:rsidRPr="00B66243" w:rsidR="0018472C" w:rsidP="00512F58" w:rsidRDefault="0018472C" w14:paraId="4F3BD52E" w14:textId="4CD4C9CF">
      <w:pPr>
        <w:rPr>
          <w:i/>
          <w:iCs/>
        </w:rPr>
      </w:pPr>
    </w:p>
    <w:p w:rsidRPr="00B66243" w:rsidR="0039103E" w:rsidP="00512F58" w:rsidRDefault="0039103E" w14:paraId="4710E7F0" w14:textId="77777777"/>
    <w:p w:rsidRPr="00B66243" w:rsidR="00EC5A43" w:rsidP="00512F58" w:rsidRDefault="00EC5A43" w14:paraId="77A9D87A" w14:textId="77777777">
      <w:r w:rsidRPr="00B66243">
        <w:t xml:space="preserve">De Staatssecretaris van Justitie en Veiligheid, </w:t>
      </w:r>
    </w:p>
    <w:p w:rsidRPr="00B66243" w:rsidR="00EC5A43" w:rsidP="00512F58" w:rsidRDefault="00EC5A43" w14:paraId="19151C78" w14:textId="77777777"/>
    <w:p w:rsidRPr="00B66243" w:rsidR="00EC5A43" w:rsidP="00512F58" w:rsidRDefault="00EC5A43" w14:paraId="307C1B8C" w14:textId="77777777"/>
    <w:p w:rsidRPr="00B66243" w:rsidR="00EC5A43" w:rsidP="00512F58" w:rsidRDefault="00EC5A43" w14:paraId="4E6FE80F" w14:textId="77777777"/>
    <w:p w:rsidRPr="00B66243" w:rsidR="0039103E" w:rsidP="00512F58" w:rsidRDefault="00EC5A43" w14:paraId="597257CB" w14:textId="37D29BCB">
      <w:r w:rsidRPr="00B66243">
        <w:t>Claudia van Brugge</w:t>
      </w:r>
      <w:r w:rsidRPr="00B66243" w:rsidR="001B6D01">
        <w:t>n</w:t>
      </w:r>
    </w:p>
    <w:p w:rsidRPr="00B66243" w:rsidR="005C5C07" w:rsidP="00512F58" w:rsidRDefault="005C5C07" w14:paraId="0AF531F2" w14:textId="77777777">
      <w:pPr>
        <w:spacing w:line="240" w:lineRule="auto"/>
      </w:pPr>
      <w:r w:rsidRPr="00B66243">
        <w:br w:type="page"/>
      </w:r>
    </w:p>
    <w:bookmarkEnd w:id="0"/>
    <w:p w:rsidRPr="00B66243" w:rsidR="00B25B84" w:rsidP="00512F58" w:rsidRDefault="005C5C07" w14:paraId="44A7E264" w14:textId="5AC9F433">
      <w:r w:rsidRPr="00B66243">
        <w:rPr>
          <w:b/>
          <w:bCs/>
        </w:rPr>
        <w:t>Bijlage: Overzicht preventieve detentiekaders in het buitenland</w:t>
      </w:r>
    </w:p>
    <w:p w:rsidRPr="00B66243" w:rsidR="005C5C07" w:rsidP="00512F58" w:rsidRDefault="005C5C07" w14:paraId="0971D982"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11"/>
        <w:gridCol w:w="6178"/>
      </w:tblGrid>
      <w:tr w:rsidRPr="00B66243" w:rsidR="0018472C" w:rsidTr="008122B1" w14:paraId="0145F186" w14:textId="77777777">
        <w:tc>
          <w:tcPr>
            <w:tcW w:w="875" w:type="pct"/>
            <w:tcBorders>
              <w:top w:val="single" w:color="auto" w:sz="4" w:space="0"/>
              <w:left w:val="single" w:color="auto" w:sz="4" w:space="0"/>
              <w:bottom w:val="single" w:color="auto" w:sz="4" w:space="0"/>
              <w:right w:val="single" w:color="auto" w:sz="4" w:space="0"/>
            </w:tcBorders>
          </w:tcPr>
          <w:p w:rsidRPr="00B66243" w:rsidR="0018472C" w:rsidP="00512F58" w:rsidRDefault="0018472C" w14:paraId="7714D6A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z w:val="16"/>
                <w:szCs w:val="16"/>
              </w:rPr>
            </w:pPr>
            <w:r w:rsidRPr="00B66243">
              <w:rPr>
                <w:rFonts w:cs="Calibri"/>
                <w:color w:val="000000" w:themeColor="text1"/>
                <w:sz w:val="16"/>
                <w:szCs w:val="16"/>
              </w:rPr>
              <w:t>Zweden</w:t>
            </w:r>
          </w:p>
        </w:tc>
        <w:tc>
          <w:tcPr>
            <w:tcW w:w="4125" w:type="pct"/>
            <w:tcBorders>
              <w:top w:val="single" w:color="auto" w:sz="4" w:space="0"/>
              <w:left w:val="single" w:color="auto" w:sz="4" w:space="0"/>
              <w:bottom w:val="single" w:color="auto" w:sz="4" w:space="0"/>
              <w:right w:val="single" w:color="auto" w:sz="4" w:space="0"/>
            </w:tcBorders>
          </w:tcPr>
          <w:p w:rsidRPr="00B66243" w:rsidR="0018472C" w:rsidP="00512F58" w:rsidRDefault="0018472C" w14:paraId="757AC0DE" w14:textId="08AF52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z w:val="16"/>
                <w:szCs w:val="16"/>
              </w:rPr>
            </w:pPr>
            <w:r w:rsidRPr="00B66243">
              <w:rPr>
                <w:rFonts w:cs="Calibri"/>
                <w:color w:val="000000" w:themeColor="text1"/>
                <w:sz w:val="16"/>
                <w:szCs w:val="16"/>
              </w:rPr>
              <w:t xml:space="preserve">Het kader voor preventieve detentie </w:t>
            </w:r>
            <w:proofErr w:type="spellStart"/>
            <w:r w:rsidRPr="00B66243">
              <w:rPr>
                <w:rFonts w:cs="Calibri"/>
                <w:color w:val="000000" w:themeColor="text1"/>
                <w:sz w:val="16"/>
                <w:szCs w:val="16"/>
              </w:rPr>
              <w:t>säkerhatsförvaring</w:t>
            </w:r>
            <w:proofErr w:type="spellEnd"/>
            <w:r w:rsidRPr="00B66243">
              <w:rPr>
                <w:rFonts w:cs="Calibri"/>
                <w:color w:val="000000" w:themeColor="text1"/>
                <w:sz w:val="16"/>
                <w:szCs w:val="16"/>
              </w:rPr>
              <w:t xml:space="preserve"> is 15 april jl. in werking getreden voor deze doelgroep. </w:t>
            </w:r>
            <w:r w:rsidRPr="00B66243" w:rsidR="008122B1">
              <w:rPr>
                <w:rFonts w:cs="Calibri"/>
                <w:color w:val="000000" w:themeColor="text1"/>
                <w:sz w:val="16"/>
                <w:szCs w:val="16"/>
              </w:rPr>
              <w:t>D</w:t>
            </w:r>
            <w:r w:rsidRPr="00B66243">
              <w:rPr>
                <w:rFonts w:cs="Calibri"/>
                <w:color w:val="000000" w:themeColor="text1"/>
                <w:sz w:val="16"/>
                <w:szCs w:val="16"/>
              </w:rPr>
              <w:t xml:space="preserve">e rechter legt een minimumduur en maximumduur tot de mogelijkheid van review op, maar het kader kan oneindig </w:t>
            </w:r>
            <w:r w:rsidRPr="00B66243" w:rsidR="008122B1">
              <w:rPr>
                <w:rFonts w:cs="Calibri"/>
                <w:color w:val="000000" w:themeColor="text1"/>
                <w:sz w:val="16"/>
                <w:szCs w:val="16"/>
              </w:rPr>
              <w:t xml:space="preserve">worden </w:t>
            </w:r>
            <w:r w:rsidRPr="00B66243">
              <w:rPr>
                <w:rFonts w:cs="Calibri"/>
                <w:color w:val="000000" w:themeColor="text1"/>
                <w:sz w:val="16"/>
                <w:szCs w:val="16"/>
              </w:rPr>
              <w:t>verlengd, hetgeen ook kan met de proeftijd van VI. Elk jaar kan een review worden aangevraagd.</w:t>
            </w:r>
            <w:r w:rsidRPr="00B66243" w:rsidR="00760B6B">
              <w:rPr>
                <w:rFonts w:cs="Calibri"/>
                <w:color w:val="000000" w:themeColor="text1"/>
                <w:sz w:val="16"/>
                <w:szCs w:val="16"/>
              </w:rPr>
              <w:t xml:space="preserve"> </w:t>
            </w:r>
            <w:r w:rsidRPr="00B66243">
              <w:rPr>
                <w:rFonts w:cs="Calibri"/>
                <w:color w:val="000000" w:themeColor="text1"/>
                <w:sz w:val="16"/>
                <w:szCs w:val="16"/>
              </w:rPr>
              <w:t xml:space="preserve">Het ziet op individuele zeden- en (zware) geweldsdelinquenten alsook daders vanuit de georganiseerde criminaliteit. </w:t>
            </w:r>
          </w:p>
        </w:tc>
      </w:tr>
      <w:tr w:rsidRPr="00B66243" w:rsidR="0018472C" w:rsidTr="008122B1" w14:paraId="636144F9" w14:textId="77777777">
        <w:tc>
          <w:tcPr>
            <w:tcW w:w="875" w:type="pct"/>
            <w:tcBorders>
              <w:top w:val="single" w:color="auto" w:sz="4" w:space="0"/>
              <w:left w:val="single" w:color="auto" w:sz="4" w:space="0"/>
              <w:bottom w:val="single" w:color="auto" w:sz="4" w:space="0"/>
              <w:right w:val="single" w:color="auto" w:sz="4" w:space="0"/>
            </w:tcBorders>
          </w:tcPr>
          <w:p w:rsidRPr="00B66243" w:rsidR="0018472C" w:rsidP="00512F58" w:rsidRDefault="0018472C" w14:paraId="734F524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z w:val="16"/>
                <w:szCs w:val="16"/>
              </w:rPr>
            </w:pPr>
            <w:r w:rsidRPr="00B66243">
              <w:rPr>
                <w:rFonts w:cs="Calibri"/>
                <w:color w:val="000000" w:themeColor="text1"/>
                <w:sz w:val="16"/>
                <w:szCs w:val="16"/>
              </w:rPr>
              <w:t>Canada</w:t>
            </w:r>
          </w:p>
        </w:tc>
        <w:tc>
          <w:tcPr>
            <w:tcW w:w="4125" w:type="pct"/>
            <w:tcBorders>
              <w:top w:val="single" w:color="auto" w:sz="4" w:space="0"/>
              <w:left w:val="single" w:color="auto" w:sz="4" w:space="0"/>
              <w:bottom w:val="single" w:color="auto" w:sz="4" w:space="0"/>
              <w:right w:val="single" w:color="auto" w:sz="4" w:space="0"/>
            </w:tcBorders>
          </w:tcPr>
          <w:p w:rsidRPr="00B66243" w:rsidR="0018472C" w:rsidP="00512F58" w:rsidRDefault="0018472C" w14:paraId="4515761E" w14:textId="619CE1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z w:val="16"/>
                <w:szCs w:val="16"/>
              </w:rPr>
            </w:pPr>
            <w:r w:rsidRPr="00B66243">
              <w:rPr>
                <w:rFonts w:cs="Calibri"/>
                <w:color w:val="000000" w:themeColor="text1"/>
                <w:sz w:val="16"/>
                <w:szCs w:val="16"/>
              </w:rPr>
              <w:t xml:space="preserve">Het kader voor preventieve detentie is de Dangerous </w:t>
            </w:r>
            <w:proofErr w:type="spellStart"/>
            <w:r w:rsidRPr="00B66243">
              <w:rPr>
                <w:rFonts w:cs="Calibri"/>
                <w:color w:val="000000" w:themeColor="text1"/>
                <w:sz w:val="16"/>
                <w:szCs w:val="16"/>
              </w:rPr>
              <w:t>Offender</w:t>
            </w:r>
            <w:proofErr w:type="spellEnd"/>
            <w:r w:rsidRPr="00B66243">
              <w:rPr>
                <w:rFonts w:cs="Calibri"/>
                <w:color w:val="000000" w:themeColor="text1"/>
                <w:sz w:val="16"/>
                <w:szCs w:val="16"/>
              </w:rPr>
              <w:t xml:space="preserve"> (DO) </w:t>
            </w:r>
            <w:proofErr w:type="spellStart"/>
            <w:r w:rsidRPr="00B66243">
              <w:rPr>
                <w:rFonts w:cs="Calibri"/>
                <w:color w:val="000000" w:themeColor="text1"/>
                <w:sz w:val="16"/>
                <w:szCs w:val="16"/>
              </w:rPr>
              <w:t>designation</w:t>
            </w:r>
            <w:proofErr w:type="spellEnd"/>
            <w:r w:rsidRPr="00B66243">
              <w:rPr>
                <w:rFonts w:cs="Calibri"/>
                <w:color w:val="000000" w:themeColor="text1"/>
                <w:sz w:val="16"/>
                <w:szCs w:val="16"/>
              </w:rPr>
              <w:t xml:space="preserve">. Het is een straf van onbepaalde duur (met een minimale termijn van zeven jaar) die daarna elke twee jaar kan worden verlengd door een </w:t>
            </w:r>
            <w:proofErr w:type="spellStart"/>
            <w:r w:rsidRPr="00B66243">
              <w:rPr>
                <w:rFonts w:cs="Calibri"/>
                <w:color w:val="000000" w:themeColor="text1"/>
                <w:sz w:val="16"/>
                <w:szCs w:val="16"/>
              </w:rPr>
              <w:t>Parole</w:t>
            </w:r>
            <w:proofErr w:type="spellEnd"/>
            <w:r w:rsidRPr="00B66243">
              <w:rPr>
                <w:rFonts w:cs="Calibri"/>
                <w:color w:val="000000" w:themeColor="text1"/>
                <w:sz w:val="16"/>
                <w:szCs w:val="16"/>
              </w:rPr>
              <w:t xml:space="preserve"> Board. Het kader wordt weinig opgelegd vanwege een hoog </w:t>
            </w:r>
            <w:proofErr w:type="spellStart"/>
            <w:r w:rsidRPr="00B66243">
              <w:rPr>
                <w:rFonts w:cs="Calibri"/>
                <w:color w:val="000000" w:themeColor="text1"/>
                <w:sz w:val="16"/>
                <w:szCs w:val="16"/>
              </w:rPr>
              <w:t>gevaarscriterium</w:t>
            </w:r>
            <w:proofErr w:type="spellEnd"/>
            <w:r w:rsidRPr="00B66243">
              <w:rPr>
                <w:rFonts w:cs="Calibri"/>
                <w:color w:val="000000" w:themeColor="text1"/>
                <w:sz w:val="16"/>
                <w:szCs w:val="16"/>
              </w:rPr>
              <w:t xml:space="preserve"> dat eerdere recidive van een ‘</w:t>
            </w:r>
            <w:proofErr w:type="spellStart"/>
            <w:r w:rsidRPr="00B66243">
              <w:rPr>
                <w:rFonts w:cs="Calibri"/>
                <w:color w:val="000000" w:themeColor="text1"/>
                <w:sz w:val="16"/>
                <w:szCs w:val="16"/>
              </w:rPr>
              <w:t>serious</w:t>
            </w:r>
            <w:proofErr w:type="spellEnd"/>
            <w:r w:rsidRPr="00B66243">
              <w:rPr>
                <w:rFonts w:cs="Calibri"/>
                <w:color w:val="000000" w:themeColor="text1"/>
                <w:sz w:val="16"/>
                <w:szCs w:val="16"/>
              </w:rPr>
              <w:t xml:space="preserve"> personal </w:t>
            </w:r>
            <w:proofErr w:type="spellStart"/>
            <w:r w:rsidRPr="00B66243">
              <w:rPr>
                <w:rFonts w:cs="Calibri"/>
                <w:color w:val="000000" w:themeColor="text1"/>
                <w:sz w:val="16"/>
                <w:szCs w:val="16"/>
              </w:rPr>
              <w:t>injury</w:t>
            </w:r>
            <w:proofErr w:type="spellEnd"/>
            <w:r w:rsidRPr="00B66243">
              <w:rPr>
                <w:rFonts w:cs="Calibri"/>
                <w:color w:val="000000" w:themeColor="text1"/>
                <w:sz w:val="16"/>
                <w:szCs w:val="16"/>
              </w:rPr>
              <w:t xml:space="preserve"> </w:t>
            </w:r>
            <w:proofErr w:type="spellStart"/>
            <w:r w:rsidRPr="00B66243">
              <w:rPr>
                <w:rFonts w:cs="Calibri"/>
                <w:color w:val="000000" w:themeColor="text1"/>
                <w:sz w:val="16"/>
                <w:szCs w:val="16"/>
              </w:rPr>
              <w:t>offence</w:t>
            </w:r>
            <w:proofErr w:type="spellEnd"/>
            <w:r w:rsidRPr="00B66243">
              <w:rPr>
                <w:rFonts w:cs="Calibri"/>
                <w:color w:val="000000" w:themeColor="text1"/>
                <w:sz w:val="16"/>
                <w:szCs w:val="16"/>
              </w:rPr>
              <w:t>’ vereist. Waarbij in het algemeen een uitgebreid aanbod aan behandelprogramma’s beschikbaar is voor DO-gedetineerden.</w:t>
            </w:r>
          </w:p>
        </w:tc>
      </w:tr>
      <w:tr w:rsidRPr="00B66243" w:rsidR="005C5C07" w:rsidTr="008122B1" w14:paraId="06F6BEBB" w14:textId="77777777">
        <w:tc>
          <w:tcPr>
            <w:tcW w:w="875" w:type="pct"/>
          </w:tcPr>
          <w:p w:rsidRPr="00B66243" w:rsidR="005C5C07" w:rsidP="00512F58" w:rsidRDefault="005C5C07" w14:paraId="07403AA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z w:val="16"/>
                <w:szCs w:val="16"/>
              </w:rPr>
            </w:pPr>
            <w:r w:rsidRPr="00B66243">
              <w:rPr>
                <w:rFonts w:cs="Calibri"/>
                <w:color w:val="000000" w:themeColor="text1"/>
                <w:sz w:val="16"/>
                <w:szCs w:val="16"/>
              </w:rPr>
              <w:t>Duitsland</w:t>
            </w:r>
          </w:p>
        </w:tc>
        <w:tc>
          <w:tcPr>
            <w:tcW w:w="4125" w:type="pct"/>
          </w:tcPr>
          <w:p w:rsidRPr="00B66243" w:rsidR="005C5C07" w:rsidP="00512F58" w:rsidRDefault="005C5C07" w14:paraId="109D8B54" w14:textId="5A88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sz w:val="16"/>
                <w:szCs w:val="16"/>
              </w:rPr>
            </w:pPr>
            <w:r w:rsidRPr="00B66243">
              <w:rPr>
                <w:rFonts w:cs="Calibri"/>
                <w:sz w:val="16"/>
                <w:szCs w:val="16"/>
              </w:rPr>
              <w:t xml:space="preserve">Het kader voor preventieve detentie is de </w:t>
            </w:r>
            <w:proofErr w:type="spellStart"/>
            <w:r w:rsidRPr="00B66243">
              <w:rPr>
                <w:rFonts w:cs="Calibri"/>
                <w:i/>
                <w:iCs/>
                <w:sz w:val="16"/>
                <w:szCs w:val="16"/>
              </w:rPr>
              <w:t>Sicherungsverwahrung</w:t>
            </w:r>
            <w:proofErr w:type="spellEnd"/>
            <w:r w:rsidRPr="00B66243">
              <w:rPr>
                <w:rFonts w:cs="Calibri"/>
                <w:sz w:val="16"/>
                <w:szCs w:val="16"/>
              </w:rPr>
              <w:t xml:space="preserve">: een maatregel die ten uitvoer wordt gelegd na afloop van de straf en minimaal elk jaar door de rechter wordt getoetst. Het bestaat naast een maatregel voor verminderd </w:t>
            </w:r>
            <w:proofErr w:type="spellStart"/>
            <w:r w:rsidRPr="00B66243">
              <w:rPr>
                <w:rFonts w:cs="Calibri"/>
                <w:sz w:val="16"/>
                <w:szCs w:val="16"/>
              </w:rPr>
              <w:t>toerekeningsvatbaren</w:t>
            </w:r>
            <w:proofErr w:type="spellEnd"/>
            <w:r w:rsidRPr="00B66243">
              <w:rPr>
                <w:rFonts w:cs="Calibri"/>
                <w:sz w:val="16"/>
                <w:szCs w:val="16"/>
              </w:rPr>
              <w:t>. Het wordt ten uitvoer gelegd in een gevangenisomgeving, waar werk moet worden gemaakt van inspanningen om risico’s terug te dringen.</w:t>
            </w:r>
          </w:p>
        </w:tc>
      </w:tr>
      <w:tr w:rsidRPr="00B66243" w:rsidR="005C5C07" w:rsidTr="008122B1" w14:paraId="1388ACC9" w14:textId="77777777">
        <w:tc>
          <w:tcPr>
            <w:tcW w:w="875" w:type="pct"/>
          </w:tcPr>
          <w:p w:rsidRPr="00B66243" w:rsidR="005C5C07" w:rsidP="00512F58" w:rsidRDefault="005C5C07" w14:paraId="42FFBBA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z w:val="16"/>
                <w:szCs w:val="16"/>
              </w:rPr>
            </w:pPr>
            <w:r w:rsidRPr="00B66243">
              <w:rPr>
                <w:rFonts w:cs="Calibri"/>
                <w:color w:val="000000" w:themeColor="text1"/>
                <w:sz w:val="16"/>
                <w:szCs w:val="16"/>
              </w:rPr>
              <w:t>Zwitserland</w:t>
            </w:r>
          </w:p>
        </w:tc>
        <w:tc>
          <w:tcPr>
            <w:tcW w:w="4125" w:type="pct"/>
          </w:tcPr>
          <w:p w:rsidRPr="00B66243" w:rsidR="005C5C07" w:rsidP="00512F58" w:rsidRDefault="005C5C07" w14:paraId="67CF3748" w14:textId="439182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z w:val="16"/>
                <w:szCs w:val="16"/>
              </w:rPr>
            </w:pPr>
            <w:r w:rsidRPr="00B66243">
              <w:rPr>
                <w:rFonts w:cs="Calibri"/>
                <w:sz w:val="16"/>
                <w:szCs w:val="16"/>
              </w:rPr>
              <w:t xml:space="preserve">Het kader voor preventieve detentie </w:t>
            </w:r>
            <w:r w:rsidRPr="00B66243" w:rsidR="008122B1">
              <w:rPr>
                <w:rFonts w:cs="Calibri"/>
                <w:sz w:val="16"/>
                <w:szCs w:val="16"/>
              </w:rPr>
              <w:t xml:space="preserve">is </w:t>
            </w:r>
            <w:r w:rsidRPr="00B66243">
              <w:rPr>
                <w:rFonts w:cs="Calibri"/>
                <w:sz w:val="16"/>
                <w:szCs w:val="16"/>
              </w:rPr>
              <w:t xml:space="preserve">de </w:t>
            </w:r>
            <w:proofErr w:type="spellStart"/>
            <w:r w:rsidRPr="00B66243">
              <w:rPr>
                <w:rFonts w:cs="Calibri"/>
                <w:i/>
                <w:iCs/>
                <w:sz w:val="16"/>
                <w:szCs w:val="16"/>
              </w:rPr>
              <w:t>Verwahrung</w:t>
            </w:r>
            <w:proofErr w:type="spellEnd"/>
            <w:r w:rsidRPr="00B66243">
              <w:rPr>
                <w:rFonts w:cs="Calibri"/>
                <w:sz w:val="16"/>
                <w:szCs w:val="16"/>
              </w:rPr>
              <w:t xml:space="preserve">, vergelijkbaar met Duitsland. Het is subsidiair aan de maatregel voor daders met een psychische stoornis of kan na afloop daarvan bij </w:t>
            </w:r>
            <w:proofErr w:type="spellStart"/>
            <w:r w:rsidRPr="00B66243">
              <w:rPr>
                <w:rFonts w:cs="Calibri"/>
                <w:sz w:val="16"/>
                <w:szCs w:val="16"/>
              </w:rPr>
              <w:t>onbehandelbaarheid</w:t>
            </w:r>
            <w:proofErr w:type="spellEnd"/>
            <w:r w:rsidRPr="00B66243">
              <w:rPr>
                <w:rFonts w:cs="Calibri"/>
                <w:sz w:val="16"/>
                <w:szCs w:val="16"/>
              </w:rPr>
              <w:t xml:space="preserve"> volgen. Het wordt ten uitvoer gelegd in de gevangenis</w:t>
            </w:r>
            <w:r w:rsidRPr="00B66243" w:rsidR="008122B1">
              <w:rPr>
                <w:rFonts w:cs="Calibri"/>
                <w:sz w:val="16"/>
                <w:szCs w:val="16"/>
              </w:rPr>
              <w:t>.</w:t>
            </w:r>
          </w:p>
        </w:tc>
      </w:tr>
      <w:tr w:rsidRPr="00B66243" w:rsidR="005C5C07" w:rsidTr="008122B1" w14:paraId="531633F7" w14:textId="77777777">
        <w:tc>
          <w:tcPr>
            <w:tcW w:w="875" w:type="pct"/>
          </w:tcPr>
          <w:p w:rsidRPr="00B66243" w:rsidR="005C5C07" w:rsidP="00512F58" w:rsidRDefault="005C5C07" w14:paraId="7D59568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z w:val="16"/>
                <w:szCs w:val="16"/>
              </w:rPr>
            </w:pPr>
            <w:r w:rsidRPr="00B66243">
              <w:rPr>
                <w:rFonts w:cs="Calibri"/>
                <w:color w:val="000000" w:themeColor="text1"/>
                <w:sz w:val="16"/>
                <w:szCs w:val="16"/>
              </w:rPr>
              <w:t>Oostenrijk</w:t>
            </w:r>
          </w:p>
        </w:tc>
        <w:tc>
          <w:tcPr>
            <w:tcW w:w="4125" w:type="pct"/>
          </w:tcPr>
          <w:p w:rsidRPr="00B66243" w:rsidR="005C5C07" w:rsidP="00512F58" w:rsidRDefault="008122B1" w14:paraId="6758C1F8" w14:textId="1E6C24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z w:val="16"/>
                <w:szCs w:val="16"/>
              </w:rPr>
            </w:pPr>
            <w:r w:rsidRPr="00B66243">
              <w:rPr>
                <w:rFonts w:cs="Calibri"/>
                <w:sz w:val="16"/>
                <w:szCs w:val="16"/>
              </w:rPr>
              <w:t>H</w:t>
            </w:r>
            <w:r w:rsidRPr="00B66243" w:rsidR="005C5C07">
              <w:rPr>
                <w:rFonts w:cs="Calibri"/>
                <w:sz w:val="16"/>
                <w:szCs w:val="16"/>
              </w:rPr>
              <w:t xml:space="preserve">et kader voor preventieve detentie </w:t>
            </w:r>
            <w:r w:rsidRPr="00B66243">
              <w:rPr>
                <w:rFonts w:cs="Calibri"/>
                <w:sz w:val="16"/>
                <w:szCs w:val="16"/>
              </w:rPr>
              <w:t xml:space="preserve">is </w:t>
            </w:r>
            <w:r w:rsidRPr="00B66243" w:rsidR="005C5C07">
              <w:rPr>
                <w:rFonts w:cs="Calibri"/>
                <w:sz w:val="16"/>
                <w:szCs w:val="16"/>
              </w:rPr>
              <w:t>vergelijkbaar met het Zwitserse kader, met betrekking tot karakter, combinatiemogelijkheid, subsidiariteitsvereiste – ook de (levenslange) gevangenisstraf moet niet in staat zijn om het risico terug te dringen – en verlengingsmogelijkheid. Anders is dat sowieso na tien jaar VI volgt, zij het met een oneindig verlengbare proeftijd.</w:t>
            </w:r>
          </w:p>
        </w:tc>
      </w:tr>
      <w:tr w:rsidRPr="00B66243" w:rsidR="005C5C07" w:rsidTr="008122B1" w14:paraId="5E0B2BC5" w14:textId="77777777">
        <w:tc>
          <w:tcPr>
            <w:tcW w:w="875" w:type="pct"/>
          </w:tcPr>
          <w:p w:rsidRPr="00B66243" w:rsidR="005C5C07" w:rsidP="00512F58" w:rsidRDefault="005C5C07" w14:paraId="15D461A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z w:val="16"/>
                <w:szCs w:val="16"/>
              </w:rPr>
            </w:pPr>
            <w:r w:rsidRPr="00B66243">
              <w:rPr>
                <w:rFonts w:cs="Calibri"/>
                <w:color w:val="000000" w:themeColor="text1"/>
                <w:sz w:val="16"/>
                <w:szCs w:val="16"/>
              </w:rPr>
              <w:t>Denemarken</w:t>
            </w:r>
          </w:p>
        </w:tc>
        <w:tc>
          <w:tcPr>
            <w:tcW w:w="4125" w:type="pct"/>
          </w:tcPr>
          <w:p w:rsidRPr="00B66243" w:rsidR="005C5C07" w:rsidP="00512F58" w:rsidRDefault="005C5C07" w14:paraId="0FB2EBC2" w14:textId="15487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sz w:val="16"/>
                <w:szCs w:val="16"/>
              </w:rPr>
            </w:pPr>
            <w:r w:rsidRPr="00B66243">
              <w:rPr>
                <w:rFonts w:cs="Calibri"/>
                <w:color w:val="000000" w:themeColor="text1"/>
                <w:sz w:val="16"/>
                <w:szCs w:val="16"/>
              </w:rPr>
              <w:t xml:space="preserve">Het kader voor preventieve detentie heet  </w:t>
            </w:r>
            <w:proofErr w:type="spellStart"/>
            <w:r w:rsidRPr="00B66243">
              <w:rPr>
                <w:rFonts w:cs="Calibri"/>
                <w:i/>
                <w:iCs/>
                <w:color w:val="000000" w:themeColor="text1"/>
                <w:sz w:val="16"/>
                <w:szCs w:val="16"/>
              </w:rPr>
              <w:t>forvaring</w:t>
            </w:r>
            <w:proofErr w:type="spellEnd"/>
            <w:r w:rsidRPr="00B66243">
              <w:rPr>
                <w:rFonts w:cs="Calibri"/>
                <w:color w:val="000000" w:themeColor="text1"/>
                <w:sz w:val="16"/>
                <w:szCs w:val="16"/>
              </w:rPr>
              <w:t>. Het wordt in plaats van een gevangenisstraf opgelegd. Het heeft een minimumduur van twee jaar (en geen maximum), waarna vrijlating elke zes maanden door gedetineerde kan worden aangevraagd. Ook hier geldt dat de gevangenisstraf het risico niet voldoende moet kunnen terugdringen.</w:t>
            </w:r>
          </w:p>
        </w:tc>
      </w:tr>
      <w:tr w:rsidRPr="00B66243" w:rsidR="005C5C07" w:rsidTr="008122B1" w14:paraId="728016D1" w14:textId="77777777">
        <w:tc>
          <w:tcPr>
            <w:tcW w:w="875" w:type="pct"/>
          </w:tcPr>
          <w:p w:rsidRPr="00B66243" w:rsidR="005C5C07" w:rsidP="00512F58" w:rsidRDefault="005C5C07" w14:paraId="6D9B0A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z w:val="16"/>
                <w:szCs w:val="16"/>
              </w:rPr>
            </w:pPr>
            <w:r w:rsidRPr="00B66243">
              <w:rPr>
                <w:rFonts w:cs="Calibri"/>
                <w:color w:val="000000" w:themeColor="text1"/>
                <w:sz w:val="16"/>
                <w:szCs w:val="16"/>
              </w:rPr>
              <w:t>Engeland &amp; Wales</w:t>
            </w:r>
          </w:p>
        </w:tc>
        <w:tc>
          <w:tcPr>
            <w:tcW w:w="4125" w:type="pct"/>
          </w:tcPr>
          <w:p w:rsidRPr="00B66243" w:rsidR="005C5C07" w:rsidP="00512F58" w:rsidRDefault="005C5C07" w14:paraId="6FF05880" w14:textId="455A70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z w:val="16"/>
                <w:szCs w:val="16"/>
              </w:rPr>
            </w:pPr>
            <w:r w:rsidRPr="00B66243">
              <w:rPr>
                <w:rFonts w:cs="Calibri"/>
                <w:color w:val="000000" w:themeColor="text1"/>
                <w:sz w:val="16"/>
                <w:szCs w:val="16"/>
              </w:rPr>
              <w:t xml:space="preserve">Tussen 2005 en 2012, als kader voor preventieve detentie, </w:t>
            </w:r>
            <w:r w:rsidRPr="00B66243" w:rsidR="001B6D01">
              <w:rPr>
                <w:rFonts w:cs="Calibri"/>
                <w:color w:val="000000" w:themeColor="text1"/>
                <w:sz w:val="16"/>
                <w:szCs w:val="16"/>
              </w:rPr>
              <w:t xml:space="preserve">is </w:t>
            </w:r>
            <w:r w:rsidRPr="00B66243">
              <w:rPr>
                <w:rFonts w:cs="Calibri"/>
                <w:color w:val="000000" w:themeColor="text1"/>
                <w:sz w:val="16"/>
                <w:szCs w:val="16"/>
              </w:rPr>
              <w:t xml:space="preserve">de </w:t>
            </w:r>
            <w:proofErr w:type="spellStart"/>
            <w:r w:rsidRPr="00B66243">
              <w:rPr>
                <w:rFonts w:cs="Calibri"/>
                <w:i/>
                <w:iCs/>
                <w:color w:val="000000" w:themeColor="text1"/>
                <w:sz w:val="16"/>
                <w:szCs w:val="16"/>
              </w:rPr>
              <w:t>Imprisonment</w:t>
            </w:r>
            <w:proofErr w:type="spellEnd"/>
            <w:r w:rsidRPr="00B66243">
              <w:rPr>
                <w:rFonts w:cs="Calibri"/>
                <w:i/>
                <w:iCs/>
                <w:color w:val="000000" w:themeColor="text1"/>
                <w:sz w:val="16"/>
                <w:szCs w:val="16"/>
              </w:rPr>
              <w:t xml:space="preserve"> </w:t>
            </w:r>
            <w:proofErr w:type="spellStart"/>
            <w:r w:rsidRPr="00B66243">
              <w:rPr>
                <w:rFonts w:cs="Calibri"/>
                <w:i/>
                <w:iCs/>
                <w:color w:val="000000" w:themeColor="text1"/>
                <w:sz w:val="16"/>
                <w:szCs w:val="16"/>
              </w:rPr>
              <w:t>for</w:t>
            </w:r>
            <w:proofErr w:type="spellEnd"/>
            <w:r w:rsidRPr="00B66243">
              <w:rPr>
                <w:rFonts w:cs="Calibri"/>
                <w:i/>
                <w:iCs/>
                <w:color w:val="000000" w:themeColor="text1"/>
                <w:sz w:val="16"/>
                <w:szCs w:val="16"/>
              </w:rPr>
              <w:t xml:space="preserve"> Public </w:t>
            </w:r>
            <w:proofErr w:type="spellStart"/>
            <w:r w:rsidRPr="00B66243">
              <w:rPr>
                <w:rFonts w:cs="Calibri"/>
                <w:i/>
                <w:iCs/>
                <w:color w:val="000000" w:themeColor="text1"/>
                <w:sz w:val="16"/>
                <w:szCs w:val="16"/>
              </w:rPr>
              <w:t>Protection</w:t>
            </w:r>
            <w:proofErr w:type="spellEnd"/>
            <w:r w:rsidRPr="00B66243">
              <w:rPr>
                <w:rFonts w:cs="Calibri"/>
                <w:color w:val="000000" w:themeColor="text1"/>
                <w:sz w:val="16"/>
                <w:szCs w:val="16"/>
              </w:rPr>
              <w:t xml:space="preserve"> in werking geweest. Het werd gezien als een vorm van </w:t>
            </w:r>
            <w:r w:rsidRPr="00B66243">
              <w:rPr>
                <w:rFonts w:cs="Calibri"/>
                <w:i/>
                <w:iCs/>
                <w:color w:val="000000" w:themeColor="text1"/>
                <w:sz w:val="16"/>
                <w:szCs w:val="16"/>
              </w:rPr>
              <w:t xml:space="preserve">life </w:t>
            </w:r>
            <w:proofErr w:type="spellStart"/>
            <w:r w:rsidRPr="00B66243">
              <w:rPr>
                <w:rFonts w:cs="Calibri"/>
                <w:i/>
                <w:iCs/>
                <w:color w:val="000000" w:themeColor="text1"/>
                <w:sz w:val="16"/>
                <w:szCs w:val="16"/>
              </w:rPr>
              <w:t>sentence</w:t>
            </w:r>
            <w:proofErr w:type="spellEnd"/>
            <w:r w:rsidRPr="00B66243">
              <w:rPr>
                <w:rFonts w:cs="Calibri"/>
                <w:color w:val="000000" w:themeColor="text1"/>
                <w:sz w:val="16"/>
                <w:szCs w:val="16"/>
              </w:rPr>
              <w:t>, maar dan voor relatief lichtere delicten (met name zedenfeiten). Het is afgeschaft omwille van de proportionaliteit en omdat het EHRM heeft bepaald dat na het vergeldende deel van de straf,</w:t>
            </w:r>
            <w:r w:rsidRPr="00B66243">
              <w:rPr>
                <w:rFonts w:cs="Calibri"/>
                <w:sz w:val="16"/>
                <w:szCs w:val="16"/>
              </w:rPr>
              <w:t xml:space="preserve"> arbitrair wordt op het moment als er in de gevangenis geen mogelijkheden zijn voor rehabilitatie.</w:t>
            </w:r>
          </w:p>
        </w:tc>
      </w:tr>
      <w:tr w:rsidR="006E2581" w:rsidTr="008122B1" w14:paraId="60C16D02" w14:textId="77777777">
        <w:tc>
          <w:tcPr>
            <w:tcW w:w="875" w:type="pct"/>
          </w:tcPr>
          <w:p w:rsidRPr="00B66243" w:rsidR="006E2581" w:rsidP="00512F58" w:rsidRDefault="006E2581" w14:paraId="7B40928C" w14:textId="22F21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z w:val="16"/>
                <w:szCs w:val="16"/>
              </w:rPr>
            </w:pPr>
            <w:r w:rsidRPr="00B66243">
              <w:rPr>
                <w:rFonts w:cs="Calibri"/>
                <w:color w:val="000000" w:themeColor="text1"/>
                <w:sz w:val="16"/>
                <w:szCs w:val="16"/>
              </w:rPr>
              <w:t>Noorwegen</w:t>
            </w:r>
          </w:p>
        </w:tc>
        <w:tc>
          <w:tcPr>
            <w:tcW w:w="4125" w:type="pct"/>
          </w:tcPr>
          <w:p w:rsidRPr="00B54E2C" w:rsidR="006E2581" w:rsidP="00512F58" w:rsidRDefault="006E2581" w14:paraId="77430270" w14:textId="25F267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cs="Calibri"/>
                <w:color w:val="000000" w:themeColor="text1"/>
                <w:sz w:val="16"/>
                <w:szCs w:val="16"/>
              </w:rPr>
            </w:pPr>
            <w:r w:rsidRPr="00B66243">
              <w:rPr>
                <w:rFonts w:cs="Calibri"/>
                <w:color w:val="000000" w:themeColor="text1"/>
                <w:sz w:val="16"/>
                <w:szCs w:val="16"/>
              </w:rPr>
              <w:t xml:space="preserve">Wanneer een gevangenisstraf onvoldoende wordt geacht om het leven, de gezondheid of de vrijheid van anderen te beschermen, kan </w:t>
            </w:r>
            <w:proofErr w:type="spellStart"/>
            <w:r w:rsidRPr="00B66243">
              <w:rPr>
                <w:rFonts w:cs="Calibri"/>
                <w:color w:val="000000" w:themeColor="text1"/>
                <w:sz w:val="16"/>
                <w:szCs w:val="16"/>
              </w:rPr>
              <w:t>forvaring</w:t>
            </w:r>
            <w:proofErr w:type="spellEnd"/>
            <w:r w:rsidRPr="00B66243">
              <w:rPr>
                <w:rFonts w:cs="Calibri"/>
                <w:color w:val="000000" w:themeColor="text1"/>
                <w:sz w:val="16"/>
                <w:szCs w:val="16"/>
              </w:rPr>
              <w:t xml:space="preserve"> in een daarvoor ingerichte penitentiaire inrichting worden opgelegd, indien de dader schuldig wordt bevonden aan het plegen of poging tot plegen van een geweldsdelict, een seksueel misdrijf, vrijheidsberoving, brandstichting of een ander misdrijf dat het leven, de gezondheid of de vrijheid van anderen heeft geschonden of deze rechten in gevaar heeft gebracht.</w:t>
            </w:r>
          </w:p>
        </w:tc>
      </w:tr>
    </w:tbl>
    <w:p w:rsidR="00C4657D" w:rsidP="00587768" w:rsidRDefault="00C4657D" w14:paraId="750B4380" w14:textId="036712F1">
      <w:pPr>
        <w:spacing w:line="240" w:lineRule="auto"/>
      </w:pPr>
    </w:p>
    <w:sectPr w:rsidR="00C4657D" w:rsidSect="00587768">
      <w:headerReference w:type="default" r:id="rId9"/>
      <w:footerReference w:type="default" r:id="rId10"/>
      <w:headerReference w:type="first" r:id="rId11"/>
      <w:pgSz w:w="11905" w:h="16837"/>
      <w:pgMar w:top="2398" w:right="2818" w:bottom="1077" w:left="158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83E3" w14:textId="77777777" w:rsidR="007961BA" w:rsidRDefault="007961BA">
      <w:pPr>
        <w:spacing w:line="240" w:lineRule="auto"/>
      </w:pPr>
      <w:r>
        <w:separator/>
      </w:r>
    </w:p>
  </w:endnote>
  <w:endnote w:type="continuationSeparator" w:id="0">
    <w:p w14:paraId="07253BF9" w14:textId="77777777" w:rsidR="007961BA" w:rsidRDefault="00796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FKFNB B+ Univers">
    <w:altName w:val="Univer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3006" w14:textId="77777777" w:rsidR="002B6A21" w:rsidRDefault="002B6A2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50EB" w14:textId="77777777" w:rsidR="007961BA" w:rsidRDefault="007961BA">
      <w:pPr>
        <w:pStyle w:val="Voetnoottekst"/>
      </w:pPr>
    </w:p>
  </w:footnote>
  <w:footnote w:type="continuationSeparator" w:id="0">
    <w:p w14:paraId="22F484DE" w14:textId="77777777" w:rsidR="007961BA" w:rsidRDefault="007961BA">
      <w:pPr>
        <w:pStyle w:val="Voetnoottekst"/>
      </w:pPr>
    </w:p>
  </w:footnote>
  <w:footnote w:id="1">
    <w:p w14:paraId="0853D037" w14:textId="27496739" w:rsidR="00A678F5" w:rsidRDefault="00A678F5">
      <w:pPr>
        <w:pStyle w:val="Voetnoottekst"/>
      </w:pPr>
      <w:r>
        <w:rPr>
          <w:rStyle w:val="Voetnootmarkering"/>
        </w:rPr>
        <w:footnoteRef/>
      </w:r>
      <w:r>
        <w:t xml:space="preserve"> In Canada wordt d</w:t>
      </w:r>
      <w:r w:rsidRPr="00A678F5">
        <w:t xml:space="preserve">e traditionele georganiseerde misdaad gezien als een van </w:t>
      </w:r>
      <w:r>
        <w:t xml:space="preserve">de </w:t>
      </w:r>
      <w:r w:rsidRPr="00A678F5">
        <w:t xml:space="preserve">mogelijke </w:t>
      </w:r>
      <w:r w:rsidRPr="00A678F5">
        <w:rPr>
          <w:i/>
          <w:iCs/>
        </w:rPr>
        <w:t xml:space="preserve">Security </w:t>
      </w:r>
      <w:proofErr w:type="spellStart"/>
      <w:r w:rsidRPr="00A678F5">
        <w:rPr>
          <w:i/>
          <w:iCs/>
        </w:rPr>
        <w:t>Threat</w:t>
      </w:r>
      <w:proofErr w:type="spellEnd"/>
      <w:r w:rsidRPr="00A678F5">
        <w:rPr>
          <w:i/>
          <w:iCs/>
        </w:rPr>
        <w:t xml:space="preserve"> </w:t>
      </w:r>
      <w:proofErr w:type="spellStart"/>
      <w:r w:rsidRPr="00A678F5">
        <w:rPr>
          <w:i/>
          <w:iCs/>
        </w:rPr>
        <w:t>Groups</w:t>
      </w:r>
      <w:proofErr w:type="spellEnd"/>
      <w:r>
        <w:rPr>
          <w:i/>
          <w:iCs/>
        </w:rPr>
        <w:t>.</w:t>
      </w:r>
    </w:p>
  </w:footnote>
  <w:footnote w:id="2">
    <w:p w14:paraId="77B9A135" w14:textId="623C092D" w:rsidR="00D73689" w:rsidRDefault="00D73689">
      <w:pPr>
        <w:pStyle w:val="Voetnoottekst"/>
      </w:pPr>
      <w:r>
        <w:rPr>
          <w:rStyle w:val="Voetnootmarkering"/>
        </w:rPr>
        <w:footnoteRef/>
      </w:r>
      <w:r>
        <w:t xml:space="preserve"> </w:t>
      </w:r>
      <w:r w:rsidRPr="00D73689">
        <w:t xml:space="preserve">Het Counter-Point programma is later doorontwikkeld onder de naam </w:t>
      </w:r>
      <w:r w:rsidRPr="00D73689">
        <w:rPr>
          <w:i/>
          <w:iCs/>
        </w:rPr>
        <w:t xml:space="preserve">AAA - </w:t>
      </w:r>
      <w:proofErr w:type="spellStart"/>
      <w:r w:rsidRPr="00D73689">
        <w:rPr>
          <w:i/>
          <w:iCs/>
        </w:rPr>
        <w:t>Alternatives</w:t>
      </w:r>
      <w:proofErr w:type="spellEnd"/>
      <w:r w:rsidRPr="00D73689">
        <w:rPr>
          <w:i/>
          <w:iCs/>
        </w:rPr>
        <w:t xml:space="preserve">, </w:t>
      </w:r>
      <w:proofErr w:type="spellStart"/>
      <w:r w:rsidRPr="00D73689">
        <w:rPr>
          <w:i/>
          <w:iCs/>
        </w:rPr>
        <w:t>Associates</w:t>
      </w:r>
      <w:proofErr w:type="spellEnd"/>
      <w:r w:rsidRPr="00D73689">
        <w:rPr>
          <w:i/>
          <w:iCs/>
        </w:rPr>
        <w:t>, Attitudes</w:t>
      </w:r>
      <w:r>
        <w:rPr>
          <w:i/>
          <w:iCs/>
        </w:rPr>
        <w:t>.</w:t>
      </w:r>
      <w:r w:rsidR="00FC6D93">
        <w:rPr>
          <w:i/>
          <w:iCs/>
        </w:rPr>
        <w:t>8</w:t>
      </w:r>
    </w:p>
  </w:footnote>
  <w:footnote w:id="3">
    <w:p w14:paraId="19DC2D1F" w14:textId="04E105A1" w:rsidR="00C41C80" w:rsidRPr="00C41C80" w:rsidRDefault="00960789" w:rsidP="00C41C80">
      <w:pPr>
        <w:pStyle w:val="Voetnoottekst"/>
      </w:pPr>
      <w:r>
        <w:rPr>
          <w:rStyle w:val="Voetnootmarkering"/>
        </w:rPr>
        <w:footnoteRef/>
      </w:r>
      <w:r>
        <w:t xml:space="preserve"> </w:t>
      </w:r>
      <w:r w:rsidR="00C41C80" w:rsidRPr="00C41C80">
        <w:t>Bij gevangenisstraffen tussen de één en twee jaar komt de veroordeelde in aanmerking voor v.i. Dat kan nadat één jaar en een derde van het overige deel van de gevangenisstraf is ondergaan. Bij gevangenisstraffen van meer dan twee jaar komt de veroordeelde na twee derde van de gevangenisstraf in aanmerking voor v.i. met een maximum van twee jaar</w:t>
      </w:r>
      <w:r w:rsidR="00C41C80">
        <w:t>.</w:t>
      </w:r>
    </w:p>
    <w:p w14:paraId="3530C151" w14:textId="0B7DBAD1" w:rsidR="00960789" w:rsidRDefault="00960789">
      <w:pPr>
        <w:pStyle w:val="Voetnoottekst"/>
      </w:pPr>
    </w:p>
  </w:footnote>
  <w:footnote w:id="4">
    <w:p w14:paraId="1C3D9773" w14:textId="279D687C" w:rsidR="00E003B8" w:rsidRDefault="00E003B8">
      <w:pPr>
        <w:pStyle w:val="Voetnoottekst"/>
      </w:pPr>
      <w:r>
        <w:rPr>
          <w:rStyle w:val="Voetnootmarkering"/>
        </w:rPr>
        <w:footnoteRef/>
      </w:r>
      <w:r>
        <w:t xml:space="preserve"> Zie voor een uitgebreide toelichting op het Zweedse model p. 1</w:t>
      </w:r>
      <w:r w:rsidR="00CA4A44">
        <w:t>37- 1</w:t>
      </w:r>
      <w:r>
        <w:t>4</w:t>
      </w:r>
      <w:r w:rsidR="00CA4A44">
        <w:t>2</w:t>
      </w:r>
      <w:r>
        <w:t xml:space="preserve"> uit </w:t>
      </w:r>
      <w:r w:rsidR="00CA4A44">
        <w:t xml:space="preserve">bijgevoegd onderzoek “Precair preventief pionieren. Een verkennend onderzoek naar preventieve mogelijkheden in binnen- en buitenland voor een veilige terugkeer in de samenleving van hoogrisicogedetineerden”. </w:t>
      </w:r>
    </w:p>
  </w:footnote>
  <w:footnote w:id="5">
    <w:p w14:paraId="25E75850" w14:textId="77777777" w:rsidR="00786141" w:rsidRPr="003212E8" w:rsidRDefault="00786141" w:rsidP="00786141">
      <w:pPr>
        <w:pStyle w:val="Voetnoottekst"/>
        <w:rPr>
          <w:sz w:val="14"/>
          <w:szCs w:val="14"/>
        </w:rPr>
      </w:pPr>
      <w:r w:rsidRPr="003212E8">
        <w:rPr>
          <w:rStyle w:val="Voetnootmarkering"/>
          <w:sz w:val="14"/>
          <w:szCs w:val="14"/>
        </w:rPr>
        <w:footnoteRef/>
      </w:r>
      <w:r w:rsidRPr="003212E8">
        <w:rPr>
          <w:sz w:val="14"/>
          <w:szCs w:val="14"/>
        </w:rPr>
        <w:t xml:space="preserve"> </w:t>
      </w:r>
      <w:r w:rsidRPr="003212E8">
        <w:rPr>
          <w:rFonts w:cs="Calibri"/>
          <w:sz w:val="14"/>
          <w:szCs w:val="14"/>
        </w:rPr>
        <w:t>Kamerstukken II, 2025-26, 24 587, nr. 1103</w:t>
      </w:r>
      <w:r>
        <w:rPr>
          <w:rFonts w:cs="Calibri"/>
          <w:sz w:val="14"/>
          <w:szCs w:val="14"/>
        </w:rPr>
        <w:t>.</w:t>
      </w:r>
    </w:p>
  </w:footnote>
  <w:footnote w:id="6">
    <w:p w14:paraId="44573A07" w14:textId="453956AF" w:rsidR="00DA4EC6" w:rsidRPr="003212E8" w:rsidRDefault="00DA4EC6" w:rsidP="00DA4EC6">
      <w:pPr>
        <w:pStyle w:val="Voetnoottekst"/>
        <w:rPr>
          <w:sz w:val="14"/>
          <w:szCs w:val="14"/>
        </w:rPr>
      </w:pPr>
      <w:r w:rsidRPr="003212E8">
        <w:rPr>
          <w:rStyle w:val="Voetnootmarkering"/>
          <w:sz w:val="14"/>
          <w:szCs w:val="14"/>
        </w:rPr>
        <w:footnoteRef/>
      </w:r>
      <w:r w:rsidRPr="003212E8">
        <w:rPr>
          <w:sz w:val="14"/>
          <w:szCs w:val="14"/>
        </w:rPr>
        <w:t xml:space="preserve"> Kamerstukken 24 587, nr. 465</w:t>
      </w:r>
      <w:r w:rsidR="00FB41B3">
        <w:rPr>
          <w:sz w:val="14"/>
          <w:szCs w:val="14"/>
        </w:rPr>
        <w:t>.</w:t>
      </w:r>
    </w:p>
  </w:footnote>
  <w:footnote w:id="7">
    <w:p w14:paraId="04A25091" w14:textId="410C3CE3" w:rsidR="003212E8" w:rsidRDefault="003212E8">
      <w:pPr>
        <w:pStyle w:val="Voetnoottekst"/>
      </w:pPr>
      <w:r w:rsidRPr="003212E8">
        <w:rPr>
          <w:rStyle w:val="Voetnootmarkering"/>
          <w:sz w:val="14"/>
          <w:szCs w:val="14"/>
        </w:rPr>
        <w:footnoteRef/>
      </w:r>
      <w:r w:rsidRPr="003212E8">
        <w:rPr>
          <w:sz w:val="14"/>
          <w:szCs w:val="14"/>
        </w:rPr>
        <w:t xml:space="preserve"> Kamerstukken 36 858 nr. 3</w:t>
      </w:r>
      <w:r w:rsidR="00FB41B3">
        <w:rPr>
          <w:sz w:val="14"/>
          <w:szCs w:val="14"/>
        </w:rPr>
        <w:t>.</w:t>
      </w:r>
    </w:p>
  </w:footnote>
  <w:footnote w:id="8">
    <w:p w14:paraId="61F81197" w14:textId="6AA26F08" w:rsidR="0018472C" w:rsidRDefault="0018472C">
      <w:pPr>
        <w:pStyle w:val="Voetnoottekst"/>
      </w:pPr>
      <w:r w:rsidRPr="00FB41B3">
        <w:rPr>
          <w:rStyle w:val="Voetnootmarkering"/>
        </w:rPr>
        <w:footnoteRef/>
      </w:r>
      <w:r w:rsidRPr="00FB41B3">
        <w:t xml:space="preserve"> </w:t>
      </w:r>
      <w:r w:rsidR="003F3140" w:rsidRPr="00FB41B3">
        <w:t>Kamerstukken</w:t>
      </w:r>
      <w:r w:rsidR="003F3140">
        <w:t xml:space="preserve"> </w:t>
      </w:r>
      <w:r w:rsidR="003F3140" w:rsidRPr="003F3140">
        <w:t>24587, nr. 1087</w:t>
      </w:r>
      <w:r w:rsidR="00A51083">
        <w:t>.</w:t>
      </w:r>
    </w:p>
  </w:footnote>
  <w:footnote w:id="9">
    <w:p w14:paraId="039BA432" w14:textId="6F7C81D8" w:rsidR="00FB41B3" w:rsidRDefault="00FB41B3">
      <w:pPr>
        <w:pStyle w:val="Voetnoottekst"/>
      </w:pPr>
      <w:r>
        <w:rPr>
          <w:rStyle w:val="Voetnootmarkering"/>
        </w:rPr>
        <w:footnoteRef/>
      </w:r>
      <w:r>
        <w:t xml:space="preserve"> Kamerstukken </w:t>
      </w:r>
      <w:r w:rsidRPr="003F3140">
        <w:t>24587, nr. 1087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11E2" w14:textId="77777777" w:rsidR="002B6A21" w:rsidRDefault="00361C5E">
    <w:r>
      <w:rPr>
        <w:noProof/>
      </w:rPr>
      <mc:AlternateContent>
        <mc:Choice Requires="wps">
          <w:drawing>
            <wp:anchor distT="0" distB="0" distL="0" distR="0" simplePos="0" relativeHeight="251652608" behindDoc="0" locked="1" layoutInCell="1" allowOverlap="1" wp14:anchorId="26147999" wp14:editId="7A89BB38">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39B83E" w14:textId="5DE24746" w:rsidR="002B6A21" w:rsidRDefault="002B6A21">
                          <w:pPr>
                            <w:pStyle w:val="Referentiegegevens"/>
                          </w:pPr>
                        </w:p>
                      </w:txbxContent>
                    </wps:txbx>
                    <wps:bodyPr vert="horz" wrap="square" lIns="0" tIns="0" rIns="0" bIns="0" anchor="t" anchorCtr="0"/>
                  </wps:wsp>
                </a:graphicData>
              </a:graphic>
            </wp:anchor>
          </w:drawing>
        </mc:Choice>
        <mc:Fallback>
          <w:pict>
            <v:shapetype w14:anchorId="26147999"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839B83E" w14:textId="5DE24746" w:rsidR="002B6A21" w:rsidRDefault="002B6A21">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10E04EFB" wp14:editId="08429B93">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79A68C" w14:textId="77777777" w:rsidR="00E57DF2" w:rsidRDefault="00E57DF2"/>
                      </w:txbxContent>
                    </wps:txbx>
                    <wps:bodyPr vert="horz" wrap="square" lIns="0" tIns="0" rIns="0" bIns="0" anchor="t" anchorCtr="0"/>
                  </wps:wsp>
                </a:graphicData>
              </a:graphic>
            </wp:anchor>
          </w:drawing>
        </mc:Choice>
        <mc:Fallback>
          <w:pict>
            <v:shape w14:anchorId="10E04EFB"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379A68C" w14:textId="77777777" w:rsidR="00E57DF2" w:rsidRDefault="00E57DF2"/>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7E570634" wp14:editId="6B95F4BF">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EFE0A14" w14:textId="47D58682" w:rsidR="002B6A21" w:rsidRDefault="00361C5E">
                          <w:pPr>
                            <w:pStyle w:val="Referentiegegevens"/>
                          </w:pPr>
                          <w:r>
                            <w:t xml:space="preserve">Pagina </w:t>
                          </w:r>
                          <w:r>
                            <w:fldChar w:fldCharType="begin"/>
                          </w:r>
                          <w:r>
                            <w:instrText>PAGE</w:instrText>
                          </w:r>
                          <w:r>
                            <w:fldChar w:fldCharType="separate"/>
                          </w:r>
                          <w:r w:rsidR="00E5103E">
                            <w:rPr>
                              <w:noProof/>
                            </w:rPr>
                            <w:t>2</w:t>
                          </w:r>
                          <w:r>
                            <w:fldChar w:fldCharType="end"/>
                          </w:r>
                          <w:r>
                            <w:t xml:space="preserve"> van </w:t>
                          </w:r>
                          <w:r>
                            <w:fldChar w:fldCharType="begin"/>
                          </w:r>
                          <w:r>
                            <w:instrText>NUMPAGES</w:instrText>
                          </w:r>
                          <w:r>
                            <w:fldChar w:fldCharType="separate"/>
                          </w:r>
                          <w:r w:rsidR="00E5103E">
                            <w:rPr>
                              <w:noProof/>
                            </w:rPr>
                            <w:t>2</w:t>
                          </w:r>
                          <w:r>
                            <w:fldChar w:fldCharType="end"/>
                          </w:r>
                        </w:p>
                      </w:txbxContent>
                    </wps:txbx>
                    <wps:bodyPr vert="horz" wrap="square" lIns="0" tIns="0" rIns="0" bIns="0" anchor="t" anchorCtr="0"/>
                  </wps:wsp>
                </a:graphicData>
              </a:graphic>
            </wp:anchor>
          </w:drawing>
        </mc:Choice>
        <mc:Fallback>
          <w:pict>
            <v:shape w14:anchorId="7E570634"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EFE0A14" w14:textId="47D58682" w:rsidR="002B6A21" w:rsidRDefault="00361C5E">
                    <w:pPr>
                      <w:pStyle w:val="Referentiegegevens"/>
                    </w:pPr>
                    <w:r>
                      <w:t xml:space="preserve">Pagina </w:t>
                    </w:r>
                    <w:r>
                      <w:fldChar w:fldCharType="begin"/>
                    </w:r>
                    <w:r>
                      <w:instrText>PAGE</w:instrText>
                    </w:r>
                    <w:r>
                      <w:fldChar w:fldCharType="separate"/>
                    </w:r>
                    <w:r w:rsidR="00E5103E">
                      <w:rPr>
                        <w:noProof/>
                      </w:rPr>
                      <w:t>2</w:t>
                    </w:r>
                    <w:r>
                      <w:fldChar w:fldCharType="end"/>
                    </w:r>
                    <w:r>
                      <w:t xml:space="preserve"> van </w:t>
                    </w:r>
                    <w:r>
                      <w:fldChar w:fldCharType="begin"/>
                    </w:r>
                    <w:r>
                      <w:instrText>NUMPAGES</w:instrText>
                    </w:r>
                    <w:r>
                      <w:fldChar w:fldCharType="separate"/>
                    </w:r>
                    <w:r w:rsidR="00E5103E">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03C6" w14:textId="77777777" w:rsidR="002B6A21" w:rsidRDefault="00361C5E">
    <w:pPr>
      <w:spacing w:after="6377" w:line="14" w:lineRule="exact"/>
    </w:pPr>
    <w:r>
      <w:rPr>
        <w:noProof/>
      </w:rPr>
      <mc:AlternateContent>
        <mc:Choice Requires="wps">
          <w:drawing>
            <wp:anchor distT="0" distB="0" distL="0" distR="0" simplePos="0" relativeHeight="251655680" behindDoc="0" locked="1" layoutInCell="1" allowOverlap="1" wp14:anchorId="72DB26F7" wp14:editId="5C72BB01">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BF5D84F" w14:textId="77777777" w:rsidR="00B66243" w:rsidRDefault="00D7282A">
                          <w:r w:rsidRPr="00D7282A">
                            <w:t xml:space="preserve">Aan de Voorzitter van de Tweede Kamer </w:t>
                          </w:r>
                        </w:p>
                        <w:p w14:paraId="3B68C3FF" w14:textId="2A5A0EC8" w:rsidR="00D7282A" w:rsidRDefault="00D7282A">
                          <w:r w:rsidRPr="00D7282A">
                            <w:t xml:space="preserve">der Staten-Generaal </w:t>
                          </w:r>
                        </w:p>
                        <w:p w14:paraId="0CBC940E" w14:textId="77777777" w:rsidR="00D7282A" w:rsidRDefault="00D7282A">
                          <w:r w:rsidRPr="00D7282A">
                            <w:t xml:space="preserve">Postbus 20018 </w:t>
                          </w:r>
                        </w:p>
                        <w:p w14:paraId="0A6369BA" w14:textId="3D33F14B" w:rsidR="002B6A21" w:rsidRDefault="00D7282A">
                          <w:r w:rsidRPr="00D7282A">
                            <w:t>2500 EA DEN HAAG</w:t>
                          </w:r>
                        </w:p>
                      </w:txbxContent>
                    </wps:txbx>
                    <wps:bodyPr vert="horz" wrap="square" lIns="0" tIns="0" rIns="0" bIns="0" anchor="t" anchorCtr="0"/>
                  </wps:wsp>
                </a:graphicData>
              </a:graphic>
            </wp:anchor>
          </w:drawing>
        </mc:Choice>
        <mc:Fallback>
          <w:pict>
            <v:shapetype w14:anchorId="72DB26F7"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BF5D84F" w14:textId="77777777" w:rsidR="00B66243" w:rsidRDefault="00D7282A">
                    <w:r w:rsidRPr="00D7282A">
                      <w:t xml:space="preserve">Aan de Voorzitter van de Tweede Kamer </w:t>
                    </w:r>
                  </w:p>
                  <w:p w14:paraId="3B68C3FF" w14:textId="2A5A0EC8" w:rsidR="00D7282A" w:rsidRDefault="00D7282A">
                    <w:r w:rsidRPr="00D7282A">
                      <w:t xml:space="preserve">der Staten-Generaal </w:t>
                    </w:r>
                  </w:p>
                  <w:p w14:paraId="0CBC940E" w14:textId="77777777" w:rsidR="00D7282A" w:rsidRDefault="00D7282A">
                    <w:r w:rsidRPr="00D7282A">
                      <w:t xml:space="preserve">Postbus 20018 </w:t>
                    </w:r>
                  </w:p>
                  <w:p w14:paraId="0A6369BA" w14:textId="3D33F14B" w:rsidR="002B6A21" w:rsidRDefault="00D7282A">
                    <w:r w:rsidRPr="00D7282A">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387CF725" wp14:editId="769D5528">
              <wp:simplePos x="0" y="0"/>
              <wp:positionH relativeFrom="page">
                <wp:posOffset>1009650</wp:posOffset>
              </wp:positionH>
              <wp:positionV relativeFrom="paragraph">
                <wp:posOffset>3352800</wp:posOffset>
              </wp:positionV>
              <wp:extent cx="4787900" cy="876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7630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2B6A21" w14:paraId="39D52FD6" w14:textId="77777777">
                            <w:trPr>
                              <w:trHeight w:val="240"/>
                            </w:trPr>
                            <w:tc>
                              <w:tcPr>
                                <w:tcW w:w="1140" w:type="dxa"/>
                              </w:tcPr>
                              <w:p w14:paraId="64A039F7" w14:textId="77777777" w:rsidR="002B6A21" w:rsidRDefault="00361C5E">
                                <w:r>
                                  <w:t>Datum</w:t>
                                </w:r>
                              </w:p>
                            </w:tc>
                            <w:tc>
                              <w:tcPr>
                                <w:tcW w:w="5918" w:type="dxa"/>
                              </w:tcPr>
                              <w:p w14:paraId="71DCAC91" w14:textId="6B266519" w:rsidR="002B6A21" w:rsidRDefault="00B86943">
                                <w:r>
                                  <w:t>29 juni 2026</w:t>
                                </w:r>
                              </w:p>
                            </w:tc>
                          </w:tr>
                          <w:tr w:rsidR="002B6A21" w14:paraId="09EB0CD4" w14:textId="77777777" w:rsidTr="00CB4191">
                            <w:trPr>
                              <w:trHeight w:val="1322"/>
                            </w:trPr>
                            <w:tc>
                              <w:tcPr>
                                <w:tcW w:w="1140" w:type="dxa"/>
                              </w:tcPr>
                              <w:p w14:paraId="4298F3A4" w14:textId="77777777" w:rsidR="002B6A21" w:rsidRDefault="00361C5E">
                                <w:r>
                                  <w:t>Betreft</w:t>
                                </w:r>
                              </w:p>
                            </w:tc>
                            <w:tc>
                              <w:tcPr>
                                <w:tcW w:w="5918" w:type="dxa"/>
                              </w:tcPr>
                              <w:p w14:paraId="00C7BEB0" w14:textId="21536252" w:rsidR="002B6A21" w:rsidRDefault="00B86943">
                                <w:r>
                                  <w:t xml:space="preserve">Kamerbrief met beleidsreactie WODC onderzoek ‘Een verkennend onderzoek naar preventieve mogelijkheden in binnen- en buitenland voor een veilige terugkeer in de samenleving van </w:t>
                                </w:r>
                                <w:proofErr w:type="spellStart"/>
                                <w:r>
                                  <w:t>hoogrisicogedetineerden</w:t>
                                </w:r>
                                <w:proofErr w:type="spellEnd"/>
                                <w:r>
                                  <w:t>’</w:t>
                                </w:r>
                                <w:r w:rsidR="00CB4191">
                                  <w:t>.</w:t>
                                </w:r>
                              </w:p>
                            </w:tc>
                          </w:tr>
                        </w:tbl>
                        <w:p w14:paraId="1957DEE9" w14:textId="77777777" w:rsidR="00E57DF2" w:rsidRDefault="00E57DF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87CF725" id="46feebd0-aa3c-11ea-a756-beb5f67e67be" o:spid="_x0000_s1030" type="#_x0000_t202" style="position:absolute;margin-left:79.5pt;margin-top:264pt;width:377pt;height:69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2B6A21" w14:paraId="39D52FD6" w14:textId="77777777">
                      <w:trPr>
                        <w:trHeight w:val="240"/>
                      </w:trPr>
                      <w:tc>
                        <w:tcPr>
                          <w:tcW w:w="1140" w:type="dxa"/>
                        </w:tcPr>
                        <w:p w14:paraId="64A039F7" w14:textId="77777777" w:rsidR="002B6A21" w:rsidRDefault="00361C5E">
                          <w:r>
                            <w:t>Datum</w:t>
                          </w:r>
                        </w:p>
                      </w:tc>
                      <w:tc>
                        <w:tcPr>
                          <w:tcW w:w="5918" w:type="dxa"/>
                        </w:tcPr>
                        <w:p w14:paraId="71DCAC91" w14:textId="6B266519" w:rsidR="002B6A21" w:rsidRDefault="00B86943">
                          <w:r>
                            <w:t>29 juni 2026</w:t>
                          </w:r>
                        </w:p>
                      </w:tc>
                    </w:tr>
                    <w:tr w:rsidR="002B6A21" w14:paraId="09EB0CD4" w14:textId="77777777" w:rsidTr="00CB4191">
                      <w:trPr>
                        <w:trHeight w:val="1322"/>
                      </w:trPr>
                      <w:tc>
                        <w:tcPr>
                          <w:tcW w:w="1140" w:type="dxa"/>
                        </w:tcPr>
                        <w:p w14:paraId="4298F3A4" w14:textId="77777777" w:rsidR="002B6A21" w:rsidRDefault="00361C5E">
                          <w:r>
                            <w:t>Betreft</w:t>
                          </w:r>
                        </w:p>
                      </w:tc>
                      <w:tc>
                        <w:tcPr>
                          <w:tcW w:w="5918" w:type="dxa"/>
                        </w:tcPr>
                        <w:p w14:paraId="00C7BEB0" w14:textId="21536252" w:rsidR="002B6A21" w:rsidRDefault="00B86943">
                          <w:r>
                            <w:t xml:space="preserve">Kamerbrief met beleidsreactie WODC onderzoek ‘Een verkennend onderzoek naar preventieve mogelijkheden in binnen- en buitenland voor een veilige terugkeer in de samenleving van </w:t>
                          </w:r>
                          <w:proofErr w:type="spellStart"/>
                          <w:r>
                            <w:t>hoogrisicogedetineerden</w:t>
                          </w:r>
                          <w:proofErr w:type="spellEnd"/>
                          <w:r>
                            <w:t>’</w:t>
                          </w:r>
                          <w:r w:rsidR="00CB4191">
                            <w:t>.</w:t>
                          </w:r>
                        </w:p>
                      </w:tc>
                    </w:tr>
                  </w:tbl>
                  <w:p w14:paraId="1957DEE9" w14:textId="77777777" w:rsidR="00E57DF2" w:rsidRDefault="00E57DF2"/>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1179991E" wp14:editId="00F3BD1D">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577D74" w14:textId="77777777" w:rsidR="00CD3954" w:rsidRDefault="00CD3954">
                          <w:pPr>
                            <w:pStyle w:val="Referentiegegevens"/>
                            <w:rPr>
                              <w:lang w:val="de-DE"/>
                            </w:rPr>
                          </w:pPr>
                        </w:p>
                        <w:p w14:paraId="7F279D05" w14:textId="77777777" w:rsidR="00CD3954" w:rsidRDefault="00CD3954" w:rsidP="00CD3954">
                          <w:pPr>
                            <w:pStyle w:val="Referentiegegevensbold"/>
                          </w:pPr>
                          <w:r>
                            <w:t>Directoraat-Generaal Straffen en Beschermen</w:t>
                          </w:r>
                        </w:p>
                        <w:p w14:paraId="2DBFD0E3" w14:textId="77777777" w:rsidR="00CD3954" w:rsidRDefault="00CD3954" w:rsidP="00CD3954">
                          <w:pPr>
                            <w:pStyle w:val="Referentiegegevens"/>
                          </w:pPr>
                          <w:r>
                            <w:t>Directie Sanctie- en Slachtofferbeleid</w:t>
                          </w:r>
                        </w:p>
                        <w:p w14:paraId="32BD68E9" w14:textId="77777777" w:rsidR="00CD3954" w:rsidRDefault="00CD3954" w:rsidP="00CD3954">
                          <w:pPr>
                            <w:pStyle w:val="Referentiegegevens"/>
                          </w:pPr>
                          <w:r>
                            <w:t>Sancties Intramuraal</w:t>
                          </w:r>
                        </w:p>
                        <w:p w14:paraId="276E8152" w14:textId="77777777" w:rsidR="00CD3954" w:rsidRDefault="00CD3954" w:rsidP="00CD3954">
                          <w:pPr>
                            <w:pStyle w:val="WitregelW1"/>
                          </w:pPr>
                        </w:p>
                        <w:p w14:paraId="75A224C0" w14:textId="6B6CAACD" w:rsidR="002B6A21" w:rsidRPr="00E8365B" w:rsidRDefault="00CD3954">
                          <w:pPr>
                            <w:pStyle w:val="Referentiegegevens"/>
                          </w:pPr>
                          <w:r w:rsidRPr="00E8365B">
                            <w:t>T</w:t>
                          </w:r>
                          <w:r w:rsidR="00361C5E" w:rsidRPr="00E8365B">
                            <w:t>urfmarkt 147</w:t>
                          </w:r>
                        </w:p>
                        <w:p w14:paraId="6868DC6C" w14:textId="77777777" w:rsidR="002B6A21" w:rsidRPr="00E8365B" w:rsidRDefault="00361C5E">
                          <w:pPr>
                            <w:pStyle w:val="Referentiegegevens"/>
                          </w:pPr>
                          <w:r w:rsidRPr="00E8365B">
                            <w:t>2511 DP  Den Haag</w:t>
                          </w:r>
                        </w:p>
                        <w:p w14:paraId="19DD130C" w14:textId="77777777" w:rsidR="002B6A21" w:rsidRPr="00201CCF" w:rsidRDefault="00361C5E">
                          <w:pPr>
                            <w:pStyle w:val="Referentiegegevens"/>
                            <w:rPr>
                              <w:lang w:val="de-DE"/>
                            </w:rPr>
                          </w:pPr>
                          <w:r w:rsidRPr="00201CCF">
                            <w:rPr>
                              <w:lang w:val="de-DE"/>
                            </w:rPr>
                            <w:t>Postbus 20301</w:t>
                          </w:r>
                        </w:p>
                        <w:p w14:paraId="513077D8" w14:textId="77777777" w:rsidR="002B6A21" w:rsidRPr="00201CCF" w:rsidRDefault="00361C5E">
                          <w:pPr>
                            <w:pStyle w:val="Referentiegegevens"/>
                            <w:rPr>
                              <w:lang w:val="de-DE"/>
                            </w:rPr>
                          </w:pPr>
                          <w:r w:rsidRPr="00201CCF">
                            <w:rPr>
                              <w:lang w:val="de-DE"/>
                            </w:rPr>
                            <w:t>2500 EH  Den Haag</w:t>
                          </w:r>
                        </w:p>
                        <w:p w14:paraId="4B72740F" w14:textId="77777777" w:rsidR="002B6A21" w:rsidRPr="00201CCF" w:rsidRDefault="00361C5E">
                          <w:pPr>
                            <w:pStyle w:val="Referentiegegevens"/>
                            <w:rPr>
                              <w:lang w:val="de-DE"/>
                            </w:rPr>
                          </w:pPr>
                          <w:r w:rsidRPr="00201CCF">
                            <w:rPr>
                              <w:lang w:val="de-DE"/>
                            </w:rPr>
                            <w:t>www.rijksoverheid.nl/jenv</w:t>
                          </w:r>
                        </w:p>
                        <w:p w14:paraId="00DB2E15" w14:textId="77777777" w:rsidR="002B6A21" w:rsidRDefault="002B6A21">
                          <w:pPr>
                            <w:pStyle w:val="WitregelW2"/>
                            <w:rPr>
                              <w:lang w:val="de-DE"/>
                            </w:rPr>
                          </w:pPr>
                        </w:p>
                        <w:p w14:paraId="333B5DB1" w14:textId="26C76A4B" w:rsidR="00B66243" w:rsidRPr="00B66243" w:rsidRDefault="00B66243" w:rsidP="00B66243">
                          <w:pPr>
                            <w:rPr>
                              <w:sz w:val="13"/>
                              <w:szCs w:val="13"/>
                              <w:lang w:val="de-DE"/>
                            </w:rPr>
                          </w:pPr>
                          <w:proofErr w:type="spellStart"/>
                          <w:r w:rsidRPr="00B66243">
                            <w:rPr>
                              <w:b/>
                              <w:bCs/>
                              <w:sz w:val="13"/>
                              <w:szCs w:val="13"/>
                              <w:lang w:val="de-DE"/>
                            </w:rPr>
                            <w:t>Onze</w:t>
                          </w:r>
                          <w:proofErr w:type="spellEnd"/>
                          <w:r w:rsidRPr="00B66243">
                            <w:rPr>
                              <w:b/>
                              <w:bCs/>
                              <w:sz w:val="13"/>
                              <w:szCs w:val="13"/>
                              <w:lang w:val="de-DE"/>
                            </w:rPr>
                            <w:t xml:space="preserve"> </w:t>
                          </w:r>
                          <w:proofErr w:type="spellStart"/>
                          <w:r w:rsidRPr="00B66243">
                            <w:rPr>
                              <w:b/>
                              <w:bCs/>
                              <w:sz w:val="13"/>
                              <w:szCs w:val="13"/>
                              <w:lang w:val="de-DE"/>
                            </w:rPr>
                            <w:t>referentie</w:t>
                          </w:r>
                          <w:proofErr w:type="spellEnd"/>
                          <w:r>
                            <w:rPr>
                              <w:sz w:val="13"/>
                              <w:szCs w:val="13"/>
                              <w:lang w:val="de-DE"/>
                            </w:rPr>
                            <w:br/>
                          </w:r>
                          <w:r w:rsidRPr="00B66243">
                            <w:rPr>
                              <w:sz w:val="13"/>
                              <w:szCs w:val="13"/>
                              <w:lang w:val="de-DE"/>
                            </w:rPr>
                            <w:t>766</w:t>
                          </w:r>
                          <w:r>
                            <w:rPr>
                              <w:sz w:val="13"/>
                              <w:szCs w:val="13"/>
                              <w:lang w:val="de-DE"/>
                            </w:rPr>
                            <w:t>7</w:t>
                          </w:r>
                          <w:r w:rsidRPr="00B66243">
                            <w:rPr>
                              <w:sz w:val="13"/>
                              <w:szCs w:val="13"/>
                              <w:lang w:val="de-DE"/>
                            </w:rPr>
                            <w:t>799</w:t>
                          </w:r>
                        </w:p>
                        <w:p w14:paraId="3398B0A5" w14:textId="77777777" w:rsidR="00B66243" w:rsidRDefault="00B66243">
                          <w:pPr>
                            <w:pStyle w:val="Referentiegegevensbold"/>
                          </w:pPr>
                        </w:p>
                        <w:p w14:paraId="73838BCE" w14:textId="7445C4B8" w:rsidR="002B6A21" w:rsidRDefault="00361C5E">
                          <w:pPr>
                            <w:pStyle w:val="Referentiegegevensbold"/>
                          </w:pPr>
                          <w:r>
                            <w:t>Bijlage(n)</w:t>
                          </w:r>
                        </w:p>
                        <w:p w14:paraId="1897562D" w14:textId="7CE58334" w:rsidR="002B6A21" w:rsidRDefault="00B66243">
                          <w:pPr>
                            <w:pStyle w:val="Referentiegegevens"/>
                          </w:pPr>
                          <w:r>
                            <w:t>1</w:t>
                          </w:r>
                        </w:p>
                        <w:p w14:paraId="00D1B06D" w14:textId="77777777" w:rsidR="002B6A21" w:rsidRDefault="002B6A21">
                          <w:pPr>
                            <w:pStyle w:val="WitregelW2"/>
                          </w:pPr>
                        </w:p>
                      </w:txbxContent>
                    </wps:txbx>
                    <wps:bodyPr vert="horz" wrap="square" lIns="0" tIns="0" rIns="0" bIns="0" anchor="t" anchorCtr="0"/>
                  </wps:wsp>
                </a:graphicData>
              </a:graphic>
            </wp:anchor>
          </w:drawing>
        </mc:Choice>
        <mc:Fallback>
          <w:pict>
            <v:shape w14:anchorId="1179991E"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C577D74" w14:textId="77777777" w:rsidR="00CD3954" w:rsidRDefault="00CD3954">
                    <w:pPr>
                      <w:pStyle w:val="Referentiegegevens"/>
                      <w:rPr>
                        <w:lang w:val="de-DE"/>
                      </w:rPr>
                    </w:pPr>
                  </w:p>
                  <w:p w14:paraId="7F279D05" w14:textId="77777777" w:rsidR="00CD3954" w:rsidRDefault="00CD3954" w:rsidP="00CD3954">
                    <w:pPr>
                      <w:pStyle w:val="Referentiegegevensbold"/>
                    </w:pPr>
                    <w:r>
                      <w:t>Directoraat-Generaal Straffen en Beschermen</w:t>
                    </w:r>
                  </w:p>
                  <w:p w14:paraId="2DBFD0E3" w14:textId="77777777" w:rsidR="00CD3954" w:rsidRDefault="00CD3954" w:rsidP="00CD3954">
                    <w:pPr>
                      <w:pStyle w:val="Referentiegegevens"/>
                    </w:pPr>
                    <w:r>
                      <w:t>Directie Sanctie- en Slachtofferbeleid</w:t>
                    </w:r>
                  </w:p>
                  <w:p w14:paraId="32BD68E9" w14:textId="77777777" w:rsidR="00CD3954" w:rsidRDefault="00CD3954" w:rsidP="00CD3954">
                    <w:pPr>
                      <w:pStyle w:val="Referentiegegevens"/>
                    </w:pPr>
                    <w:r>
                      <w:t>Sancties Intramuraal</w:t>
                    </w:r>
                  </w:p>
                  <w:p w14:paraId="276E8152" w14:textId="77777777" w:rsidR="00CD3954" w:rsidRDefault="00CD3954" w:rsidP="00CD3954">
                    <w:pPr>
                      <w:pStyle w:val="WitregelW1"/>
                    </w:pPr>
                  </w:p>
                  <w:p w14:paraId="75A224C0" w14:textId="6B6CAACD" w:rsidR="002B6A21" w:rsidRPr="00E8365B" w:rsidRDefault="00CD3954">
                    <w:pPr>
                      <w:pStyle w:val="Referentiegegevens"/>
                    </w:pPr>
                    <w:r w:rsidRPr="00E8365B">
                      <w:t>T</w:t>
                    </w:r>
                    <w:r w:rsidR="00361C5E" w:rsidRPr="00E8365B">
                      <w:t>urfmarkt 147</w:t>
                    </w:r>
                  </w:p>
                  <w:p w14:paraId="6868DC6C" w14:textId="77777777" w:rsidR="002B6A21" w:rsidRPr="00E8365B" w:rsidRDefault="00361C5E">
                    <w:pPr>
                      <w:pStyle w:val="Referentiegegevens"/>
                    </w:pPr>
                    <w:r w:rsidRPr="00E8365B">
                      <w:t>2511 DP  Den Haag</w:t>
                    </w:r>
                  </w:p>
                  <w:p w14:paraId="19DD130C" w14:textId="77777777" w:rsidR="002B6A21" w:rsidRPr="00201CCF" w:rsidRDefault="00361C5E">
                    <w:pPr>
                      <w:pStyle w:val="Referentiegegevens"/>
                      <w:rPr>
                        <w:lang w:val="de-DE"/>
                      </w:rPr>
                    </w:pPr>
                    <w:r w:rsidRPr="00201CCF">
                      <w:rPr>
                        <w:lang w:val="de-DE"/>
                      </w:rPr>
                      <w:t>Postbus 20301</w:t>
                    </w:r>
                  </w:p>
                  <w:p w14:paraId="513077D8" w14:textId="77777777" w:rsidR="002B6A21" w:rsidRPr="00201CCF" w:rsidRDefault="00361C5E">
                    <w:pPr>
                      <w:pStyle w:val="Referentiegegevens"/>
                      <w:rPr>
                        <w:lang w:val="de-DE"/>
                      </w:rPr>
                    </w:pPr>
                    <w:r w:rsidRPr="00201CCF">
                      <w:rPr>
                        <w:lang w:val="de-DE"/>
                      </w:rPr>
                      <w:t>2500 EH  Den Haag</w:t>
                    </w:r>
                  </w:p>
                  <w:p w14:paraId="4B72740F" w14:textId="77777777" w:rsidR="002B6A21" w:rsidRPr="00201CCF" w:rsidRDefault="00361C5E">
                    <w:pPr>
                      <w:pStyle w:val="Referentiegegevens"/>
                      <w:rPr>
                        <w:lang w:val="de-DE"/>
                      </w:rPr>
                    </w:pPr>
                    <w:r w:rsidRPr="00201CCF">
                      <w:rPr>
                        <w:lang w:val="de-DE"/>
                      </w:rPr>
                      <w:t>www.rijksoverheid.nl/jenv</w:t>
                    </w:r>
                  </w:p>
                  <w:p w14:paraId="00DB2E15" w14:textId="77777777" w:rsidR="002B6A21" w:rsidRDefault="002B6A21">
                    <w:pPr>
                      <w:pStyle w:val="WitregelW2"/>
                      <w:rPr>
                        <w:lang w:val="de-DE"/>
                      </w:rPr>
                    </w:pPr>
                  </w:p>
                  <w:p w14:paraId="333B5DB1" w14:textId="26C76A4B" w:rsidR="00B66243" w:rsidRPr="00B66243" w:rsidRDefault="00B66243" w:rsidP="00B66243">
                    <w:pPr>
                      <w:rPr>
                        <w:sz w:val="13"/>
                        <w:szCs w:val="13"/>
                        <w:lang w:val="de-DE"/>
                      </w:rPr>
                    </w:pPr>
                    <w:proofErr w:type="spellStart"/>
                    <w:r w:rsidRPr="00B66243">
                      <w:rPr>
                        <w:b/>
                        <w:bCs/>
                        <w:sz w:val="13"/>
                        <w:szCs w:val="13"/>
                        <w:lang w:val="de-DE"/>
                      </w:rPr>
                      <w:t>Onze</w:t>
                    </w:r>
                    <w:proofErr w:type="spellEnd"/>
                    <w:r w:rsidRPr="00B66243">
                      <w:rPr>
                        <w:b/>
                        <w:bCs/>
                        <w:sz w:val="13"/>
                        <w:szCs w:val="13"/>
                        <w:lang w:val="de-DE"/>
                      </w:rPr>
                      <w:t xml:space="preserve"> </w:t>
                    </w:r>
                    <w:proofErr w:type="spellStart"/>
                    <w:r w:rsidRPr="00B66243">
                      <w:rPr>
                        <w:b/>
                        <w:bCs/>
                        <w:sz w:val="13"/>
                        <w:szCs w:val="13"/>
                        <w:lang w:val="de-DE"/>
                      </w:rPr>
                      <w:t>referentie</w:t>
                    </w:r>
                    <w:proofErr w:type="spellEnd"/>
                    <w:r>
                      <w:rPr>
                        <w:sz w:val="13"/>
                        <w:szCs w:val="13"/>
                        <w:lang w:val="de-DE"/>
                      </w:rPr>
                      <w:br/>
                    </w:r>
                    <w:r w:rsidRPr="00B66243">
                      <w:rPr>
                        <w:sz w:val="13"/>
                        <w:szCs w:val="13"/>
                        <w:lang w:val="de-DE"/>
                      </w:rPr>
                      <w:t>766</w:t>
                    </w:r>
                    <w:r>
                      <w:rPr>
                        <w:sz w:val="13"/>
                        <w:szCs w:val="13"/>
                        <w:lang w:val="de-DE"/>
                      </w:rPr>
                      <w:t>7</w:t>
                    </w:r>
                    <w:r w:rsidRPr="00B66243">
                      <w:rPr>
                        <w:sz w:val="13"/>
                        <w:szCs w:val="13"/>
                        <w:lang w:val="de-DE"/>
                      </w:rPr>
                      <w:t>799</w:t>
                    </w:r>
                  </w:p>
                  <w:p w14:paraId="3398B0A5" w14:textId="77777777" w:rsidR="00B66243" w:rsidRDefault="00B66243">
                    <w:pPr>
                      <w:pStyle w:val="Referentiegegevensbold"/>
                    </w:pPr>
                  </w:p>
                  <w:p w14:paraId="73838BCE" w14:textId="7445C4B8" w:rsidR="002B6A21" w:rsidRDefault="00361C5E">
                    <w:pPr>
                      <w:pStyle w:val="Referentiegegevensbold"/>
                    </w:pPr>
                    <w:r>
                      <w:t>Bijlage(n)</w:t>
                    </w:r>
                  </w:p>
                  <w:p w14:paraId="1897562D" w14:textId="7CE58334" w:rsidR="002B6A21" w:rsidRDefault="00B66243">
                    <w:pPr>
                      <w:pStyle w:val="Referentiegegevens"/>
                    </w:pPr>
                    <w:r>
                      <w:t>1</w:t>
                    </w:r>
                  </w:p>
                  <w:p w14:paraId="00D1B06D" w14:textId="77777777" w:rsidR="002B6A21" w:rsidRDefault="002B6A21">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21AAB144" wp14:editId="2C5F4C3B">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E6AFAC" w14:textId="77777777" w:rsidR="00E57DF2" w:rsidRDefault="00E57DF2"/>
                      </w:txbxContent>
                    </wps:txbx>
                    <wps:bodyPr vert="horz" wrap="square" lIns="0" tIns="0" rIns="0" bIns="0" anchor="t" anchorCtr="0"/>
                  </wps:wsp>
                </a:graphicData>
              </a:graphic>
            </wp:anchor>
          </w:drawing>
        </mc:Choice>
        <mc:Fallback>
          <w:pict>
            <v:shape w14:anchorId="21AAB144"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8E6AFAC" w14:textId="77777777" w:rsidR="00E57DF2" w:rsidRDefault="00E57DF2"/>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EFC4032" wp14:editId="0E37AEAC">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E2B610" w14:textId="77777777" w:rsidR="002B6A21" w:rsidRDefault="00361C5E">
                          <w:pPr>
                            <w:pStyle w:val="Referentiegegevens"/>
                          </w:pPr>
                          <w:r>
                            <w:t xml:space="preserve">Pagina </w:t>
                          </w:r>
                          <w:r>
                            <w:fldChar w:fldCharType="begin"/>
                          </w:r>
                          <w:r>
                            <w:instrText>PAGE</w:instrText>
                          </w:r>
                          <w:r>
                            <w:fldChar w:fldCharType="separate"/>
                          </w:r>
                          <w:r w:rsidR="00E375CB">
                            <w:rPr>
                              <w:noProof/>
                            </w:rPr>
                            <w:t>1</w:t>
                          </w:r>
                          <w:r>
                            <w:fldChar w:fldCharType="end"/>
                          </w:r>
                          <w:r>
                            <w:t xml:space="preserve"> van </w:t>
                          </w:r>
                          <w:r>
                            <w:fldChar w:fldCharType="begin"/>
                          </w:r>
                          <w:r>
                            <w:instrText>NUMPAGES</w:instrText>
                          </w:r>
                          <w:r>
                            <w:fldChar w:fldCharType="separate"/>
                          </w:r>
                          <w:r w:rsidR="00E375CB">
                            <w:rPr>
                              <w:noProof/>
                            </w:rPr>
                            <w:t>1</w:t>
                          </w:r>
                          <w:r>
                            <w:fldChar w:fldCharType="end"/>
                          </w:r>
                        </w:p>
                      </w:txbxContent>
                    </wps:txbx>
                    <wps:bodyPr vert="horz" wrap="square" lIns="0" tIns="0" rIns="0" bIns="0" anchor="t" anchorCtr="0"/>
                  </wps:wsp>
                </a:graphicData>
              </a:graphic>
            </wp:anchor>
          </w:drawing>
        </mc:Choice>
        <mc:Fallback>
          <w:pict>
            <v:shape w14:anchorId="5EFC4032"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BE2B610" w14:textId="77777777" w:rsidR="002B6A21" w:rsidRDefault="00361C5E">
                    <w:pPr>
                      <w:pStyle w:val="Referentiegegevens"/>
                    </w:pPr>
                    <w:r>
                      <w:t xml:space="preserve">Pagina </w:t>
                    </w:r>
                    <w:r>
                      <w:fldChar w:fldCharType="begin"/>
                    </w:r>
                    <w:r>
                      <w:instrText>PAGE</w:instrText>
                    </w:r>
                    <w:r>
                      <w:fldChar w:fldCharType="separate"/>
                    </w:r>
                    <w:r w:rsidR="00E375CB">
                      <w:rPr>
                        <w:noProof/>
                      </w:rPr>
                      <w:t>1</w:t>
                    </w:r>
                    <w:r>
                      <w:fldChar w:fldCharType="end"/>
                    </w:r>
                    <w:r>
                      <w:t xml:space="preserve"> van </w:t>
                    </w:r>
                    <w:r>
                      <w:fldChar w:fldCharType="begin"/>
                    </w:r>
                    <w:r>
                      <w:instrText>NUMPAGES</w:instrText>
                    </w:r>
                    <w:r>
                      <w:fldChar w:fldCharType="separate"/>
                    </w:r>
                    <w:r w:rsidR="00E375CB">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0934B8E1" wp14:editId="46A552A6">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AFBC36" w14:textId="77777777" w:rsidR="002B6A21" w:rsidRDefault="00361C5E">
                          <w:pPr>
                            <w:spacing w:line="240" w:lineRule="auto"/>
                          </w:pPr>
                          <w:r>
                            <w:rPr>
                              <w:noProof/>
                            </w:rPr>
                            <w:drawing>
                              <wp:inline distT="0" distB="0" distL="0" distR="0" wp14:anchorId="55A67F4F" wp14:editId="6F6ED2B6">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34B8E1"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EAFBC36" w14:textId="77777777" w:rsidR="002B6A21" w:rsidRDefault="00361C5E">
                    <w:pPr>
                      <w:spacing w:line="240" w:lineRule="auto"/>
                    </w:pPr>
                    <w:r>
                      <w:rPr>
                        <w:noProof/>
                      </w:rPr>
                      <w:drawing>
                        <wp:inline distT="0" distB="0" distL="0" distR="0" wp14:anchorId="55A67F4F" wp14:editId="6F6ED2B6">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4F608C03" wp14:editId="45E82389">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D7ACA5" w14:textId="77777777" w:rsidR="002B6A21" w:rsidRDefault="00361C5E">
                          <w:pPr>
                            <w:spacing w:line="240" w:lineRule="auto"/>
                          </w:pPr>
                          <w:r>
                            <w:rPr>
                              <w:noProof/>
                            </w:rPr>
                            <w:drawing>
                              <wp:inline distT="0" distB="0" distL="0" distR="0" wp14:anchorId="0996883B" wp14:editId="6EF4F980">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608C03"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D7ACA5" w14:textId="77777777" w:rsidR="002B6A21" w:rsidRDefault="00361C5E">
                    <w:pPr>
                      <w:spacing w:line="240" w:lineRule="auto"/>
                    </w:pPr>
                    <w:r>
                      <w:rPr>
                        <w:noProof/>
                      </w:rPr>
                      <w:drawing>
                        <wp:inline distT="0" distB="0" distL="0" distR="0" wp14:anchorId="0996883B" wp14:editId="6EF4F980">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75A80D71" wp14:editId="4B189D9D">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52A916" w14:textId="77777777" w:rsidR="002B6A21" w:rsidRDefault="00361C5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5A80D7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252A916" w14:textId="77777777" w:rsidR="002B6A21" w:rsidRDefault="00361C5E">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87C5B4"/>
    <w:multiLevelType w:val="multilevel"/>
    <w:tmpl w:val="A23D688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8D37498"/>
    <w:multiLevelType w:val="multilevel"/>
    <w:tmpl w:val="E2C57FD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9477D45"/>
    <w:multiLevelType w:val="hybridMultilevel"/>
    <w:tmpl w:val="605635A8"/>
    <w:lvl w:ilvl="0" w:tplc="ADC8874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87204C"/>
    <w:multiLevelType w:val="hybridMultilevel"/>
    <w:tmpl w:val="E2CE7E78"/>
    <w:lvl w:ilvl="0" w:tplc="9848A022">
      <w:start w:val="2"/>
      <w:numFmt w:val="bullet"/>
      <w:lvlText w:val=""/>
      <w:lvlJc w:val="left"/>
      <w:pPr>
        <w:ind w:left="720" w:hanging="360"/>
      </w:pPr>
      <w:rPr>
        <w:rFonts w:ascii="Wingdings" w:eastAsia="Calibr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8B755E"/>
    <w:multiLevelType w:val="hybridMultilevel"/>
    <w:tmpl w:val="14FEA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B5F3B4"/>
    <w:multiLevelType w:val="multilevel"/>
    <w:tmpl w:val="225CD2C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9D73222"/>
    <w:multiLevelType w:val="hybridMultilevel"/>
    <w:tmpl w:val="83C0D410"/>
    <w:lvl w:ilvl="0" w:tplc="81EA5AAA">
      <w:start w:val="6"/>
      <w:numFmt w:val="bullet"/>
      <w:lvlText w:val="-"/>
      <w:lvlJc w:val="left"/>
      <w:pPr>
        <w:ind w:left="360" w:hanging="360"/>
      </w:pPr>
      <w:rPr>
        <w:rFonts w:ascii="Verdana" w:eastAsia="Calibri" w:hAnsi="Verdana" w:cs="Arial" w:hint="default"/>
        <w: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DDE3B2B"/>
    <w:multiLevelType w:val="multilevel"/>
    <w:tmpl w:val="547ED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A66E88"/>
    <w:multiLevelType w:val="hybridMultilevel"/>
    <w:tmpl w:val="241E1A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42D31C1"/>
    <w:multiLevelType w:val="hybridMultilevel"/>
    <w:tmpl w:val="8BF81F74"/>
    <w:lvl w:ilvl="0" w:tplc="1AC4128A">
      <w:start w:val="19"/>
      <w:numFmt w:val="bullet"/>
      <w:lvlText w:val="-"/>
      <w:lvlJc w:val="left"/>
      <w:pPr>
        <w:ind w:left="360" w:hanging="360"/>
      </w:pPr>
      <w:rPr>
        <w:rFonts w:ascii="Verdana" w:eastAsia="DejaVu Sans"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CBDF75B"/>
    <w:multiLevelType w:val="multilevel"/>
    <w:tmpl w:val="A5A05BA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63521508">
    <w:abstractNumId w:val="0"/>
  </w:num>
  <w:num w:numId="2" w16cid:durableId="616565276">
    <w:abstractNumId w:val="10"/>
  </w:num>
  <w:num w:numId="3" w16cid:durableId="1524321593">
    <w:abstractNumId w:val="1"/>
  </w:num>
  <w:num w:numId="4" w16cid:durableId="2044479577">
    <w:abstractNumId w:val="5"/>
  </w:num>
  <w:num w:numId="5" w16cid:durableId="1416514561">
    <w:abstractNumId w:val="9"/>
  </w:num>
  <w:num w:numId="6" w16cid:durableId="2081170410">
    <w:abstractNumId w:val="8"/>
  </w:num>
  <w:num w:numId="7" w16cid:durableId="1841769396">
    <w:abstractNumId w:val="6"/>
  </w:num>
  <w:num w:numId="8" w16cid:durableId="673609075">
    <w:abstractNumId w:val="7"/>
  </w:num>
  <w:num w:numId="9" w16cid:durableId="1146312006">
    <w:abstractNumId w:val="9"/>
  </w:num>
  <w:num w:numId="10" w16cid:durableId="1390688942">
    <w:abstractNumId w:val="4"/>
  </w:num>
  <w:num w:numId="11" w16cid:durableId="1021468977">
    <w:abstractNumId w:val="2"/>
  </w:num>
  <w:num w:numId="12" w16cid:durableId="2139639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21"/>
    <w:rsid w:val="000101F9"/>
    <w:rsid w:val="000164BA"/>
    <w:rsid w:val="0001783D"/>
    <w:rsid w:val="00025094"/>
    <w:rsid w:val="00032656"/>
    <w:rsid w:val="00037259"/>
    <w:rsid w:val="00041B86"/>
    <w:rsid w:val="00053C0D"/>
    <w:rsid w:val="00055B0F"/>
    <w:rsid w:val="00056400"/>
    <w:rsid w:val="00056BCA"/>
    <w:rsid w:val="00065956"/>
    <w:rsid w:val="00070850"/>
    <w:rsid w:val="0008015D"/>
    <w:rsid w:val="00082B51"/>
    <w:rsid w:val="000906DA"/>
    <w:rsid w:val="00093BAD"/>
    <w:rsid w:val="00094130"/>
    <w:rsid w:val="00096B7F"/>
    <w:rsid w:val="000B6DFC"/>
    <w:rsid w:val="000D530F"/>
    <w:rsid w:val="000F30BF"/>
    <w:rsid w:val="000F5080"/>
    <w:rsid w:val="000F6D07"/>
    <w:rsid w:val="001032BF"/>
    <w:rsid w:val="0010399A"/>
    <w:rsid w:val="0011140D"/>
    <w:rsid w:val="0011792A"/>
    <w:rsid w:val="001276C1"/>
    <w:rsid w:val="001329A1"/>
    <w:rsid w:val="001348E2"/>
    <w:rsid w:val="00140EF4"/>
    <w:rsid w:val="00142FD8"/>
    <w:rsid w:val="00147620"/>
    <w:rsid w:val="00150806"/>
    <w:rsid w:val="00150F6A"/>
    <w:rsid w:val="00151810"/>
    <w:rsid w:val="00155C0D"/>
    <w:rsid w:val="00161DBF"/>
    <w:rsid w:val="00163409"/>
    <w:rsid w:val="0018472C"/>
    <w:rsid w:val="00191A5C"/>
    <w:rsid w:val="00192A3D"/>
    <w:rsid w:val="001A3041"/>
    <w:rsid w:val="001B3CD2"/>
    <w:rsid w:val="001B4C5C"/>
    <w:rsid w:val="001B5439"/>
    <w:rsid w:val="001B6D01"/>
    <w:rsid w:val="001B73DD"/>
    <w:rsid w:val="001C6A00"/>
    <w:rsid w:val="001D6C64"/>
    <w:rsid w:val="001E6B52"/>
    <w:rsid w:val="001F29E3"/>
    <w:rsid w:val="00201CCF"/>
    <w:rsid w:val="002066E2"/>
    <w:rsid w:val="002121D9"/>
    <w:rsid w:val="00222838"/>
    <w:rsid w:val="002321EA"/>
    <w:rsid w:val="00235EB5"/>
    <w:rsid w:val="00237835"/>
    <w:rsid w:val="00242BB8"/>
    <w:rsid w:val="00270D36"/>
    <w:rsid w:val="00272C05"/>
    <w:rsid w:val="00276E78"/>
    <w:rsid w:val="00281E7A"/>
    <w:rsid w:val="0029017C"/>
    <w:rsid w:val="002A437F"/>
    <w:rsid w:val="002B1515"/>
    <w:rsid w:val="002B1C44"/>
    <w:rsid w:val="002B54BF"/>
    <w:rsid w:val="002B6A21"/>
    <w:rsid w:val="002B755E"/>
    <w:rsid w:val="002D23E9"/>
    <w:rsid w:val="002D3E6D"/>
    <w:rsid w:val="002D4CBE"/>
    <w:rsid w:val="002E16E9"/>
    <w:rsid w:val="002E3722"/>
    <w:rsid w:val="002E704D"/>
    <w:rsid w:val="00300976"/>
    <w:rsid w:val="0030532E"/>
    <w:rsid w:val="003212E8"/>
    <w:rsid w:val="00324323"/>
    <w:rsid w:val="003277E3"/>
    <w:rsid w:val="003317B5"/>
    <w:rsid w:val="003368B0"/>
    <w:rsid w:val="0033702C"/>
    <w:rsid w:val="00350D32"/>
    <w:rsid w:val="00355CE6"/>
    <w:rsid w:val="00361C5E"/>
    <w:rsid w:val="00370F0D"/>
    <w:rsid w:val="00390D42"/>
    <w:rsid w:val="0039103E"/>
    <w:rsid w:val="00392F20"/>
    <w:rsid w:val="00393B24"/>
    <w:rsid w:val="003B068D"/>
    <w:rsid w:val="003C39B3"/>
    <w:rsid w:val="003D10B8"/>
    <w:rsid w:val="003E58BD"/>
    <w:rsid w:val="003E766B"/>
    <w:rsid w:val="003F2273"/>
    <w:rsid w:val="003F3140"/>
    <w:rsid w:val="003F399E"/>
    <w:rsid w:val="004155C3"/>
    <w:rsid w:val="004216B0"/>
    <w:rsid w:val="0042240C"/>
    <w:rsid w:val="00430B4D"/>
    <w:rsid w:val="0043408B"/>
    <w:rsid w:val="0045063B"/>
    <w:rsid w:val="00450E76"/>
    <w:rsid w:val="00463CB1"/>
    <w:rsid w:val="004651C6"/>
    <w:rsid w:val="004716DF"/>
    <w:rsid w:val="00471BF8"/>
    <w:rsid w:val="00472146"/>
    <w:rsid w:val="004744DF"/>
    <w:rsid w:val="004A5822"/>
    <w:rsid w:val="004B192B"/>
    <w:rsid w:val="004C2645"/>
    <w:rsid w:val="004D3BA4"/>
    <w:rsid w:val="004D4524"/>
    <w:rsid w:val="004E3210"/>
    <w:rsid w:val="004F0FAE"/>
    <w:rsid w:val="004F3343"/>
    <w:rsid w:val="00500EDF"/>
    <w:rsid w:val="005036F6"/>
    <w:rsid w:val="00512F58"/>
    <w:rsid w:val="00540DBA"/>
    <w:rsid w:val="005527B0"/>
    <w:rsid w:val="00562895"/>
    <w:rsid w:val="00564164"/>
    <w:rsid w:val="00587768"/>
    <w:rsid w:val="005A1957"/>
    <w:rsid w:val="005A2700"/>
    <w:rsid w:val="005A5879"/>
    <w:rsid w:val="005A7C75"/>
    <w:rsid w:val="005B4276"/>
    <w:rsid w:val="005B7424"/>
    <w:rsid w:val="005C1E4D"/>
    <w:rsid w:val="005C2C62"/>
    <w:rsid w:val="005C5C07"/>
    <w:rsid w:val="005D0170"/>
    <w:rsid w:val="005E49AF"/>
    <w:rsid w:val="005E4AE4"/>
    <w:rsid w:val="005F2B7B"/>
    <w:rsid w:val="005F5B30"/>
    <w:rsid w:val="006007CB"/>
    <w:rsid w:val="00616C10"/>
    <w:rsid w:val="00620C75"/>
    <w:rsid w:val="0062206C"/>
    <w:rsid w:val="00642D47"/>
    <w:rsid w:val="00643CD6"/>
    <w:rsid w:val="0066052F"/>
    <w:rsid w:val="00661331"/>
    <w:rsid w:val="006700CA"/>
    <w:rsid w:val="00674193"/>
    <w:rsid w:val="00676DAD"/>
    <w:rsid w:val="00680C1F"/>
    <w:rsid w:val="00685ED7"/>
    <w:rsid w:val="0068712A"/>
    <w:rsid w:val="00691F0B"/>
    <w:rsid w:val="00693C26"/>
    <w:rsid w:val="006A2C4A"/>
    <w:rsid w:val="006B3C14"/>
    <w:rsid w:val="006D55BB"/>
    <w:rsid w:val="006E2581"/>
    <w:rsid w:val="006E311C"/>
    <w:rsid w:val="007025B8"/>
    <w:rsid w:val="00702FD7"/>
    <w:rsid w:val="00703E45"/>
    <w:rsid w:val="0070755C"/>
    <w:rsid w:val="00712BC2"/>
    <w:rsid w:val="00713FBE"/>
    <w:rsid w:val="00723475"/>
    <w:rsid w:val="00741466"/>
    <w:rsid w:val="007421D2"/>
    <w:rsid w:val="00744F69"/>
    <w:rsid w:val="00751A89"/>
    <w:rsid w:val="00760B6B"/>
    <w:rsid w:val="0076359B"/>
    <w:rsid w:val="00770CC1"/>
    <w:rsid w:val="00772CEF"/>
    <w:rsid w:val="00777E55"/>
    <w:rsid w:val="00786141"/>
    <w:rsid w:val="007961BA"/>
    <w:rsid w:val="007A15AC"/>
    <w:rsid w:val="007A2779"/>
    <w:rsid w:val="007A63AB"/>
    <w:rsid w:val="007A6BBA"/>
    <w:rsid w:val="007B20F3"/>
    <w:rsid w:val="007B63DE"/>
    <w:rsid w:val="007C2265"/>
    <w:rsid w:val="007C262B"/>
    <w:rsid w:val="007C278A"/>
    <w:rsid w:val="007D6460"/>
    <w:rsid w:val="007E76BA"/>
    <w:rsid w:val="007F0328"/>
    <w:rsid w:val="007F06CB"/>
    <w:rsid w:val="007F1F0B"/>
    <w:rsid w:val="00801E12"/>
    <w:rsid w:val="00802E5F"/>
    <w:rsid w:val="00803F3E"/>
    <w:rsid w:val="00804053"/>
    <w:rsid w:val="00810A19"/>
    <w:rsid w:val="008122B1"/>
    <w:rsid w:val="00813AFD"/>
    <w:rsid w:val="00815853"/>
    <w:rsid w:val="008238CA"/>
    <w:rsid w:val="00844CEC"/>
    <w:rsid w:val="00847786"/>
    <w:rsid w:val="00856F9C"/>
    <w:rsid w:val="00867B19"/>
    <w:rsid w:val="00875472"/>
    <w:rsid w:val="0087753D"/>
    <w:rsid w:val="00886D13"/>
    <w:rsid w:val="008953FC"/>
    <w:rsid w:val="00896538"/>
    <w:rsid w:val="008A4367"/>
    <w:rsid w:val="008A6E21"/>
    <w:rsid w:val="008B3CF5"/>
    <w:rsid w:val="008C0662"/>
    <w:rsid w:val="008D28B2"/>
    <w:rsid w:val="008D7BE2"/>
    <w:rsid w:val="008E3DD1"/>
    <w:rsid w:val="008E65ED"/>
    <w:rsid w:val="008F34F4"/>
    <w:rsid w:val="008F482E"/>
    <w:rsid w:val="008F5C6F"/>
    <w:rsid w:val="009019CD"/>
    <w:rsid w:val="00903B9F"/>
    <w:rsid w:val="00905A6E"/>
    <w:rsid w:val="009105C5"/>
    <w:rsid w:val="009139A7"/>
    <w:rsid w:val="00913BF7"/>
    <w:rsid w:val="00916C81"/>
    <w:rsid w:val="00927FD0"/>
    <w:rsid w:val="00933E88"/>
    <w:rsid w:val="00941C20"/>
    <w:rsid w:val="009441DF"/>
    <w:rsid w:val="009601D2"/>
    <w:rsid w:val="00960789"/>
    <w:rsid w:val="00963D76"/>
    <w:rsid w:val="009707CB"/>
    <w:rsid w:val="00986FB0"/>
    <w:rsid w:val="00987477"/>
    <w:rsid w:val="00994FDC"/>
    <w:rsid w:val="009958AD"/>
    <w:rsid w:val="009A5229"/>
    <w:rsid w:val="009B0752"/>
    <w:rsid w:val="009D5566"/>
    <w:rsid w:val="009D5C97"/>
    <w:rsid w:val="009E08C0"/>
    <w:rsid w:val="009E1237"/>
    <w:rsid w:val="009E1A39"/>
    <w:rsid w:val="009E3E99"/>
    <w:rsid w:val="009E7128"/>
    <w:rsid w:val="009F0399"/>
    <w:rsid w:val="009F07C5"/>
    <w:rsid w:val="00A00EA0"/>
    <w:rsid w:val="00A35147"/>
    <w:rsid w:val="00A35A10"/>
    <w:rsid w:val="00A51083"/>
    <w:rsid w:val="00A52202"/>
    <w:rsid w:val="00A53679"/>
    <w:rsid w:val="00A56707"/>
    <w:rsid w:val="00A6052B"/>
    <w:rsid w:val="00A628C9"/>
    <w:rsid w:val="00A64663"/>
    <w:rsid w:val="00A678F5"/>
    <w:rsid w:val="00A67E32"/>
    <w:rsid w:val="00A72A12"/>
    <w:rsid w:val="00A823A2"/>
    <w:rsid w:val="00A83F47"/>
    <w:rsid w:val="00A872B1"/>
    <w:rsid w:val="00A926E1"/>
    <w:rsid w:val="00A95278"/>
    <w:rsid w:val="00AA626C"/>
    <w:rsid w:val="00AA7595"/>
    <w:rsid w:val="00AB3172"/>
    <w:rsid w:val="00AB48F7"/>
    <w:rsid w:val="00AC6433"/>
    <w:rsid w:val="00AD15B2"/>
    <w:rsid w:val="00AE1BD6"/>
    <w:rsid w:val="00AF1F4B"/>
    <w:rsid w:val="00AF42DD"/>
    <w:rsid w:val="00AF63B9"/>
    <w:rsid w:val="00B16F99"/>
    <w:rsid w:val="00B17454"/>
    <w:rsid w:val="00B219C9"/>
    <w:rsid w:val="00B23A30"/>
    <w:rsid w:val="00B23A86"/>
    <w:rsid w:val="00B25B84"/>
    <w:rsid w:val="00B434AB"/>
    <w:rsid w:val="00B54E2C"/>
    <w:rsid w:val="00B55AEA"/>
    <w:rsid w:val="00B56C81"/>
    <w:rsid w:val="00B60CAE"/>
    <w:rsid w:val="00B6416E"/>
    <w:rsid w:val="00B642BB"/>
    <w:rsid w:val="00B66243"/>
    <w:rsid w:val="00B70346"/>
    <w:rsid w:val="00B70A24"/>
    <w:rsid w:val="00B70AB7"/>
    <w:rsid w:val="00B7609A"/>
    <w:rsid w:val="00B86943"/>
    <w:rsid w:val="00BA0741"/>
    <w:rsid w:val="00BA3FA5"/>
    <w:rsid w:val="00BB1A56"/>
    <w:rsid w:val="00BC6329"/>
    <w:rsid w:val="00BD1FD8"/>
    <w:rsid w:val="00BE7B12"/>
    <w:rsid w:val="00BF2F09"/>
    <w:rsid w:val="00C108F8"/>
    <w:rsid w:val="00C20039"/>
    <w:rsid w:val="00C20EF0"/>
    <w:rsid w:val="00C2126E"/>
    <w:rsid w:val="00C24637"/>
    <w:rsid w:val="00C3301D"/>
    <w:rsid w:val="00C357F0"/>
    <w:rsid w:val="00C41C80"/>
    <w:rsid w:val="00C4657D"/>
    <w:rsid w:val="00C512E5"/>
    <w:rsid w:val="00C67E3E"/>
    <w:rsid w:val="00C76729"/>
    <w:rsid w:val="00C76F49"/>
    <w:rsid w:val="00C91098"/>
    <w:rsid w:val="00C9392D"/>
    <w:rsid w:val="00C97342"/>
    <w:rsid w:val="00C97C04"/>
    <w:rsid w:val="00CA452D"/>
    <w:rsid w:val="00CA4A44"/>
    <w:rsid w:val="00CB4191"/>
    <w:rsid w:val="00CB7531"/>
    <w:rsid w:val="00CC09DD"/>
    <w:rsid w:val="00CC3FDA"/>
    <w:rsid w:val="00CC58E3"/>
    <w:rsid w:val="00CD1D8E"/>
    <w:rsid w:val="00CD3954"/>
    <w:rsid w:val="00CD4DBE"/>
    <w:rsid w:val="00CD6C4F"/>
    <w:rsid w:val="00D074A6"/>
    <w:rsid w:val="00D375A2"/>
    <w:rsid w:val="00D57492"/>
    <w:rsid w:val="00D66518"/>
    <w:rsid w:val="00D7282A"/>
    <w:rsid w:val="00D73689"/>
    <w:rsid w:val="00D7416E"/>
    <w:rsid w:val="00D84F33"/>
    <w:rsid w:val="00D901E7"/>
    <w:rsid w:val="00D93617"/>
    <w:rsid w:val="00DA1408"/>
    <w:rsid w:val="00DA4EC6"/>
    <w:rsid w:val="00DA50AD"/>
    <w:rsid w:val="00DA51DA"/>
    <w:rsid w:val="00DB508E"/>
    <w:rsid w:val="00DB5B13"/>
    <w:rsid w:val="00DB63CB"/>
    <w:rsid w:val="00DB6D89"/>
    <w:rsid w:val="00DC01D8"/>
    <w:rsid w:val="00DD3656"/>
    <w:rsid w:val="00DD5592"/>
    <w:rsid w:val="00DE0B44"/>
    <w:rsid w:val="00DE22FF"/>
    <w:rsid w:val="00E003B8"/>
    <w:rsid w:val="00E11906"/>
    <w:rsid w:val="00E23905"/>
    <w:rsid w:val="00E25765"/>
    <w:rsid w:val="00E25CC7"/>
    <w:rsid w:val="00E27DB3"/>
    <w:rsid w:val="00E307B4"/>
    <w:rsid w:val="00E375CB"/>
    <w:rsid w:val="00E4526D"/>
    <w:rsid w:val="00E5103E"/>
    <w:rsid w:val="00E51E74"/>
    <w:rsid w:val="00E54D66"/>
    <w:rsid w:val="00E57DF2"/>
    <w:rsid w:val="00E8365B"/>
    <w:rsid w:val="00EA1C35"/>
    <w:rsid w:val="00EA2BCA"/>
    <w:rsid w:val="00EB3688"/>
    <w:rsid w:val="00EB51C2"/>
    <w:rsid w:val="00EC0FD3"/>
    <w:rsid w:val="00EC277A"/>
    <w:rsid w:val="00EC539B"/>
    <w:rsid w:val="00EC5A43"/>
    <w:rsid w:val="00ED3997"/>
    <w:rsid w:val="00EE537C"/>
    <w:rsid w:val="00EE74D5"/>
    <w:rsid w:val="00EE7BBB"/>
    <w:rsid w:val="00F1035C"/>
    <w:rsid w:val="00F14873"/>
    <w:rsid w:val="00F36B82"/>
    <w:rsid w:val="00F53DE9"/>
    <w:rsid w:val="00F57B8C"/>
    <w:rsid w:val="00F66A23"/>
    <w:rsid w:val="00F75650"/>
    <w:rsid w:val="00F833EC"/>
    <w:rsid w:val="00FA321F"/>
    <w:rsid w:val="00FA47CF"/>
    <w:rsid w:val="00FB41B3"/>
    <w:rsid w:val="00FC1723"/>
    <w:rsid w:val="00FC6401"/>
    <w:rsid w:val="00FC6D93"/>
    <w:rsid w:val="00FD2CEE"/>
    <w:rsid w:val="00FD7727"/>
    <w:rsid w:val="00FD7B5E"/>
    <w:rsid w:val="00FD7EB7"/>
    <w:rsid w:val="00FF33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8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ind w:left="3600" w:hanging="36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E375CB"/>
    <w:pPr>
      <w:tabs>
        <w:tab w:val="left" w:pos="227"/>
        <w:tab w:val="left" w:pos="454"/>
        <w:tab w:val="left" w:pos="680"/>
      </w:tabs>
      <w:autoSpaceDE w:val="0"/>
      <w:adjustRightInd w:val="0"/>
      <w:textAlignment w:val="auto"/>
    </w:pPr>
    <w:rPr>
      <w:rFonts w:eastAsia="Times New Roman" w:cs="Times New Roman"/>
      <w:color w:val="auto"/>
    </w:rPr>
  </w:style>
  <w:style w:type="paragraph" w:styleId="Lijstalinea">
    <w:name w:val="List Paragraph"/>
    <w:basedOn w:val="Standaard"/>
    <w:link w:val="LijstalineaChar"/>
    <w:uiPriority w:val="34"/>
    <w:qFormat/>
    <w:rsid w:val="002D3E6D"/>
    <w:pPr>
      <w:autoSpaceDN/>
      <w:spacing w:line="240"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customStyle="1" w:styleId="LijstalineaChar">
    <w:name w:val="Lijstalinea Char"/>
    <w:basedOn w:val="Standaardalinea-lettertype"/>
    <w:link w:val="Lijstalinea"/>
    <w:uiPriority w:val="34"/>
    <w:rsid w:val="002D3E6D"/>
    <w:rPr>
      <w:rFonts w:asciiTheme="minorHAnsi" w:eastAsiaTheme="minorHAnsi" w:hAnsiTheme="minorHAnsi" w:cstheme="minorBidi"/>
      <w:kern w:val="2"/>
      <w:sz w:val="24"/>
      <w:szCs w:val="24"/>
      <w:lang w:eastAsia="en-US"/>
      <w14:ligatures w14:val="standardContextual"/>
    </w:rPr>
  </w:style>
  <w:style w:type="paragraph" w:styleId="Koptekst">
    <w:name w:val="header"/>
    <w:basedOn w:val="Standaard"/>
    <w:link w:val="KoptekstChar"/>
    <w:uiPriority w:val="99"/>
    <w:unhideWhenUsed/>
    <w:rsid w:val="0066133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1331"/>
    <w:rPr>
      <w:rFonts w:ascii="Verdana" w:hAnsi="Verdana"/>
      <w:color w:val="000000"/>
      <w:sz w:val="18"/>
      <w:szCs w:val="18"/>
    </w:rPr>
  </w:style>
  <w:style w:type="character" w:styleId="Voetnootmarkering">
    <w:name w:val="footnote reference"/>
    <w:aliases w:val="Voetnootmarkering Openbaar Ministerie,4_G Char Char,Footnote Reference1 Char Char,Footnotes refss Char Char,ftref Char Char,BVI fnr Char Char,BVI fnr Car Car Char Char,BVI fnr Car Char Char,BVI fnr Car Car Car Car Char Char1"/>
    <w:link w:val="4GChar"/>
    <w:uiPriority w:val="99"/>
    <w:qFormat/>
    <w:rsid w:val="001348E2"/>
    <w:rPr>
      <w:vertAlign w:val="superscript"/>
    </w:rPr>
  </w:style>
  <w:style w:type="paragraph" w:styleId="Geenafstand">
    <w:name w:val="No Spacing"/>
    <w:aliases w:val="standaard tekst calibri"/>
    <w:uiPriority w:val="1"/>
    <w:qFormat/>
    <w:rsid w:val="001348E2"/>
    <w:pPr>
      <w:autoSpaceDN/>
      <w:textAlignment w:val="auto"/>
    </w:pPr>
    <w:rPr>
      <w:rFonts w:asciiTheme="minorHAnsi" w:eastAsiaTheme="minorHAnsi" w:hAnsiTheme="minorHAnsi" w:cstheme="minorBidi"/>
      <w:sz w:val="22"/>
      <w:szCs w:val="22"/>
      <w:lang w:eastAsia="en-US"/>
    </w:rPr>
  </w:style>
  <w:style w:type="paragraph" w:customStyle="1" w:styleId="4GChar">
    <w:name w:val="4_G Char"/>
    <w:aliases w:val="Footnote Reference1 Char,Footnotes refss Char,ftref Char,BVI fnr Char,BVI fnr Car Car Char,BVI fnr Car Char,BVI fnr Car Car Car Car Char,BVI fnr Char Car Car Car Char"/>
    <w:basedOn w:val="Standaard"/>
    <w:link w:val="Voetnootmarkering"/>
    <w:uiPriority w:val="99"/>
    <w:rsid w:val="001348E2"/>
    <w:pPr>
      <w:autoSpaceDN/>
      <w:spacing w:after="160" w:line="240" w:lineRule="exact"/>
      <w:jc w:val="both"/>
      <w:textAlignment w:val="auto"/>
    </w:pPr>
    <w:rPr>
      <w:rFonts w:ascii="Times New Roman" w:hAnsi="Times New Roman"/>
      <w:color w:val="auto"/>
      <w:sz w:val="20"/>
      <w:szCs w:val="20"/>
      <w:vertAlign w:val="superscript"/>
    </w:rPr>
  </w:style>
  <w:style w:type="character" w:customStyle="1" w:styleId="VoetnoottekstChar">
    <w:name w:val="Voetnoottekst Char"/>
    <w:basedOn w:val="Standaardalinea-lettertype"/>
    <w:link w:val="Voetnoottekst"/>
    <w:uiPriority w:val="99"/>
    <w:rsid w:val="00DA4EC6"/>
    <w:rPr>
      <w:rFonts w:ascii="Verdana" w:hAnsi="Verdana"/>
      <w:sz w:val="13"/>
      <w:szCs w:val="13"/>
    </w:rPr>
  </w:style>
  <w:style w:type="paragraph" w:styleId="Revisie">
    <w:name w:val="Revision"/>
    <w:hidden/>
    <w:uiPriority w:val="99"/>
    <w:semiHidden/>
    <w:rsid w:val="00201CC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B7531"/>
    <w:rPr>
      <w:sz w:val="16"/>
      <w:szCs w:val="16"/>
    </w:rPr>
  </w:style>
  <w:style w:type="paragraph" w:styleId="Tekstopmerking">
    <w:name w:val="annotation text"/>
    <w:basedOn w:val="Standaard"/>
    <w:link w:val="TekstopmerkingChar"/>
    <w:uiPriority w:val="99"/>
    <w:unhideWhenUsed/>
    <w:rsid w:val="00CB7531"/>
    <w:pPr>
      <w:spacing w:line="240" w:lineRule="auto"/>
    </w:pPr>
    <w:rPr>
      <w:sz w:val="20"/>
      <w:szCs w:val="20"/>
    </w:rPr>
  </w:style>
  <w:style w:type="character" w:customStyle="1" w:styleId="TekstopmerkingChar">
    <w:name w:val="Tekst opmerking Char"/>
    <w:basedOn w:val="Standaardalinea-lettertype"/>
    <w:link w:val="Tekstopmerking"/>
    <w:uiPriority w:val="99"/>
    <w:rsid w:val="00CB753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B7531"/>
    <w:rPr>
      <w:b/>
      <w:bCs/>
    </w:rPr>
  </w:style>
  <w:style w:type="character" w:customStyle="1" w:styleId="OnderwerpvanopmerkingChar">
    <w:name w:val="Onderwerp van opmerking Char"/>
    <w:basedOn w:val="TekstopmerkingChar"/>
    <w:link w:val="Onderwerpvanopmerking"/>
    <w:uiPriority w:val="99"/>
    <w:semiHidden/>
    <w:rsid w:val="00CB7531"/>
    <w:rPr>
      <w:rFonts w:ascii="Verdana" w:hAnsi="Verdana"/>
      <w:b/>
      <w:bCs/>
      <w:color w:val="000000"/>
    </w:rPr>
  </w:style>
  <w:style w:type="paragraph" w:styleId="Normaalweb">
    <w:name w:val="Normal (Web)"/>
    <w:basedOn w:val="Standaard"/>
    <w:uiPriority w:val="99"/>
    <w:semiHidden/>
    <w:unhideWhenUsed/>
    <w:rsid w:val="00C41C80"/>
    <w:rPr>
      <w:rFonts w:ascii="Times New Roman" w:hAnsi="Times New Roman" w:cs="Times New Roman"/>
      <w:sz w:val="24"/>
      <w:szCs w:val="24"/>
    </w:rPr>
  </w:style>
  <w:style w:type="paragraph" w:styleId="Voettekst">
    <w:name w:val="footer"/>
    <w:basedOn w:val="Standaard"/>
    <w:link w:val="VoettekstChar"/>
    <w:uiPriority w:val="99"/>
    <w:unhideWhenUsed/>
    <w:rsid w:val="00D7282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7282A"/>
    <w:rPr>
      <w:rFonts w:ascii="Verdana" w:hAnsi="Verdana"/>
      <w:color w:val="000000"/>
      <w:sz w:val="18"/>
      <w:szCs w:val="18"/>
    </w:rPr>
  </w:style>
  <w:style w:type="paragraph" w:customStyle="1" w:styleId="Default">
    <w:name w:val="Default"/>
    <w:rsid w:val="00BB1A56"/>
    <w:pPr>
      <w:autoSpaceDE w:val="0"/>
      <w:adjustRightInd w:val="0"/>
      <w:textAlignment w:val="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7867">
      <w:bodyDiv w:val="1"/>
      <w:marLeft w:val="0"/>
      <w:marRight w:val="0"/>
      <w:marTop w:val="0"/>
      <w:marBottom w:val="0"/>
      <w:divBdr>
        <w:top w:val="none" w:sz="0" w:space="0" w:color="auto"/>
        <w:left w:val="none" w:sz="0" w:space="0" w:color="auto"/>
        <w:bottom w:val="none" w:sz="0" w:space="0" w:color="auto"/>
        <w:right w:val="none" w:sz="0" w:space="0" w:color="auto"/>
      </w:divBdr>
    </w:div>
    <w:div w:id="82993648">
      <w:bodyDiv w:val="1"/>
      <w:marLeft w:val="0"/>
      <w:marRight w:val="0"/>
      <w:marTop w:val="0"/>
      <w:marBottom w:val="0"/>
      <w:divBdr>
        <w:top w:val="none" w:sz="0" w:space="0" w:color="auto"/>
        <w:left w:val="none" w:sz="0" w:space="0" w:color="auto"/>
        <w:bottom w:val="none" w:sz="0" w:space="0" w:color="auto"/>
        <w:right w:val="none" w:sz="0" w:space="0" w:color="auto"/>
      </w:divBdr>
    </w:div>
    <w:div w:id="455107072">
      <w:bodyDiv w:val="1"/>
      <w:marLeft w:val="0"/>
      <w:marRight w:val="0"/>
      <w:marTop w:val="0"/>
      <w:marBottom w:val="0"/>
      <w:divBdr>
        <w:top w:val="none" w:sz="0" w:space="0" w:color="auto"/>
        <w:left w:val="none" w:sz="0" w:space="0" w:color="auto"/>
        <w:bottom w:val="none" w:sz="0" w:space="0" w:color="auto"/>
        <w:right w:val="none" w:sz="0" w:space="0" w:color="auto"/>
      </w:divBdr>
    </w:div>
    <w:div w:id="516315488">
      <w:bodyDiv w:val="1"/>
      <w:marLeft w:val="0"/>
      <w:marRight w:val="0"/>
      <w:marTop w:val="0"/>
      <w:marBottom w:val="0"/>
      <w:divBdr>
        <w:top w:val="none" w:sz="0" w:space="0" w:color="auto"/>
        <w:left w:val="none" w:sz="0" w:space="0" w:color="auto"/>
        <w:bottom w:val="none" w:sz="0" w:space="0" w:color="auto"/>
        <w:right w:val="none" w:sz="0" w:space="0" w:color="auto"/>
      </w:divBdr>
    </w:div>
    <w:div w:id="623733853">
      <w:bodyDiv w:val="1"/>
      <w:marLeft w:val="0"/>
      <w:marRight w:val="0"/>
      <w:marTop w:val="0"/>
      <w:marBottom w:val="0"/>
      <w:divBdr>
        <w:top w:val="none" w:sz="0" w:space="0" w:color="auto"/>
        <w:left w:val="none" w:sz="0" w:space="0" w:color="auto"/>
        <w:bottom w:val="none" w:sz="0" w:space="0" w:color="auto"/>
        <w:right w:val="none" w:sz="0" w:space="0" w:color="auto"/>
      </w:divBdr>
    </w:div>
    <w:div w:id="712000434">
      <w:bodyDiv w:val="1"/>
      <w:marLeft w:val="0"/>
      <w:marRight w:val="0"/>
      <w:marTop w:val="0"/>
      <w:marBottom w:val="0"/>
      <w:divBdr>
        <w:top w:val="none" w:sz="0" w:space="0" w:color="auto"/>
        <w:left w:val="none" w:sz="0" w:space="0" w:color="auto"/>
        <w:bottom w:val="none" w:sz="0" w:space="0" w:color="auto"/>
        <w:right w:val="none" w:sz="0" w:space="0" w:color="auto"/>
      </w:divBdr>
    </w:div>
    <w:div w:id="741440964">
      <w:bodyDiv w:val="1"/>
      <w:marLeft w:val="0"/>
      <w:marRight w:val="0"/>
      <w:marTop w:val="0"/>
      <w:marBottom w:val="0"/>
      <w:divBdr>
        <w:top w:val="none" w:sz="0" w:space="0" w:color="auto"/>
        <w:left w:val="none" w:sz="0" w:space="0" w:color="auto"/>
        <w:bottom w:val="none" w:sz="0" w:space="0" w:color="auto"/>
        <w:right w:val="none" w:sz="0" w:space="0" w:color="auto"/>
      </w:divBdr>
    </w:div>
    <w:div w:id="811948942">
      <w:bodyDiv w:val="1"/>
      <w:marLeft w:val="0"/>
      <w:marRight w:val="0"/>
      <w:marTop w:val="0"/>
      <w:marBottom w:val="0"/>
      <w:divBdr>
        <w:top w:val="none" w:sz="0" w:space="0" w:color="auto"/>
        <w:left w:val="none" w:sz="0" w:space="0" w:color="auto"/>
        <w:bottom w:val="none" w:sz="0" w:space="0" w:color="auto"/>
        <w:right w:val="none" w:sz="0" w:space="0" w:color="auto"/>
      </w:divBdr>
    </w:div>
    <w:div w:id="917328040">
      <w:bodyDiv w:val="1"/>
      <w:marLeft w:val="0"/>
      <w:marRight w:val="0"/>
      <w:marTop w:val="0"/>
      <w:marBottom w:val="0"/>
      <w:divBdr>
        <w:top w:val="none" w:sz="0" w:space="0" w:color="auto"/>
        <w:left w:val="none" w:sz="0" w:space="0" w:color="auto"/>
        <w:bottom w:val="none" w:sz="0" w:space="0" w:color="auto"/>
        <w:right w:val="none" w:sz="0" w:space="0" w:color="auto"/>
      </w:divBdr>
    </w:div>
    <w:div w:id="1171916492">
      <w:bodyDiv w:val="1"/>
      <w:marLeft w:val="0"/>
      <w:marRight w:val="0"/>
      <w:marTop w:val="0"/>
      <w:marBottom w:val="0"/>
      <w:divBdr>
        <w:top w:val="none" w:sz="0" w:space="0" w:color="auto"/>
        <w:left w:val="none" w:sz="0" w:space="0" w:color="auto"/>
        <w:bottom w:val="none" w:sz="0" w:space="0" w:color="auto"/>
        <w:right w:val="none" w:sz="0" w:space="0" w:color="auto"/>
      </w:divBdr>
      <w:divsChild>
        <w:div w:id="1358314200">
          <w:marLeft w:val="0"/>
          <w:marRight w:val="0"/>
          <w:marTop w:val="240"/>
          <w:marBottom w:val="240"/>
          <w:divBdr>
            <w:top w:val="none" w:sz="0" w:space="0" w:color="auto"/>
            <w:left w:val="none" w:sz="0" w:space="0" w:color="auto"/>
            <w:bottom w:val="none" w:sz="0" w:space="0" w:color="auto"/>
            <w:right w:val="none" w:sz="0" w:space="0" w:color="auto"/>
          </w:divBdr>
        </w:div>
        <w:div w:id="74743034">
          <w:marLeft w:val="0"/>
          <w:marRight w:val="0"/>
          <w:marTop w:val="240"/>
          <w:marBottom w:val="240"/>
          <w:divBdr>
            <w:top w:val="none" w:sz="0" w:space="0" w:color="auto"/>
            <w:left w:val="none" w:sz="0" w:space="0" w:color="auto"/>
            <w:bottom w:val="none" w:sz="0" w:space="0" w:color="auto"/>
            <w:right w:val="none" w:sz="0" w:space="0" w:color="auto"/>
          </w:divBdr>
        </w:div>
        <w:div w:id="683362185">
          <w:marLeft w:val="0"/>
          <w:marRight w:val="0"/>
          <w:marTop w:val="240"/>
          <w:marBottom w:val="240"/>
          <w:divBdr>
            <w:top w:val="none" w:sz="0" w:space="0" w:color="auto"/>
            <w:left w:val="none" w:sz="0" w:space="0" w:color="auto"/>
            <w:bottom w:val="none" w:sz="0" w:space="0" w:color="auto"/>
            <w:right w:val="none" w:sz="0" w:space="0" w:color="auto"/>
          </w:divBdr>
        </w:div>
        <w:div w:id="1583098144">
          <w:marLeft w:val="0"/>
          <w:marRight w:val="0"/>
          <w:marTop w:val="240"/>
          <w:marBottom w:val="0"/>
          <w:divBdr>
            <w:top w:val="none" w:sz="0" w:space="0" w:color="auto"/>
            <w:left w:val="none" w:sz="0" w:space="0" w:color="auto"/>
            <w:bottom w:val="none" w:sz="0" w:space="0" w:color="auto"/>
            <w:right w:val="none" w:sz="0" w:space="0" w:color="auto"/>
          </w:divBdr>
        </w:div>
      </w:divsChild>
    </w:div>
    <w:div w:id="1282153432">
      <w:bodyDiv w:val="1"/>
      <w:marLeft w:val="0"/>
      <w:marRight w:val="0"/>
      <w:marTop w:val="0"/>
      <w:marBottom w:val="0"/>
      <w:divBdr>
        <w:top w:val="none" w:sz="0" w:space="0" w:color="auto"/>
        <w:left w:val="none" w:sz="0" w:space="0" w:color="auto"/>
        <w:bottom w:val="none" w:sz="0" w:space="0" w:color="auto"/>
        <w:right w:val="none" w:sz="0" w:space="0" w:color="auto"/>
      </w:divBdr>
      <w:divsChild>
        <w:div w:id="1687364703">
          <w:marLeft w:val="0"/>
          <w:marRight w:val="0"/>
          <w:marTop w:val="240"/>
          <w:marBottom w:val="240"/>
          <w:divBdr>
            <w:top w:val="none" w:sz="0" w:space="0" w:color="auto"/>
            <w:left w:val="none" w:sz="0" w:space="0" w:color="auto"/>
            <w:bottom w:val="none" w:sz="0" w:space="0" w:color="auto"/>
            <w:right w:val="none" w:sz="0" w:space="0" w:color="auto"/>
          </w:divBdr>
        </w:div>
        <w:div w:id="1694261495">
          <w:marLeft w:val="0"/>
          <w:marRight w:val="0"/>
          <w:marTop w:val="240"/>
          <w:marBottom w:val="240"/>
          <w:divBdr>
            <w:top w:val="none" w:sz="0" w:space="0" w:color="auto"/>
            <w:left w:val="none" w:sz="0" w:space="0" w:color="auto"/>
            <w:bottom w:val="none" w:sz="0" w:space="0" w:color="auto"/>
            <w:right w:val="none" w:sz="0" w:space="0" w:color="auto"/>
          </w:divBdr>
        </w:div>
        <w:div w:id="367461744">
          <w:marLeft w:val="0"/>
          <w:marRight w:val="0"/>
          <w:marTop w:val="240"/>
          <w:marBottom w:val="240"/>
          <w:divBdr>
            <w:top w:val="none" w:sz="0" w:space="0" w:color="auto"/>
            <w:left w:val="none" w:sz="0" w:space="0" w:color="auto"/>
            <w:bottom w:val="none" w:sz="0" w:space="0" w:color="auto"/>
            <w:right w:val="none" w:sz="0" w:space="0" w:color="auto"/>
          </w:divBdr>
        </w:div>
        <w:div w:id="718018507">
          <w:marLeft w:val="0"/>
          <w:marRight w:val="0"/>
          <w:marTop w:val="240"/>
          <w:marBottom w:val="0"/>
          <w:divBdr>
            <w:top w:val="none" w:sz="0" w:space="0" w:color="auto"/>
            <w:left w:val="none" w:sz="0" w:space="0" w:color="auto"/>
            <w:bottom w:val="none" w:sz="0" w:space="0" w:color="auto"/>
            <w:right w:val="none" w:sz="0" w:space="0" w:color="auto"/>
          </w:divBdr>
        </w:div>
      </w:divsChild>
    </w:div>
    <w:div w:id="1368069014">
      <w:bodyDiv w:val="1"/>
      <w:marLeft w:val="0"/>
      <w:marRight w:val="0"/>
      <w:marTop w:val="0"/>
      <w:marBottom w:val="0"/>
      <w:divBdr>
        <w:top w:val="none" w:sz="0" w:space="0" w:color="auto"/>
        <w:left w:val="none" w:sz="0" w:space="0" w:color="auto"/>
        <w:bottom w:val="none" w:sz="0" w:space="0" w:color="auto"/>
        <w:right w:val="none" w:sz="0" w:space="0" w:color="auto"/>
      </w:divBdr>
    </w:div>
    <w:div w:id="1405567911">
      <w:bodyDiv w:val="1"/>
      <w:marLeft w:val="0"/>
      <w:marRight w:val="0"/>
      <w:marTop w:val="0"/>
      <w:marBottom w:val="0"/>
      <w:divBdr>
        <w:top w:val="none" w:sz="0" w:space="0" w:color="auto"/>
        <w:left w:val="none" w:sz="0" w:space="0" w:color="auto"/>
        <w:bottom w:val="none" w:sz="0" w:space="0" w:color="auto"/>
        <w:right w:val="none" w:sz="0" w:space="0" w:color="auto"/>
      </w:divBdr>
    </w:div>
    <w:div w:id="1642267738">
      <w:bodyDiv w:val="1"/>
      <w:marLeft w:val="0"/>
      <w:marRight w:val="0"/>
      <w:marTop w:val="0"/>
      <w:marBottom w:val="0"/>
      <w:divBdr>
        <w:top w:val="none" w:sz="0" w:space="0" w:color="auto"/>
        <w:left w:val="none" w:sz="0" w:space="0" w:color="auto"/>
        <w:bottom w:val="none" w:sz="0" w:space="0" w:color="auto"/>
        <w:right w:val="none" w:sz="0" w:space="0" w:color="auto"/>
      </w:divBdr>
    </w:div>
    <w:div w:id="1710297168">
      <w:bodyDiv w:val="1"/>
      <w:marLeft w:val="0"/>
      <w:marRight w:val="0"/>
      <w:marTop w:val="0"/>
      <w:marBottom w:val="0"/>
      <w:divBdr>
        <w:top w:val="none" w:sz="0" w:space="0" w:color="auto"/>
        <w:left w:val="none" w:sz="0" w:space="0" w:color="auto"/>
        <w:bottom w:val="none" w:sz="0" w:space="0" w:color="auto"/>
        <w:right w:val="none" w:sz="0" w:space="0" w:color="auto"/>
      </w:divBdr>
    </w:div>
    <w:div w:id="1814591817">
      <w:bodyDiv w:val="1"/>
      <w:marLeft w:val="0"/>
      <w:marRight w:val="0"/>
      <w:marTop w:val="0"/>
      <w:marBottom w:val="0"/>
      <w:divBdr>
        <w:top w:val="none" w:sz="0" w:space="0" w:color="auto"/>
        <w:left w:val="none" w:sz="0" w:space="0" w:color="auto"/>
        <w:bottom w:val="none" w:sz="0" w:space="0" w:color="auto"/>
        <w:right w:val="none" w:sz="0" w:space="0" w:color="auto"/>
      </w:divBdr>
    </w:div>
    <w:div w:id="1839350174">
      <w:bodyDiv w:val="1"/>
      <w:marLeft w:val="0"/>
      <w:marRight w:val="0"/>
      <w:marTop w:val="0"/>
      <w:marBottom w:val="0"/>
      <w:divBdr>
        <w:top w:val="none" w:sz="0" w:space="0" w:color="auto"/>
        <w:left w:val="none" w:sz="0" w:space="0" w:color="auto"/>
        <w:bottom w:val="none" w:sz="0" w:space="0" w:color="auto"/>
        <w:right w:val="none" w:sz="0" w:space="0" w:color="auto"/>
      </w:divBdr>
    </w:div>
    <w:div w:id="1873762894">
      <w:bodyDiv w:val="1"/>
      <w:marLeft w:val="0"/>
      <w:marRight w:val="0"/>
      <w:marTop w:val="0"/>
      <w:marBottom w:val="0"/>
      <w:divBdr>
        <w:top w:val="none" w:sz="0" w:space="0" w:color="auto"/>
        <w:left w:val="none" w:sz="0" w:space="0" w:color="auto"/>
        <w:bottom w:val="none" w:sz="0" w:space="0" w:color="auto"/>
        <w:right w:val="none" w:sz="0" w:space="0" w:color="auto"/>
      </w:divBdr>
    </w:div>
    <w:div w:id="1945720150">
      <w:bodyDiv w:val="1"/>
      <w:marLeft w:val="0"/>
      <w:marRight w:val="0"/>
      <w:marTop w:val="0"/>
      <w:marBottom w:val="0"/>
      <w:divBdr>
        <w:top w:val="none" w:sz="0" w:space="0" w:color="auto"/>
        <w:left w:val="none" w:sz="0" w:space="0" w:color="auto"/>
        <w:bottom w:val="none" w:sz="0" w:space="0" w:color="auto"/>
        <w:right w:val="none" w:sz="0" w:space="0" w:color="auto"/>
      </w:divBdr>
    </w:div>
    <w:div w:id="1974211966">
      <w:bodyDiv w:val="1"/>
      <w:marLeft w:val="0"/>
      <w:marRight w:val="0"/>
      <w:marTop w:val="0"/>
      <w:marBottom w:val="0"/>
      <w:divBdr>
        <w:top w:val="none" w:sz="0" w:space="0" w:color="auto"/>
        <w:left w:val="none" w:sz="0" w:space="0" w:color="auto"/>
        <w:bottom w:val="none" w:sz="0" w:space="0" w:color="auto"/>
        <w:right w:val="none" w:sz="0" w:space="0" w:color="auto"/>
      </w:divBdr>
    </w:div>
    <w:div w:id="2026247282">
      <w:bodyDiv w:val="1"/>
      <w:marLeft w:val="0"/>
      <w:marRight w:val="0"/>
      <w:marTop w:val="0"/>
      <w:marBottom w:val="0"/>
      <w:divBdr>
        <w:top w:val="none" w:sz="0" w:space="0" w:color="auto"/>
        <w:left w:val="none" w:sz="0" w:space="0" w:color="auto"/>
        <w:bottom w:val="none" w:sz="0" w:space="0" w:color="auto"/>
        <w:right w:val="none" w:sz="0" w:space="0" w:color="auto"/>
      </w:divBdr>
    </w:div>
    <w:div w:id="206447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3974</ap:Words>
  <ap:Characters>21858</ap:Characters>
  <ap:DocSecurity>0</ap:DocSecurity>
  <ap:Lines>182</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2026-06-29T08:47:00.0000000Z</dcterms:created>
  <dcterms:modified xsi:type="dcterms:W3CDTF">2026-06-29T08:55:00.0000000Z</dcterms:modified>
  <dc:description>------------------------</dc:description>
  <dc:subject/>
  <keywords/>
  <version/>
  <category/>
</coreProperties>
</file>