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361F6F" w:rsidR="00286664" w:rsidP="00361F6F" w14:paraId="76EFA0EE" w14:textId="52773533">
      <w:pPr>
        <w:pStyle w:val="NoSpacing"/>
        <w:spacing w:line="276" w:lineRule="auto"/>
        <w:ind w:left="708" w:hanging="708"/>
        <w:rPr>
          <w:rFonts w:ascii="Verdana" w:hAnsi="Verdana"/>
          <w:b/>
          <w:bCs/>
          <w:sz w:val="18"/>
          <w:szCs w:val="18"/>
        </w:rPr>
      </w:pPr>
      <w:r w:rsidRPr="00361F6F">
        <w:rPr>
          <w:rFonts w:ascii="Verdana" w:hAnsi="Verdana"/>
          <w:b/>
          <w:bCs/>
          <w:sz w:val="18"/>
          <w:szCs w:val="18"/>
        </w:rPr>
        <w:t>36742</w:t>
      </w:r>
      <w:r w:rsidRPr="00361F6F">
        <w:rPr>
          <w:rFonts w:ascii="Verdana" w:hAnsi="Verdana"/>
          <w:b/>
          <w:bCs/>
          <w:sz w:val="18"/>
          <w:szCs w:val="18"/>
        </w:rPr>
        <w:tab/>
        <w:t>Regels betreffende de financiering van politieke partijen en transparantieregels met betrekking tot hun interne organisatie en financiën, evenals regels met betrekking tot het toezicht en het verbieden van politieke partijen (Wet op de politieke partijen)</w:t>
      </w:r>
    </w:p>
    <w:p w:rsidRPr="00361F6F" w:rsidR="00DD3987" w:rsidP="00361F6F" w14:paraId="4C27C638" w14:textId="77777777">
      <w:pPr>
        <w:pStyle w:val="NoSpacing"/>
        <w:spacing w:line="276" w:lineRule="auto"/>
        <w:rPr>
          <w:rFonts w:ascii="Verdana" w:hAnsi="Verdana"/>
          <w:sz w:val="18"/>
          <w:szCs w:val="18"/>
        </w:rPr>
      </w:pPr>
    </w:p>
    <w:p w:rsidRPr="00361F6F" w:rsidR="00DD3987" w:rsidP="00361F6F" w14:paraId="38C61DB4" w14:textId="67E25C52">
      <w:pPr>
        <w:pStyle w:val="NoSpacing"/>
        <w:spacing w:line="276" w:lineRule="auto"/>
        <w:rPr>
          <w:rFonts w:ascii="Verdana" w:hAnsi="Verdana"/>
          <w:b/>
          <w:bCs/>
          <w:sz w:val="18"/>
          <w:szCs w:val="18"/>
        </w:rPr>
      </w:pPr>
      <w:r w:rsidRPr="00361F6F">
        <w:rPr>
          <w:rFonts w:ascii="Verdana" w:hAnsi="Verdana"/>
          <w:b/>
          <w:bCs/>
          <w:sz w:val="18"/>
          <w:szCs w:val="18"/>
        </w:rPr>
        <w:tab/>
      </w:r>
      <w:r w:rsidRPr="00361F6F" w:rsidR="00707DE6">
        <w:rPr>
          <w:rFonts w:ascii="Verdana" w:hAnsi="Verdana"/>
          <w:b/>
          <w:bCs/>
          <w:sz w:val="18"/>
          <w:szCs w:val="18"/>
        </w:rPr>
        <w:t xml:space="preserve">Nota naar aanleiding van </w:t>
      </w:r>
      <w:r w:rsidRPr="00361F6F" w:rsidR="00EC73C1">
        <w:rPr>
          <w:rFonts w:ascii="Verdana" w:hAnsi="Verdana"/>
          <w:b/>
          <w:bCs/>
          <w:sz w:val="18"/>
          <w:szCs w:val="18"/>
        </w:rPr>
        <w:t xml:space="preserve">het </w:t>
      </w:r>
      <w:r w:rsidRPr="00361F6F" w:rsidR="00707DE6">
        <w:rPr>
          <w:rFonts w:ascii="Verdana" w:hAnsi="Verdana"/>
          <w:b/>
          <w:bCs/>
          <w:sz w:val="18"/>
          <w:szCs w:val="18"/>
        </w:rPr>
        <w:t>(</w:t>
      </w:r>
      <w:r w:rsidRPr="00361F6F" w:rsidR="00EC73C1">
        <w:rPr>
          <w:rFonts w:ascii="Verdana" w:hAnsi="Verdana"/>
          <w:b/>
          <w:bCs/>
          <w:sz w:val="18"/>
          <w:szCs w:val="18"/>
        </w:rPr>
        <w:t>n</w:t>
      </w:r>
      <w:r w:rsidRPr="00361F6F">
        <w:rPr>
          <w:rFonts w:ascii="Verdana" w:hAnsi="Verdana"/>
          <w:b/>
          <w:bCs/>
          <w:sz w:val="18"/>
          <w:szCs w:val="18"/>
        </w:rPr>
        <w:t>ader</w:t>
      </w:r>
      <w:r w:rsidRPr="00361F6F" w:rsidR="00707DE6">
        <w:rPr>
          <w:rFonts w:ascii="Verdana" w:hAnsi="Verdana"/>
          <w:b/>
          <w:bCs/>
          <w:sz w:val="18"/>
          <w:szCs w:val="18"/>
        </w:rPr>
        <w:t>)</w:t>
      </w:r>
      <w:r w:rsidRPr="00361F6F">
        <w:rPr>
          <w:rFonts w:ascii="Verdana" w:hAnsi="Verdana"/>
          <w:b/>
          <w:bCs/>
          <w:sz w:val="18"/>
          <w:szCs w:val="18"/>
        </w:rPr>
        <w:t xml:space="preserve"> verslag houdende een lijst </w:t>
      </w:r>
      <w:r w:rsidRPr="00361F6F" w:rsidR="00EC73C1">
        <w:rPr>
          <w:rFonts w:ascii="Verdana" w:hAnsi="Verdana"/>
          <w:b/>
          <w:bCs/>
          <w:sz w:val="18"/>
          <w:szCs w:val="18"/>
        </w:rPr>
        <w:t>met</w:t>
      </w:r>
      <w:r w:rsidRPr="00361F6F">
        <w:rPr>
          <w:rFonts w:ascii="Verdana" w:hAnsi="Verdana"/>
          <w:b/>
          <w:bCs/>
          <w:sz w:val="18"/>
          <w:szCs w:val="18"/>
        </w:rPr>
        <w:t xml:space="preserve"> vragen</w:t>
      </w:r>
    </w:p>
    <w:p w:rsidRPr="00361F6F" w:rsidR="00DD3987" w:rsidP="00361F6F" w14:paraId="6B7105D8" w14:textId="77777777">
      <w:pPr>
        <w:pStyle w:val="NoSpacing"/>
        <w:spacing w:line="276" w:lineRule="auto"/>
        <w:rPr>
          <w:rFonts w:ascii="Verdana" w:hAnsi="Verdana"/>
          <w:sz w:val="18"/>
          <w:szCs w:val="18"/>
        </w:rPr>
      </w:pPr>
    </w:p>
    <w:p w:rsidRPr="00361F6F" w:rsidR="00DD3987" w:rsidP="00361F6F" w14:paraId="737D3FA5" w14:textId="2BDA379B">
      <w:pPr>
        <w:pStyle w:val="NoSpacing"/>
        <w:spacing w:line="276" w:lineRule="auto"/>
        <w:ind w:left="708"/>
        <w:rPr>
          <w:rFonts w:ascii="Verdana" w:hAnsi="Verdana"/>
          <w:sz w:val="18"/>
          <w:szCs w:val="18"/>
        </w:rPr>
      </w:pPr>
      <w:r w:rsidRPr="00361F6F">
        <w:rPr>
          <w:rFonts w:ascii="Verdana" w:hAnsi="Verdana"/>
          <w:sz w:val="18"/>
          <w:szCs w:val="18"/>
        </w:rPr>
        <w:t xml:space="preserve">De vaste commissie voor Binnenlandse Zaken heeft een aantal vragen voorgelegd aan de </w:t>
      </w:r>
      <w:r w:rsidRPr="00361F6F" w:rsidR="00796EE9">
        <w:rPr>
          <w:rFonts w:ascii="Verdana" w:hAnsi="Verdana"/>
          <w:sz w:val="18"/>
          <w:szCs w:val="18"/>
        </w:rPr>
        <w:t>M</w:t>
      </w:r>
      <w:r w:rsidRPr="00361F6F">
        <w:rPr>
          <w:rFonts w:ascii="Verdana" w:hAnsi="Verdana"/>
          <w:sz w:val="18"/>
          <w:szCs w:val="18"/>
        </w:rPr>
        <w:t xml:space="preserve">inister van Binnenlandse Zaken en Koninkrijksrelaties inzake het voorstel van wet houdende </w:t>
      </w:r>
      <w:r w:rsidRPr="00361F6F" w:rsidR="00796EE9">
        <w:rPr>
          <w:rFonts w:ascii="Verdana" w:hAnsi="Verdana"/>
          <w:sz w:val="18"/>
          <w:szCs w:val="18"/>
        </w:rPr>
        <w:t>r</w:t>
      </w:r>
      <w:r w:rsidRPr="00361F6F">
        <w:rPr>
          <w:rFonts w:ascii="Verdana" w:hAnsi="Verdana"/>
          <w:sz w:val="18"/>
          <w:szCs w:val="18"/>
        </w:rPr>
        <w:t>egels betreffende de financiering van politieke partijen en transparantieregels met betrekking tot hun interne organisatie en financiën, evenals regels met betrekking tot het toezicht en het verbieden van politieke partijen (Wet op de politieke partijen) (Kamerstukken 36</w:t>
      </w:r>
      <w:r w:rsidRPr="00361F6F" w:rsidR="00796EE9">
        <w:rPr>
          <w:rFonts w:ascii="Verdana" w:hAnsi="Verdana"/>
          <w:sz w:val="18"/>
          <w:szCs w:val="18"/>
        </w:rPr>
        <w:t xml:space="preserve"> </w:t>
      </w:r>
      <w:r w:rsidRPr="00361F6F">
        <w:rPr>
          <w:rFonts w:ascii="Verdana" w:hAnsi="Verdana"/>
          <w:sz w:val="18"/>
          <w:szCs w:val="18"/>
        </w:rPr>
        <w:t>472, nr. 10).</w:t>
      </w:r>
      <w:r w:rsidRPr="00361F6F" w:rsidR="00EC73C1">
        <w:rPr>
          <w:rFonts w:ascii="Verdana" w:hAnsi="Verdana"/>
          <w:sz w:val="18"/>
          <w:szCs w:val="18"/>
        </w:rPr>
        <w:t xml:space="preserve"> </w:t>
      </w:r>
      <w:r w:rsidRPr="00361F6F" w:rsidR="00796EE9">
        <w:rPr>
          <w:rFonts w:ascii="Verdana" w:hAnsi="Verdana"/>
          <w:sz w:val="18"/>
          <w:szCs w:val="18"/>
        </w:rPr>
        <w:t>De regering dankt</w:t>
      </w:r>
      <w:r w:rsidRPr="00361F6F" w:rsidR="00EC73C1">
        <w:rPr>
          <w:rFonts w:ascii="Verdana" w:hAnsi="Verdana"/>
          <w:sz w:val="18"/>
          <w:szCs w:val="18"/>
        </w:rPr>
        <w:t xml:space="preserve"> de leden voor de gestelde vragen over het voorstel van wet. In het navolgende reageer</w:t>
      </w:r>
      <w:r w:rsidRPr="00361F6F" w:rsidR="00796EE9">
        <w:rPr>
          <w:rFonts w:ascii="Verdana" w:hAnsi="Verdana"/>
          <w:sz w:val="18"/>
          <w:szCs w:val="18"/>
        </w:rPr>
        <w:t>t zij</w:t>
      </w:r>
      <w:r w:rsidRPr="00361F6F" w:rsidR="00EC73C1">
        <w:rPr>
          <w:rFonts w:ascii="Verdana" w:hAnsi="Verdana"/>
          <w:sz w:val="18"/>
          <w:szCs w:val="18"/>
        </w:rPr>
        <w:t xml:space="preserve"> daarop. Zoals door uw commissie is </w:t>
      </w:r>
      <w:r w:rsidRPr="00361F6F" w:rsidR="000F50BF">
        <w:rPr>
          <w:rFonts w:ascii="Verdana" w:hAnsi="Verdana"/>
          <w:sz w:val="18"/>
          <w:szCs w:val="18"/>
        </w:rPr>
        <w:t>verzocht, is</w:t>
      </w:r>
      <w:r w:rsidRPr="00361F6F" w:rsidR="00EC73C1">
        <w:rPr>
          <w:rFonts w:ascii="Verdana" w:hAnsi="Verdana"/>
          <w:sz w:val="18"/>
          <w:szCs w:val="18"/>
        </w:rPr>
        <w:t xml:space="preserve"> elke vraag één op één beantwoord direct onder de vraag zelf.</w:t>
      </w:r>
    </w:p>
    <w:p w:rsidRPr="00361F6F" w:rsidR="00DD3987" w:rsidP="00361F6F" w14:paraId="7E8F0566" w14:textId="77777777">
      <w:pPr>
        <w:pStyle w:val="NoSpacing"/>
        <w:spacing w:line="276" w:lineRule="auto"/>
        <w:rPr>
          <w:rFonts w:ascii="Verdana" w:hAnsi="Verdana"/>
          <w:sz w:val="18"/>
          <w:szCs w:val="18"/>
        </w:rPr>
      </w:pPr>
    </w:p>
    <w:tbl>
      <w:tblPr>
        <w:tblW w:w="9574" w:type="dxa"/>
        <w:tblInd w:w="-426" w:type="dxa"/>
        <w:tblLayout w:type="fixed"/>
        <w:tblCellMar>
          <w:left w:w="0" w:type="dxa"/>
          <w:right w:w="0" w:type="dxa"/>
        </w:tblCellMar>
        <w:tblLook w:val="0000"/>
      </w:tblPr>
      <w:tblGrid>
        <w:gridCol w:w="284"/>
        <w:gridCol w:w="6805"/>
        <w:gridCol w:w="76"/>
        <w:gridCol w:w="774"/>
        <w:gridCol w:w="76"/>
        <w:gridCol w:w="916"/>
        <w:gridCol w:w="76"/>
        <w:gridCol w:w="491"/>
        <w:gridCol w:w="76"/>
      </w:tblGrid>
      <w:tr w:rsidTr="007A1C4D" w14:paraId="67733C93" w14:textId="77777777">
        <w:tblPrEx>
          <w:tblW w:w="9574" w:type="dxa"/>
          <w:tblInd w:w="-426" w:type="dxa"/>
          <w:tblLayout w:type="fixed"/>
          <w:tblCellMar>
            <w:left w:w="0" w:type="dxa"/>
            <w:right w:w="0" w:type="dxa"/>
          </w:tblCellMar>
          <w:tblLook w:val="0000"/>
        </w:tblPrEx>
        <w:trPr>
          <w:cantSplit/>
        </w:trPr>
        <w:tc>
          <w:tcPr>
            <w:tcW w:w="284" w:type="dxa"/>
          </w:tcPr>
          <w:p w:rsidRPr="00361F6F" w:rsidR="00DD3987" w:rsidP="00361F6F" w14:paraId="1162B268" w14:textId="77777777">
            <w:pPr>
              <w:spacing w:line="276" w:lineRule="auto"/>
              <w:rPr>
                <w:rFonts w:ascii="Verdana" w:hAnsi="Verdana"/>
                <w:b/>
                <w:bCs/>
                <w:sz w:val="18"/>
                <w:szCs w:val="18"/>
              </w:rPr>
            </w:pPr>
            <w:r w:rsidRPr="00361F6F">
              <w:rPr>
                <w:rFonts w:ascii="Verdana" w:hAnsi="Verdana"/>
                <w:b/>
                <w:bCs/>
                <w:sz w:val="18"/>
                <w:szCs w:val="18"/>
              </w:rPr>
              <w:t>Nr</w:t>
            </w:r>
          </w:p>
        </w:tc>
        <w:tc>
          <w:tcPr>
            <w:tcW w:w="6881" w:type="dxa"/>
            <w:gridSpan w:val="2"/>
          </w:tcPr>
          <w:p w:rsidRPr="00361F6F" w:rsidR="00DD3987" w:rsidP="00361F6F" w14:paraId="1262EF97" w14:textId="77777777">
            <w:pPr>
              <w:spacing w:line="276" w:lineRule="auto"/>
              <w:rPr>
                <w:rFonts w:ascii="Verdana" w:hAnsi="Verdana"/>
                <w:b/>
                <w:bCs/>
                <w:sz w:val="18"/>
                <w:szCs w:val="18"/>
              </w:rPr>
            </w:pPr>
            <w:r w:rsidRPr="00361F6F">
              <w:rPr>
                <w:rFonts w:ascii="Verdana" w:hAnsi="Verdana"/>
                <w:b/>
                <w:bCs/>
                <w:sz w:val="18"/>
                <w:szCs w:val="18"/>
              </w:rPr>
              <w:t>Vraag</w:t>
            </w:r>
          </w:p>
        </w:tc>
        <w:tc>
          <w:tcPr>
            <w:tcW w:w="850" w:type="dxa"/>
            <w:gridSpan w:val="2"/>
          </w:tcPr>
          <w:p w:rsidRPr="00361F6F" w:rsidR="00DD3987" w:rsidP="00361F6F" w14:paraId="788E22FB" w14:textId="71FC9CED">
            <w:pPr>
              <w:spacing w:line="276" w:lineRule="auto"/>
              <w:jc w:val="right"/>
              <w:rPr>
                <w:rFonts w:ascii="Verdana" w:hAnsi="Verdana"/>
                <w:b/>
                <w:bCs/>
                <w:sz w:val="18"/>
                <w:szCs w:val="18"/>
              </w:rPr>
            </w:pPr>
          </w:p>
        </w:tc>
        <w:tc>
          <w:tcPr>
            <w:tcW w:w="992" w:type="dxa"/>
            <w:gridSpan w:val="2"/>
          </w:tcPr>
          <w:p w:rsidRPr="00361F6F" w:rsidR="00DD3987" w:rsidP="00361F6F" w14:paraId="7FE1010C" w14:textId="031D1E3F">
            <w:pPr>
              <w:spacing w:line="276" w:lineRule="auto"/>
              <w:jc w:val="right"/>
              <w:rPr>
                <w:rFonts w:ascii="Verdana" w:hAnsi="Verdana"/>
                <w:b/>
                <w:bCs/>
                <w:sz w:val="18"/>
                <w:szCs w:val="18"/>
              </w:rPr>
            </w:pPr>
          </w:p>
        </w:tc>
        <w:tc>
          <w:tcPr>
            <w:tcW w:w="567" w:type="dxa"/>
            <w:gridSpan w:val="2"/>
          </w:tcPr>
          <w:p w:rsidRPr="00361F6F" w:rsidR="00DD3987" w:rsidP="00361F6F" w14:paraId="75F231F3" w14:textId="0F1E0AF7">
            <w:pPr>
              <w:spacing w:line="276" w:lineRule="auto"/>
              <w:jc w:val="center"/>
              <w:rPr>
                <w:rFonts w:ascii="Verdana" w:hAnsi="Verdana"/>
                <w:b/>
                <w:bCs/>
                <w:sz w:val="18"/>
                <w:szCs w:val="18"/>
              </w:rPr>
            </w:pPr>
          </w:p>
        </w:tc>
      </w:tr>
      <w:tr w:rsidTr="007A1C4D" w14:paraId="40443E5E" w14:textId="77777777">
        <w:tblPrEx>
          <w:tblW w:w="9574" w:type="dxa"/>
          <w:tblInd w:w="-426" w:type="dxa"/>
          <w:tblLayout w:type="fixed"/>
          <w:tblCellMar>
            <w:left w:w="0" w:type="dxa"/>
            <w:right w:w="0" w:type="dxa"/>
          </w:tblCellMar>
          <w:tblLook w:val="0000"/>
        </w:tblPrEx>
        <w:tc>
          <w:tcPr>
            <w:tcW w:w="284" w:type="dxa"/>
          </w:tcPr>
          <w:p w:rsidRPr="00361F6F" w:rsidR="00DD3987" w:rsidP="00361F6F" w14:paraId="0525EC0E" w14:textId="77777777">
            <w:pPr>
              <w:spacing w:line="276" w:lineRule="auto"/>
              <w:rPr>
                <w:rFonts w:ascii="Verdana" w:hAnsi="Verdana"/>
                <w:sz w:val="18"/>
                <w:szCs w:val="18"/>
              </w:rPr>
            </w:pPr>
            <w:r w:rsidRPr="00361F6F">
              <w:rPr>
                <w:rFonts w:ascii="Verdana" w:hAnsi="Verdana"/>
                <w:sz w:val="18"/>
                <w:szCs w:val="18"/>
              </w:rPr>
              <w:t>1</w:t>
            </w:r>
          </w:p>
          <w:p w:rsidRPr="00361F6F" w:rsidR="003843B7" w:rsidP="00361F6F" w14:paraId="4AE7B2A3" w14:textId="3C8E71B9">
            <w:pPr>
              <w:spacing w:line="276" w:lineRule="auto"/>
              <w:rPr>
                <w:rFonts w:ascii="Verdana" w:hAnsi="Verdana"/>
                <w:sz w:val="18"/>
                <w:szCs w:val="18"/>
              </w:rPr>
            </w:pPr>
          </w:p>
        </w:tc>
        <w:tc>
          <w:tcPr>
            <w:tcW w:w="6881" w:type="dxa"/>
            <w:gridSpan w:val="2"/>
          </w:tcPr>
          <w:p w:rsidRPr="00361F6F" w:rsidR="00DD3987" w:rsidP="00361F6F" w14:paraId="35BCEBE3" w14:textId="77777777">
            <w:pPr>
              <w:spacing w:line="276" w:lineRule="auto"/>
              <w:rPr>
                <w:rFonts w:ascii="Verdana" w:hAnsi="Verdana"/>
                <w:i/>
                <w:iCs/>
                <w:sz w:val="18"/>
                <w:szCs w:val="18"/>
              </w:rPr>
            </w:pPr>
            <w:r w:rsidRPr="00361F6F">
              <w:rPr>
                <w:rFonts w:ascii="Verdana" w:hAnsi="Verdana"/>
                <w:i/>
                <w:iCs/>
                <w:sz w:val="18"/>
                <w:szCs w:val="18"/>
              </w:rPr>
              <w:t>Kunt u aangeven waarom er gekozen is om géén grondwettelijke verankering van politieke partijen op te nemen, terwijl in veel andere Europese landen partijen wél grondwettelijk beschermd of geregeld zijn?</w:t>
            </w:r>
          </w:p>
          <w:p w:rsidR="008E70AB" w:rsidP="00361F6F" w14:paraId="701CBEBA" w14:textId="77777777">
            <w:pPr>
              <w:spacing w:line="276" w:lineRule="auto"/>
              <w:rPr>
                <w:rFonts w:ascii="Verdana" w:hAnsi="Verdana"/>
                <w:b/>
                <w:bCs/>
                <w:sz w:val="18"/>
                <w:szCs w:val="18"/>
              </w:rPr>
            </w:pPr>
            <w:r w:rsidRPr="00361F6F">
              <w:rPr>
                <w:rFonts w:ascii="Verdana" w:hAnsi="Verdana"/>
                <w:b/>
                <w:bCs/>
                <w:sz w:val="18"/>
                <w:szCs w:val="18"/>
              </w:rPr>
              <w:t>Antwoord:</w:t>
            </w:r>
          </w:p>
          <w:p w:rsidRPr="00361F6F" w:rsidR="0050016F" w:rsidP="0010029F" w14:paraId="2BB220AF" w14:textId="63A12093">
            <w:pPr>
              <w:spacing w:line="276" w:lineRule="auto"/>
              <w:rPr>
                <w:rFonts w:ascii="Verdana" w:hAnsi="Verdana"/>
                <w:sz w:val="18"/>
                <w:szCs w:val="18"/>
              </w:rPr>
            </w:pPr>
            <w:r w:rsidRPr="0010029F">
              <w:rPr>
                <w:rFonts w:ascii="Verdana" w:hAnsi="Verdana"/>
                <w:sz w:val="18"/>
                <w:szCs w:val="18"/>
              </w:rPr>
              <w:t xml:space="preserve">Zoals ook beschreven in de memorie van toelichting bij dit wetsvoorstel, kiest de regering ervoor om een wet tot stand te brengen die geen uitdrukkelijke grondslag heeft in de Grondwet. Deze keuze is in lijn met de overweging van de Staatscommissie parlementair stelsel (commissie-Remkes), die in haar rapport een constitutionele verankering “niet direct nodig acht”.  De regering ziet dat er nog geen brede en duurzame overeenstemming bestaat over wat de constitutionele rol van politieke partijen is en wat daaromtrent in de Grondwet, ook in verhouding tot andere grondwetsbepalingen, geregeld zou moeten worden. </w:t>
            </w:r>
            <w:r>
              <w:rPr>
                <w:rFonts w:ascii="Verdana" w:hAnsi="Verdana"/>
                <w:sz w:val="18"/>
                <w:szCs w:val="18"/>
              </w:rPr>
              <w:t>En h</w:t>
            </w:r>
            <w:r w:rsidRPr="0010029F">
              <w:rPr>
                <w:rFonts w:ascii="Verdana" w:hAnsi="Verdana"/>
                <w:sz w:val="18"/>
                <w:szCs w:val="18"/>
              </w:rPr>
              <w:t xml:space="preserve">oewel </w:t>
            </w:r>
            <w:r>
              <w:rPr>
                <w:rFonts w:ascii="Verdana" w:hAnsi="Verdana"/>
                <w:sz w:val="18"/>
                <w:szCs w:val="18"/>
              </w:rPr>
              <w:t xml:space="preserve">het klopt dat </w:t>
            </w:r>
            <w:r w:rsidRPr="0010029F">
              <w:rPr>
                <w:rFonts w:ascii="Verdana" w:hAnsi="Verdana"/>
                <w:sz w:val="18"/>
                <w:szCs w:val="18"/>
              </w:rPr>
              <w:t>in een aantal andere Europese landen politieke partijen wel worden genoemd in de Grondwet, is de bedoeling of betekenis hiervan ook verre van eenduidig. Alvorens grondwettelijke verankering van politieke partijen door de wetgever wordt overwogen, is nadere verkenning gewenst</w:t>
            </w:r>
            <w:r w:rsidR="00131608">
              <w:rPr>
                <w:rFonts w:ascii="Verdana" w:hAnsi="Verdana"/>
                <w:sz w:val="18"/>
                <w:szCs w:val="18"/>
              </w:rPr>
              <w:t>.</w:t>
            </w:r>
          </w:p>
        </w:tc>
        <w:tc>
          <w:tcPr>
            <w:tcW w:w="850" w:type="dxa"/>
            <w:gridSpan w:val="2"/>
          </w:tcPr>
          <w:p w:rsidRPr="00361F6F" w:rsidR="00DD3987" w:rsidP="00361F6F" w14:paraId="5C4684FD" w14:textId="77777777">
            <w:pPr>
              <w:spacing w:line="276" w:lineRule="auto"/>
              <w:jc w:val="right"/>
              <w:rPr>
                <w:rFonts w:ascii="Verdana" w:hAnsi="Verdana"/>
                <w:sz w:val="18"/>
                <w:szCs w:val="18"/>
              </w:rPr>
            </w:pPr>
          </w:p>
          <w:p w:rsidRPr="00361F6F" w:rsidR="00102C09" w:rsidP="00361F6F" w14:paraId="04F38BB3" w14:textId="77777777">
            <w:pPr>
              <w:spacing w:line="276" w:lineRule="auto"/>
              <w:jc w:val="right"/>
              <w:rPr>
                <w:rFonts w:ascii="Verdana" w:hAnsi="Verdana"/>
                <w:sz w:val="18"/>
                <w:szCs w:val="18"/>
              </w:rPr>
            </w:pPr>
          </w:p>
          <w:p w:rsidRPr="00361F6F" w:rsidR="00102C09" w:rsidP="00361F6F" w14:paraId="0063B18D" w14:textId="77777777">
            <w:pPr>
              <w:spacing w:line="276" w:lineRule="auto"/>
              <w:jc w:val="right"/>
              <w:rPr>
                <w:rFonts w:ascii="Verdana" w:hAnsi="Verdana"/>
                <w:sz w:val="18"/>
                <w:szCs w:val="18"/>
              </w:rPr>
            </w:pPr>
          </w:p>
          <w:p w:rsidRPr="00361F6F" w:rsidR="002A3446" w:rsidP="00361F6F" w14:paraId="725867A6" w14:textId="77777777">
            <w:pPr>
              <w:spacing w:line="276" w:lineRule="auto"/>
              <w:jc w:val="right"/>
              <w:rPr>
                <w:rFonts w:ascii="Verdana" w:hAnsi="Verdana"/>
                <w:sz w:val="18"/>
                <w:szCs w:val="18"/>
              </w:rPr>
            </w:pPr>
          </w:p>
          <w:p w:rsidRPr="00361F6F" w:rsidR="002A3446" w:rsidP="00361F6F" w14:paraId="4EC87476" w14:textId="7A768CCE">
            <w:pPr>
              <w:spacing w:line="276" w:lineRule="auto"/>
              <w:jc w:val="right"/>
              <w:rPr>
                <w:rFonts w:ascii="Verdana" w:hAnsi="Verdana"/>
                <w:sz w:val="18"/>
                <w:szCs w:val="18"/>
              </w:rPr>
            </w:pPr>
          </w:p>
          <w:p w:rsidRPr="00361F6F" w:rsidR="005908FF" w:rsidP="00361F6F" w14:paraId="6B9C9C68" w14:textId="5B57E59C">
            <w:pPr>
              <w:spacing w:line="276" w:lineRule="auto"/>
              <w:jc w:val="right"/>
              <w:rPr>
                <w:rFonts w:ascii="Verdana" w:hAnsi="Verdana"/>
                <w:sz w:val="18"/>
                <w:szCs w:val="18"/>
              </w:rPr>
            </w:pPr>
          </w:p>
        </w:tc>
        <w:tc>
          <w:tcPr>
            <w:tcW w:w="992" w:type="dxa"/>
            <w:gridSpan w:val="2"/>
          </w:tcPr>
          <w:p w:rsidRPr="00361F6F" w:rsidR="00DD3987" w:rsidP="00361F6F" w14:paraId="722942E1" w14:textId="77777777">
            <w:pPr>
              <w:spacing w:line="276" w:lineRule="auto"/>
              <w:jc w:val="right"/>
              <w:rPr>
                <w:rFonts w:ascii="Verdana" w:hAnsi="Verdana"/>
                <w:sz w:val="18"/>
                <w:szCs w:val="18"/>
              </w:rPr>
            </w:pPr>
          </w:p>
        </w:tc>
        <w:tc>
          <w:tcPr>
            <w:tcW w:w="567" w:type="dxa"/>
            <w:gridSpan w:val="2"/>
            <w:tcBorders>
              <w:left w:val="nil"/>
            </w:tcBorders>
          </w:tcPr>
          <w:p w:rsidRPr="00361F6F" w:rsidR="00DD3987" w:rsidP="00361F6F" w14:paraId="33F7B0BE" w14:textId="77777777">
            <w:pPr>
              <w:spacing w:line="276" w:lineRule="auto"/>
              <w:jc w:val="right"/>
              <w:rPr>
                <w:rFonts w:ascii="Verdana" w:hAnsi="Verdana"/>
                <w:sz w:val="18"/>
                <w:szCs w:val="18"/>
              </w:rPr>
            </w:pPr>
            <w:r w:rsidRPr="00361F6F">
              <w:rPr>
                <w:rFonts w:ascii="Verdana" w:hAnsi="Verdana"/>
                <w:sz w:val="18"/>
                <w:szCs w:val="18"/>
              </w:rPr>
              <w:t xml:space="preserve"> </w:t>
            </w:r>
          </w:p>
        </w:tc>
      </w:tr>
      <w:tr w:rsidTr="007A1C4D" w14:paraId="6BFF5525" w14:textId="77777777">
        <w:tblPrEx>
          <w:tblW w:w="9574" w:type="dxa"/>
          <w:tblInd w:w="-426" w:type="dxa"/>
          <w:tblLayout w:type="fixed"/>
          <w:tblCellMar>
            <w:left w:w="0" w:type="dxa"/>
            <w:right w:w="0" w:type="dxa"/>
          </w:tblCellMar>
          <w:tblLook w:val="0000"/>
        </w:tblPrEx>
        <w:tc>
          <w:tcPr>
            <w:tcW w:w="284" w:type="dxa"/>
          </w:tcPr>
          <w:p w:rsidRPr="00361F6F" w:rsidR="00DD3987" w:rsidP="00361F6F" w14:paraId="151971B8" w14:textId="77777777">
            <w:pPr>
              <w:spacing w:line="276" w:lineRule="auto"/>
              <w:rPr>
                <w:rFonts w:ascii="Verdana" w:hAnsi="Verdana"/>
                <w:sz w:val="18"/>
                <w:szCs w:val="18"/>
              </w:rPr>
            </w:pPr>
            <w:r w:rsidRPr="00361F6F">
              <w:rPr>
                <w:rFonts w:ascii="Verdana" w:hAnsi="Verdana"/>
                <w:sz w:val="18"/>
                <w:szCs w:val="18"/>
              </w:rPr>
              <w:t>2</w:t>
            </w:r>
          </w:p>
        </w:tc>
        <w:tc>
          <w:tcPr>
            <w:tcW w:w="6881" w:type="dxa"/>
            <w:gridSpan w:val="2"/>
          </w:tcPr>
          <w:p w:rsidRPr="00361F6F" w:rsidR="00583729" w:rsidP="00361F6F" w14:paraId="59517BEC" w14:textId="2938B035">
            <w:pPr>
              <w:pStyle w:val="NoSpacing"/>
              <w:spacing w:after="160" w:line="276" w:lineRule="auto"/>
              <w:rPr>
                <w:rFonts w:ascii="Verdana" w:hAnsi="Verdana"/>
                <w:i/>
                <w:iCs/>
                <w:sz w:val="18"/>
                <w:szCs w:val="18"/>
              </w:rPr>
            </w:pPr>
            <w:r w:rsidRPr="00361F6F">
              <w:rPr>
                <w:rFonts w:ascii="Verdana" w:hAnsi="Verdana"/>
                <w:i/>
                <w:iCs/>
                <w:sz w:val="18"/>
                <w:szCs w:val="18"/>
              </w:rPr>
              <w:t>Waarom acht u het wenselijk dat ook decentrale politieke partijen onder de werking van deze wet vallen, terwijl zij vaak op vrijwilligers draaien en over beperkte middelen beschikken?</w:t>
            </w:r>
          </w:p>
          <w:p w:rsidRPr="00361F6F" w:rsidR="00DD3987" w:rsidP="00361F6F" w14:paraId="5F8A8F8F" w14:textId="1D68D21E">
            <w:pPr>
              <w:pStyle w:val="NoSpacing"/>
              <w:spacing w:after="160" w:line="276" w:lineRule="auto"/>
              <w:rPr>
                <w:rFonts w:ascii="Verdana" w:hAnsi="Verdana"/>
                <w:sz w:val="18"/>
                <w:szCs w:val="18"/>
              </w:rPr>
            </w:pPr>
            <w:r w:rsidRPr="00361F6F">
              <w:rPr>
                <w:rFonts w:ascii="Verdana" w:hAnsi="Verdana"/>
                <w:b/>
                <w:bCs/>
                <w:sz w:val="18"/>
                <w:szCs w:val="18"/>
              </w:rPr>
              <w:t>Antwoord:</w:t>
            </w:r>
          </w:p>
          <w:p w:rsidRPr="00361F6F" w:rsidR="00AF5249" w:rsidP="00361F6F" w14:paraId="47668963" w14:textId="06DC46E5">
            <w:pPr>
              <w:pStyle w:val="NoSpacing"/>
              <w:spacing w:after="160" w:line="276" w:lineRule="auto"/>
              <w:rPr>
                <w:rFonts w:ascii="Verdana" w:hAnsi="Verdana"/>
                <w:sz w:val="18"/>
                <w:szCs w:val="18"/>
              </w:rPr>
            </w:pPr>
            <w:r w:rsidRPr="00361F6F">
              <w:rPr>
                <w:rFonts w:ascii="Verdana" w:hAnsi="Verdana"/>
                <w:sz w:val="18"/>
                <w:szCs w:val="18"/>
              </w:rPr>
              <w:t>Sinds de invoering van de</w:t>
            </w:r>
            <w:r w:rsidRPr="00361F6F" w:rsidR="0053089C">
              <w:rPr>
                <w:rFonts w:ascii="Verdana" w:hAnsi="Verdana"/>
                <w:sz w:val="18"/>
                <w:szCs w:val="18"/>
              </w:rPr>
              <w:t xml:space="preserve"> Wet financiering politieke partijen (hierna:</w:t>
            </w:r>
            <w:r w:rsidRPr="00361F6F">
              <w:rPr>
                <w:rFonts w:ascii="Verdana" w:hAnsi="Verdana"/>
                <w:sz w:val="18"/>
                <w:szCs w:val="18"/>
              </w:rPr>
              <w:t xml:space="preserve"> Wfpp</w:t>
            </w:r>
            <w:r w:rsidRPr="00361F6F" w:rsidR="001D2051">
              <w:rPr>
                <w:rFonts w:ascii="Verdana" w:hAnsi="Verdana"/>
                <w:sz w:val="18"/>
                <w:szCs w:val="18"/>
              </w:rPr>
              <w:t>)</w:t>
            </w:r>
            <w:r w:rsidRPr="00361F6F">
              <w:rPr>
                <w:rFonts w:ascii="Verdana" w:hAnsi="Verdana"/>
                <w:sz w:val="18"/>
                <w:szCs w:val="18"/>
              </w:rPr>
              <w:t xml:space="preserve"> zijn steeds meer taken en verantwoordelijkheden bij het decentraal bestuur belegd. Voor decentrale politieke partijen geldt daarmee in toenemende mate dat zij, net als landelijke politieke partijen, bijdragen aan publieke besluitvorming en verantwoord</w:t>
            </w:r>
            <w:r w:rsidRPr="00361F6F" w:rsidR="0050016F">
              <w:rPr>
                <w:rFonts w:ascii="Verdana" w:hAnsi="Verdana"/>
                <w:sz w:val="18"/>
                <w:szCs w:val="18"/>
              </w:rPr>
              <w:t>elijkheid dragen voor wat er op decentraal niveau gebeur</w:t>
            </w:r>
            <w:r w:rsidRPr="00361F6F" w:rsidR="001D2051">
              <w:rPr>
                <w:rFonts w:ascii="Verdana" w:hAnsi="Verdana"/>
                <w:sz w:val="18"/>
                <w:szCs w:val="18"/>
              </w:rPr>
              <w:t>t</w:t>
            </w:r>
            <w:r w:rsidRPr="00361F6F">
              <w:rPr>
                <w:rFonts w:ascii="Verdana" w:hAnsi="Verdana"/>
                <w:sz w:val="18"/>
                <w:szCs w:val="18"/>
              </w:rPr>
              <w:t xml:space="preserve">. In het licht hiervan acht de regering het passend om de bestaande regelgeving ten aanzien van landelijke politieke partijen in de Wpp in grote lijnen ook toe te passen op decentrale politieke partijen. </w:t>
            </w:r>
          </w:p>
          <w:p w:rsidRPr="00361F6F" w:rsidR="00AF5249" w:rsidP="00361F6F" w14:paraId="7696D532" w14:textId="0AFA5239">
            <w:pPr>
              <w:pStyle w:val="NoSpacing"/>
              <w:spacing w:after="160" w:line="276" w:lineRule="auto"/>
              <w:rPr>
                <w:rFonts w:ascii="Verdana" w:hAnsi="Verdana" w:eastAsia="Times New Roman"/>
                <w:sz w:val="18"/>
                <w:szCs w:val="18"/>
              </w:rPr>
            </w:pPr>
            <w:r w:rsidRPr="00361F6F">
              <w:rPr>
                <w:rFonts w:ascii="Verdana" w:hAnsi="Verdana" w:eastAsia="Times New Roman"/>
                <w:sz w:val="18"/>
                <w:szCs w:val="18"/>
              </w:rPr>
              <w:t xml:space="preserve">Ook in </w:t>
            </w:r>
            <w:r w:rsidRPr="00361F6F" w:rsidR="0053089C">
              <w:rPr>
                <w:rFonts w:ascii="Verdana" w:hAnsi="Verdana" w:eastAsia="Times New Roman"/>
                <w:sz w:val="18"/>
                <w:szCs w:val="18"/>
              </w:rPr>
              <w:t>het</w:t>
            </w:r>
            <w:r w:rsidRPr="00361F6F">
              <w:rPr>
                <w:rFonts w:ascii="Verdana" w:hAnsi="Verdana" w:eastAsia="Times New Roman"/>
                <w:sz w:val="18"/>
                <w:szCs w:val="18"/>
              </w:rPr>
              <w:t xml:space="preserve"> rapport van de </w:t>
            </w:r>
            <w:r w:rsidRPr="00361F6F" w:rsidR="0053089C">
              <w:rPr>
                <w:rFonts w:ascii="Verdana" w:hAnsi="Verdana" w:eastAsia="Times New Roman"/>
                <w:sz w:val="18"/>
                <w:szCs w:val="18"/>
              </w:rPr>
              <w:t>A</w:t>
            </w:r>
            <w:r w:rsidRPr="00361F6F">
              <w:rPr>
                <w:rFonts w:ascii="Verdana" w:hAnsi="Verdana" w:eastAsia="Times New Roman"/>
                <w:sz w:val="18"/>
                <w:szCs w:val="18"/>
              </w:rPr>
              <w:t>dviescommissie Wet financiering politieke partijen n</w:t>
            </w:r>
            <w:r w:rsidRPr="00361F6F" w:rsidR="00DD404C">
              <w:rPr>
                <w:rFonts w:ascii="Verdana" w:hAnsi="Verdana" w:eastAsia="Times New Roman"/>
                <w:sz w:val="18"/>
                <w:szCs w:val="18"/>
              </w:rPr>
              <w:t>aar aanleiding van</w:t>
            </w:r>
            <w:r w:rsidRPr="00361F6F">
              <w:rPr>
                <w:rFonts w:ascii="Verdana" w:hAnsi="Verdana" w:eastAsia="Times New Roman"/>
                <w:sz w:val="18"/>
                <w:szCs w:val="18"/>
              </w:rPr>
              <w:t xml:space="preserve"> de evaluatie van de Wet financiering politieke partijen werd geadviseerd om in de Wfpp bindende regelgeving op te nemen inzake de transparantie van de inkomsten van decentrale partijen. </w:t>
            </w:r>
            <w:r w:rsidRPr="00361F6F">
              <w:rPr>
                <w:rFonts w:ascii="Verdana" w:hAnsi="Verdana" w:eastAsia="Times New Roman"/>
                <w:sz w:val="18"/>
                <w:szCs w:val="18"/>
              </w:rPr>
              <w:t>De commissie deelt in haar rapport de zorg voor de administratieve lasten</w:t>
            </w:r>
            <w:r w:rsidRPr="00361F6F" w:rsidR="00DE17DB">
              <w:rPr>
                <w:rFonts w:ascii="Verdana" w:hAnsi="Verdana" w:eastAsia="Times New Roman"/>
                <w:sz w:val="18"/>
                <w:szCs w:val="18"/>
              </w:rPr>
              <w:t>, maar benadrukt ook het belang van transparantie van de geldstromen van partijen in het decentraal bestuur</w:t>
            </w:r>
            <w:r w:rsidRPr="00361F6F">
              <w:rPr>
                <w:rFonts w:ascii="Verdana" w:hAnsi="Verdana" w:eastAsia="Times New Roman"/>
                <w:sz w:val="18"/>
                <w:szCs w:val="18"/>
              </w:rPr>
              <w:t>. Ook in het decentrale bestuur moet het voor burgers duidelijk zijn welke mogelijke financiële beïnvloedingsrelaties er zijn</w:t>
            </w:r>
            <w:r w:rsidRPr="00361F6F" w:rsidR="00DE17DB">
              <w:rPr>
                <w:rFonts w:ascii="Verdana" w:hAnsi="Verdana" w:eastAsia="Times New Roman"/>
                <w:sz w:val="18"/>
                <w:szCs w:val="18"/>
              </w:rPr>
              <w:t>.</w:t>
            </w:r>
            <w:r>
              <w:rPr>
                <w:rStyle w:val="FootnoteReference"/>
                <w:rFonts w:ascii="Verdana" w:hAnsi="Verdana" w:eastAsia="Times New Roman"/>
                <w:sz w:val="18"/>
                <w:szCs w:val="18"/>
              </w:rPr>
              <w:footnoteReference w:id="2"/>
            </w:r>
          </w:p>
          <w:p w:rsidRPr="00361F6F" w:rsidR="002E1469" w:rsidP="00361F6F" w14:paraId="2C2DB1C6" w14:textId="4730E195">
            <w:pPr>
              <w:pStyle w:val="NoSpacing"/>
              <w:spacing w:after="160" w:line="276" w:lineRule="auto"/>
              <w:rPr>
                <w:rFonts w:ascii="Verdana" w:hAnsi="Verdana" w:eastAsia="Times New Roman"/>
                <w:sz w:val="18"/>
                <w:szCs w:val="18"/>
              </w:rPr>
            </w:pPr>
            <w:r w:rsidRPr="00361F6F">
              <w:rPr>
                <w:rFonts w:ascii="Verdana" w:hAnsi="Verdana"/>
                <w:sz w:val="18"/>
                <w:szCs w:val="18"/>
              </w:rPr>
              <w:t>Tot slot</w:t>
            </w:r>
            <w:r w:rsidRPr="00361F6F" w:rsidR="007652B1">
              <w:rPr>
                <w:rFonts w:ascii="Verdana" w:hAnsi="Verdana"/>
                <w:sz w:val="18"/>
                <w:szCs w:val="18"/>
              </w:rPr>
              <w:t xml:space="preserve"> </w:t>
            </w:r>
            <w:r w:rsidRPr="00361F6F" w:rsidR="0050016F">
              <w:rPr>
                <w:rFonts w:ascii="Verdana" w:hAnsi="Verdana"/>
                <w:sz w:val="18"/>
                <w:szCs w:val="18"/>
              </w:rPr>
              <w:t xml:space="preserve">brengt het gegeven dat </w:t>
            </w:r>
            <w:r w:rsidRPr="00361F6F">
              <w:rPr>
                <w:rFonts w:ascii="Verdana" w:hAnsi="Verdana"/>
                <w:sz w:val="18"/>
                <w:szCs w:val="18"/>
              </w:rPr>
              <w:t>decentrale politieke partijen onder de</w:t>
            </w:r>
            <w:r w:rsidRPr="00361F6F" w:rsidR="0050016F">
              <w:rPr>
                <w:rFonts w:ascii="Verdana" w:hAnsi="Verdana"/>
                <w:sz w:val="18"/>
                <w:szCs w:val="18"/>
              </w:rPr>
              <w:t xml:space="preserve"> werking van de</w:t>
            </w:r>
            <w:r w:rsidRPr="00361F6F">
              <w:rPr>
                <w:rFonts w:ascii="Verdana" w:hAnsi="Verdana"/>
                <w:sz w:val="18"/>
                <w:szCs w:val="18"/>
              </w:rPr>
              <w:t xml:space="preserve"> Wpp </w:t>
            </w:r>
            <w:r w:rsidRPr="00361F6F" w:rsidR="0050016F">
              <w:rPr>
                <w:rFonts w:ascii="Verdana" w:hAnsi="Verdana"/>
                <w:sz w:val="18"/>
                <w:szCs w:val="18"/>
              </w:rPr>
              <w:t xml:space="preserve">worden gebracht </w:t>
            </w:r>
            <w:r w:rsidRPr="00361F6F">
              <w:rPr>
                <w:rFonts w:ascii="Verdana" w:hAnsi="Verdana"/>
                <w:sz w:val="18"/>
                <w:szCs w:val="18"/>
              </w:rPr>
              <w:t>niet alleen dat</w:t>
            </w:r>
            <w:r w:rsidRPr="00361F6F" w:rsidR="007652B1">
              <w:rPr>
                <w:rFonts w:ascii="Verdana" w:hAnsi="Verdana"/>
                <w:sz w:val="18"/>
                <w:szCs w:val="18"/>
              </w:rPr>
              <w:t xml:space="preserve"> politieke partijen moeten voldoen aan (transparantie)regels, maar </w:t>
            </w:r>
            <w:r w:rsidRPr="00361F6F" w:rsidR="0050016F">
              <w:rPr>
                <w:rFonts w:ascii="Verdana" w:hAnsi="Verdana"/>
                <w:sz w:val="18"/>
                <w:szCs w:val="18"/>
              </w:rPr>
              <w:t>wordt met</w:t>
            </w:r>
            <w:r w:rsidRPr="00361F6F">
              <w:rPr>
                <w:rFonts w:ascii="Verdana" w:hAnsi="Verdana"/>
                <w:sz w:val="18"/>
                <w:szCs w:val="18"/>
              </w:rPr>
              <w:t xml:space="preserve"> de</w:t>
            </w:r>
            <w:r w:rsidRPr="00361F6F" w:rsidR="0050016F">
              <w:rPr>
                <w:rFonts w:ascii="Verdana" w:hAnsi="Verdana"/>
                <w:sz w:val="18"/>
                <w:szCs w:val="18"/>
              </w:rPr>
              <w:t>ze</w:t>
            </w:r>
            <w:r w:rsidRPr="00361F6F">
              <w:rPr>
                <w:rFonts w:ascii="Verdana" w:hAnsi="Verdana"/>
                <w:sz w:val="18"/>
                <w:szCs w:val="18"/>
              </w:rPr>
              <w:t xml:space="preserve"> wet ook </w:t>
            </w:r>
            <w:r w:rsidRPr="00361F6F" w:rsidR="0050016F">
              <w:rPr>
                <w:rFonts w:ascii="Verdana" w:hAnsi="Verdana"/>
                <w:sz w:val="18"/>
                <w:szCs w:val="18"/>
              </w:rPr>
              <w:t xml:space="preserve">geregeld </w:t>
            </w:r>
            <w:r w:rsidRPr="00361F6F">
              <w:rPr>
                <w:rFonts w:ascii="Verdana" w:hAnsi="Verdana"/>
                <w:sz w:val="18"/>
                <w:szCs w:val="18"/>
              </w:rPr>
              <w:t xml:space="preserve">dat zij </w:t>
            </w:r>
            <w:r w:rsidRPr="00361F6F" w:rsidR="007652B1">
              <w:rPr>
                <w:rFonts w:ascii="Verdana" w:hAnsi="Verdana"/>
                <w:sz w:val="18"/>
                <w:szCs w:val="18"/>
              </w:rPr>
              <w:t xml:space="preserve">aanspraak kunnen maken op subsidie. </w:t>
            </w:r>
            <w:r w:rsidRPr="00361F6F" w:rsidR="00A87B10">
              <w:rPr>
                <w:rFonts w:ascii="Verdana" w:hAnsi="Verdana" w:eastAsia="Times New Roman"/>
                <w:sz w:val="18"/>
                <w:szCs w:val="18"/>
              </w:rPr>
              <w:t xml:space="preserve">Dit sluit aan bij het streven om een gelijker speelveld te creëren tussen landelijke en decentrale politieke partijen. </w:t>
            </w:r>
          </w:p>
          <w:p w:rsidRPr="00361F6F" w:rsidR="00583729" w:rsidP="00361F6F" w14:paraId="1E0365C1" w14:textId="276C5551">
            <w:pPr>
              <w:pStyle w:val="NoSpacing"/>
              <w:spacing w:after="160" w:line="276" w:lineRule="auto"/>
              <w:rPr>
                <w:rFonts w:ascii="Verdana" w:hAnsi="Verdana"/>
                <w:sz w:val="18"/>
                <w:szCs w:val="18"/>
              </w:rPr>
            </w:pPr>
          </w:p>
        </w:tc>
        <w:tc>
          <w:tcPr>
            <w:tcW w:w="850" w:type="dxa"/>
            <w:gridSpan w:val="2"/>
          </w:tcPr>
          <w:p w:rsidRPr="00361F6F" w:rsidR="00DD3987" w:rsidP="00361F6F" w14:paraId="036355FD" w14:textId="77777777">
            <w:pPr>
              <w:spacing w:line="276" w:lineRule="auto"/>
              <w:jc w:val="right"/>
              <w:rPr>
                <w:rFonts w:ascii="Verdana" w:hAnsi="Verdana"/>
                <w:sz w:val="18"/>
                <w:szCs w:val="18"/>
              </w:rPr>
            </w:pPr>
          </w:p>
        </w:tc>
        <w:tc>
          <w:tcPr>
            <w:tcW w:w="992" w:type="dxa"/>
            <w:gridSpan w:val="2"/>
          </w:tcPr>
          <w:p w:rsidRPr="00361F6F" w:rsidR="00DD3987" w:rsidP="00361F6F" w14:paraId="14E67938" w14:textId="77777777">
            <w:pPr>
              <w:spacing w:line="276" w:lineRule="auto"/>
              <w:jc w:val="right"/>
              <w:rPr>
                <w:rFonts w:ascii="Verdana" w:hAnsi="Verdana"/>
                <w:sz w:val="18"/>
                <w:szCs w:val="18"/>
              </w:rPr>
            </w:pPr>
          </w:p>
        </w:tc>
        <w:tc>
          <w:tcPr>
            <w:tcW w:w="567" w:type="dxa"/>
            <w:gridSpan w:val="2"/>
            <w:tcBorders>
              <w:left w:val="nil"/>
            </w:tcBorders>
          </w:tcPr>
          <w:p w:rsidRPr="00361F6F" w:rsidR="00DD3987" w:rsidP="00361F6F" w14:paraId="68C5168F" w14:textId="77777777">
            <w:pPr>
              <w:spacing w:line="276" w:lineRule="auto"/>
              <w:jc w:val="right"/>
              <w:rPr>
                <w:rFonts w:ascii="Verdana" w:hAnsi="Verdana"/>
                <w:sz w:val="18"/>
                <w:szCs w:val="18"/>
              </w:rPr>
            </w:pPr>
            <w:r w:rsidRPr="00361F6F">
              <w:rPr>
                <w:rFonts w:ascii="Verdana" w:hAnsi="Verdana"/>
                <w:sz w:val="18"/>
                <w:szCs w:val="18"/>
              </w:rPr>
              <w:t xml:space="preserve"> </w:t>
            </w:r>
          </w:p>
        </w:tc>
      </w:tr>
      <w:tr w:rsidTr="007A1C4D" w14:paraId="22D0716B" w14:textId="77777777">
        <w:tblPrEx>
          <w:tblW w:w="9574" w:type="dxa"/>
          <w:tblInd w:w="-426" w:type="dxa"/>
          <w:tblLayout w:type="fixed"/>
          <w:tblCellMar>
            <w:left w:w="0" w:type="dxa"/>
            <w:right w:w="0" w:type="dxa"/>
          </w:tblCellMar>
          <w:tblLook w:val="0000"/>
        </w:tblPrEx>
        <w:tc>
          <w:tcPr>
            <w:tcW w:w="284" w:type="dxa"/>
          </w:tcPr>
          <w:p w:rsidRPr="00361F6F" w:rsidR="00DD3987" w:rsidP="00361F6F" w14:paraId="3D726D8B" w14:textId="77777777">
            <w:pPr>
              <w:spacing w:line="276" w:lineRule="auto"/>
              <w:rPr>
                <w:rFonts w:ascii="Verdana" w:hAnsi="Verdana"/>
                <w:sz w:val="18"/>
                <w:szCs w:val="18"/>
              </w:rPr>
            </w:pPr>
            <w:r w:rsidRPr="00361F6F">
              <w:rPr>
                <w:rFonts w:ascii="Verdana" w:hAnsi="Verdana"/>
                <w:sz w:val="18"/>
                <w:szCs w:val="18"/>
              </w:rPr>
              <w:t>3</w:t>
            </w:r>
          </w:p>
        </w:tc>
        <w:tc>
          <w:tcPr>
            <w:tcW w:w="6881" w:type="dxa"/>
            <w:gridSpan w:val="2"/>
          </w:tcPr>
          <w:p w:rsidRPr="00361F6F" w:rsidR="00A9225C" w:rsidP="00361F6F" w14:paraId="4231F6B4" w14:textId="12D8EF1A">
            <w:pPr>
              <w:pStyle w:val="NoSpacing"/>
              <w:spacing w:after="160" w:line="276" w:lineRule="auto"/>
              <w:rPr>
                <w:rFonts w:ascii="Verdana" w:hAnsi="Verdana"/>
                <w:i/>
                <w:iCs/>
                <w:sz w:val="18"/>
                <w:szCs w:val="18"/>
              </w:rPr>
            </w:pPr>
            <w:r w:rsidRPr="00361F6F">
              <w:rPr>
                <w:rFonts w:ascii="Verdana" w:hAnsi="Verdana"/>
                <w:i/>
                <w:iCs/>
                <w:sz w:val="18"/>
                <w:szCs w:val="18"/>
              </w:rPr>
              <w:t xml:space="preserve">Hoe verhoudt de oprichting van de nieuwe </w:t>
            </w:r>
            <w:r w:rsidRPr="00361F6F" w:rsidR="0050016F">
              <w:rPr>
                <w:rFonts w:ascii="Verdana" w:hAnsi="Verdana"/>
                <w:i/>
                <w:iCs/>
                <w:sz w:val="18"/>
                <w:szCs w:val="18"/>
              </w:rPr>
              <w:t>Nederlandse a</w:t>
            </w:r>
            <w:r w:rsidRPr="00361F6F">
              <w:rPr>
                <w:rFonts w:ascii="Verdana" w:hAnsi="Verdana"/>
                <w:i/>
                <w:iCs/>
                <w:sz w:val="18"/>
                <w:szCs w:val="18"/>
              </w:rPr>
              <w:t>utoriteit politieke partijen zich tot het bestaande toezichtstelsel, en welke waarborgen zijn er dat dit niet leidt tot extra bureaucratische lasten?</w:t>
            </w:r>
          </w:p>
          <w:p w:rsidRPr="00361F6F" w:rsidR="00A9225C" w:rsidP="00361F6F" w14:paraId="5CC73890" w14:textId="46E236E1">
            <w:pPr>
              <w:pStyle w:val="NoSpacing"/>
              <w:spacing w:after="160" w:line="276" w:lineRule="auto"/>
              <w:rPr>
                <w:rFonts w:ascii="Verdana" w:hAnsi="Verdana"/>
                <w:b/>
                <w:bCs/>
                <w:sz w:val="18"/>
                <w:szCs w:val="18"/>
              </w:rPr>
            </w:pPr>
            <w:r w:rsidRPr="00361F6F">
              <w:rPr>
                <w:rFonts w:ascii="Verdana" w:hAnsi="Verdana"/>
                <w:b/>
                <w:bCs/>
                <w:sz w:val="18"/>
                <w:szCs w:val="18"/>
              </w:rPr>
              <w:t>Antwoord:</w:t>
            </w:r>
          </w:p>
          <w:p w:rsidRPr="00361F6F" w:rsidR="006F4E5D" w:rsidP="00361F6F" w14:paraId="47701BC8" w14:textId="57059D4B">
            <w:pPr>
              <w:pStyle w:val="NoSpacing"/>
              <w:spacing w:after="160" w:line="276" w:lineRule="auto"/>
              <w:rPr>
                <w:rFonts w:ascii="Verdana" w:hAnsi="Verdana"/>
                <w:sz w:val="18"/>
                <w:szCs w:val="18"/>
              </w:rPr>
            </w:pPr>
            <w:r w:rsidRPr="00361F6F">
              <w:rPr>
                <w:rFonts w:ascii="Verdana" w:hAnsi="Verdana"/>
                <w:sz w:val="18"/>
                <w:szCs w:val="18"/>
              </w:rPr>
              <w:t>Met de inwerkingtreding van de Wet op de politieke partijen zal het toezicht op de naleving van de normen voor de financiering van politieke partijen overgaan van de Minister van Binnenlandse Zaken en Koninkrijksrelaties</w:t>
            </w:r>
            <w:r w:rsidRPr="00361F6F" w:rsidR="00EF1AE8">
              <w:rPr>
                <w:rFonts w:ascii="Verdana" w:hAnsi="Verdana"/>
                <w:sz w:val="18"/>
                <w:szCs w:val="18"/>
              </w:rPr>
              <w:t xml:space="preserve"> (BZK)</w:t>
            </w:r>
            <w:r w:rsidRPr="00361F6F">
              <w:rPr>
                <w:rFonts w:ascii="Verdana" w:hAnsi="Verdana"/>
                <w:sz w:val="18"/>
                <w:szCs w:val="18"/>
              </w:rPr>
              <w:t xml:space="preserve"> </w:t>
            </w:r>
            <w:r w:rsidRPr="00361F6F" w:rsidR="00DE17DB">
              <w:rPr>
                <w:rFonts w:ascii="Verdana" w:hAnsi="Verdana"/>
                <w:sz w:val="18"/>
                <w:szCs w:val="18"/>
              </w:rPr>
              <w:t xml:space="preserve">naar </w:t>
            </w:r>
            <w:r w:rsidRPr="00361F6F">
              <w:rPr>
                <w:rFonts w:ascii="Verdana" w:hAnsi="Verdana"/>
                <w:sz w:val="18"/>
                <w:szCs w:val="18"/>
              </w:rPr>
              <w:t>de nieuw in te stellen Nederlandse autoriteit politieke partijen</w:t>
            </w:r>
            <w:r w:rsidRPr="00361F6F" w:rsidR="00D52AE3">
              <w:rPr>
                <w:rFonts w:ascii="Verdana" w:hAnsi="Verdana"/>
                <w:sz w:val="18"/>
                <w:szCs w:val="18"/>
              </w:rPr>
              <w:t xml:space="preserve"> (</w:t>
            </w:r>
            <w:r w:rsidRPr="00361F6F" w:rsidR="0050016F">
              <w:rPr>
                <w:rFonts w:ascii="Verdana" w:hAnsi="Verdana"/>
                <w:sz w:val="18"/>
                <w:szCs w:val="18"/>
              </w:rPr>
              <w:t xml:space="preserve">hierna: </w:t>
            </w:r>
            <w:r w:rsidRPr="00361F6F" w:rsidR="00D52AE3">
              <w:rPr>
                <w:rFonts w:ascii="Verdana" w:hAnsi="Verdana"/>
                <w:sz w:val="18"/>
                <w:szCs w:val="18"/>
              </w:rPr>
              <w:t>Napp)</w:t>
            </w:r>
            <w:r w:rsidRPr="00361F6F">
              <w:rPr>
                <w:rFonts w:ascii="Verdana" w:hAnsi="Verdana"/>
                <w:sz w:val="18"/>
                <w:szCs w:val="18"/>
              </w:rPr>
              <w:t xml:space="preserve">. </w:t>
            </w:r>
            <w:r w:rsidRPr="00361F6F" w:rsidR="00D52AE3">
              <w:rPr>
                <w:rFonts w:ascii="Verdana" w:hAnsi="Verdana"/>
                <w:sz w:val="18"/>
                <w:szCs w:val="18"/>
              </w:rPr>
              <w:t>De Napp is een onafhankelijke toezichthouder</w:t>
            </w:r>
            <w:r w:rsidRPr="00361F6F" w:rsidR="0050016F">
              <w:rPr>
                <w:rFonts w:ascii="Verdana" w:hAnsi="Verdana"/>
                <w:sz w:val="18"/>
                <w:szCs w:val="18"/>
              </w:rPr>
              <w:t>. Dit is</w:t>
            </w:r>
            <w:r w:rsidRPr="00361F6F" w:rsidR="004D6426">
              <w:rPr>
                <w:rFonts w:ascii="Verdana" w:hAnsi="Verdana"/>
                <w:sz w:val="18"/>
                <w:szCs w:val="18"/>
              </w:rPr>
              <w:t xml:space="preserve"> in lijn met de oproep </w:t>
            </w:r>
            <w:r w:rsidRPr="00361F6F" w:rsidR="0050016F">
              <w:rPr>
                <w:rFonts w:ascii="Verdana" w:hAnsi="Verdana"/>
                <w:sz w:val="18"/>
                <w:szCs w:val="18"/>
              </w:rPr>
              <w:t>die door uw</w:t>
            </w:r>
            <w:r w:rsidRPr="00361F6F" w:rsidR="004D6426">
              <w:rPr>
                <w:rFonts w:ascii="Verdana" w:hAnsi="Verdana"/>
                <w:sz w:val="18"/>
                <w:szCs w:val="18"/>
              </w:rPr>
              <w:t xml:space="preserve"> Kamer </w:t>
            </w:r>
            <w:r w:rsidRPr="00361F6F" w:rsidR="0050016F">
              <w:rPr>
                <w:rFonts w:ascii="Verdana" w:hAnsi="Verdana"/>
                <w:sz w:val="18"/>
                <w:szCs w:val="18"/>
              </w:rPr>
              <w:t xml:space="preserve">is gedaan </w:t>
            </w:r>
            <w:r w:rsidRPr="00361F6F" w:rsidR="004D6426">
              <w:rPr>
                <w:rFonts w:ascii="Verdana" w:hAnsi="Verdana"/>
                <w:sz w:val="18"/>
                <w:szCs w:val="18"/>
              </w:rPr>
              <w:t xml:space="preserve">om een </w:t>
            </w:r>
            <w:r w:rsidRPr="00361F6F" w:rsidR="0050016F">
              <w:rPr>
                <w:rFonts w:ascii="Verdana" w:hAnsi="Verdana"/>
                <w:sz w:val="18"/>
                <w:szCs w:val="18"/>
              </w:rPr>
              <w:t>afzonderlijke</w:t>
            </w:r>
            <w:r w:rsidRPr="00361F6F" w:rsidR="004D6426">
              <w:rPr>
                <w:rFonts w:ascii="Verdana" w:hAnsi="Verdana"/>
                <w:sz w:val="18"/>
                <w:szCs w:val="18"/>
              </w:rPr>
              <w:t>, onafhankelijke</w:t>
            </w:r>
            <w:r w:rsidRPr="00361F6F" w:rsidR="0050016F">
              <w:rPr>
                <w:rFonts w:ascii="Verdana" w:hAnsi="Verdana"/>
                <w:sz w:val="18"/>
                <w:szCs w:val="18"/>
              </w:rPr>
              <w:t>,</w:t>
            </w:r>
            <w:r w:rsidRPr="00361F6F" w:rsidR="004D6426">
              <w:rPr>
                <w:rFonts w:ascii="Verdana" w:hAnsi="Verdana"/>
                <w:sz w:val="18"/>
                <w:szCs w:val="18"/>
              </w:rPr>
              <w:t xml:space="preserve"> toezichthouder in te stellen.</w:t>
            </w:r>
            <w:r>
              <w:rPr>
                <w:rStyle w:val="FootnoteReference"/>
                <w:rFonts w:ascii="Verdana" w:hAnsi="Verdana"/>
                <w:sz w:val="18"/>
                <w:szCs w:val="18"/>
              </w:rPr>
              <w:footnoteReference w:id="3"/>
            </w:r>
            <w:r w:rsidRPr="00361F6F" w:rsidR="004D6426">
              <w:rPr>
                <w:rFonts w:ascii="Verdana" w:hAnsi="Verdana"/>
                <w:sz w:val="18"/>
                <w:szCs w:val="18"/>
              </w:rPr>
              <w:t xml:space="preserve"> </w:t>
            </w:r>
            <w:r w:rsidRPr="00361F6F" w:rsidR="0050016F">
              <w:rPr>
                <w:rFonts w:ascii="Verdana" w:hAnsi="Verdana"/>
                <w:sz w:val="18"/>
                <w:szCs w:val="18"/>
              </w:rPr>
              <w:t>In uw</w:t>
            </w:r>
            <w:r w:rsidRPr="00361F6F">
              <w:rPr>
                <w:rFonts w:ascii="Verdana" w:hAnsi="Verdana"/>
                <w:sz w:val="18"/>
                <w:szCs w:val="18"/>
              </w:rPr>
              <w:t xml:space="preserve"> Kamer en </w:t>
            </w:r>
            <w:r w:rsidRPr="00361F6F" w:rsidR="0050016F">
              <w:rPr>
                <w:rFonts w:ascii="Verdana" w:hAnsi="Verdana"/>
                <w:sz w:val="18"/>
                <w:szCs w:val="18"/>
              </w:rPr>
              <w:t xml:space="preserve">bij </w:t>
            </w:r>
            <w:r w:rsidRPr="00361F6F">
              <w:rPr>
                <w:rFonts w:ascii="Verdana" w:hAnsi="Verdana"/>
                <w:sz w:val="18"/>
                <w:szCs w:val="18"/>
              </w:rPr>
              <w:t>internationale organisaties als de Group of States against Corruption</w:t>
            </w:r>
            <w:r w:rsidRPr="00361F6F" w:rsidR="00EF1AE8">
              <w:rPr>
                <w:rFonts w:ascii="Verdana" w:hAnsi="Verdana"/>
                <w:sz w:val="18"/>
                <w:szCs w:val="18"/>
              </w:rPr>
              <w:t xml:space="preserve"> </w:t>
            </w:r>
            <w:r w:rsidRPr="00361F6F">
              <w:rPr>
                <w:rFonts w:ascii="Verdana" w:hAnsi="Verdana"/>
                <w:sz w:val="18"/>
                <w:szCs w:val="18"/>
              </w:rPr>
              <w:t xml:space="preserve">(GRECO) en de Organisatie voor Veiligheid en Samenwerking in Europa (OVSE) </w:t>
            </w:r>
            <w:r w:rsidRPr="00361F6F" w:rsidR="004D6426">
              <w:rPr>
                <w:rFonts w:ascii="Verdana" w:hAnsi="Verdana"/>
                <w:sz w:val="18"/>
                <w:szCs w:val="18"/>
              </w:rPr>
              <w:t xml:space="preserve">bestonden bezwaren tegen het beleggen van het toezicht bij de Minister van BZK omdat de Minister een politieke ambtsdrager is. </w:t>
            </w:r>
            <w:r w:rsidRPr="00361F6F" w:rsidR="001E4B32">
              <w:rPr>
                <w:rFonts w:ascii="Verdana" w:hAnsi="Verdana"/>
                <w:sz w:val="18"/>
                <w:szCs w:val="18"/>
              </w:rPr>
              <w:t xml:space="preserve">Dit zou (de schijn van) politieke beïnvloeding met zich mee kunnen brengen. </w:t>
            </w:r>
          </w:p>
          <w:p w:rsidRPr="00361F6F" w:rsidR="00A502AC" w:rsidP="00361F6F" w14:paraId="024C81FD" w14:textId="3DB4C91E">
            <w:pPr>
              <w:pStyle w:val="NoSpacing"/>
              <w:spacing w:after="160" w:line="276" w:lineRule="auto"/>
              <w:rPr>
                <w:rFonts w:ascii="Verdana" w:hAnsi="Verdana"/>
                <w:sz w:val="18"/>
                <w:szCs w:val="18"/>
              </w:rPr>
            </w:pPr>
            <w:r w:rsidRPr="00361F6F">
              <w:rPr>
                <w:rFonts w:ascii="Verdana" w:hAnsi="Verdana"/>
                <w:sz w:val="18"/>
                <w:szCs w:val="18"/>
              </w:rPr>
              <w:t xml:space="preserve">De </w:t>
            </w:r>
            <w:r w:rsidRPr="00361F6F" w:rsidR="00DE17DB">
              <w:rPr>
                <w:rFonts w:ascii="Verdana" w:hAnsi="Verdana"/>
                <w:sz w:val="18"/>
                <w:szCs w:val="18"/>
              </w:rPr>
              <w:t xml:space="preserve">Napp </w:t>
            </w:r>
            <w:r w:rsidRPr="00361F6F">
              <w:rPr>
                <w:rFonts w:ascii="Verdana" w:hAnsi="Verdana"/>
                <w:sz w:val="18"/>
                <w:szCs w:val="18"/>
              </w:rPr>
              <w:t xml:space="preserve">heeft alleen die bevoegdheden die haar in de wet zijn toegekend. De </w:t>
            </w:r>
            <w:r w:rsidRPr="00361F6F" w:rsidR="00DE17DB">
              <w:rPr>
                <w:rFonts w:ascii="Verdana" w:hAnsi="Verdana"/>
                <w:sz w:val="18"/>
                <w:szCs w:val="18"/>
              </w:rPr>
              <w:t>Napp</w:t>
            </w:r>
            <w:r w:rsidRPr="00361F6F">
              <w:rPr>
                <w:rFonts w:ascii="Verdana" w:hAnsi="Verdana"/>
                <w:sz w:val="18"/>
                <w:szCs w:val="18"/>
              </w:rPr>
              <w:t xml:space="preserve"> ziet toe op de naleving van de normen zoals die in de wet zijn vastgelegd. Deze zijn steeds zo precies mogelijk beschreven. </w:t>
            </w:r>
            <w:r w:rsidRPr="00361F6F">
              <w:rPr>
                <w:rFonts w:ascii="Verdana" w:hAnsi="Verdana"/>
                <w:sz w:val="18"/>
                <w:szCs w:val="18"/>
              </w:rPr>
              <w:t>Dit biedt zekerheid over de geldende normen. Voor zover de inwerkingtreding van de Wet op de politieke partijen voor een toename in de administratieve lasten zou leiden, zal die toename derhalve niet zijn toe te rekenen aan de Autoriteit.</w:t>
            </w:r>
          </w:p>
        </w:tc>
        <w:tc>
          <w:tcPr>
            <w:tcW w:w="850" w:type="dxa"/>
            <w:gridSpan w:val="2"/>
          </w:tcPr>
          <w:p w:rsidRPr="00361F6F" w:rsidR="00DD3987" w:rsidP="00361F6F" w14:paraId="4C236F25" w14:textId="77777777">
            <w:pPr>
              <w:spacing w:line="276" w:lineRule="auto"/>
              <w:jc w:val="right"/>
              <w:rPr>
                <w:rFonts w:ascii="Verdana" w:hAnsi="Verdana"/>
                <w:sz w:val="18"/>
                <w:szCs w:val="18"/>
              </w:rPr>
            </w:pPr>
          </w:p>
        </w:tc>
        <w:tc>
          <w:tcPr>
            <w:tcW w:w="992" w:type="dxa"/>
            <w:gridSpan w:val="2"/>
          </w:tcPr>
          <w:p w:rsidRPr="00361F6F" w:rsidR="00DD3987" w:rsidP="00361F6F" w14:paraId="066BCD0B" w14:textId="77777777">
            <w:pPr>
              <w:spacing w:line="276" w:lineRule="auto"/>
              <w:jc w:val="right"/>
              <w:rPr>
                <w:rFonts w:ascii="Verdana" w:hAnsi="Verdana"/>
                <w:sz w:val="18"/>
                <w:szCs w:val="18"/>
              </w:rPr>
            </w:pPr>
          </w:p>
        </w:tc>
        <w:tc>
          <w:tcPr>
            <w:tcW w:w="567" w:type="dxa"/>
            <w:gridSpan w:val="2"/>
            <w:tcBorders>
              <w:left w:val="nil"/>
            </w:tcBorders>
          </w:tcPr>
          <w:p w:rsidRPr="00361F6F" w:rsidR="00DD3987" w:rsidP="00361F6F" w14:paraId="70A5C701" w14:textId="77777777">
            <w:pPr>
              <w:spacing w:line="276" w:lineRule="auto"/>
              <w:jc w:val="right"/>
              <w:rPr>
                <w:rFonts w:ascii="Verdana" w:hAnsi="Verdana"/>
                <w:sz w:val="18"/>
                <w:szCs w:val="18"/>
              </w:rPr>
            </w:pPr>
            <w:r w:rsidRPr="00361F6F">
              <w:rPr>
                <w:rFonts w:ascii="Verdana" w:hAnsi="Verdana"/>
                <w:sz w:val="18"/>
                <w:szCs w:val="18"/>
              </w:rPr>
              <w:t xml:space="preserve"> </w:t>
            </w:r>
          </w:p>
        </w:tc>
      </w:tr>
      <w:tr w:rsidTr="007A1C4D" w14:paraId="6E8D837A" w14:textId="77777777">
        <w:tblPrEx>
          <w:tblW w:w="9574" w:type="dxa"/>
          <w:tblInd w:w="-426" w:type="dxa"/>
          <w:tblLayout w:type="fixed"/>
          <w:tblCellMar>
            <w:left w:w="0" w:type="dxa"/>
            <w:right w:w="0" w:type="dxa"/>
          </w:tblCellMar>
          <w:tblLook w:val="0000"/>
        </w:tblPrEx>
        <w:tc>
          <w:tcPr>
            <w:tcW w:w="284" w:type="dxa"/>
          </w:tcPr>
          <w:p w:rsidRPr="00361F6F" w:rsidR="00DD3987" w:rsidP="00361F6F" w14:paraId="319BD9AF" w14:textId="77777777">
            <w:pPr>
              <w:spacing w:line="276" w:lineRule="auto"/>
              <w:rPr>
                <w:rFonts w:ascii="Verdana" w:hAnsi="Verdana"/>
                <w:sz w:val="18"/>
                <w:szCs w:val="18"/>
              </w:rPr>
            </w:pPr>
            <w:r w:rsidRPr="00361F6F">
              <w:rPr>
                <w:rFonts w:ascii="Verdana" w:hAnsi="Verdana"/>
                <w:sz w:val="18"/>
                <w:szCs w:val="18"/>
              </w:rPr>
              <w:t>4</w:t>
            </w:r>
          </w:p>
        </w:tc>
        <w:tc>
          <w:tcPr>
            <w:tcW w:w="6881" w:type="dxa"/>
            <w:gridSpan w:val="2"/>
          </w:tcPr>
          <w:p w:rsidRPr="00361F6F" w:rsidR="00DD3987" w:rsidP="00361F6F" w14:paraId="42FAD0D0" w14:textId="77777777">
            <w:pPr>
              <w:spacing w:line="276" w:lineRule="auto"/>
              <w:rPr>
                <w:rFonts w:ascii="Verdana" w:hAnsi="Verdana"/>
                <w:i/>
                <w:iCs/>
                <w:sz w:val="18"/>
                <w:szCs w:val="18"/>
              </w:rPr>
            </w:pPr>
            <w:r w:rsidRPr="00361F6F">
              <w:rPr>
                <w:rFonts w:ascii="Verdana" w:hAnsi="Verdana"/>
                <w:i/>
                <w:iCs/>
                <w:sz w:val="18"/>
                <w:szCs w:val="18"/>
              </w:rPr>
              <w:t>Kunt u toelichten waarom het maximum voor giften (100.000 euro) gelijk blijft, terwijl maatschappelijke zorgen over grote invloed van geld op de politiek toenemen?</w:t>
            </w:r>
          </w:p>
          <w:p w:rsidRPr="00361F6F" w:rsidR="00A502AC" w:rsidP="00361F6F" w14:paraId="670B404F" w14:textId="617B5162">
            <w:pPr>
              <w:pStyle w:val="NoSpacing"/>
              <w:spacing w:after="160" w:line="276" w:lineRule="auto"/>
              <w:rPr>
                <w:rFonts w:ascii="Verdana" w:hAnsi="Verdana"/>
                <w:b/>
                <w:bCs/>
                <w:sz w:val="18"/>
                <w:szCs w:val="18"/>
              </w:rPr>
            </w:pPr>
            <w:r w:rsidRPr="00361F6F">
              <w:rPr>
                <w:rFonts w:ascii="Verdana" w:hAnsi="Verdana"/>
                <w:b/>
                <w:bCs/>
                <w:sz w:val="18"/>
                <w:szCs w:val="18"/>
              </w:rPr>
              <w:t>Antwoord:</w:t>
            </w:r>
          </w:p>
          <w:p w:rsidRPr="00361F6F" w:rsidR="006205BE" w:rsidP="00361F6F" w14:paraId="18984228" w14:textId="2D033A8E">
            <w:pPr>
              <w:spacing w:line="276" w:lineRule="auto"/>
              <w:rPr>
                <w:rFonts w:ascii="Verdana" w:hAnsi="Verdana"/>
                <w:sz w:val="18"/>
                <w:szCs w:val="18"/>
              </w:rPr>
            </w:pPr>
            <w:r w:rsidRPr="00361F6F">
              <w:rPr>
                <w:rFonts w:ascii="Verdana" w:hAnsi="Verdana"/>
                <w:sz w:val="18"/>
                <w:szCs w:val="18"/>
              </w:rPr>
              <w:t xml:space="preserve">Het </w:t>
            </w:r>
            <w:r w:rsidRPr="00361F6F" w:rsidR="000F50BF">
              <w:rPr>
                <w:rFonts w:ascii="Verdana" w:hAnsi="Verdana"/>
                <w:sz w:val="18"/>
                <w:szCs w:val="18"/>
              </w:rPr>
              <w:t>verlagen van</w:t>
            </w:r>
            <w:r w:rsidRPr="00361F6F">
              <w:rPr>
                <w:rFonts w:ascii="Verdana" w:hAnsi="Verdana"/>
                <w:sz w:val="18"/>
                <w:szCs w:val="18"/>
              </w:rPr>
              <w:t xml:space="preserve"> </w:t>
            </w:r>
            <w:r w:rsidRPr="00361F6F" w:rsidR="00182F69">
              <w:rPr>
                <w:rFonts w:ascii="Verdana" w:hAnsi="Verdana"/>
                <w:sz w:val="18"/>
                <w:szCs w:val="18"/>
              </w:rPr>
              <w:t>het</w:t>
            </w:r>
            <w:r w:rsidRPr="00361F6F">
              <w:rPr>
                <w:rFonts w:ascii="Verdana" w:hAnsi="Verdana"/>
                <w:sz w:val="18"/>
                <w:szCs w:val="18"/>
              </w:rPr>
              <w:t xml:space="preserve"> maximumbedrag dat een politieke </w:t>
            </w:r>
            <w:r w:rsidRPr="00361F6F" w:rsidR="00182F69">
              <w:rPr>
                <w:rFonts w:ascii="Verdana" w:hAnsi="Verdana"/>
                <w:sz w:val="18"/>
                <w:szCs w:val="18"/>
              </w:rPr>
              <w:t>vereniging</w:t>
            </w:r>
            <w:r w:rsidRPr="00361F6F">
              <w:rPr>
                <w:rFonts w:ascii="Verdana" w:hAnsi="Verdana"/>
                <w:sz w:val="18"/>
                <w:szCs w:val="18"/>
              </w:rPr>
              <w:t xml:space="preserve"> per jaar van een </w:t>
            </w:r>
            <w:r w:rsidRPr="00361F6F" w:rsidR="00182F69">
              <w:rPr>
                <w:rFonts w:ascii="Verdana" w:hAnsi="Verdana"/>
                <w:sz w:val="18"/>
                <w:szCs w:val="18"/>
              </w:rPr>
              <w:t xml:space="preserve">gever </w:t>
            </w:r>
            <w:r w:rsidRPr="00361F6F">
              <w:rPr>
                <w:rFonts w:ascii="Verdana" w:hAnsi="Verdana"/>
                <w:sz w:val="18"/>
                <w:szCs w:val="18"/>
              </w:rPr>
              <w:t xml:space="preserve">mag </w:t>
            </w:r>
            <w:r w:rsidRPr="00361F6F" w:rsidR="00182F69">
              <w:rPr>
                <w:rFonts w:ascii="Verdana" w:hAnsi="Verdana"/>
                <w:sz w:val="18"/>
                <w:szCs w:val="18"/>
              </w:rPr>
              <w:t xml:space="preserve">aannemen, </w:t>
            </w:r>
            <w:r w:rsidRPr="00361F6F">
              <w:rPr>
                <w:rFonts w:ascii="Verdana" w:hAnsi="Verdana"/>
                <w:sz w:val="18"/>
                <w:szCs w:val="18"/>
              </w:rPr>
              <w:t>kent voor</w:t>
            </w:r>
            <w:r w:rsidRPr="00361F6F" w:rsidR="00182F69">
              <w:rPr>
                <w:rFonts w:ascii="Verdana" w:hAnsi="Verdana"/>
                <w:sz w:val="18"/>
                <w:szCs w:val="18"/>
              </w:rPr>
              <w:t>-</w:t>
            </w:r>
            <w:r w:rsidRPr="00361F6F">
              <w:rPr>
                <w:rFonts w:ascii="Verdana" w:hAnsi="Verdana"/>
                <w:sz w:val="18"/>
                <w:szCs w:val="18"/>
              </w:rPr>
              <w:t xml:space="preserve"> en nadelen. Enerzijds verlaag</w:t>
            </w:r>
            <w:r w:rsidRPr="00361F6F" w:rsidR="00182F69">
              <w:rPr>
                <w:rFonts w:ascii="Verdana" w:hAnsi="Verdana"/>
                <w:sz w:val="18"/>
                <w:szCs w:val="18"/>
              </w:rPr>
              <w:t>t</w:t>
            </w:r>
            <w:r w:rsidRPr="00361F6F">
              <w:rPr>
                <w:rFonts w:ascii="Verdana" w:hAnsi="Verdana"/>
                <w:sz w:val="18"/>
                <w:szCs w:val="18"/>
              </w:rPr>
              <w:t xml:space="preserve"> het het risico op ongewenste beïnvloeding, anderzijds</w:t>
            </w:r>
            <w:r w:rsidRPr="00361F6F" w:rsidR="00182F69">
              <w:rPr>
                <w:rFonts w:ascii="Verdana" w:hAnsi="Verdana"/>
                <w:sz w:val="18"/>
                <w:szCs w:val="18"/>
              </w:rPr>
              <w:t xml:space="preserve"> beperkt het ook de hoogte van de inkomsten</w:t>
            </w:r>
            <w:r w:rsidRPr="00361F6F">
              <w:rPr>
                <w:rFonts w:ascii="Verdana" w:hAnsi="Verdana"/>
                <w:sz w:val="18"/>
                <w:szCs w:val="18"/>
              </w:rPr>
              <w:t xml:space="preserve"> van politieke </w:t>
            </w:r>
            <w:r w:rsidRPr="00361F6F" w:rsidR="00DD404C">
              <w:rPr>
                <w:rFonts w:ascii="Verdana" w:hAnsi="Verdana"/>
                <w:sz w:val="18"/>
                <w:szCs w:val="18"/>
              </w:rPr>
              <w:t>verenigingen</w:t>
            </w:r>
            <w:r w:rsidRPr="00361F6F">
              <w:rPr>
                <w:rFonts w:ascii="Verdana" w:hAnsi="Verdana"/>
                <w:sz w:val="18"/>
                <w:szCs w:val="18"/>
              </w:rPr>
              <w:t xml:space="preserve">. </w:t>
            </w:r>
            <w:r w:rsidRPr="00361F6F" w:rsidR="00182F69">
              <w:rPr>
                <w:rFonts w:ascii="Verdana" w:hAnsi="Verdana"/>
                <w:sz w:val="18"/>
                <w:szCs w:val="18"/>
              </w:rPr>
              <w:t>Inkomsten die</w:t>
            </w:r>
            <w:r w:rsidRPr="00361F6F">
              <w:rPr>
                <w:rFonts w:ascii="Verdana" w:hAnsi="Verdana"/>
                <w:sz w:val="18"/>
                <w:szCs w:val="18"/>
              </w:rPr>
              <w:t xml:space="preserve"> in zekere mate nodig </w:t>
            </w:r>
            <w:r w:rsidRPr="00361F6F" w:rsidR="00182F69">
              <w:rPr>
                <w:rFonts w:ascii="Verdana" w:hAnsi="Verdana"/>
                <w:sz w:val="18"/>
                <w:szCs w:val="18"/>
              </w:rPr>
              <w:t>zijn</w:t>
            </w:r>
            <w:r w:rsidRPr="00361F6F">
              <w:rPr>
                <w:rFonts w:ascii="Verdana" w:hAnsi="Verdana"/>
                <w:sz w:val="18"/>
                <w:szCs w:val="18"/>
              </w:rPr>
              <w:t xml:space="preserve"> om hun werk</w:t>
            </w:r>
            <w:r w:rsidRPr="00361F6F" w:rsidR="00182F69">
              <w:rPr>
                <w:rFonts w:ascii="Verdana" w:hAnsi="Verdana"/>
                <w:sz w:val="18"/>
                <w:szCs w:val="18"/>
              </w:rPr>
              <w:t>zaamheden</w:t>
            </w:r>
            <w:r w:rsidRPr="00361F6F">
              <w:rPr>
                <w:rFonts w:ascii="Verdana" w:hAnsi="Verdana"/>
                <w:sz w:val="18"/>
                <w:szCs w:val="18"/>
              </w:rPr>
              <w:t xml:space="preserve"> goed </w:t>
            </w:r>
            <w:r w:rsidRPr="00361F6F" w:rsidR="00182F69">
              <w:rPr>
                <w:rFonts w:ascii="Verdana" w:hAnsi="Verdana"/>
                <w:sz w:val="18"/>
                <w:szCs w:val="18"/>
              </w:rPr>
              <w:t xml:space="preserve">te kunnen </w:t>
            </w:r>
            <w:r w:rsidRPr="00361F6F">
              <w:rPr>
                <w:rFonts w:ascii="Verdana" w:hAnsi="Verdana"/>
                <w:sz w:val="18"/>
                <w:szCs w:val="18"/>
              </w:rPr>
              <w:t xml:space="preserve">uitvoeren. </w:t>
            </w:r>
            <w:r w:rsidRPr="00361F6F" w:rsidR="00A451AB">
              <w:rPr>
                <w:rFonts w:ascii="Verdana" w:hAnsi="Verdana"/>
                <w:sz w:val="18"/>
                <w:szCs w:val="18"/>
              </w:rPr>
              <w:t>Bij de parlementaire behandeling van de Evaluatiewet Wfpp (Stb. 2022, 412) heeft uw Kamer door het aannemen van het amendement-Leijten &amp; Omtzigt</w:t>
            </w:r>
            <w:r>
              <w:rPr>
                <w:rStyle w:val="FootnoteReference"/>
                <w:rFonts w:ascii="Verdana" w:hAnsi="Verdana"/>
                <w:sz w:val="18"/>
                <w:szCs w:val="18"/>
              </w:rPr>
              <w:footnoteReference w:id="4"/>
            </w:r>
            <w:r w:rsidRPr="00361F6F" w:rsidR="00A451AB">
              <w:rPr>
                <w:rFonts w:ascii="Verdana" w:hAnsi="Verdana"/>
                <w:sz w:val="18"/>
                <w:szCs w:val="18"/>
              </w:rPr>
              <w:t xml:space="preserve"> in de Wet financiering politieke partijen een bepaling opgenomen waarin staat dat een</w:t>
            </w:r>
            <w:r w:rsidRPr="00361F6F">
              <w:rPr>
                <w:rFonts w:ascii="Verdana" w:hAnsi="Verdana"/>
                <w:sz w:val="18"/>
                <w:szCs w:val="18"/>
              </w:rPr>
              <w:t xml:space="preserve"> landelijke</w:t>
            </w:r>
            <w:r w:rsidRPr="00361F6F" w:rsidR="00A451AB">
              <w:rPr>
                <w:rFonts w:ascii="Verdana" w:hAnsi="Verdana"/>
                <w:sz w:val="18"/>
                <w:szCs w:val="18"/>
              </w:rPr>
              <w:t xml:space="preserve"> politieke partij per jaar van een </w:t>
            </w:r>
            <w:r w:rsidRPr="00361F6F" w:rsidR="00182F69">
              <w:rPr>
                <w:rFonts w:ascii="Verdana" w:hAnsi="Verdana"/>
                <w:sz w:val="18"/>
                <w:szCs w:val="18"/>
              </w:rPr>
              <w:t xml:space="preserve">gever </w:t>
            </w:r>
            <w:r w:rsidRPr="00361F6F" w:rsidR="00A451AB">
              <w:rPr>
                <w:rFonts w:ascii="Verdana" w:hAnsi="Verdana"/>
                <w:sz w:val="18"/>
                <w:szCs w:val="18"/>
              </w:rPr>
              <w:t>ten hoogste €</w:t>
            </w:r>
            <w:r w:rsidRPr="00361F6F" w:rsidR="00182F69">
              <w:rPr>
                <w:rFonts w:ascii="Verdana" w:hAnsi="Verdana"/>
                <w:sz w:val="18"/>
                <w:szCs w:val="18"/>
              </w:rPr>
              <w:t xml:space="preserve"> </w:t>
            </w:r>
            <w:r w:rsidRPr="00361F6F" w:rsidR="00A451AB">
              <w:rPr>
                <w:rFonts w:ascii="Verdana" w:hAnsi="Verdana"/>
                <w:sz w:val="18"/>
                <w:szCs w:val="18"/>
              </w:rPr>
              <w:t>100.000</w:t>
            </w:r>
            <w:r w:rsidRPr="00361F6F" w:rsidR="00182F69">
              <w:rPr>
                <w:rFonts w:ascii="Verdana" w:hAnsi="Verdana"/>
                <w:sz w:val="18"/>
                <w:szCs w:val="18"/>
              </w:rPr>
              <w:t>,-</w:t>
            </w:r>
            <w:r w:rsidRPr="00361F6F" w:rsidR="00A451AB">
              <w:rPr>
                <w:rFonts w:ascii="Verdana" w:hAnsi="Verdana"/>
                <w:sz w:val="18"/>
                <w:szCs w:val="18"/>
              </w:rPr>
              <w:t xml:space="preserve"> mag aan</w:t>
            </w:r>
            <w:r w:rsidRPr="00361F6F" w:rsidR="00182F69">
              <w:rPr>
                <w:rFonts w:ascii="Verdana" w:hAnsi="Verdana"/>
                <w:sz w:val="18"/>
                <w:szCs w:val="18"/>
              </w:rPr>
              <w:t>vaarden</w:t>
            </w:r>
            <w:r w:rsidRPr="00361F6F" w:rsidR="00A451AB">
              <w:rPr>
                <w:rFonts w:ascii="Verdana" w:hAnsi="Verdana"/>
                <w:sz w:val="18"/>
                <w:szCs w:val="18"/>
              </w:rPr>
              <w:t>. Deze bepaling, artikel 29b, is op 1 januari 2023 in</w:t>
            </w:r>
            <w:r w:rsidRPr="00361F6F" w:rsidR="0076254B">
              <w:rPr>
                <w:rFonts w:ascii="Verdana" w:hAnsi="Verdana"/>
                <w:sz w:val="18"/>
                <w:szCs w:val="18"/>
              </w:rPr>
              <w:t xml:space="preserve"> </w:t>
            </w:r>
            <w:r w:rsidRPr="00361F6F" w:rsidR="00A451AB">
              <w:rPr>
                <w:rFonts w:ascii="Verdana" w:hAnsi="Verdana"/>
                <w:sz w:val="18"/>
                <w:szCs w:val="18"/>
              </w:rPr>
              <w:t>werking getreden.</w:t>
            </w:r>
            <w:r w:rsidRPr="00361F6F" w:rsidR="006F4E5D">
              <w:rPr>
                <w:rFonts w:ascii="Verdana" w:hAnsi="Verdana"/>
                <w:sz w:val="18"/>
                <w:szCs w:val="18"/>
              </w:rPr>
              <w:t xml:space="preserve"> Een vergelijkbaar amendement van het lid Bromet om een giftenmaximum in te stellen op € 25.000,– werd door de Tweede Kamer verworpen.</w:t>
            </w:r>
            <w:r>
              <w:rPr>
                <w:rStyle w:val="FootnoteReference"/>
                <w:rFonts w:ascii="Verdana" w:hAnsi="Verdana"/>
                <w:sz w:val="18"/>
                <w:szCs w:val="18"/>
              </w:rPr>
              <w:footnoteReference w:id="5"/>
            </w:r>
            <w:r w:rsidRPr="00361F6F" w:rsidR="006F4E5D">
              <w:rPr>
                <w:rFonts w:ascii="Verdana" w:hAnsi="Verdana"/>
                <w:sz w:val="18"/>
                <w:szCs w:val="18"/>
              </w:rPr>
              <w:t xml:space="preserve"> </w:t>
            </w:r>
            <w:r w:rsidRPr="00361F6F" w:rsidR="00A451AB">
              <w:rPr>
                <w:rFonts w:ascii="Verdana" w:hAnsi="Verdana"/>
                <w:sz w:val="18"/>
                <w:szCs w:val="18"/>
              </w:rPr>
              <w:t xml:space="preserve"> </w:t>
            </w:r>
            <w:r w:rsidRPr="00361F6F">
              <w:rPr>
                <w:rFonts w:ascii="Verdana" w:hAnsi="Verdana"/>
                <w:sz w:val="18"/>
                <w:szCs w:val="18"/>
              </w:rPr>
              <w:t>De Tweede</w:t>
            </w:r>
            <w:r w:rsidRPr="00361F6F" w:rsidR="00A451AB">
              <w:rPr>
                <w:rFonts w:ascii="Verdana" w:hAnsi="Verdana"/>
                <w:sz w:val="18"/>
                <w:szCs w:val="18"/>
              </w:rPr>
              <w:t xml:space="preserve"> Kamer heeft zich daarmee betrekkelijk recent nog uitgesproken over de wenselijkheid van een giftenplafond en de </w:t>
            </w:r>
            <w:r w:rsidRPr="00361F6F">
              <w:rPr>
                <w:rFonts w:ascii="Verdana" w:hAnsi="Verdana"/>
                <w:sz w:val="18"/>
                <w:szCs w:val="18"/>
              </w:rPr>
              <w:t xml:space="preserve">wenselijke </w:t>
            </w:r>
            <w:r w:rsidRPr="00361F6F" w:rsidR="00A451AB">
              <w:rPr>
                <w:rFonts w:ascii="Verdana" w:hAnsi="Verdana"/>
                <w:sz w:val="18"/>
                <w:szCs w:val="18"/>
              </w:rPr>
              <w:t>hoogte daarvan</w:t>
            </w:r>
            <w:r w:rsidRPr="00361F6F">
              <w:rPr>
                <w:rFonts w:ascii="Verdana" w:hAnsi="Verdana"/>
                <w:sz w:val="18"/>
                <w:szCs w:val="18"/>
              </w:rPr>
              <w:t xml:space="preserve">. Daarom heeft de regering gemeend er goed aan te doen aansluiting te zoeken bij de keuze die nog betrekkelijk </w:t>
            </w:r>
            <w:r w:rsidRPr="00361F6F" w:rsidR="000F50BF">
              <w:rPr>
                <w:rFonts w:ascii="Verdana" w:hAnsi="Verdana"/>
                <w:sz w:val="18"/>
                <w:szCs w:val="18"/>
              </w:rPr>
              <w:t>kortgeleden</w:t>
            </w:r>
            <w:r w:rsidRPr="00361F6F">
              <w:rPr>
                <w:rFonts w:ascii="Verdana" w:hAnsi="Verdana"/>
                <w:sz w:val="18"/>
                <w:szCs w:val="18"/>
              </w:rPr>
              <w:t xml:space="preserve"> door de wetgever is gemaakt.</w:t>
            </w:r>
            <w:r w:rsidRPr="00361F6F" w:rsidR="00EB00B0">
              <w:rPr>
                <w:rFonts w:ascii="Verdana" w:hAnsi="Verdana"/>
                <w:sz w:val="18"/>
                <w:szCs w:val="18"/>
              </w:rPr>
              <w:t xml:space="preserve"> </w:t>
            </w:r>
          </w:p>
          <w:p w:rsidRPr="00361F6F" w:rsidR="006F27A8" w:rsidP="00361F6F" w14:paraId="2B2984EB" w14:textId="7F43C4ED">
            <w:pPr>
              <w:spacing w:line="276" w:lineRule="auto"/>
              <w:rPr>
                <w:rFonts w:ascii="Verdana" w:hAnsi="Verdana"/>
                <w:sz w:val="18"/>
                <w:szCs w:val="18"/>
              </w:rPr>
            </w:pPr>
          </w:p>
        </w:tc>
        <w:tc>
          <w:tcPr>
            <w:tcW w:w="850" w:type="dxa"/>
            <w:gridSpan w:val="2"/>
          </w:tcPr>
          <w:p w:rsidRPr="00361F6F" w:rsidR="00DD3987" w:rsidP="00361F6F" w14:paraId="72DCFE8A" w14:textId="77777777">
            <w:pPr>
              <w:spacing w:line="276" w:lineRule="auto"/>
              <w:jc w:val="right"/>
              <w:rPr>
                <w:rFonts w:ascii="Verdana" w:hAnsi="Verdana"/>
                <w:sz w:val="18"/>
                <w:szCs w:val="18"/>
              </w:rPr>
            </w:pPr>
          </w:p>
        </w:tc>
        <w:tc>
          <w:tcPr>
            <w:tcW w:w="992" w:type="dxa"/>
            <w:gridSpan w:val="2"/>
          </w:tcPr>
          <w:p w:rsidRPr="00361F6F" w:rsidR="00DD3987" w:rsidP="00361F6F" w14:paraId="231DE5CD" w14:textId="77777777">
            <w:pPr>
              <w:spacing w:line="276" w:lineRule="auto"/>
              <w:jc w:val="right"/>
              <w:rPr>
                <w:rFonts w:ascii="Verdana" w:hAnsi="Verdana"/>
                <w:sz w:val="18"/>
                <w:szCs w:val="18"/>
              </w:rPr>
            </w:pPr>
          </w:p>
        </w:tc>
        <w:tc>
          <w:tcPr>
            <w:tcW w:w="567" w:type="dxa"/>
            <w:gridSpan w:val="2"/>
            <w:tcBorders>
              <w:left w:val="nil"/>
            </w:tcBorders>
          </w:tcPr>
          <w:p w:rsidRPr="00361F6F" w:rsidR="00DD3987" w:rsidP="00361F6F" w14:paraId="4D05B214" w14:textId="77777777">
            <w:pPr>
              <w:spacing w:line="276" w:lineRule="auto"/>
              <w:jc w:val="right"/>
              <w:rPr>
                <w:rFonts w:ascii="Verdana" w:hAnsi="Verdana"/>
                <w:sz w:val="18"/>
                <w:szCs w:val="18"/>
              </w:rPr>
            </w:pPr>
            <w:r w:rsidRPr="00361F6F">
              <w:rPr>
                <w:rFonts w:ascii="Verdana" w:hAnsi="Verdana"/>
                <w:sz w:val="18"/>
                <w:szCs w:val="18"/>
              </w:rPr>
              <w:t xml:space="preserve"> </w:t>
            </w:r>
          </w:p>
        </w:tc>
      </w:tr>
      <w:tr w:rsidTr="007A1C4D" w14:paraId="257C5109" w14:textId="77777777">
        <w:tblPrEx>
          <w:tblW w:w="9574" w:type="dxa"/>
          <w:tblInd w:w="-426" w:type="dxa"/>
          <w:tblLayout w:type="fixed"/>
          <w:tblCellMar>
            <w:left w:w="0" w:type="dxa"/>
            <w:right w:w="0" w:type="dxa"/>
          </w:tblCellMar>
          <w:tblLook w:val="0000"/>
        </w:tblPrEx>
        <w:tc>
          <w:tcPr>
            <w:tcW w:w="284" w:type="dxa"/>
          </w:tcPr>
          <w:p w:rsidRPr="00361F6F" w:rsidR="00DD3987" w:rsidP="00361F6F" w14:paraId="45F9D3D5" w14:textId="77777777">
            <w:pPr>
              <w:spacing w:line="276" w:lineRule="auto"/>
              <w:rPr>
                <w:rFonts w:ascii="Verdana" w:hAnsi="Verdana"/>
                <w:sz w:val="18"/>
                <w:szCs w:val="18"/>
              </w:rPr>
            </w:pPr>
            <w:r w:rsidRPr="00361F6F">
              <w:rPr>
                <w:rFonts w:ascii="Verdana" w:hAnsi="Verdana"/>
                <w:sz w:val="18"/>
                <w:szCs w:val="18"/>
              </w:rPr>
              <w:t>5</w:t>
            </w:r>
          </w:p>
        </w:tc>
        <w:tc>
          <w:tcPr>
            <w:tcW w:w="6881" w:type="dxa"/>
            <w:gridSpan w:val="2"/>
          </w:tcPr>
          <w:p w:rsidRPr="00361F6F" w:rsidR="006205BE" w:rsidP="00361F6F" w14:paraId="2512AED3" w14:textId="77777777">
            <w:pPr>
              <w:pStyle w:val="NoSpacing"/>
              <w:spacing w:after="160" w:line="276" w:lineRule="auto"/>
              <w:rPr>
                <w:rFonts w:ascii="Verdana" w:hAnsi="Verdana"/>
                <w:i/>
                <w:iCs/>
                <w:sz w:val="18"/>
                <w:szCs w:val="18"/>
              </w:rPr>
            </w:pPr>
            <w:r w:rsidRPr="00361F6F">
              <w:rPr>
                <w:rFonts w:ascii="Verdana" w:hAnsi="Verdana"/>
                <w:i/>
                <w:iCs/>
                <w:sz w:val="18"/>
                <w:szCs w:val="18"/>
              </w:rPr>
              <w:t>Hoe wordt voorkomen dat politieke partijen door de zware transparantie-eisen onevenredig veel administratieve lasten krijgen in verhouding tot hun omvang, met name bij lokale partijen?</w:t>
            </w:r>
          </w:p>
          <w:p w:rsidRPr="00361F6F" w:rsidR="00DD3987" w:rsidP="00361F6F" w14:paraId="079FADD0" w14:textId="58C994A4">
            <w:pPr>
              <w:pStyle w:val="NoSpacing"/>
              <w:spacing w:after="160" w:line="276" w:lineRule="auto"/>
              <w:rPr>
                <w:rFonts w:ascii="Verdana" w:hAnsi="Verdana"/>
                <w:b/>
                <w:bCs/>
                <w:sz w:val="18"/>
                <w:szCs w:val="18"/>
              </w:rPr>
            </w:pPr>
            <w:r w:rsidRPr="00361F6F">
              <w:rPr>
                <w:rFonts w:ascii="Verdana" w:hAnsi="Verdana"/>
                <w:b/>
                <w:bCs/>
                <w:sz w:val="18"/>
                <w:szCs w:val="18"/>
              </w:rPr>
              <w:t>Antwoord:</w:t>
            </w:r>
          </w:p>
          <w:p w:rsidRPr="00361F6F" w:rsidR="00C001A7" w:rsidP="00361F6F" w14:paraId="5A77212C" w14:textId="7D8425EF">
            <w:pPr>
              <w:pStyle w:val="NoSpacing"/>
              <w:spacing w:after="160" w:line="276" w:lineRule="auto"/>
              <w:rPr>
                <w:rFonts w:ascii="Verdana" w:hAnsi="Verdana"/>
                <w:sz w:val="18"/>
                <w:szCs w:val="18"/>
              </w:rPr>
            </w:pPr>
            <w:r w:rsidRPr="00361F6F">
              <w:rPr>
                <w:rFonts w:ascii="Verdana" w:hAnsi="Verdana"/>
                <w:sz w:val="18"/>
                <w:szCs w:val="18"/>
              </w:rPr>
              <w:t>De regering</w:t>
            </w:r>
            <w:r w:rsidRPr="00361F6F">
              <w:rPr>
                <w:rFonts w:ascii="Verdana" w:hAnsi="Verdana"/>
                <w:sz w:val="18"/>
                <w:szCs w:val="18"/>
              </w:rPr>
              <w:t xml:space="preserve"> erkent dat de transparantie</w:t>
            </w:r>
            <w:r w:rsidRPr="00361F6F" w:rsidR="006F27A8">
              <w:rPr>
                <w:rFonts w:ascii="Verdana" w:hAnsi="Verdana"/>
                <w:sz w:val="18"/>
                <w:szCs w:val="18"/>
              </w:rPr>
              <w:t>-</w:t>
            </w:r>
            <w:r w:rsidRPr="00361F6F">
              <w:rPr>
                <w:rFonts w:ascii="Verdana" w:hAnsi="Verdana"/>
                <w:sz w:val="18"/>
                <w:szCs w:val="18"/>
              </w:rPr>
              <w:t xml:space="preserve">eisen die volgen uit de Wpp voor administratieve lasten zorgen voor politieke </w:t>
            </w:r>
            <w:r w:rsidRPr="00361F6F" w:rsidR="006F27A8">
              <w:rPr>
                <w:rFonts w:ascii="Verdana" w:hAnsi="Verdana"/>
                <w:sz w:val="18"/>
                <w:szCs w:val="18"/>
              </w:rPr>
              <w:t>verenigingen</w:t>
            </w:r>
            <w:r w:rsidRPr="00361F6F">
              <w:rPr>
                <w:rFonts w:ascii="Verdana" w:hAnsi="Verdana"/>
                <w:sz w:val="18"/>
                <w:szCs w:val="18"/>
              </w:rPr>
              <w:t>. Dit kan een uitdaging vormen, in het bijzonder voor</w:t>
            </w:r>
            <w:r w:rsidRPr="00361F6F" w:rsidR="00DD404C">
              <w:rPr>
                <w:rFonts w:ascii="Verdana" w:hAnsi="Verdana"/>
                <w:sz w:val="18"/>
                <w:szCs w:val="18"/>
              </w:rPr>
              <w:t xml:space="preserve"> </w:t>
            </w:r>
            <w:r w:rsidRPr="00361F6F">
              <w:rPr>
                <w:rFonts w:ascii="Verdana" w:hAnsi="Verdana"/>
                <w:sz w:val="18"/>
                <w:szCs w:val="18"/>
              </w:rPr>
              <w:t xml:space="preserve">kleinere decentrale </w:t>
            </w:r>
            <w:r w:rsidRPr="00361F6F" w:rsidR="006F27A8">
              <w:rPr>
                <w:rFonts w:ascii="Verdana" w:hAnsi="Verdana"/>
                <w:sz w:val="18"/>
                <w:szCs w:val="18"/>
              </w:rPr>
              <w:t>politieke verenig</w:t>
            </w:r>
            <w:r w:rsidRPr="00361F6F" w:rsidR="006416AF">
              <w:rPr>
                <w:rFonts w:ascii="Verdana" w:hAnsi="Verdana"/>
                <w:sz w:val="18"/>
                <w:szCs w:val="18"/>
              </w:rPr>
              <w:t>i</w:t>
            </w:r>
            <w:r w:rsidRPr="00361F6F" w:rsidR="006F27A8">
              <w:rPr>
                <w:rFonts w:ascii="Verdana" w:hAnsi="Verdana"/>
                <w:sz w:val="18"/>
                <w:szCs w:val="18"/>
              </w:rPr>
              <w:t>ngen</w:t>
            </w:r>
            <w:r w:rsidRPr="00361F6F">
              <w:rPr>
                <w:rFonts w:ascii="Verdana" w:hAnsi="Verdana"/>
                <w:sz w:val="18"/>
                <w:szCs w:val="18"/>
              </w:rPr>
              <w:t>.</w:t>
            </w:r>
            <w:r w:rsidRPr="00361F6F" w:rsidR="00623FA5">
              <w:rPr>
                <w:rFonts w:ascii="Verdana" w:hAnsi="Verdana"/>
                <w:sz w:val="18"/>
                <w:szCs w:val="18"/>
              </w:rPr>
              <w:t xml:space="preserve"> </w:t>
            </w:r>
            <w:r w:rsidRPr="00361F6F">
              <w:rPr>
                <w:rFonts w:ascii="Verdana" w:hAnsi="Verdana"/>
                <w:sz w:val="18"/>
                <w:szCs w:val="18"/>
              </w:rPr>
              <w:t xml:space="preserve"> Tegelijkertijd is het van belang dat ook decentrale politieke partijen transparant zijn over </w:t>
            </w:r>
            <w:r w:rsidRPr="00361F6F" w:rsidR="006F27A8">
              <w:rPr>
                <w:rFonts w:ascii="Verdana" w:hAnsi="Verdana"/>
                <w:sz w:val="18"/>
                <w:szCs w:val="18"/>
              </w:rPr>
              <w:t xml:space="preserve">de bijdragen die zij </w:t>
            </w:r>
            <w:r w:rsidRPr="00361F6F" w:rsidR="006C6492">
              <w:rPr>
                <w:rFonts w:ascii="Verdana" w:hAnsi="Verdana"/>
                <w:sz w:val="18"/>
                <w:szCs w:val="18"/>
              </w:rPr>
              <w:t>hebben aanvaard</w:t>
            </w:r>
            <w:r w:rsidRPr="00361F6F" w:rsidR="006F27A8">
              <w:rPr>
                <w:rFonts w:ascii="Verdana" w:hAnsi="Verdana"/>
                <w:sz w:val="18"/>
                <w:szCs w:val="18"/>
              </w:rPr>
              <w:t xml:space="preserve"> </w:t>
            </w:r>
            <w:r w:rsidRPr="00361F6F">
              <w:rPr>
                <w:rFonts w:ascii="Verdana" w:hAnsi="Verdana"/>
                <w:sz w:val="18"/>
                <w:szCs w:val="18"/>
              </w:rPr>
              <w:t xml:space="preserve">en </w:t>
            </w:r>
            <w:r w:rsidRPr="00361F6F" w:rsidR="006F27A8">
              <w:rPr>
                <w:rFonts w:ascii="Verdana" w:hAnsi="Verdana"/>
                <w:sz w:val="18"/>
                <w:szCs w:val="18"/>
              </w:rPr>
              <w:t xml:space="preserve">de </w:t>
            </w:r>
            <w:r w:rsidRPr="00361F6F">
              <w:rPr>
                <w:rFonts w:ascii="Verdana" w:hAnsi="Verdana"/>
                <w:sz w:val="18"/>
                <w:szCs w:val="18"/>
              </w:rPr>
              <w:t>schulden</w:t>
            </w:r>
            <w:r w:rsidRPr="00361F6F" w:rsidR="006F27A8">
              <w:rPr>
                <w:rFonts w:ascii="Verdana" w:hAnsi="Verdana"/>
                <w:sz w:val="18"/>
                <w:szCs w:val="18"/>
              </w:rPr>
              <w:t xml:space="preserve"> die zij zijn aangegaan</w:t>
            </w:r>
            <w:r w:rsidRPr="00361F6F">
              <w:rPr>
                <w:rFonts w:ascii="Verdana" w:hAnsi="Verdana"/>
                <w:sz w:val="18"/>
                <w:szCs w:val="18"/>
              </w:rPr>
              <w:t xml:space="preserve">. </w:t>
            </w:r>
            <w:r w:rsidRPr="00361F6F" w:rsidR="00575C4B">
              <w:rPr>
                <w:rFonts w:ascii="Verdana" w:hAnsi="Verdana"/>
                <w:sz w:val="18"/>
                <w:szCs w:val="18"/>
              </w:rPr>
              <w:t xml:space="preserve">Om de voornoemde reden geldt er dan ook voor decentrale politieke partijen een lichter </w:t>
            </w:r>
            <w:r w:rsidRPr="00361F6F" w:rsidR="00F808A1">
              <w:rPr>
                <w:rFonts w:ascii="Verdana" w:hAnsi="Verdana"/>
                <w:sz w:val="18"/>
                <w:szCs w:val="18"/>
              </w:rPr>
              <w:t>verantwoordings</w:t>
            </w:r>
            <w:r w:rsidRPr="00361F6F" w:rsidR="00575C4B">
              <w:rPr>
                <w:rFonts w:ascii="Verdana" w:hAnsi="Verdana"/>
                <w:sz w:val="18"/>
                <w:szCs w:val="18"/>
              </w:rPr>
              <w:t>regime dan voor landelijke politieke partijen.</w:t>
            </w:r>
          </w:p>
          <w:p w:rsidRPr="00361F6F" w:rsidR="00C001A7" w:rsidP="00361F6F" w14:paraId="27408DFF" w14:textId="1A39D500">
            <w:pPr>
              <w:spacing w:line="276" w:lineRule="auto"/>
              <w:rPr>
                <w:rFonts w:ascii="Verdana" w:hAnsi="Verdana"/>
                <w:sz w:val="18"/>
                <w:szCs w:val="18"/>
              </w:rPr>
            </w:pPr>
            <w:r w:rsidRPr="00361F6F">
              <w:rPr>
                <w:rFonts w:ascii="Verdana" w:hAnsi="Verdana"/>
                <w:sz w:val="18"/>
                <w:szCs w:val="18"/>
              </w:rPr>
              <w:t>D</w:t>
            </w:r>
            <w:r w:rsidRPr="00361F6F">
              <w:rPr>
                <w:rFonts w:ascii="Verdana" w:hAnsi="Verdana"/>
                <w:sz w:val="18"/>
                <w:szCs w:val="18"/>
              </w:rPr>
              <w:t>ecentrale politieke partijen</w:t>
            </w:r>
            <w:r w:rsidRPr="00361F6F" w:rsidR="003B382B">
              <w:rPr>
                <w:rFonts w:ascii="Verdana" w:hAnsi="Verdana"/>
                <w:sz w:val="18"/>
                <w:szCs w:val="18"/>
              </w:rPr>
              <w:t xml:space="preserve"> </w:t>
            </w:r>
            <w:r w:rsidRPr="00361F6F">
              <w:rPr>
                <w:rFonts w:ascii="Verdana" w:hAnsi="Verdana"/>
                <w:sz w:val="18"/>
                <w:szCs w:val="18"/>
              </w:rPr>
              <w:t xml:space="preserve">zijn bijvoorbeeld </w:t>
            </w:r>
            <w:r w:rsidRPr="00361F6F" w:rsidR="003B382B">
              <w:rPr>
                <w:rFonts w:ascii="Verdana" w:hAnsi="Verdana"/>
                <w:sz w:val="18"/>
                <w:szCs w:val="18"/>
              </w:rPr>
              <w:t xml:space="preserve">niet verplicht </w:t>
            </w:r>
            <w:r w:rsidRPr="00361F6F" w:rsidR="000F50BF">
              <w:rPr>
                <w:rFonts w:ascii="Verdana" w:hAnsi="Verdana"/>
                <w:sz w:val="18"/>
                <w:szCs w:val="18"/>
              </w:rPr>
              <w:t>om een</w:t>
            </w:r>
            <w:r w:rsidRPr="00361F6F">
              <w:rPr>
                <w:rFonts w:ascii="Verdana" w:hAnsi="Verdana"/>
                <w:sz w:val="18"/>
                <w:szCs w:val="18"/>
              </w:rPr>
              <w:t xml:space="preserve"> accountantsverklaring</w:t>
            </w:r>
            <w:r w:rsidRPr="00361F6F" w:rsidR="00F808A1">
              <w:rPr>
                <w:rFonts w:ascii="Verdana" w:hAnsi="Verdana"/>
                <w:sz w:val="18"/>
                <w:szCs w:val="18"/>
              </w:rPr>
              <w:t xml:space="preserve"> </w:t>
            </w:r>
            <w:r w:rsidRPr="00361F6F" w:rsidR="006C6492">
              <w:rPr>
                <w:rFonts w:ascii="Verdana" w:hAnsi="Verdana"/>
                <w:sz w:val="18"/>
                <w:szCs w:val="18"/>
              </w:rPr>
              <w:t xml:space="preserve">te laten opstellen </w:t>
            </w:r>
            <w:r w:rsidRPr="00361F6F" w:rsidR="00F808A1">
              <w:rPr>
                <w:rFonts w:ascii="Verdana" w:hAnsi="Verdana"/>
                <w:sz w:val="18"/>
                <w:szCs w:val="18"/>
              </w:rPr>
              <w:t>bij hun financieel verslag</w:t>
            </w:r>
            <w:r w:rsidRPr="00361F6F">
              <w:rPr>
                <w:rFonts w:ascii="Verdana" w:hAnsi="Verdana"/>
                <w:sz w:val="18"/>
                <w:szCs w:val="18"/>
              </w:rPr>
              <w:t xml:space="preserve">. </w:t>
            </w:r>
            <w:r w:rsidRPr="00361F6F">
              <w:rPr>
                <w:rFonts w:ascii="Verdana" w:hAnsi="Verdana"/>
                <w:sz w:val="18"/>
                <w:szCs w:val="18"/>
              </w:rPr>
              <w:t>V</w:t>
            </w:r>
            <w:r w:rsidRPr="00361F6F" w:rsidR="00F808A1">
              <w:rPr>
                <w:rFonts w:ascii="Verdana" w:hAnsi="Verdana"/>
                <w:sz w:val="18"/>
                <w:szCs w:val="18"/>
              </w:rPr>
              <w:t xml:space="preserve">oor het aanvragen van subsidie op basis van deze wet zijn decentrale politieke partijen niet verplicht om een activiteitenplan en een bijbehorende begroting op te stellen. </w:t>
            </w:r>
            <w:r w:rsidRPr="00361F6F">
              <w:rPr>
                <w:rFonts w:ascii="Verdana" w:hAnsi="Verdana"/>
                <w:sz w:val="18"/>
                <w:szCs w:val="18"/>
              </w:rPr>
              <w:t>Ook is er geen minimumaantal leden vastgesteld dat een decentrale politieke partij moet hebben om in aanmerking te kunnen komen voor subsidi</w:t>
            </w:r>
            <w:r w:rsidRPr="00361F6F">
              <w:rPr>
                <w:rFonts w:ascii="Verdana" w:hAnsi="Verdana"/>
                <w:sz w:val="18"/>
                <w:szCs w:val="18"/>
              </w:rPr>
              <w:t>e</w:t>
            </w:r>
            <w:r w:rsidRPr="00361F6F">
              <w:rPr>
                <w:rFonts w:ascii="Verdana" w:hAnsi="Verdana"/>
                <w:sz w:val="18"/>
                <w:szCs w:val="18"/>
              </w:rPr>
              <w:t>. Om nader tegemoet te komen aan de lagere administratieve capaciteit van decentrale politieke partijen is bovendien besloten om ruimere termijnen te hanteren voor de openbaarmaking van substantiële bijdragen. Een decentrale politieke partij moet</w:t>
            </w:r>
            <w:r w:rsidRPr="00361F6F">
              <w:rPr>
                <w:rFonts w:ascii="Verdana" w:hAnsi="Verdana"/>
                <w:sz w:val="18"/>
                <w:szCs w:val="18"/>
              </w:rPr>
              <w:t xml:space="preserve"> het</w:t>
            </w:r>
            <w:r w:rsidRPr="00361F6F">
              <w:rPr>
                <w:rFonts w:ascii="Verdana" w:hAnsi="Verdana"/>
                <w:sz w:val="18"/>
                <w:szCs w:val="18"/>
              </w:rPr>
              <w:t xml:space="preserve"> binnen drie weken</w:t>
            </w:r>
            <w:r w:rsidRPr="00361F6F">
              <w:rPr>
                <w:rFonts w:ascii="Verdana" w:hAnsi="Verdana"/>
                <w:sz w:val="18"/>
                <w:szCs w:val="18"/>
              </w:rPr>
              <w:t xml:space="preserve"> openbaar maken als zij van een gever</w:t>
            </w:r>
            <w:r w:rsidRPr="00361F6F">
              <w:rPr>
                <w:rFonts w:ascii="Verdana" w:hAnsi="Verdana"/>
                <w:sz w:val="18"/>
                <w:szCs w:val="18"/>
              </w:rPr>
              <w:t xml:space="preserve"> een substantiële bijdrage van meer dan € 2.000,- .</w:t>
            </w:r>
            <w:r>
              <w:rPr>
                <w:rStyle w:val="FootnoteReference"/>
                <w:rFonts w:ascii="Verdana" w:hAnsi="Verdana"/>
                <w:sz w:val="18"/>
                <w:szCs w:val="18"/>
              </w:rPr>
              <w:footnoteReference w:id="6"/>
            </w:r>
            <w:r w:rsidRPr="00361F6F">
              <w:rPr>
                <w:rFonts w:ascii="Verdana" w:hAnsi="Verdana"/>
                <w:sz w:val="18"/>
                <w:szCs w:val="18"/>
              </w:rPr>
              <w:t xml:space="preserve"> In de 21 dagen voor </w:t>
            </w:r>
            <w:r w:rsidRPr="00361F6F">
              <w:rPr>
                <w:rFonts w:ascii="Verdana" w:hAnsi="Verdana"/>
                <w:sz w:val="18"/>
                <w:szCs w:val="18"/>
              </w:rPr>
              <w:t xml:space="preserve">de dag van de stemming </w:t>
            </w:r>
            <w:r w:rsidRPr="00361F6F">
              <w:rPr>
                <w:rFonts w:ascii="Verdana" w:hAnsi="Verdana"/>
                <w:sz w:val="18"/>
                <w:szCs w:val="18"/>
              </w:rPr>
              <w:t>gebeurt dit binnen vijf werkdagen.</w:t>
            </w:r>
            <w:r>
              <w:rPr>
                <w:rStyle w:val="FootnoteReference"/>
                <w:rFonts w:ascii="Verdana" w:hAnsi="Verdana"/>
                <w:sz w:val="18"/>
                <w:szCs w:val="18"/>
              </w:rPr>
              <w:footnoteReference w:id="7"/>
            </w:r>
            <w:r w:rsidRPr="00361F6F">
              <w:rPr>
                <w:rFonts w:ascii="Verdana" w:hAnsi="Verdana"/>
                <w:sz w:val="18"/>
                <w:szCs w:val="18"/>
              </w:rPr>
              <w:t xml:space="preserve"> </w:t>
            </w:r>
            <w:r w:rsidRPr="00361F6F">
              <w:rPr>
                <w:rFonts w:ascii="Verdana" w:hAnsi="Verdana"/>
                <w:sz w:val="18"/>
                <w:szCs w:val="18"/>
              </w:rPr>
              <w:t>Uit d</w:t>
            </w:r>
            <w:r w:rsidRPr="00361F6F">
              <w:rPr>
                <w:rFonts w:ascii="Verdana" w:hAnsi="Verdana"/>
                <w:sz w:val="18"/>
                <w:szCs w:val="18"/>
              </w:rPr>
              <w:t xml:space="preserve">e voorgenoemde verschillen in regels voor decentrale politieke partijen en landelijke politieke partijen </w:t>
            </w:r>
            <w:r w:rsidRPr="00361F6F">
              <w:rPr>
                <w:rFonts w:ascii="Verdana" w:hAnsi="Verdana"/>
                <w:sz w:val="18"/>
                <w:szCs w:val="18"/>
              </w:rPr>
              <w:t>blijkt dat de regering</w:t>
            </w:r>
            <w:r w:rsidRPr="00361F6F">
              <w:rPr>
                <w:rFonts w:ascii="Verdana" w:hAnsi="Verdana"/>
                <w:sz w:val="18"/>
                <w:szCs w:val="18"/>
              </w:rPr>
              <w:t xml:space="preserve"> oog</w:t>
            </w:r>
            <w:r w:rsidRPr="00361F6F">
              <w:rPr>
                <w:rFonts w:ascii="Verdana" w:hAnsi="Verdana"/>
                <w:sz w:val="18"/>
                <w:szCs w:val="18"/>
              </w:rPr>
              <w:t xml:space="preserve"> heeft gehad</w:t>
            </w:r>
            <w:r w:rsidRPr="00361F6F">
              <w:rPr>
                <w:rFonts w:ascii="Verdana" w:hAnsi="Verdana"/>
                <w:sz w:val="18"/>
                <w:szCs w:val="18"/>
              </w:rPr>
              <w:t xml:space="preserve"> voor de</w:t>
            </w:r>
            <w:r w:rsidRPr="00361F6F">
              <w:rPr>
                <w:rFonts w:ascii="Verdana" w:hAnsi="Verdana"/>
                <w:sz w:val="18"/>
                <w:szCs w:val="18"/>
              </w:rPr>
              <w:t xml:space="preserve"> soms beperkte(re) administratieve</w:t>
            </w:r>
            <w:r w:rsidRPr="00361F6F">
              <w:rPr>
                <w:rFonts w:ascii="Verdana" w:hAnsi="Verdana"/>
                <w:sz w:val="18"/>
                <w:szCs w:val="18"/>
              </w:rPr>
              <w:t xml:space="preserve"> capaciteit van decentrale politieke partijen.</w:t>
            </w:r>
          </w:p>
          <w:p w:rsidRPr="00361F6F" w:rsidR="00C5262F" w:rsidP="00361F6F" w14:paraId="09F5BD54" w14:textId="0BD9B330">
            <w:pPr>
              <w:pStyle w:val="NoSpacing"/>
              <w:spacing w:line="276" w:lineRule="auto"/>
              <w:rPr>
                <w:rFonts w:ascii="Verdana" w:hAnsi="Verdana"/>
                <w:sz w:val="18"/>
                <w:szCs w:val="18"/>
              </w:rPr>
            </w:pPr>
            <w:r w:rsidRPr="00361F6F">
              <w:rPr>
                <w:rFonts w:ascii="Verdana" w:hAnsi="Verdana"/>
                <w:sz w:val="18"/>
                <w:szCs w:val="18"/>
              </w:rPr>
              <w:t xml:space="preserve">Voor landelijke partijen en hun neveninstellingen geldt dat veel </w:t>
            </w:r>
            <w:r w:rsidRPr="00361F6F" w:rsidR="000F50BF">
              <w:rPr>
                <w:rFonts w:ascii="Verdana" w:hAnsi="Verdana"/>
                <w:sz w:val="18"/>
                <w:szCs w:val="18"/>
              </w:rPr>
              <w:t>in de</w:t>
            </w:r>
            <w:r w:rsidRPr="00361F6F" w:rsidR="00867C8E">
              <w:rPr>
                <w:rFonts w:ascii="Verdana" w:hAnsi="Verdana"/>
                <w:sz w:val="18"/>
                <w:szCs w:val="18"/>
              </w:rPr>
              <w:t xml:space="preserve"> Wpp voorkomende </w:t>
            </w:r>
            <w:r w:rsidRPr="00361F6F">
              <w:rPr>
                <w:rFonts w:ascii="Verdana" w:hAnsi="Verdana"/>
                <w:sz w:val="18"/>
                <w:szCs w:val="18"/>
              </w:rPr>
              <w:t>verplichtingen niet nieuw zijn</w:t>
            </w:r>
            <w:r w:rsidRPr="00361F6F" w:rsidR="00867C8E">
              <w:rPr>
                <w:rFonts w:ascii="Verdana" w:hAnsi="Verdana"/>
                <w:sz w:val="18"/>
                <w:szCs w:val="18"/>
              </w:rPr>
              <w:t xml:space="preserve">. Zij bestaan reeds op grond van </w:t>
            </w:r>
            <w:r w:rsidRPr="00361F6F">
              <w:rPr>
                <w:rFonts w:ascii="Verdana" w:hAnsi="Verdana"/>
                <w:sz w:val="18"/>
                <w:szCs w:val="18"/>
              </w:rPr>
              <w:t>de Wfpp. Zo zijn landelijke partijen onder de Wfpp al verplicht om een administratie bij te houden en</w:t>
            </w:r>
            <w:r w:rsidRPr="00361F6F" w:rsidR="00867C8E">
              <w:rPr>
                <w:rFonts w:ascii="Verdana" w:hAnsi="Verdana"/>
                <w:sz w:val="18"/>
                <w:szCs w:val="18"/>
              </w:rPr>
              <w:t xml:space="preserve"> mogen zij niet zomaar elke bijdrage accepteren</w:t>
            </w:r>
            <w:r w:rsidRPr="00361F6F">
              <w:rPr>
                <w:rFonts w:ascii="Verdana" w:hAnsi="Verdana"/>
                <w:sz w:val="18"/>
                <w:szCs w:val="18"/>
              </w:rPr>
              <w:t>.</w:t>
            </w:r>
            <w:r w:rsidRPr="00361F6F" w:rsidR="00575C4B">
              <w:rPr>
                <w:rFonts w:ascii="Verdana" w:hAnsi="Verdana"/>
                <w:sz w:val="18"/>
                <w:szCs w:val="18"/>
              </w:rPr>
              <w:t xml:space="preserve"> </w:t>
            </w:r>
            <w:r w:rsidRPr="00361F6F">
              <w:rPr>
                <w:rFonts w:ascii="Verdana" w:hAnsi="Verdana"/>
                <w:sz w:val="18"/>
                <w:szCs w:val="18"/>
              </w:rPr>
              <w:t xml:space="preserve">De Wpp voegt hier enkele verplichtingen aan toe, met name transparantieregels over de interne organisatie. </w:t>
            </w:r>
            <w:r w:rsidRPr="00361F6F" w:rsidR="007560F9">
              <w:rPr>
                <w:rFonts w:ascii="Verdana" w:hAnsi="Verdana"/>
                <w:sz w:val="18"/>
                <w:szCs w:val="18"/>
              </w:rPr>
              <w:t xml:space="preserve">Politieke verenigingen </w:t>
            </w:r>
            <w:r w:rsidRPr="00361F6F">
              <w:rPr>
                <w:rFonts w:ascii="Verdana" w:hAnsi="Verdana"/>
                <w:sz w:val="18"/>
                <w:szCs w:val="18"/>
              </w:rPr>
              <w:t xml:space="preserve">moeten bijvoorbeeld op hun website kenbaar maken hoe </w:t>
            </w:r>
            <w:r w:rsidRPr="00361F6F" w:rsidR="007560F9">
              <w:rPr>
                <w:rFonts w:ascii="Verdana" w:hAnsi="Verdana"/>
                <w:sz w:val="18"/>
                <w:szCs w:val="18"/>
              </w:rPr>
              <w:t xml:space="preserve">hun interne </w:t>
            </w:r>
            <w:r w:rsidRPr="00361F6F">
              <w:rPr>
                <w:rFonts w:ascii="Verdana" w:hAnsi="Verdana"/>
                <w:sz w:val="18"/>
                <w:szCs w:val="18"/>
              </w:rPr>
              <w:t xml:space="preserve">besluitvormingsprocedures zijn ingericht. Voor veel </w:t>
            </w:r>
            <w:r w:rsidRPr="00361F6F" w:rsidR="007560F9">
              <w:rPr>
                <w:rFonts w:ascii="Verdana" w:hAnsi="Verdana"/>
                <w:sz w:val="18"/>
                <w:szCs w:val="18"/>
              </w:rPr>
              <w:t xml:space="preserve">van deze verenigingen </w:t>
            </w:r>
            <w:r w:rsidRPr="00361F6F">
              <w:rPr>
                <w:rFonts w:ascii="Verdana" w:hAnsi="Verdana"/>
                <w:sz w:val="18"/>
                <w:szCs w:val="18"/>
              </w:rPr>
              <w:t xml:space="preserve">is dit al staande praktijk, omdat statuten en reglementen doorgaans online beschikbaar zijn. Indien aanpassingen nodig zijn om te voldoen aan de nieuwe eisen, betreft dit in de regel een eenmalige en beperkte administratieve handeling zonder noemenswaardige financiële gevolgen. </w:t>
            </w:r>
          </w:p>
          <w:p w:rsidRPr="00361F6F" w:rsidR="006205BE" w:rsidP="00361F6F" w14:paraId="711F5402" w14:textId="5C2B88A0">
            <w:pPr>
              <w:pStyle w:val="NoSpacing"/>
              <w:spacing w:after="160" w:line="276" w:lineRule="auto"/>
              <w:rPr>
                <w:rFonts w:ascii="Verdana" w:hAnsi="Verdana"/>
                <w:sz w:val="18"/>
                <w:szCs w:val="18"/>
              </w:rPr>
            </w:pPr>
          </w:p>
        </w:tc>
        <w:tc>
          <w:tcPr>
            <w:tcW w:w="850" w:type="dxa"/>
            <w:gridSpan w:val="2"/>
          </w:tcPr>
          <w:p w:rsidRPr="00361F6F" w:rsidR="00DD3987" w:rsidP="00361F6F" w14:paraId="59E6D37A" w14:textId="77777777">
            <w:pPr>
              <w:spacing w:line="276" w:lineRule="auto"/>
              <w:jc w:val="right"/>
              <w:rPr>
                <w:rFonts w:ascii="Verdana" w:hAnsi="Verdana"/>
                <w:sz w:val="18"/>
                <w:szCs w:val="18"/>
              </w:rPr>
            </w:pPr>
          </w:p>
        </w:tc>
        <w:tc>
          <w:tcPr>
            <w:tcW w:w="992" w:type="dxa"/>
            <w:gridSpan w:val="2"/>
          </w:tcPr>
          <w:p w:rsidRPr="00361F6F" w:rsidR="00DD3987" w:rsidP="00361F6F" w14:paraId="074BC7D0" w14:textId="77777777">
            <w:pPr>
              <w:spacing w:line="276" w:lineRule="auto"/>
              <w:jc w:val="right"/>
              <w:rPr>
                <w:rFonts w:ascii="Verdana" w:hAnsi="Verdana"/>
                <w:sz w:val="18"/>
                <w:szCs w:val="18"/>
              </w:rPr>
            </w:pPr>
          </w:p>
        </w:tc>
        <w:tc>
          <w:tcPr>
            <w:tcW w:w="567" w:type="dxa"/>
            <w:gridSpan w:val="2"/>
            <w:tcBorders>
              <w:left w:val="nil"/>
            </w:tcBorders>
          </w:tcPr>
          <w:p w:rsidRPr="00361F6F" w:rsidR="00DD3987" w:rsidP="00361F6F" w14:paraId="013D3DE6" w14:textId="77777777">
            <w:pPr>
              <w:spacing w:line="276" w:lineRule="auto"/>
              <w:jc w:val="right"/>
              <w:rPr>
                <w:rFonts w:ascii="Verdana" w:hAnsi="Verdana"/>
                <w:sz w:val="18"/>
                <w:szCs w:val="18"/>
              </w:rPr>
            </w:pPr>
            <w:r w:rsidRPr="00361F6F">
              <w:rPr>
                <w:rFonts w:ascii="Verdana" w:hAnsi="Verdana"/>
                <w:sz w:val="18"/>
                <w:szCs w:val="18"/>
              </w:rPr>
              <w:t xml:space="preserve"> </w:t>
            </w:r>
          </w:p>
        </w:tc>
      </w:tr>
      <w:tr w:rsidTr="007A1C4D" w14:paraId="7D12D84B" w14:textId="77777777">
        <w:tblPrEx>
          <w:tblW w:w="9574" w:type="dxa"/>
          <w:tblInd w:w="-426" w:type="dxa"/>
          <w:tblLayout w:type="fixed"/>
          <w:tblCellMar>
            <w:left w:w="0" w:type="dxa"/>
            <w:right w:w="0" w:type="dxa"/>
          </w:tblCellMar>
          <w:tblLook w:val="0000"/>
        </w:tblPrEx>
        <w:tc>
          <w:tcPr>
            <w:tcW w:w="284" w:type="dxa"/>
          </w:tcPr>
          <w:p w:rsidRPr="00361F6F" w:rsidR="00DD3987" w:rsidP="00361F6F" w14:paraId="2D3D8DC1" w14:textId="77777777">
            <w:pPr>
              <w:spacing w:line="276" w:lineRule="auto"/>
              <w:rPr>
                <w:rFonts w:ascii="Verdana" w:hAnsi="Verdana"/>
                <w:sz w:val="18"/>
                <w:szCs w:val="18"/>
              </w:rPr>
            </w:pPr>
            <w:r w:rsidRPr="00361F6F">
              <w:rPr>
                <w:rFonts w:ascii="Verdana" w:hAnsi="Verdana"/>
                <w:sz w:val="18"/>
                <w:szCs w:val="18"/>
              </w:rPr>
              <w:t>6</w:t>
            </w:r>
          </w:p>
        </w:tc>
        <w:tc>
          <w:tcPr>
            <w:tcW w:w="6881" w:type="dxa"/>
            <w:gridSpan w:val="2"/>
          </w:tcPr>
          <w:p w:rsidRPr="00361F6F" w:rsidR="00DD3987" w:rsidP="00361F6F" w14:paraId="2D73EF08" w14:textId="77777777">
            <w:pPr>
              <w:spacing w:line="276" w:lineRule="auto"/>
              <w:rPr>
                <w:rFonts w:ascii="Verdana" w:hAnsi="Verdana"/>
                <w:i/>
                <w:iCs/>
                <w:sz w:val="18"/>
                <w:szCs w:val="18"/>
              </w:rPr>
            </w:pPr>
            <w:r w:rsidRPr="00361F6F">
              <w:rPr>
                <w:rFonts w:ascii="Verdana" w:hAnsi="Verdana"/>
                <w:i/>
                <w:iCs/>
                <w:sz w:val="18"/>
                <w:szCs w:val="18"/>
              </w:rPr>
              <w:t>Op welke wijze acht u het verenigbaar met de vrijheid van vereniging dat politieke verenigingen verplicht worden hun interne organisatie en procedures openbaar te maken?</w:t>
            </w:r>
          </w:p>
          <w:p w:rsidRPr="00361F6F" w:rsidR="00DD3987" w:rsidP="00361F6F" w14:paraId="28472DE0" w14:textId="77777777">
            <w:pPr>
              <w:spacing w:line="276" w:lineRule="auto"/>
              <w:rPr>
                <w:rFonts w:ascii="Verdana" w:hAnsi="Verdana"/>
                <w:b/>
                <w:bCs/>
                <w:sz w:val="18"/>
                <w:szCs w:val="18"/>
              </w:rPr>
            </w:pPr>
            <w:r w:rsidRPr="00361F6F">
              <w:rPr>
                <w:rFonts w:ascii="Verdana" w:hAnsi="Verdana"/>
                <w:b/>
                <w:bCs/>
                <w:sz w:val="18"/>
                <w:szCs w:val="18"/>
              </w:rPr>
              <w:t>Antwoord:</w:t>
            </w:r>
          </w:p>
          <w:p w:rsidRPr="00361F6F" w:rsidR="007560F9" w:rsidP="00361F6F" w14:paraId="176D2ECC" w14:textId="77777777">
            <w:pPr>
              <w:spacing w:line="276" w:lineRule="auto"/>
              <w:rPr>
                <w:rFonts w:ascii="Verdana" w:hAnsi="Verdana"/>
                <w:sz w:val="18"/>
                <w:szCs w:val="18"/>
              </w:rPr>
            </w:pPr>
            <w:r w:rsidRPr="00361F6F">
              <w:rPr>
                <w:rFonts w:ascii="Verdana" w:hAnsi="Verdana"/>
                <w:sz w:val="18"/>
                <w:szCs w:val="18"/>
              </w:rPr>
              <w:t>De vrijheid van vereniging wordt onder andere gewaarborgd door artikel</w:t>
            </w:r>
            <w:r w:rsidRPr="00361F6F" w:rsidR="00403248">
              <w:rPr>
                <w:rFonts w:ascii="Verdana" w:hAnsi="Verdana"/>
                <w:sz w:val="18"/>
                <w:szCs w:val="18"/>
              </w:rPr>
              <w:t xml:space="preserve"> 8 van de Grondwet voor het Koninkrijk der Nederlanden. De in het voorstel van wet opgenomen verplichting voor politieke verenigingen om transparant te zijn over hun interne organisatie vormt geen beperking op dit grondrecht. Er worden daarmee immers geen regels gesteld </w:t>
            </w:r>
            <w:r w:rsidRPr="00361F6F" w:rsidR="005517B2">
              <w:rPr>
                <w:rFonts w:ascii="Verdana" w:hAnsi="Verdana"/>
                <w:sz w:val="18"/>
                <w:szCs w:val="18"/>
              </w:rPr>
              <w:t>over</w:t>
            </w:r>
            <w:r w:rsidRPr="00361F6F" w:rsidR="00403248">
              <w:rPr>
                <w:rFonts w:ascii="Verdana" w:hAnsi="Verdana"/>
                <w:sz w:val="18"/>
                <w:szCs w:val="18"/>
              </w:rPr>
              <w:t xml:space="preserve"> de interne organisatie van politieke verenigingen. Van politieke verenigingen wordt slechts gevraagd om naar buiten toe open te zijn over hoe de vereniging is opgebouwd en welke regels en procedures er binnen de vereniging gelden.</w:t>
            </w:r>
            <w:r>
              <w:rPr>
                <w:rStyle w:val="FootnoteReference"/>
                <w:rFonts w:ascii="Verdana" w:hAnsi="Verdana"/>
                <w:sz w:val="18"/>
                <w:szCs w:val="18"/>
              </w:rPr>
              <w:footnoteReference w:id="8"/>
            </w:r>
            <w:r w:rsidRPr="00361F6F" w:rsidR="00403248">
              <w:rPr>
                <w:rFonts w:ascii="Verdana" w:hAnsi="Verdana"/>
                <w:sz w:val="18"/>
                <w:szCs w:val="18"/>
              </w:rPr>
              <w:t xml:space="preserve"> </w:t>
            </w:r>
          </w:p>
          <w:p w:rsidRPr="00361F6F" w:rsidR="00CC6E46" w:rsidP="00361F6F" w14:paraId="53A5D3CB" w14:textId="7403BE83">
            <w:pPr>
              <w:spacing w:line="276" w:lineRule="auto"/>
              <w:rPr>
                <w:rFonts w:ascii="Verdana" w:hAnsi="Verdana"/>
                <w:sz w:val="18"/>
                <w:szCs w:val="18"/>
              </w:rPr>
            </w:pPr>
          </w:p>
        </w:tc>
        <w:tc>
          <w:tcPr>
            <w:tcW w:w="850" w:type="dxa"/>
            <w:gridSpan w:val="2"/>
          </w:tcPr>
          <w:p w:rsidRPr="00361F6F" w:rsidR="00DD3987" w:rsidP="00361F6F" w14:paraId="1BBAF8B0" w14:textId="77777777">
            <w:pPr>
              <w:spacing w:line="276" w:lineRule="auto"/>
              <w:jc w:val="right"/>
              <w:rPr>
                <w:rFonts w:ascii="Verdana" w:hAnsi="Verdana"/>
                <w:sz w:val="18"/>
                <w:szCs w:val="18"/>
              </w:rPr>
            </w:pPr>
          </w:p>
        </w:tc>
        <w:tc>
          <w:tcPr>
            <w:tcW w:w="992" w:type="dxa"/>
            <w:gridSpan w:val="2"/>
          </w:tcPr>
          <w:p w:rsidRPr="00361F6F" w:rsidR="00DD3987" w:rsidP="00361F6F" w14:paraId="6EE34350" w14:textId="77777777">
            <w:pPr>
              <w:spacing w:line="276" w:lineRule="auto"/>
              <w:jc w:val="right"/>
              <w:rPr>
                <w:rFonts w:ascii="Verdana" w:hAnsi="Verdana"/>
                <w:sz w:val="18"/>
                <w:szCs w:val="18"/>
              </w:rPr>
            </w:pPr>
          </w:p>
        </w:tc>
        <w:tc>
          <w:tcPr>
            <w:tcW w:w="567" w:type="dxa"/>
            <w:gridSpan w:val="2"/>
            <w:tcBorders>
              <w:left w:val="nil"/>
            </w:tcBorders>
          </w:tcPr>
          <w:p w:rsidRPr="00361F6F" w:rsidR="00DD3987" w:rsidP="00361F6F" w14:paraId="1F9A49ED" w14:textId="77777777">
            <w:pPr>
              <w:spacing w:line="276" w:lineRule="auto"/>
              <w:jc w:val="right"/>
              <w:rPr>
                <w:rFonts w:ascii="Verdana" w:hAnsi="Verdana"/>
                <w:sz w:val="18"/>
                <w:szCs w:val="18"/>
              </w:rPr>
            </w:pPr>
            <w:r w:rsidRPr="00361F6F">
              <w:rPr>
                <w:rFonts w:ascii="Verdana" w:hAnsi="Verdana"/>
                <w:sz w:val="18"/>
                <w:szCs w:val="18"/>
              </w:rPr>
              <w:t xml:space="preserve"> </w:t>
            </w:r>
          </w:p>
        </w:tc>
      </w:tr>
      <w:tr w:rsidTr="007A1C4D" w14:paraId="37FAD72F" w14:textId="77777777">
        <w:tblPrEx>
          <w:tblW w:w="9574" w:type="dxa"/>
          <w:tblInd w:w="-426" w:type="dxa"/>
          <w:tblLayout w:type="fixed"/>
          <w:tblCellMar>
            <w:left w:w="0" w:type="dxa"/>
            <w:right w:w="0" w:type="dxa"/>
          </w:tblCellMar>
          <w:tblLook w:val="0000"/>
        </w:tblPrEx>
        <w:tc>
          <w:tcPr>
            <w:tcW w:w="284" w:type="dxa"/>
          </w:tcPr>
          <w:p w:rsidRPr="00361F6F" w:rsidR="00DD3987" w:rsidP="00361F6F" w14:paraId="5700B539" w14:textId="77777777">
            <w:pPr>
              <w:spacing w:line="276" w:lineRule="auto"/>
              <w:rPr>
                <w:rFonts w:ascii="Verdana" w:hAnsi="Verdana"/>
                <w:sz w:val="18"/>
                <w:szCs w:val="18"/>
              </w:rPr>
            </w:pPr>
            <w:r w:rsidRPr="00361F6F">
              <w:rPr>
                <w:rFonts w:ascii="Verdana" w:hAnsi="Verdana"/>
                <w:sz w:val="18"/>
                <w:szCs w:val="18"/>
              </w:rPr>
              <w:t>7</w:t>
            </w:r>
          </w:p>
        </w:tc>
        <w:tc>
          <w:tcPr>
            <w:tcW w:w="6881" w:type="dxa"/>
            <w:gridSpan w:val="2"/>
          </w:tcPr>
          <w:p w:rsidRPr="00361F6F" w:rsidR="00DD3987" w:rsidP="00361F6F" w14:paraId="51352ED6" w14:textId="77777777">
            <w:pPr>
              <w:spacing w:line="276" w:lineRule="auto"/>
              <w:rPr>
                <w:rFonts w:ascii="Verdana" w:hAnsi="Verdana"/>
                <w:i/>
                <w:iCs/>
                <w:sz w:val="18"/>
                <w:szCs w:val="18"/>
              </w:rPr>
            </w:pPr>
            <w:r w:rsidRPr="00361F6F">
              <w:rPr>
                <w:rFonts w:ascii="Verdana" w:hAnsi="Verdana"/>
                <w:i/>
                <w:iCs/>
                <w:sz w:val="18"/>
                <w:szCs w:val="18"/>
              </w:rPr>
              <w:t>Hoe realistisch is het dat kleine partijen en nieuwe initiatieven aan alle eisen rond administratie, registratie van giften en schulden (vanaf 25.000 euro) kunnen voldoen?</w:t>
            </w:r>
          </w:p>
          <w:p w:rsidRPr="00361F6F" w:rsidR="00DD3987" w:rsidP="00361F6F" w14:paraId="419B9F30" w14:textId="77777777">
            <w:pPr>
              <w:spacing w:line="276" w:lineRule="auto"/>
              <w:rPr>
                <w:rFonts w:ascii="Verdana" w:hAnsi="Verdana"/>
                <w:sz w:val="18"/>
                <w:szCs w:val="18"/>
              </w:rPr>
            </w:pPr>
            <w:r w:rsidRPr="00361F6F">
              <w:rPr>
                <w:rFonts w:ascii="Verdana" w:hAnsi="Verdana"/>
                <w:b/>
                <w:bCs/>
                <w:sz w:val="18"/>
                <w:szCs w:val="18"/>
              </w:rPr>
              <w:t>Antwoord:</w:t>
            </w:r>
          </w:p>
          <w:p w:rsidRPr="00361F6F" w:rsidR="007E4A44" w:rsidP="00361F6F" w14:paraId="15890DDD" w14:textId="77777777">
            <w:pPr>
              <w:spacing w:line="276" w:lineRule="auto"/>
              <w:rPr>
                <w:rFonts w:ascii="Verdana" w:hAnsi="Verdana"/>
                <w:sz w:val="18"/>
                <w:szCs w:val="18"/>
              </w:rPr>
            </w:pPr>
            <w:r w:rsidRPr="00361F6F">
              <w:rPr>
                <w:rFonts w:ascii="Verdana" w:hAnsi="Verdana"/>
                <w:sz w:val="18"/>
                <w:szCs w:val="18"/>
              </w:rPr>
              <w:t>Zie het antwoord op vraag 5.</w:t>
            </w:r>
          </w:p>
          <w:p w:rsidRPr="00361F6F" w:rsidR="00CC6E46" w:rsidP="00361F6F" w14:paraId="0052AD80" w14:textId="5DED0EE9">
            <w:pPr>
              <w:spacing w:line="276" w:lineRule="auto"/>
              <w:rPr>
                <w:rFonts w:ascii="Verdana" w:hAnsi="Verdana"/>
                <w:sz w:val="18"/>
                <w:szCs w:val="18"/>
              </w:rPr>
            </w:pPr>
          </w:p>
        </w:tc>
        <w:tc>
          <w:tcPr>
            <w:tcW w:w="850" w:type="dxa"/>
            <w:gridSpan w:val="2"/>
          </w:tcPr>
          <w:p w:rsidRPr="00361F6F" w:rsidR="00DD3987" w:rsidP="00361F6F" w14:paraId="7ED6AE3C" w14:textId="77777777">
            <w:pPr>
              <w:spacing w:line="276" w:lineRule="auto"/>
              <w:jc w:val="right"/>
              <w:rPr>
                <w:rFonts w:ascii="Verdana" w:hAnsi="Verdana"/>
                <w:sz w:val="18"/>
                <w:szCs w:val="18"/>
              </w:rPr>
            </w:pPr>
          </w:p>
        </w:tc>
        <w:tc>
          <w:tcPr>
            <w:tcW w:w="992" w:type="dxa"/>
            <w:gridSpan w:val="2"/>
          </w:tcPr>
          <w:p w:rsidRPr="00361F6F" w:rsidR="00DD3987" w:rsidP="00361F6F" w14:paraId="0CE7307C" w14:textId="77777777">
            <w:pPr>
              <w:spacing w:line="276" w:lineRule="auto"/>
              <w:jc w:val="right"/>
              <w:rPr>
                <w:rFonts w:ascii="Verdana" w:hAnsi="Verdana"/>
                <w:sz w:val="18"/>
                <w:szCs w:val="18"/>
              </w:rPr>
            </w:pPr>
          </w:p>
        </w:tc>
        <w:tc>
          <w:tcPr>
            <w:tcW w:w="567" w:type="dxa"/>
            <w:gridSpan w:val="2"/>
            <w:tcBorders>
              <w:left w:val="nil"/>
            </w:tcBorders>
          </w:tcPr>
          <w:p w:rsidRPr="00361F6F" w:rsidR="00DD3987" w:rsidP="00361F6F" w14:paraId="1C3BAA24" w14:textId="77777777">
            <w:pPr>
              <w:spacing w:line="276" w:lineRule="auto"/>
              <w:jc w:val="right"/>
              <w:rPr>
                <w:rFonts w:ascii="Verdana" w:hAnsi="Verdana"/>
                <w:sz w:val="18"/>
                <w:szCs w:val="18"/>
              </w:rPr>
            </w:pPr>
            <w:r w:rsidRPr="00361F6F">
              <w:rPr>
                <w:rFonts w:ascii="Verdana" w:hAnsi="Verdana"/>
                <w:sz w:val="18"/>
                <w:szCs w:val="18"/>
              </w:rPr>
              <w:t xml:space="preserve"> </w:t>
            </w:r>
          </w:p>
        </w:tc>
      </w:tr>
      <w:tr w:rsidTr="007A1C4D" w14:paraId="3180E32F" w14:textId="77777777">
        <w:tblPrEx>
          <w:tblW w:w="9574" w:type="dxa"/>
          <w:tblInd w:w="-426" w:type="dxa"/>
          <w:tblLayout w:type="fixed"/>
          <w:tblCellMar>
            <w:left w:w="0" w:type="dxa"/>
            <w:right w:w="0" w:type="dxa"/>
          </w:tblCellMar>
          <w:tblLook w:val="0000"/>
        </w:tblPrEx>
        <w:tc>
          <w:tcPr>
            <w:tcW w:w="284" w:type="dxa"/>
          </w:tcPr>
          <w:p w:rsidRPr="00361F6F" w:rsidR="00DD3987" w:rsidP="00361F6F" w14:paraId="2D1DF114" w14:textId="77777777">
            <w:pPr>
              <w:spacing w:line="276" w:lineRule="auto"/>
              <w:rPr>
                <w:rFonts w:ascii="Verdana" w:hAnsi="Verdana"/>
                <w:sz w:val="18"/>
                <w:szCs w:val="18"/>
              </w:rPr>
            </w:pPr>
            <w:r w:rsidRPr="00361F6F">
              <w:rPr>
                <w:rFonts w:ascii="Verdana" w:hAnsi="Verdana"/>
                <w:sz w:val="18"/>
                <w:szCs w:val="18"/>
              </w:rPr>
              <w:t>8</w:t>
            </w:r>
          </w:p>
        </w:tc>
        <w:tc>
          <w:tcPr>
            <w:tcW w:w="6881" w:type="dxa"/>
            <w:gridSpan w:val="2"/>
          </w:tcPr>
          <w:p w:rsidRPr="00361F6F" w:rsidR="00DD3987" w:rsidP="00361F6F" w14:paraId="70B65F49" w14:textId="77777777">
            <w:pPr>
              <w:spacing w:line="276" w:lineRule="auto"/>
              <w:rPr>
                <w:rFonts w:ascii="Verdana" w:hAnsi="Verdana"/>
                <w:i/>
                <w:iCs/>
                <w:sz w:val="18"/>
                <w:szCs w:val="18"/>
              </w:rPr>
            </w:pPr>
            <w:bookmarkStart w:name="_Hlk224572620" w:id="0"/>
            <w:r w:rsidRPr="00361F6F">
              <w:rPr>
                <w:rFonts w:ascii="Verdana" w:hAnsi="Verdana"/>
                <w:i/>
                <w:iCs/>
                <w:sz w:val="18"/>
                <w:szCs w:val="18"/>
              </w:rPr>
              <w:t>Kunt u een overzicht geven van de geraamde structurele kosten voor de Autoriteit politieke partijen, en hoe deze gefinancierd zullen worden?</w:t>
            </w:r>
          </w:p>
          <w:bookmarkEnd w:id="0"/>
          <w:p w:rsidRPr="00361F6F" w:rsidR="00DD3987" w:rsidP="00361F6F" w14:paraId="5D63E77C" w14:textId="77777777">
            <w:pPr>
              <w:spacing w:line="276" w:lineRule="auto"/>
              <w:rPr>
                <w:rFonts w:ascii="Verdana" w:hAnsi="Verdana"/>
                <w:sz w:val="18"/>
                <w:szCs w:val="18"/>
              </w:rPr>
            </w:pPr>
            <w:r w:rsidRPr="00361F6F">
              <w:rPr>
                <w:rFonts w:ascii="Verdana" w:hAnsi="Verdana"/>
                <w:b/>
                <w:bCs/>
                <w:sz w:val="18"/>
                <w:szCs w:val="18"/>
              </w:rPr>
              <w:t>Antwoord:</w:t>
            </w:r>
          </w:p>
          <w:p w:rsidRPr="00361F6F" w:rsidR="00A362D6" w:rsidP="00361F6F" w14:paraId="774FE28E" w14:textId="393204AA">
            <w:pPr>
              <w:spacing w:line="276" w:lineRule="auto"/>
              <w:rPr>
                <w:rFonts w:ascii="Verdana" w:hAnsi="Verdana"/>
                <w:sz w:val="18"/>
                <w:szCs w:val="18"/>
              </w:rPr>
            </w:pPr>
            <w:r w:rsidRPr="00361F6F">
              <w:rPr>
                <w:rFonts w:ascii="Verdana" w:hAnsi="Verdana"/>
                <w:sz w:val="18"/>
                <w:szCs w:val="18"/>
              </w:rPr>
              <w:t xml:space="preserve">De projectorganisatie </w:t>
            </w:r>
            <w:r w:rsidRPr="00361F6F" w:rsidR="007A1C4D">
              <w:rPr>
                <w:rFonts w:ascii="Verdana" w:hAnsi="Verdana"/>
                <w:sz w:val="18"/>
                <w:szCs w:val="18"/>
              </w:rPr>
              <w:t xml:space="preserve">voor de oprichting van de Napp </w:t>
            </w:r>
            <w:r w:rsidRPr="00361F6F">
              <w:rPr>
                <w:rFonts w:ascii="Verdana" w:hAnsi="Verdana"/>
                <w:sz w:val="18"/>
                <w:szCs w:val="18"/>
              </w:rPr>
              <w:t xml:space="preserve">is inmiddels opgestart </w:t>
            </w:r>
            <w:r w:rsidRPr="00361F6F" w:rsidR="007A1C4D">
              <w:rPr>
                <w:rFonts w:ascii="Verdana" w:hAnsi="Verdana"/>
                <w:sz w:val="18"/>
                <w:szCs w:val="18"/>
              </w:rPr>
              <w:t xml:space="preserve">en heeft een raming gemaakt van de structurele kosten. </w:t>
            </w:r>
            <w:r w:rsidRPr="00361F6F">
              <w:rPr>
                <w:rFonts w:ascii="Verdana" w:hAnsi="Verdana"/>
                <w:sz w:val="18"/>
                <w:szCs w:val="18"/>
              </w:rPr>
              <w:t xml:space="preserve">Volgens deze raming is er </w:t>
            </w:r>
            <w:r w:rsidRPr="00361F6F" w:rsidR="00CC6E46">
              <w:rPr>
                <w:rFonts w:ascii="Verdana" w:hAnsi="Verdana"/>
                <w:sz w:val="18"/>
                <w:szCs w:val="18"/>
              </w:rPr>
              <w:t>vier miljoen euro</w:t>
            </w:r>
            <w:r w:rsidRPr="00361F6F">
              <w:rPr>
                <w:rFonts w:ascii="Verdana" w:hAnsi="Verdana"/>
                <w:sz w:val="18"/>
                <w:szCs w:val="18"/>
              </w:rPr>
              <w:t xml:space="preserve"> per jaar benodigd om</w:t>
            </w:r>
            <w:r w:rsidRPr="00361F6F" w:rsidR="00CC6E46">
              <w:rPr>
                <w:rFonts w:ascii="Verdana" w:hAnsi="Verdana"/>
                <w:sz w:val="18"/>
                <w:szCs w:val="18"/>
              </w:rPr>
              <w:t xml:space="preserve"> de Nederlandse autoriteit politieke partijen de aan hem opgedragen taken te kunnen laten uitvoeren</w:t>
            </w:r>
            <w:r w:rsidRPr="00361F6F">
              <w:rPr>
                <w:rFonts w:ascii="Verdana" w:hAnsi="Verdana"/>
                <w:sz w:val="18"/>
                <w:szCs w:val="18"/>
              </w:rPr>
              <w:t>. Met de voorjaarsnota</w:t>
            </w:r>
            <w:r w:rsidR="00B726A7">
              <w:rPr>
                <w:rFonts w:ascii="Verdana" w:hAnsi="Verdana"/>
                <w:sz w:val="18"/>
                <w:szCs w:val="18"/>
              </w:rPr>
              <w:t xml:space="preserve"> van 2026</w:t>
            </w:r>
            <w:r w:rsidRPr="00361F6F">
              <w:rPr>
                <w:rFonts w:ascii="Verdana" w:hAnsi="Verdana"/>
                <w:sz w:val="18"/>
                <w:szCs w:val="18"/>
              </w:rPr>
              <w:t xml:space="preserve"> is het budget voor de Napp op de begroting van </w:t>
            </w:r>
            <w:r w:rsidRPr="00361F6F" w:rsidR="00CC6E46">
              <w:rPr>
                <w:rFonts w:ascii="Verdana" w:hAnsi="Verdana"/>
                <w:sz w:val="18"/>
                <w:szCs w:val="18"/>
              </w:rPr>
              <w:t xml:space="preserve">het Ministerie van </w:t>
            </w:r>
            <w:r w:rsidRPr="00361F6F">
              <w:rPr>
                <w:rFonts w:ascii="Verdana" w:hAnsi="Verdana"/>
                <w:sz w:val="18"/>
                <w:szCs w:val="18"/>
              </w:rPr>
              <w:t>Binnenlandse Zaken</w:t>
            </w:r>
            <w:r w:rsidRPr="00361F6F" w:rsidR="00CC6E46">
              <w:rPr>
                <w:rFonts w:ascii="Verdana" w:hAnsi="Verdana"/>
                <w:sz w:val="18"/>
                <w:szCs w:val="18"/>
              </w:rPr>
              <w:t xml:space="preserve"> en Koninkrijksrelaties</w:t>
            </w:r>
            <w:r w:rsidRPr="00361F6F">
              <w:rPr>
                <w:rFonts w:ascii="Verdana" w:hAnsi="Verdana"/>
                <w:sz w:val="18"/>
                <w:szCs w:val="18"/>
              </w:rPr>
              <w:t xml:space="preserve"> bijgesteld naar € 4 mln.</w:t>
            </w:r>
          </w:p>
          <w:p w:rsidRPr="00361F6F" w:rsidR="00CC6E46" w:rsidP="00361F6F" w14:paraId="1F725740" w14:textId="6E6DAA40">
            <w:pPr>
              <w:spacing w:line="276" w:lineRule="auto"/>
              <w:rPr>
                <w:rFonts w:ascii="Verdana" w:hAnsi="Verdana"/>
                <w:sz w:val="18"/>
                <w:szCs w:val="18"/>
              </w:rPr>
            </w:pPr>
          </w:p>
        </w:tc>
        <w:tc>
          <w:tcPr>
            <w:tcW w:w="850" w:type="dxa"/>
            <w:gridSpan w:val="2"/>
          </w:tcPr>
          <w:p w:rsidRPr="00361F6F" w:rsidR="00DD3987" w:rsidP="00361F6F" w14:paraId="008A031A" w14:textId="77777777">
            <w:pPr>
              <w:spacing w:line="276" w:lineRule="auto"/>
              <w:jc w:val="right"/>
              <w:rPr>
                <w:rFonts w:ascii="Verdana" w:hAnsi="Verdana"/>
                <w:sz w:val="18"/>
                <w:szCs w:val="18"/>
              </w:rPr>
            </w:pPr>
          </w:p>
        </w:tc>
        <w:tc>
          <w:tcPr>
            <w:tcW w:w="992" w:type="dxa"/>
            <w:gridSpan w:val="2"/>
          </w:tcPr>
          <w:p w:rsidRPr="00361F6F" w:rsidR="00DD3987" w:rsidP="00361F6F" w14:paraId="49A5AF8C" w14:textId="77777777">
            <w:pPr>
              <w:spacing w:line="276" w:lineRule="auto"/>
              <w:jc w:val="right"/>
              <w:rPr>
                <w:rFonts w:ascii="Verdana" w:hAnsi="Verdana"/>
                <w:sz w:val="18"/>
                <w:szCs w:val="18"/>
              </w:rPr>
            </w:pPr>
          </w:p>
        </w:tc>
        <w:tc>
          <w:tcPr>
            <w:tcW w:w="567" w:type="dxa"/>
            <w:gridSpan w:val="2"/>
            <w:tcBorders>
              <w:left w:val="nil"/>
            </w:tcBorders>
          </w:tcPr>
          <w:p w:rsidRPr="00361F6F" w:rsidR="00DD3987" w:rsidP="00361F6F" w14:paraId="744C630D" w14:textId="77777777">
            <w:pPr>
              <w:spacing w:line="276" w:lineRule="auto"/>
              <w:jc w:val="right"/>
              <w:rPr>
                <w:rFonts w:ascii="Verdana" w:hAnsi="Verdana"/>
                <w:sz w:val="18"/>
                <w:szCs w:val="18"/>
              </w:rPr>
            </w:pPr>
            <w:r w:rsidRPr="00361F6F">
              <w:rPr>
                <w:rFonts w:ascii="Verdana" w:hAnsi="Verdana"/>
                <w:sz w:val="18"/>
                <w:szCs w:val="18"/>
              </w:rPr>
              <w:t xml:space="preserve"> </w:t>
            </w:r>
          </w:p>
        </w:tc>
      </w:tr>
      <w:tr w:rsidTr="007A1C4D" w14:paraId="34C575EC" w14:textId="77777777">
        <w:tblPrEx>
          <w:tblW w:w="9574" w:type="dxa"/>
          <w:tblInd w:w="-426" w:type="dxa"/>
          <w:tblLayout w:type="fixed"/>
          <w:tblCellMar>
            <w:left w:w="0" w:type="dxa"/>
            <w:right w:w="0" w:type="dxa"/>
          </w:tblCellMar>
          <w:tblLook w:val="0000"/>
        </w:tblPrEx>
        <w:tc>
          <w:tcPr>
            <w:tcW w:w="284" w:type="dxa"/>
          </w:tcPr>
          <w:p w:rsidRPr="00361F6F" w:rsidR="00DD3987" w:rsidP="00361F6F" w14:paraId="0E4D2239" w14:textId="77777777">
            <w:pPr>
              <w:spacing w:line="276" w:lineRule="auto"/>
              <w:rPr>
                <w:rFonts w:ascii="Verdana" w:hAnsi="Verdana"/>
                <w:sz w:val="18"/>
                <w:szCs w:val="18"/>
              </w:rPr>
            </w:pPr>
            <w:r w:rsidRPr="00361F6F">
              <w:rPr>
                <w:rFonts w:ascii="Verdana" w:hAnsi="Verdana"/>
                <w:sz w:val="18"/>
                <w:szCs w:val="18"/>
              </w:rPr>
              <w:t>9</w:t>
            </w:r>
          </w:p>
          <w:p w:rsidRPr="00361F6F" w:rsidR="00213B13" w:rsidP="00361F6F" w14:paraId="3898467C" w14:textId="77777777">
            <w:pPr>
              <w:spacing w:line="276" w:lineRule="auto"/>
              <w:rPr>
                <w:rFonts w:ascii="Verdana" w:hAnsi="Verdana"/>
                <w:sz w:val="18"/>
                <w:szCs w:val="18"/>
              </w:rPr>
            </w:pPr>
          </w:p>
        </w:tc>
        <w:tc>
          <w:tcPr>
            <w:tcW w:w="6881" w:type="dxa"/>
            <w:gridSpan w:val="2"/>
          </w:tcPr>
          <w:p w:rsidRPr="00674997" w:rsidR="00DD3987" w:rsidP="00361F6F" w14:paraId="44D4D6AB" w14:textId="77777777">
            <w:pPr>
              <w:spacing w:line="276" w:lineRule="auto"/>
              <w:rPr>
                <w:rFonts w:ascii="Verdana" w:hAnsi="Verdana"/>
                <w:i/>
                <w:iCs/>
                <w:sz w:val="18"/>
                <w:szCs w:val="18"/>
              </w:rPr>
            </w:pPr>
            <w:r w:rsidRPr="00674997">
              <w:rPr>
                <w:rFonts w:ascii="Verdana" w:hAnsi="Verdana"/>
                <w:i/>
                <w:iCs/>
                <w:sz w:val="18"/>
                <w:szCs w:val="18"/>
              </w:rPr>
              <w:t>Hoe wordt geborgd dat de bevoegdheid om een politieke partij te verbieden (artikel 2:20 BW vervalt) niet te ruim wordt toegepast en niet leidt tot politieke willekeur?</w:t>
            </w:r>
          </w:p>
          <w:p w:rsidRPr="00361F6F" w:rsidR="008E70AB" w:rsidP="00361F6F" w14:paraId="109DE437" w14:textId="77777777">
            <w:pPr>
              <w:pStyle w:val="NoSpacing"/>
              <w:spacing w:after="240" w:line="276" w:lineRule="auto"/>
              <w:rPr>
                <w:rFonts w:ascii="Verdana" w:hAnsi="Verdana"/>
                <w:b/>
                <w:bCs/>
                <w:sz w:val="18"/>
                <w:szCs w:val="18"/>
              </w:rPr>
            </w:pPr>
            <w:r w:rsidRPr="00361F6F">
              <w:rPr>
                <w:rFonts w:ascii="Verdana" w:hAnsi="Verdana"/>
                <w:b/>
                <w:bCs/>
                <w:sz w:val="18"/>
                <w:szCs w:val="18"/>
              </w:rPr>
              <w:t>Antwoord:</w:t>
            </w:r>
          </w:p>
          <w:p w:rsidRPr="00361F6F" w:rsidR="003C4312" w:rsidP="00361F6F" w14:paraId="343C2CDF" w14:textId="2B247A99">
            <w:pPr>
              <w:pStyle w:val="NoSpacing"/>
              <w:spacing w:after="240" w:line="276" w:lineRule="auto"/>
              <w:rPr>
                <w:rFonts w:ascii="Verdana" w:hAnsi="Verdana"/>
                <w:sz w:val="18"/>
                <w:szCs w:val="18"/>
              </w:rPr>
            </w:pPr>
            <w:r w:rsidRPr="00361F6F">
              <w:rPr>
                <w:rFonts w:ascii="Verdana" w:hAnsi="Verdana"/>
                <w:sz w:val="18"/>
                <w:szCs w:val="18"/>
              </w:rPr>
              <w:t xml:space="preserve">Het partijverbod is een zwaar middel, waarbij zorgvuldigheid is geboden. </w:t>
            </w:r>
            <w:r w:rsidRPr="00361F6F" w:rsidR="00213B13">
              <w:rPr>
                <w:rFonts w:ascii="Verdana" w:hAnsi="Verdana"/>
                <w:sz w:val="18"/>
                <w:szCs w:val="18"/>
              </w:rPr>
              <w:t xml:space="preserve">De regering heeft daarom bij de vormgeving van de voorwaarden voor het opleggen van een partijverbod de eisen die het EHRM en de Raad van Europa stellen aan </w:t>
            </w:r>
            <w:r w:rsidRPr="00361F6F" w:rsidR="00CC6E46">
              <w:rPr>
                <w:rFonts w:ascii="Verdana" w:hAnsi="Verdana"/>
                <w:sz w:val="18"/>
                <w:szCs w:val="18"/>
              </w:rPr>
              <w:t>het verbieden van</w:t>
            </w:r>
            <w:r w:rsidRPr="00361F6F" w:rsidR="00213B13">
              <w:rPr>
                <w:rFonts w:ascii="Verdana" w:hAnsi="Verdana"/>
                <w:sz w:val="18"/>
                <w:szCs w:val="18"/>
              </w:rPr>
              <w:t xml:space="preserve"> politieke partijen als uitgangspunt genomen.</w:t>
            </w:r>
            <w:r w:rsidRPr="00361F6F" w:rsidR="008D110B">
              <w:rPr>
                <w:rFonts w:ascii="Verdana" w:hAnsi="Verdana"/>
                <w:sz w:val="18"/>
                <w:szCs w:val="18"/>
              </w:rPr>
              <w:t xml:space="preserve"> Een partijverbod kan dan ook alleen aan de orde zijn wanneer een politieke vereniging </w:t>
            </w:r>
            <w:r w:rsidRPr="00361F6F">
              <w:rPr>
                <w:rFonts w:ascii="Verdana" w:hAnsi="Verdana"/>
                <w:sz w:val="18"/>
                <w:szCs w:val="18"/>
              </w:rPr>
              <w:t xml:space="preserve">een daadwerkelijke en ernstige dreiging voor de democratische rechtsstaat </w:t>
            </w:r>
            <w:r w:rsidRPr="00361F6F" w:rsidR="008D110B">
              <w:rPr>
                <w:rFonts w:ascii="Verdana" w:hAnsi="Verdana"/>
                <w:sz w:val="18"/>
                <w:szCs w:val="18"/>
              </w:rPr>
              <w:t xml:space="preserve">vormt. Daarnaast is de bevoegdheid voor een partijverbod in eerste en enige instantie belegd bij de Hoge Raad, op verzoek van de Procureur-Generaal bij de Hoge Raad. De onafhankelijkheid van deze instanties staat buiten kijf en er is daarom ook geen risico op politieke willekeur. </w:t>
            </w:r>
          </w:p>
        </w:tc>
        <w:tc>
          <w:tcPr>
            <w:tcW w:w="850" w:type="dxa"/>
            <w:gridSpan w:val="2"/>
          </w:tcPr>
          <w:p w:rsidRPr="00361F6F" w:rsidR="00DD3987" w:rsidP="00361F6F" w14:paraId="03923D2F" w14:textId="77777777">
            <w:pPr>
              <w:spacing w:line="276" w:lineRule="auto"/>
              <w:jc w:val="right"/>
              <w:rPr>
                <w:rFonts w:ascii="Verdana" w:hAnsi="Verdana"/>
                <w:sz w:val="18"/>
                <w:szCs w:val="18"/>
              </w:rPr>
            </w:pPr>
          </w:p>
        </w:tc>
        <w:tc>
          <w:tcPr>
            <w:tcW w:w="992" w:type="dxa"/>
            <w:gridSpan w:val="2"/>
          </w:tcPr>
          <w:p w:rsidRPr="00361F6F" w:rsidR="00DD3987" w:rsidP="00361F6F" w14:paraId="1C41E335" w14:textId="77777777">
            <w:pPr>
              <w:spacing w:line="276" w:lineRule="auto"/>
              <w:jc w:val="right"/>
              <w:rPr>
                <w:rFonts w:ascii="Verdana" w:hAnsi="Verdana"/>
                <w:sz w:val="18"/>
                <w:szCs w:val="18"/>
              </w:rPr>
            </w:pPr>
          </w:p>
        </w:tc>
        <w:tc>
          <w:tcPr>
            <w:tcW w:w="567" w:type="dxa"/>
            <w:gridSpan w:val="2"/>
            <w:tcBorders>
              <w:left w:val="nil"/>
            </w:tcBorders>
          </w:tcPr>
          <w:p w:rsidRPr="00361F6F" w:rsidR="00DD3987" w:rsidP="00361F6F" w14:paraId="26B62566" w14:textId="77777777">
            <w:pPr>
              <w:spacing w:line="276" w:lineRule="auto"/>
              <w:jc w:val="right"/>
              <w:rPr>
                <w:rFonts w:ascii="Verdana" w:hAnsi="Verdana"/>
                <w:sz w:val="18"/>
                <w:szCs w:val="18"/>
              </w:rPr>
            </w:pPr>
            <w:r w:rsidRPr="00361F6F">
              <w:rPr>
                <w:rFonts w:ascii="Verdana" w:hAnsi="Verdana"/>
                <w:sz w:val="18"/>
                <w:szCs w:val="18"/>
              </w:rPr>
              <w:t xml:space="preserve"> </w:t>
            </w:r>
          </w:p>
        </w:tc>
      </w:tr>
      <w:tr w:rsidTr="007A1C4D" w14:paraId="7DCAC8F2" w14:textId="77777777">
        <w:tblPrEx>
          <w:tblW w:w="9574" w:type="dxa"/>
          <w:tblInd w:w="-426" w:type="dxa"/>
          <w:tblLayout w:type="fixed"/>
          <w:tblCellMar>
            <w:left w:w="0" w:type="dxa"/>
            <w:right w:w="0" w:type="dxa"/>
          </w:tblCellMar>
          <w:tblLook w:val="0000"/>
        </w:tblPrEx>
        <w:trPr>
          <w:gridAfter w:val="1"/>
          <w:wAfter w:w="76" w:type="dxa"/>
        </w:trPr>
        <w:tc>
          <w:tcPr>
            <w:tcW w:w="284" w:type="dxa"/>
          </w:tcPr>
          <w:p w:rsidRPr="00361F6F" w:rsidR="00DD3987" w:rsidP="00361F6F" w14:paraId="1649BD99" w14:textId="77777777">
            <w:pPr>
              <w:spacing w:line="276" w:lineRule="auto"/>
              <w:rPr>
                <w:rFonts w:ascii="Verdana" w:hAnsi="Verdana"/>
                <w:sz w:val="18"/>
                <w:szCs w:val="18"/>
              </w:rPr>
            </w:pPr>
            <w:r w:rsidRPr="00361F6F">
              <w:rPr>
                <w:rFonts w:ascii="Verdana" w:hAnsi="Verdana"/>
                <w:sz w:val="18"/>
                <w:szCs w:val="18"/>
              </w:rPr>
              <w:t>10</w:t>
            </w:r>
          </w:p>
        </w:tc>
        <w:tc>
          <w:tcPr>
            <w:tcW w:w="6805" w:type="dxa"/>
          </w:tcPr>
          <w:p w:rsidRPr="00361F6F" w:rsidR="00DD3987" w:rsidP="00361F6F" w14:paraId="25FB4869" w14:textId="77777777">
            <w:pPr>
              <w:spacing w:line="276" w:lineRule="auto"/>
              <w:rPr>
                <w:rFonts w:ascii="Verdana" w:hAnsi="Verdana"/>
                <w:i/>
                <w:iCs/>
                <w:sz w:val="18"/>
                <w:szCs w:val="18"/>
              </w:rPr>
            </w:pPr>
            <w:r w:rsidRPr="00361F6F">
              <w:rPr>
                <w:rFonts w:ascii="Verdana" w:hAnsi="Verdana"/>
                <w:i/>
                <w:iCs/>
                <w:sz w:val="18"/>
                <w:szCs w:val="18"/>
              </w:rPr>
              <w:t>Hoe verhoudt dit wetsvoorstel zich tot de lopende discussie over versterking van de lokale democratie, waar juist wordt gepleit om drempels voor deelname van nieuwe partijen te verlagen?</w:t>
            </w:r>
          </w:p>
          <w:p w:rsidRPr="00361F6F" w:rsidR="008E70AB" w:rsidP="00361F6F" w14:paraId="3621B853" w14:textId="77777777">
            <w:pPr>
              <w:spacing w:line="276" w:lineRule="auto"/>
              <w:rPr>
                <w:rFonts w:ascii="Verdana" w:hAnsi="Verdana"/>
                <w:b/>
                <w:bCs/>
                <w:sz w:val="18"/>
                <w:szCs w:val="18"/>
              </w:rPr>
            </w:pPr>
            <w:r w:rsidRPr="00361F6F">
              <w:rPr>
                <w:rFonts w:ascii="Verdana" w:hAnsi="Verdana"/>
                <w:b/>
                <w:bCs/>
                <w:sz w:val="18"/>
                <w:szCs w:val="18"/>
              </w:rPr>
              <w:t>Antwoord:</w:t>
            </w:r>
          </w:p>
          <w:p w:rsidRPr="00361F6F" w:rsidR="00FF5CF0" w:rsidP="00361F6F" w14:paraId="73E2253F" w14:textId="0A945C2C">
            <w:pPr>
              <w:spacing w:line="276" w:lineRule="auto"/>
              <w:rPr>
                <w:rFonts w:ascii="Verdana" w:hAnsi="Verdana"/>
                <w:sz w:val="18"/>
                <w:szCs w:val="18"/>
              </w:rPr>
            </w:pPr>
            <w:r w:rsidRPr="00361F6F">
              <w:rPr>
                <w:rFonts w:ascii="Verdana" w:hAnsi="Verdana"/>
                <w:sz w:val="18"/>
                <w:szCs w:val="18"/>
              </w:rPr>
              <w:t xml:space="preserve">Decentrale politieke </w:t>
            </w:r>
            <w:r w:rsidRPr="00361F6F" w:rsidR="000F50BF">
              <w:rPr>
                <w:rFonts w:ascii="Verdana" w:hAnsi="Verdana"/>
                <w:sz w:val="18"/>
                <w:szCs w:val="18"/>
              </w:rPr>
              <w:t xml:space="preserve">partijen </w:t>
            </w:r>
            <w:r w:rsidRPr="00361F6F">
              <w:rPr>
                <w:rFonts w:ascii="Verdana" w:hAnsi="Verdana"/>
                <w:sz w:val="18"/>
                <w:szCs w:val="18"/>
              </w:rPr>
              <w:t xml:space="preserve">spelen een belangrijke rol </w:t>
            </w:r>
            <w:r w:rsidRPr="00361F6F" w:rsidR="006D2CB7">
              <w:rPr>
                <w:rFonts w:ascii="Verdana" w:hAnsi="Verdana"/>
                <w:sz w:val="18"/>
                <w:szCs w:val="18"/>
              </w:rPr>
              <w:t xml:space="preserve">in </w:t>
            </w:r>
            <w:r w:rsidRPr="00361F6F">
              <w:rPr>
                <w:rFonts w:ascii="Verdana" w:hAnsi="Verdana"/>
                <w:sz w:val="18"/>
                <w:szCs w:val="18"/>
              </w:rPr>
              <w:t xml:space="preserve">de lokale democratie. De Wpp draagt bij aan de versterking van decentrale politieke </w:t>
            </w:r>
            <w:r w:rsidRPr="00361F6F" w:rsidR="000F50BF">
              <w:rPr>
                <w:rFonts w:ascii="Verdana" w:hAnsi="Verdana"/>
                <w:sz w:val="18"/>
                <w:szCs w:val="18"/>
              </w:rPr>
              <w:t xml:space="preserve">partijen </w:t>
            </w:r>
            <w:r w:rsidRPr="00361F6F">
              <w:rPr>
                <w:rFonts w:ascii="Verdana" w:hAnsi="Verdana"/>
                <w:sz w:val="18"/>
                <w:szCs w:val="18"/>
              </w:rPr>
              <w:t xml:space="preserve">door subsidies beschikbaar te stellen. Dit kunnen de </w:t>
            </w:r>
            <w:r w:rsidRPr="00361F6F" w:rsidR="000F50BF">
              <w:rPr>
                <w:rFonts w:ascii="Verdana" w:hAnsi="Verdana"/>
                <w:sz w:val="18"/>
                <w:szCs w:val="18"/>
              </w:rPr>
              <w:t xml:space="preserve">partijen </w:t>
            </w:r>
            <w:r w:rsidRPr="00361F6F">
              <w:rPr>
                <w:rFonts w:ascii="Verdana" w:hAnsi="Verdana"/>
                <w:sz w:val="18"/>
                <w:szCs w:val="18"/>
              </w:rPr>
              <w:t xml:space="preserve">bijvoorbeeld gebruiken voor het professionaliseren van hun organisatie of het organiseren van partijbijeenkomsten. Dit maakt hen minder afhankelijk van </w:t>
            </w:r>
            <w:r w:rsidRPr="00361F6F" w:rsidR="00CC6E46">
              <w:rPr>
                <w:rFonts w:ascii="Verdana" w:hAnsi="Verdana"/>
                <w:sz w:val="18"/>
                <w:szCs w:val="18"/>
              </w:rPr>
              <w:t>bijdragen</w:t>
            </w:r>
            <w:r w:rsidRPr="00361F6F">
              <w:rPr>
                <w:rFonts w:ascii="Verdana" w:hAnsi="Verdana"/>
                <w:sz w:val="18"/>
                <w:szCs w:val="18"/>
              </w:rPr>
              <w:t>.</w:t>
            </w:r>
            <w:r w:rsidRPr="00361F6F" w:rsidR="006D2CB7">
              <w:rPr>
                <w:rFonts w:ascii="Verdana" w:hAnsi="Verdana"/>
                <w:sz w:val="18"/>
                <w:szCs w:val="18"/>
              </w:rPr>
              <w:t xml:space="preserve"> </w:t>
            </w:r>
            <w:r w:rsidRPr="00361F6F">
              <w:rPr>
                <w:rFonts w:ascii="Verdana" w:hAnsi="Verdana"/>
                <w:sz w:val="18"/>
                <w:szCs w:val="18"/>
              </w:rPr>
              <w:t xml:space="preserve">Door politieke </w:t>
            </w:r>
            <w:r w:rsidRPr="00361F6F" w:rsidR="00CC6E46">
              <w:rPr>
                <w:rFonts w:ascii="Verdana" w:hAnsi="Verdana"/>
                <w:sz w:val="18"/>
                <w:szCs w:val="18"/>
              </w:rPr>
              <w:t xml:space="preserve">verenigingen </w:t>
            </w:r>
            <w:r w:rsidRPr="00361F6F">
              <w:rPr>
                <w:rFonts w:ascii="Verdana" w:hAnsi="Verdana"/>
                <w:sz w:val="18"/>
                <w:szCs w:val="18"/>
              </w:rPr>
              <w:t xml:space="preserve">te verplichten tot transparantie over de financiering en hun interne organisatie wordt het risico op oneigenlijke beïnvloeding verkleind en wordt de weerbaarheid van politieke </w:t>
            </w:r>
            <w:r w:rsidRPr="00361F6F" w:rsidR="00CC6E46">
              <w:rPr>
                <w:rFonts w:ascii="Verdana" w:hAnsi="Verdana"/>
                <w:sz w:val="18"/>
                <w:szCs w:val="18"/>
              </w:rPr>
              <w:t xml:space="preserve">verenigingen </w:t>
            </w:r>
            <w:r w:rsidRPr="00361F6F">
              <w:rPr>
                <w:rFonts w:ascii="Verdana" w:hAnsi="Verdana"/>
                <w:sz w:val="18"/>
                <w:szCs w:val="18"/>
              </w:rPr>
              <w:t xml:space="preserve">en de democratische rechtsstaat </w:t>
            </w:r>
            <w:r w:rsidRPr="00361F6F">
              <w:rPr>
                <w:rFonts w:ascii="Verdana" w:hAnsi="Verdana"/>
                <w:sz w:val="18"/>
                <w:szCs w:val="18"/>
              </w:rPr>
              <w:t>vergroot</w:t>
            </w:r>
            <w:r w:rsidRPr="00361F6F">
              <w:rPr>
                <w:rFonts w:ascii="Verdana" w:hAnsi="Verdana"/>
                <w:sz w:val="18"/>
                <w:szCs w:val="18"/>
              </w:rPr>
              <w:t xml:space="preserve">. </w:t>
            </w:r>
          </w:p>
          <w:p w:rsidRPr="00361F6F" w:rsidR="00FF5CF0" w:rsidP="00361F6F" w14:paraId="6E3DD3B5" w14:textId="77777777">
            <w:pPr>
              <w:pStyle w:val="NoSpacing"/>
              <w:spacing w:line="276" w:lineRule="auto"/>
              <w:rPr>
                <w:rFonts w:ascii="Verdana" w:hAnsi="Verdana"/>
                <w:sz w:val="18"/>
                <w:szCs w:val="18"/>
              </w:rPr>
            </w:pPr>
          </w:p>
          <w:p w:rsidRPr="00361F6F" w:rsidR="00DD3987" w:rsidP="00361F6F" w14:paraId="3415B5F8" w14:textId="0258A85F">
            <w:pPr>
              <w:spacing w:line="276" w:lineRule="auto"/>
              <w:rPr>
                <w:rFonts w:ascii="Verdana" w:hAnsi="Verdana"/>
                <w:sz w:val="18"/>
                <w:szCs w:val="18"/>
              </w:rPr>
            </w:pPr>
          </w:p>
        </w:tc>
        <w:tc>
          <w:tcPr>
            <w:tcW w:w="850" w:type="dxa"/>
            <w:gridSpan w:val="2"/>
          </w:tcPr>
          <w:p w:rsidRPr="00361F6F" w:rsidR="00DD3987" w:rsidP="00361F6F" w14:paraId="3FF2AC0F" w14:textId="77777777">
            <w:pPr>
              <w:spacing w:line="276" w:lineRule="auto"/>
              <w:jc w:val="right"/>
              <w:rPr>
                <w:rFonts w:ascii="Verdana" w:hAnsi="Verdana"/>
                <w:sz w:val="18"/>
                <w:szCs w:val="18"/>
              </w:rPr>
            </w:pPr>
          </w:p>
        </w:tc>
        <w:tc>
          <w:tcPr>
            <w:tcW w:w="992" w:type="dxa"/>
            <w:gridSpan w:val="2"/>
          </w:tcPr>
          <w:p w:rsidRPr="00361F6F" w:rsidR="00DD3987" w:rsidP="00361F6F" w14:paraId="5BBF816E" w14:textId="77777777">
            <w:pPr>
              <w:spacing w:line="276" w:lineRule="auto"/>
              <w:jc w:val="right"/>
              <w:rPr>
                <w:rFonts w:ascii="Verdana" w:hAnsi="Verdana"/>
                <w:sz w:val="18"/>
                <w:szCs w:val="18"/>
              </w:rPr>
            </w:pPr>
          </w:p>
        </w:tc>
        <w:tc>
          <w:tcPr>
            <w:tcW w:w="567" w:type="dxa"/>
            <w:gridSpan w:val="2"/>
            <w:tcBorders>
              <w:left w:val="nil"/>
            </w:tcBorders>
          </w:tcPr>
          <w:p w:rsidRPr="00361F6F" w:rsidR="00DD3987" w:rsidP="00361F6F" w14:paraId="5CD54BD3" w14:textId="77777777">
            <w:pPr>
              <w:spacing w:line="276" w:lineRule="auto"/>
              <w:jc w:val="right"/>
              <w:rPr>
                <w:rFonts w:ascii="Verdana" w:hAnsi="Verdana"/>
                <w:sz w:val="18"/>
                <w:szCs w:val="18"/>
              </w:rPr>
            </w:pPr>
            <w:r w:rsidRPr="00361F6F">
              <w:rPr>
                <w:rFonts w:ascii="Verdana" w:hAnsi="Verdana"/>
                <w:sz w:val="18"/>
                <w:szCs w:val="18"/>
              </w:rPr>
              <w:t xml:space="preserve"> </w:t>
            </w:r>
          </w:p>
        </w:tc>
      </w:tr>
    </w:tbl>
    <w:p w:rsidR="00DD3987" w:rsidP="00361F6F" w14:paraId="3CD5D8E3" w14:textId="1381E964">
      <w:pPr>
        <w:pStyle w:val="NoSpacing"/>
        <w:spacing w:line="276" w:lineRule="auto"/>
        <w:rPr>
          <w:rFonts w:ascii="Verdana" w:hAnsi="Verdana"/>
          <w:sz w:val="18"/>
          <w:szCs w:val="18"/>
        </w:rPr>
      </w:pPr>
    </w:p>
    <w:p w:rsidR="00A14717" w:rsidP="00A14717" w14:paraId="08ABA03A" w14:textId="77777777">
      <w:pPr>
        <w:pStyle w:val="NoSpacing"/>
        <w:rPr>
          <w:rFonts w:ascii="Verdana" w:hAnsi="Verdana"/>
          <w:sz w:val="18"/>
          <w:szCs w:val="18"/>
        </w:rPr>
      </w:pPr>
    </w:p>
    <w:p w:rsidR="00A14717" w:rsidP="00A14717" w14:paraId="0576FFD1" w14:textId="77777777">
      <w:pPr>
        <w:pStyle w:val="NoSpacing"/>
        <w:rPr>
          <w:rFonts w:ascii="Verdana" w:hAnsi="Verdana"/>
          <w:sz w:val="18"/>
          <w:szCs w:val="18"/>
        </w:rPr>
      </w:pPr>
    </w:p>
    <w:p w:rsidRPr="00A14717" w:rsidR="00A14717" w:rsidP="00A14717" w14:paraId="1C184603" w14:textId="3B2E9781">
      <w:pPr>
        <w:pStyle w:val="NoSpacing"/>
        <w:rPr>
          <w:rFonts w:ascii="Verdana" w:hAnsi="Verdana"/>
          <w:sz w:val="18"/>
          <w:szCs w:val="18"/>
        </w:rPr>
      </w:pPr>
      <w:r w:rsidRPr="00A14717">
        <w:rPr>
          <w:rFonts w:ascii="Verdana" w:hAnsi="Verdana"/>
          <w:sz w:val="18"/>
          <w:szCs w:val="18"/>
        </w:rPr>
        <w:t>De minister van Binnenlandse Zaken en Koninkrijksrelaties,</w:t>
      </w:r>
    </w:p>
    <w:p w:rsidRPr="00A14717" w:rsidR="00A14717" w:rsidP="00A14717" w14:paraId="6A42AA25" w14:textId="77777777">
      <w:pPr>
        <w:pStyle w:val="NoSpacing"/>
        <w:rPr>
          <w:rFonts w:ascii="Verdana" w:hAnsi="Verdana"/>
          <w:sz w:val="18"/>
          <w:szCs w:val="18"/>
        </w:rPr>
      </w:pPr>
    </w:p>
    <w:p w:rsidR="00A14717" w:rsidP="00A14717" w14:paraId="1A862B1B" w14:textId="77777777">
      <w:pPr>
        <w:pStyle w:val="NoSpacing"/>
        <w:rPr>
          <w:rFonts w:ascii="Verdana" w:hAnsi="Verdana"/>
          <w:sz w:val="18"/>
          <w:szCs w:val="18"/>
        </w:rPr>
      </w:pPr>
    </w:p>
    <w:p w:rsidR="00A14717" w:rsidP="00A14717" w14:paraId="28D2AFBC" w14:textId="77777777">
      <w:pPr>
        <w:pStyle w:val="NoSpacing"/>
        <w:rPr>
          <w:rFonts w:ascii="Verdana" w:hAnsi="Verdana"/>
          <w:sz w:val="18"/>
          <w:szCs w:val="18"/>
        </w:rPr>
      </w:pPr>
    </w:p>
    <w:p w:rsidR="00A14717" w:rsidP="00A14717" w14:paraId="37F1D71B" w14:textId="77777777">
      <w:pPr>
        <w:pStyle w:val="NoSpacing"/>
        <w:rPr>
          <w:rFonts w:ascii="Verdana" w:hAnsi="Verdana"/>
          <w:sz w:val="18"/>
          <w:szCs w:val="18"/>
        </w:rPr>
      </w:pPr>
    </w:p>
    <w:p w:rsidRPr="00A14717" w:rsidR="00A14717" w:rsidP="00A14717" w14:paraId="5231A581" w14:textId="77777777">
      <w:pPr>
        <w:pStyle w:val="NoSpacing"/>
        <w:rPr>
          <w:rFonts w:ascii="Verdana" w:hAnsi="Verdana"/>
          <w:sz w:val="18"/>
          <w:szCs w:val="18"/>
        </w:rPr>
      </w:pPr>
    </w:p>
    <w:p w:rsidRPr="00A14717" w:rsidR="00A14717" w:rsidP="00A14717" w14:paraId="2830603C" w14:textId="77777777">
      <w:pPr>
        <w:pStyle w:val="NoSpacing"/>
        <w:rPr>
          <w:rFonts w:ascii="Verdana" w:hAnsi="Verdana"/>
          <w:sz w:val="18"/>
          <w:szCs w:val="18"/>
        </w:rPr>
      </w:pPr>
    </w:p>
    <w:p w:rsidRPr="00A14717" w:rsidR="00A14717" w:rsidP="00A14717" w14:paraId="62E8A4D4" w14:textId="77777777">
      <w:pPr>
        <w:pStyle w:val="NoSpacing"/>
        <w:rPr>
          <w:rFonts w:ascii="Verdana" w:hAnsi="Verdana"/>
          <w:sz w:val="18"/>
          <w:szCs w:val="18"/>
        </w:rPr>
      </w:pPr>
      <w:r w:rsidRPr="00A14717">
        <w:rPr>
          <w:rFonts w:ascii="Verdana" w:hAnsi="Verdana"/>
          <w:sz w:val="18"/>
          <w:szCs w:val="18"/>
        </w:rPr>
        <w:t>Pieter Heerma</w:t>
      </w:r>
    </w:p>
    <w:p w:rsidRPr="00361F6F" w:rsidR="00A14717" w:rsidP="00361F6F" w14:paraId="48D8F3EC" w14:textId="77777777">
      <w:pPr>
        <w:pStyle w:val="NoSpacing"/>
        <w:spacing w:line="276" w:lineRule="auto"/>
        <w:rPr>
          <w:rFonts w:ascii="Verdana" w:hAnsi="Verdana"/>
          <w:sz w:val="18"/>
          <w:szCs w:val="18"/>
        </w:rPr>
      </w:pP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3C86" w:rsidP="0041605E" w14:paraId="304583E1" w14:textId="77777777">
      <w:pPr>
        <w:spacing w:after="0" w:line="240" w:lineRule="auto"/>
      </w:pPr>
      <w:r>
        <w:separator/>
      </w:r>
    </w:p>
  </w:footnote>
  <w:footnote w:type="continuationSeparator" w:id="1">
    <w:p w:rsidR="00333C86" w:rsidP="0041605E" w14:paraId="571E471F" w14:textId="77777777">
      <w:pPr>
        <w:spacing w:after="0" w:line="240" w:lineRule="auto"/>
      </w:pPr>
      <w:r>
        <w:continuationSeparator/>
      </w:r>
    </w:p>
  </w:footnote>
  <w:footnote w:id="2">
    <w:p w:rsidR="00AF5249" w:rsidRPr="00361F6F" w:rsidP="00AF5249" w14:paraId="5F33E7CA" w14:textId="0AF33D34">
      <w:pPr>
        <w:pStyle w:val="FootnoteText"/>
        <w:rPr>
          <w:rFonts w:ascii="Verdana" w:hAnsi="Verdana"/>
          <w:sz w:val="16"/>
          <w:szCs w:val="16"/>
        </w:rPr>
      </w:pPr>
      <w:r w:rsidRPr="00361F6F">
        <w:rPr>
          <w:rStyle w:val="FootnoteReference"/>
          <w:rFonts w:ascii="Verdana" w:hAnsi="Verdana"/>
          <w:sz w:val="16"/>
          <w:szCs w:val="16"/>
        </w:rPr>
        <w:footnoteRef/>
      </w:r>
      <w:r w:rsidRPr="00361F6F">
        <w:rPr>
          <w:rFonts w:ascii="Verdana" w:hAnsi="Verdana"/>
          <w:sz w:val="16"/>
          <w:szCs w:val="16"/>
        </w:rPr>
        <w:t xml:space="preserve"> Adviescommissie Wet financiering politieke partijen, Het publieke belang</w:t>
      </w:r>
      <w:r w:rsidRPr="00361F6F" w:rsidR="000F50BF">
        <w:rPr>
          <w:rFonts w:ascii="Verdana" w:hAnsi="Verdana"/>
          <w:sz w:val="16"/>
          <w:szCs w:val="16"/>
        </w:rPr>
        <w:t xml:space="preserve"> </w:t>
      </w:r>
      <w:r w:rsidRPr="00361F6F">
        <w:rPr>
          <w:rFonts w:ascii="Verdana" w:hAnsi="Verdana"/>
          <w:sz w:val="16"/>
          <w:szCs w:val="16"/>
        </w:rPr>
        <w:t>van politieke partijen, Den Haag: Ministerie van Binnenlandse Zaken en Koninkrijksrelaties 2018, p. 50. Bijlage identifier 831379 bij Kamerstukken II 2017/18, 32 752, nr. 49.</w:t>
      </w:r>
    </w:p>
    <w:p w:rsidR="00AF5249" w:rsidRPr="00361F6F" w:rsidP="00AF5249" w14:paraId="655020EC" w14:textId="77777777">
      <w:pPr>
        <w:pStyle w:val="FootnoteText"/>
        <w:rPr>
          <w:rFonts w:ascii="Verdana" w:hAnsi="Verdana"/>
          <w:sz w:val="16"/>
          <w:szCs w:val="16"/>
        </w:rPr>
      </w:pPr>
    </w:p>
  </w:footnote>
  <w:footnote w:id="3">
    <w:p w:rsidR="004D6426" w:rsidRPr="00361F6F" w14:paraId="598F8204" w14:textId="6537B6FD">
      <w:pPr>
        <w:pStyle w:val="FootnoteText"/>
        <w:rPr>
          <w:rFonts w:ascii="Verdana" w:hAnsi="Verdana"/>
          <w:sz w:val="16"/>
          <w:szCs w:val="16"/>
        </w:rPr>
      </w:pPr>
      <w:r w:rsidRPr="00361F6F">
        <w:rPr>
          <w:rStyle w:val="FootnoteReference"/>
          <w:rFonts w:ascii="Verdana" w:hAnsi="Verdana"/>
          <w:sz w:val="16"/>
          <w:szCs w:val="16"/>
        </w:rPr>
        <w:footnoteRef/>
      </w:r>
      <w:r w:rsidRPr="00361F6F">
        <w:rPr>
          <w:rFonts w:ascii="Verdana" w:hAnsi="Verdana"/>
          <w:sz w:val="16"/>
          <w:szCs w:val="16"/>
        </w:rPr>
        <w:t xml:space="preserve"> Kamerstukken II 2019/20, 32 752, nr. 60 (motie-Den Boer) en Kamerstukken II 2021/22, 35 657,</w:t>
      </w:r>
      <w:r w:rsidRPr="00361F6F" w:rsidR="003B382B">
        <w:rPr>
          <w:rFonts w:ascii="Verdana" w:hAnsi="Verdana"/>
          <w:sz w:val="16"/>
          <w:szCs w:val="16"/>
        </w:rPr>
        <w:t xml:space="preserve"> </w:t>
      </w:r>
      <w:r w:rsidRPr="00361F6F">
        <w:rPr>
          <w:rFonts w:ascii="Verdana" w:hAnsi="Verdana"/>
          <w:sz w:val="16"/>
          <w:szCs w:val="16"/>
        </w:rPr>
        <w:t>nr. 76</w:t>
      </w:r>
      <w:r w:rsidRPr="00361F6F" w:rsidR="004D3108">
        <w:rPr>
          <w:rFonts w:ascii="Verdana" w:hAnsi="Verdana"/>
          <w:sz w:val="16"/>
          <w:szCs w:val="16"/>
        </w:rPr>
        <w:t xml:space="preserve"> </w:t>
      </w:r>
      <w:r w:rsidRPr="00361F6F">
        <w:rPr>
          <w:rFonts w:ascii="Verdana" w:hAnsi="Verdana"/>
          <w:sz w:val="16"/>
          <w:szCs w:val="16"/>
        </w:rPr>
        <w:t>(motie-Arib).</w:t>
      </w:r>
    </w:p>
  </w:footnote>
  <w:footnote w:id="4">
    <w:p w:rsidR="00A451AB" w:rsidRPr="00361F6F" w14:paraId="1646C590" w14:textId="258AADD2">
      <w:pPr>
        <w:pStyle w:val="FootnoteText"/>
        <w:rPr>
          <w:rFonts w:ascii="Verdana" w:hAnsi="Verdana"/>
          <w:sz w:val="16"/>
          <w:szCs w:val="16"/>
        </w:rPr>
      </w:pPr>
      <w:r w:rsidRPr="00361F6F">
        <w:rPr>
          <w:rStyle w:val="FootnoteReference"/>
          <w:rFonts w:ascii="Verdana" w:hAnsi="Verdana"/>
          <w:sz w:val="16"/>
          <w:szCs w:val="16"/>
        </w:rPr>
        <w:footnoteRef/>
      </w:r>
      <w:r w:rsidRPr="00361F6F">
        <w:rPr>
          <w:rFonts w:ascii="Verdana" w:hAnsi="Verdana"/>
          <w:sz w:val="16"/>
          <w:szCs w:val="16"/>
        </w:rPr>
        <w:t xml:space="preserve"> Kamerstukken II 2021/22, 35 657, nr. 35.</w:t>
      </w:r>
    </w:p>
  </w:footnote>
  <w:footnote w:id="5">
    <w:p w:rsidR="006F4E5D" w:rsidRPr="00361F6F" w14:paraId="0F086E4C" w14:textId="08D24E5A">
      <w:pPr>
        <w:pStyle w:val="FootnoteText"/>
        <w:rPr>
          <w:rFonts w:ascii="Verdana" w:hAnsi="Verdana"/>
          <w:sz w:val="16"/>
          <w:szCs w:val="16"/>
        </w:rPr>
      </w:pPr>
      <w:r w:rsidRPr="00361F6F">
        <w:rPr>
          <w:rStyle w:val="FootnoteReference"/>
          <w:rFonts w:ascii="Verdana" w:hAnsi="Verdana"/>
          <w:sz w:val="16"/>
          <w:szCs w:val="16"/>
        </w:rPr>
        <w:footnoteRef/>
      </w:r>
      <w:r w:rsidRPr="00361F6F">
        <w:rPr>
          <w:rFonts w:ascii="Verdana" w:hAnsi="Verdana"/>
          <w:sz w:val="16"/>
          <w:szCs w:val="16"/>
        </w:rPr>
        <w:t xml:space="preserve"> Kamerstukken II 2021/22, 35 657, nr. 81</w:t>
      </w:r>
      <w:r w:rsidRPr="00361F6F" w:rsidR="009F1104">
        <w:rPr>
          <w:rFonts w:ascii="Verdana" w:hAnsi="Verdana"/>
          <w:sz w:val="16"/>
          <w:szCs w:val="16"/>
        </w:rPr>
        <w:t>.</w:t>
      </w:r>
    </w:p>
  </w:footnote>
  <w:footnote w:id="6">
    <w:p w:rsidR="00C001A7" w:rsidRPr="00361F6F" w:rsidP="00C001A7" w14:paraId="69C68755" w14:textId="4BB07FB7">
      <w:pPr>
        <w:pStyle w:val="FootnoteText"/>
        <w:rPr>
          <w:rFonts w:ascii="Verdana" w:hAnsi="Verdana"/>
          <w:sz w:val="16"/>
          <w:szCs w:val="16"/>
          <w:lang w:val="de-DE"/>
        </w:rPr>
      </w:pPr>
      <w:r w:rsidRPr="00361F6F">
        <w:rPr>
          <w:rStyle w:val="FootnoteReference"/>
          <w:rFonts w:ascii="Verdana" w:hAnsi="Verdana"/>
          <w:sz w:val="16"/>
          <w:szCs w:val="16"/>
        </w:rPr>
        <w:footnoteRef/>
      </w:r>
      <w:r w:rsidRPr="00361F6F">
        <w:rPr>
          <w:rFonts w:ascii="Verdana" w:hAnsi="Verdana"/>
          <w:sz w:val="16"/>
          <w:szCs w:val="16"/>
          <w:lang w:val="de-DE"/>
        </w:rPr>
        <w:t xml:space="preserve"> </w:t>
      </w:r>
      <w:r w:rsidRPr="00361F6F" w:rsidR="00867C8E">
        <w:rPr>
          <w:rFonts w:ascii="Verdana" w:hAnsi="Verdana"/>
          <w:sz w:val="16"/>
          <w:szCs w:val="16"/>
          <w:lang w:val="de-DE"/>
        </w:rPr>
        <w:t>A</w:t>
      </w:r>
      <w:r w:rsidRPr="00361F6F">
        <w:rPr>
          <w:rFonts w:ascii="Verdana" w:hAnsi="Verdana"/>
          <w:sz w:val="16"/>
          <w:szCs w:val="16"/>
          <w:lang w:val="de-DE"/>
        </w:rPr>
        <w:t>rt. 90 Wpp.</w:t>
      </w:r>
    </w:p>
  </w:footnote>
  <w:footnote w:id="7">
    <w:p w:rsidR="00C001A7" w:rsidRPr="00361F6F" w:rsidP="00C001A7" w14:paraId="0042A552" w14:textId="62078078">
      <w:pPr>
        <w:pStyle w:val="FootnoteText"/>
        <w:rPr>
          <w:rFonts w:ascii="Verdana" w:hAnsi="Verdana"/>
          <w:sz w:val="16"/>
          <w:szCs w:val="16"/>
          <w:lang w:val="de-DE"/>
        </w:rPr>
      </w:pPr>
      <w:r w:rsidRPr="00361F6F">
        <w:rPr>
          <w:rStyle w:val="FootnoteReference"/>
          <w:rFonts w:ascii="Verdana" w:hAnsi="Verdana"/>
          <w:sz w:val="16"/>
          <w:szCs w:val="16"/>
        </w:rPr>
        <w:footnoteRef/>
      </w:r>
      <w:r w:rsidRPr="00361F6F">
        <w:rPr>
          <w:rFonts w:ascii="Verdana" w:hAnsi="Verdana"/>
          <w:sz w:val="16"/>
          <w:szCs w:val="16"/>
          <w:lang w:val="de-DE"/>
        </w:rPr>
        <w:t xml:space="preserve"> </w:t>
      </w:r>
      <w:r w:rsidRPr="00361F6F" w:rsidR="00867C8E">
        <w:rPr>
          <w:rFonts w:ascii="Verdana" w:hAnsi="Verdana"/>
          <w:sz w:val="16"/>
          <w:szCs w:val="16"/>
          <w:lang w:val="de-DE"/>
        </w:rPr>
        <w:t>A</w:t>
      </w:r>
      <w:r w:rsidRPr="00361F6F">
        <w:rPr>
          <w:rFonts w:ascii="Verdana" w:hAnsi="Verdana"/>
          <w:sz w:val="16"/>
          <w:szCs w:val="16"/>
          <w:lang w:val="de-DE"/>
        </w:rPr>
        <w:t>rt. 96 Wpp.</w:t>
      </w:r>
    </w:p>
  </w:footnote>
  <w:footnote w:id="8">
    <w:p w:rsidR="005517B2" w:rsidRPr="00361F6F" w14:paraId="36D3126E" w14:textId="5CF7DE6E">
      <w:pPr>
        <w:pStyle w:val="FootnoteText"/>
        <w:rPr>
          <w:rFonts w:ascii="Verdana" w:hAnsi="Verdana"/>
          <w:sz w:val="16"/>
          <w:szCs w:val="16"/>
          <w:lang w:val="de-DE"/>
        </w:rPr>
      </w:pPr>
      <w:r w:rsidRPr="00361F6F">
        <w:rPr>
          <w:rStyle w:val="FootnoteReference"/>
          <w:rFonts w:ascii="Verdana" w:hAnsi="Verdana"/>
          <w:sz w:val="16"/>
          <w:szCs w:val="16"/>
        </w:rPr>
        <w:footnoteRef/>
      </w:r>
      <w:r w:rsidRPr="00361F6F">
        <w:rPr>
          <w:rFonts w:ascii="Verdana" w:hAnsi="Verdana"/>
          <w:sz w:val="16"/>
          <w:szCs w:val="16"/>
          <w:lang w:val="de-DE"/>
        </w:rPr>
        <w:t xml:space="preserve"> Art. 7 en 73 Wpp.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057485"/>
    <w:multiLevelType w:val="hybridMultilevel"/>
    <w:tmpl w:val="3EB8A07E"/>
    <w:lvl w:ilvl="0">
      <w:start w:val="0"/>
      <w:numFmt w:val="bullet"/>
      <w:lvlText w:val="-"/>
      <w:lvlJc w:val="left"/>
      <w:pPr>
        <w:ind w:left="720" w:hanging="360"/>
      </w:pPr>
      <w:rPr>
        <w:rFonts w:ascii="Aptos" w:eastAsia="Times New Roman" w:hAnsi="Aptos" w:cs="Apto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3176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87"/>
    <w:rsid w:val="00001849"/>
    <w:rsid w:val="000022C8"/>
    <w:rsid w:val="0001369D"/>
    <w:rsid w:val="00013BA9"/>
    <w:rsid w:val="00043E07"/>
    <w:rsid w:val="00084621"/>
    <w:rsid w:val="000A4142"/>
    <w:rsid w:val="000B380C"/>
    <w:rsid w:val="000F50BF"/>
    <w:rsid w:val="0010029F"/>
    <w:rsid w:val="00102C09"/>
    <w:rsid w:val="00121B19"/>
    <w:rsid w:val="00131608"/>
    <w:rsid w:val="00157254"/>
    <w:rsid w:val="00182F69"/>
    <w:rsid w:val="001A1272"/>
    <w:rsid w:val="001A263E"/>
    <w:rsid w:val="001D2051"/>
    <w:rsid w:val="001D70E4"/>
    <w:rsid w:val="001D7290"/>
    <w:rsid w:val="001E28A1"/>
    <w:rsid w:val="001E4B32"/>
    <w:rsid w:val="001F3DC5"/>
    <w:rsid w:val="00213B13"/>
    <w:rsid w:val="0022236C"/>
    <w:rsid w:val="00224265"/>
    <w:rsid w:val="00250F35"/>
    <w:rsid w:val="00275636"/>
    <w:rsid w:val="00277CFC"/>
    <w:rsid w:val="00286664"/>
    <w:rsid w:val="002A3446"/>
    <w:rsid w:val="002A4D44"/>
    <w:rsid w:val="002C0793"/>
    <w:rsid w:val="002C3F7D"/>
    <w:rsid w:val="002E1469"/>
    <w:rsid w:val="002F26DE"/>
    <w:rsid w:val="002F59B5"/>
    <w:rsid w:val="00333C86"/>
    <w:rsid w:val="00345455"/>
    <w:rsid w:val="0035548F"/>
    <w:rsid w:val="00361F6F"/>
    <w:rsid w:val="00363CC0"/>
    <w:rsid w:val="003843B7"/>
    <w:rsid w:val="003A6BB4"/>
    <w:rsid w:val="003B382B"/>
    <w:rsid w:val="003C4312"/>
    <w:rsid w:val="003D1EFF"/>
    <w:rsid w:val="003F4AAF"/>
    <w:rsid w:val="00403248"/>
    <w:rsid w:val="00415D4B"/>
    <w:rsid w:val="0041605E"/>
    <w:rsid w:val="00416DBA"/>
    <w:rsid w:val="00441934"/>
    <w:rsid w:val="00491E38"/>
    <w:rsid w:val="004A0FF0"/>
    <w:rsid w:val="004C2EB5"/>
    <w:rsid w:val="004D3108"/>
    <w:rsid w:val="004D6426"/>
    <w:rsid w:val="0050016F"/>
    <w:rsid w:val="005021E6"/>
    <w:rsid w:val="005051F8"/>
    <w:rsid w:val="00505206"/>
    <w:rsid w:val="0053089C"/>
    <w:rsid w:val="005502D6"/>
    <w:rsid w:val="00550A98"/>
    <w:rsid w:val="005517B2"/>
    <w:rsid w:val="00567B15"/>
    <w:rsid w:val="00575C4B"/>
    <w:rsid w:val="00583729"/>
    <w:rsid w:val="005908FF"/>
    <w:rsid w:val="005D4789"/>
    <w:rsid w:val="005D5025"/>
    <w:rsid w:val="005D5F39"/>
    <w:rsid w:val="0060203C"/>
    <w:rsid w:val="006205BE"/>
    <w:rsid w:val="00623FA5"/>
    <w:rsid w:val="0062601D"/>
    <w:rsid w:val="0062714C"/>
    <w:rsid w:val="006416AF"/>
    <w:rsid w:val="00655B8A"/>
    <w:rsid w:val="00674997"/>
    <w:rsid w:val="00680871"/>
    <w:rsid w:val="006C6492"/>
    <w:rsid w:val="006D2CB7"/>
    <w:rsid w:val="006D3331"/>
    <w:rsid w:val="006F27A8"/>
    <w:rsid w:val="006F49F2"/>
    <w:rsid w:val="006F4E5D"/>
    <w:rsid w:val="007059F3"/>
    <w:rsid w:val="00707DE6"/>
    <w:rsid w:val="007334E5"/>
    <w:rsid w:val="007404EA"/>
    <w:rsid w:val="007560F9"/>
    <w:rsid w:val="0076254B"/>
    <w:rsid w:val="007652B1"/>
    <w:rsid w:val="00790318"/>
    <w:rsid w:val="00796EE9"/>
    <w:rsid w:val="007A1C4D"/>
    <w:rsid w:val="007B1A4D"/>
    <w:rsid w:val="007C05F8"/>
    <w:rsid w:val="007C2C17"/>
    <w:rsid w:val="007E3BEF"/>
    <w:rsid w:val="007E49C0"/>
    <w:rsid w:val="007E4A44"/>
    <w:rsid w:val="007F051D"/>
    <w:rsid w:val="007F2E82"/>
    <w:rsid w:val="007F4697"/>
    <w:rsid w:val="0080024C"/>
    <w:rsid w:val="00801517"/>
    <w:rsid w:val="0080479A"/>
    <w:rsid w:val="008170A2"/>
    <w:rsid w:val="00837831"/>
    <w:rsid w:val="00841B35"/>
    <w:rsid w:val="00860885"/>
    <w:rsid w:val="00865441"/>
    <w:rsid w:val="00867C8E"/>
    <w:rsid w:val="00881676"/>
    <w:rsid w:val="00895443"/>
    <w:rsid w:val="008A2D6E"/>
    <w:rsid w:val="008B6769"/>
    <w:rsid w:val="008C7C67"/>
    <w:rsid w:val="008D110B"/>
    <w:rsid w:val="008E70AB"/>
    <w:rsid w:val="00926B64"/>
    <w:rsid w:val="00980115"/>
    <w:rsid w:val="009A16DB"/>
    <w:rsid w:val="009A5E18"/>
    <w:rsid w:val="009B15F7"/>
    <w:rsid w:val="009F1104"/>
    <w:rsid w:val="009F6EEB"/>
    <w:rsid w:val="00A14717"/>
    <w:rsid w:val="00A362D6"/>
    <w:rsid w:val="00A451AB"/>
    <w:rsid w:val="00A502AC"/>
    <w:rsid w:val="00A55E83"/>
    <w:rsid w:val="00A70558"/>
    <w:rsid w:val="00A756EF"/>
    <w:rsid w:val="00A87B10"/>
    <w:rsid w:val="00A9225C"/>
    <w:rsid w:val="00AA027A"/>
    <w:rsid w:val="00AC67F5"/>
    <w:rsid w:val="00AE0F5E"/>
    <w:rsid w:val="00AE2B37"/>
    <w:rsid w:val="00AF5249"/>
    <w:rsid w:val="00B307E2"/>
    <w:rsid w:val="00B726A7"/>
    <w:rsid w:val="00BA7352"/>
    <w:rsid w:val="00BF1446"/>
    <w:rsid w:val="00BF2B9B"/>
    <w:rsid w:val="00BF363B"/>
    <w:rsid w:val="00C001A7"/>
    <w:rsid w:val="00C02FAA"/>
    <w:rsid w:val="00C05F93"/>
    <w:rsid w:val="00C1156A"/>
    <w:rsid w:val="00C13A19"/>
    <w:rsid w:val="00C23E81"/>
    <w:rsid w:val="00C5262F"/>
    <w:rsid w:val="00C85FA8"/>
    <w:rsid w:val="00C96FC8"/>
    <w:rsid w:val="00CB1EFC"/>
    <w:rsid w:val="00CC6E46"/>
    <w:rsid w:val="00CD2914"/>
    <w:rsid w:val="00D2386A"/>
    <w:rsid w:val="00D36D3F"/>
    <w:rsid w:val="00D52AE3"/>
    <w:rsid w:val="00D57A7A"/>
    <w:rsid w:val="00D63775"/>
    <w:rsid w:val="00D71660"/>
    <w:rsid w:val="00D75F6B"/>
    <w:rsid w:val="00D811AD"/>
    <w:rsid w:val="00D84BDD"/>
    <w:rsid w:val="00DA1AE0"/>
    <w:rsid w:val="00DB4E14"/>
    <w:rsid w:val="00DC3D33"/>
    <w:rsid w:val="00DC7F6D"/>
    <w:rsid w:val="00DD3987"/>
    <w:rsid w:val="00DD404C"/>
    <w:rsid w:val="00DE17DB"/>
    <w:rsid w:val="00E03442"/>
    <w:rsid w:val="00E2039D"/>
    <w:rsid w:val="00E4615E"/>
    <w:rsid w:val="00E53ED7"/>
    <w:rsid w:val="00E65552"/>
    <w:rsid w:val="00E74552"/>
    <w:rsid w:val="00E806AF"/>
    <w:rsid w:val="00EA408F"/>
    <w:rsid w:val="00EB00B0"/>
    <w:rsid w:val="00EB2848"/>
    <w:rsid w:val="00EB5F24"/>
    <w:rsid w:val="00EC73C1"/>
    <w:rsid w:val="00EE71FF"/>
    <w:rsid w:val="00EF1AE8"/>
    <w:rsid w:val="00F049D6"/>
    <w:rsid w:val="00F34BE6"/>
    <w:rsid w:val="00F35EA8"/>
    <w:rsid w:val="00F37427"/>
    <w:rsid w:val="00F55E52"/>
    <w:rsid w:val="00F64F96"/>
    <w:rsid w:val="00F808A1"/>
    <w:rsid w:val="00F81050"/>
    <w:rsid w:val="00F971D7"/>
    <w:rsid w:val="00FA7471"/>
    <w:rsid w:val="00FB00A6"/>
    <w:rsid w:val="00FF5CF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E6B6450"/>
  <w15:chartTrackingRefBased/>
  <w15:docId w15:val="{2D3AC64C-71DF-4912-A75B-714C82FE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DD3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DD3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DD3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DD3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DD3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DD3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DD3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DD3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DD3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DD39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DD39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DD3987"/>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DD3987"/>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DD3987"/>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DD3987"/>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DD3987"/>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DD3987"/>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DD3987"/>
    <w:rPr>
      <w:rFonts w:eastAsiaTheme="majorEastAsia" w:cstheme="majorBidi"/>
      <w:color w:val="272727" w:themeColor="text1" w:themeTint="D8"/>
    </w:rPr>
  </w:style>
  <w:style w:type="paragraph" w:styleId="Title">
    <w:name w:val="Title"/>
    <w:basedOn w:val="Normal"/>
    <w:next w:val="Normal"/>
    <w:link w:val="TitelChar"/>
    <w:uiPriority w:val="10"/>
    <w:qFormat/>
    <w:rsid w:val="00DD3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DD3987"/>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DD39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DD3987"/>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DD3987"/>
    <w:pPr>
      <w:spacing w:before="160"/>
      <w:jc w:val="center"/>
    </w:pPr>
    <w:rPr>
      <w:i/>
      <w:iCs/>
      <w:color w:val="404040" w:themeColor="text1" w:themeTint="BF"/>
    </w:rPr>
  </w:style>
  <w:style w:type="character" w:customStyle="1" w:styleId="CitaatChar">
    <w:name w:val="Citaat Char"/>
    <w:basedOn w:val="DefaultParagraphFont"/>
    <w:link w:val="Quote"/>
    <w:uiPriority w:val="29"/>
    <w:rsid w:val="00DD3987"/>
    <w:rPr>
      <w:i/>
      <w:iCs/>
      <w:color w:val="404040" w:themeColor="text1" w:themeTint="BF"/>
    </w:rPr>
  </w:style>
  <w:style w:type="paragraph" w:styleId="ListParagraph">
    <w:name w:val="List Paragraph"/>
    <w:basedOn w:val="Normal"/>
    <w:uiPriority w:val="34"/>
    <w:qFormat/>
    <w:rsid w:val="00DD3987"/>
    <w:pPr>
      <w:ind w:left="720"/>
      <w:contextualSpacing/>
    </w:pPr>
  </w:style>
  <w:style w:type="character" w:styleId="IntenseEmphasis">
    <w:name w:val="Intense Emphasis"/>
    <w:basedOn w:val="DefaultParagraphFont"/>
    <w:uiPriority w:val="21"/>
    <w:qFormat/>
    <w:rsid w:val="00DD3987"/>
    <w:rPr>
      <w:i/>
      <w:iCs/>
      <w:color w:val="0F4761" w:themeColor="accent1" w:themeShade="BF"/>
    </w:rPr>
  </w:style>
  <w:style w:type="paragraph" w:styleId="IntenseQuote">
    <w:name w:val="Intense Quote"/>
    <w:basedOn w:val="Normal"/>
    <w:next w:val="Normal"/>
    <w:link w:val="DuidelijkcitaatChar"/>
    <w:uiPriority w:val="30"/>
    <w:qFormat/>
    <w:rsid w:val="00DD3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DD3987"/>
    <w:rPr>
      <w:i/>
      <w:iCs/>
      <w:color w:val="0F4761" w:themeColor="accent1" w:themeShade="BF"/>
    </w:rPr>
  </w:style>
  <w:style w:type="character" w:styleId="IntenseReference">
    <w:name w:val="Intense Reference"/>
    <w:basedOn w:val="DefaultParagraphFont"/>
    <w:uiPriority w:val="32"/>
    <w:qFormat/>
    <w:rsid w:val="00DD3987"/>
    <w:rPr>
      <w:b/>
      <w:bCs/>
      <w:smallCaps/>
      <w:color w:val="0F4761" w:themeColor="accent1" w:themeShade="BF"/>
      <w:spacing w:val="5"/>
    </w:rPr>
  </w:style>
  <w:style w:type="paragraph" w:styleId="NoSpacing">
    <w:name w:val="No Spacing"/>
    <w:uiPriority w:val="1"/>
    <w:qFormat/>
    <w:rsid w:val="00DD3987"/>
    <w:pPr>
      <w:spacing w:after="0" w:line="240" w:lineRule="auto"/>
    </w:pPr>
  </w:style>
  <w:style w:type="paragraph" w:styleId="FootnoteText">
    <w:name w:val="footnote text"/>
    <w:basedOn w:val="Normal"/>
    <w:link w:val="VoetnoottekstChar"/>
    <w:uiPriority w:val="99"/>
    <w:unhideWhenUsed/>
    <w:rsid w:val="0041605E"/>
    <w:pPr>
      <w:spacing w:after="0" w:line="240" w:lineRule="auto"/>
    </w:pPr>
    <w:rPr>
      <w:sz w:val="20"/>
      <w:szCs w:val="20"/>
    </w:rPr>
  </w:style>
  <w:style w:type="character" w:customStyle="1" w:styleId="VoetnoottekstChar">
    <w:name w:val="Voetnoottekst Char"/>
    <w:basedOn w:val="DefaultParagraphFont"/>
    <w:link w:val="FootnoteText"/>
    <w:uiPriority w:val="99"/>
    <w:rsid w:val="0041605E"/>
    <w:rPr>
      <w:sz w:val="20"/>
      <w:szCs w:val="20"/>
    </w:rPr>
  </w:style>
  <w:style w:type="character" w:styleId="FootnoteReference">
    <w:name w:val="footnote reference"/>
    <w:basedOn w:val="DefaultParagraphFont"/>
    <w:uiPriority w:val="99"/>
    <w:semiHidden/>
    <w:unhideWhenUsed/>
    <w:rsid w:val="0041605E"/>
    <w:rPr>
      <w:vertAlign w:val="superscript"/>
    </w:rPr>
  </w:style>
  <w:style w:type="character" w:customStyle="1" w:styleId="hwtze">
    <w:name w:val="hwtze"/>
    <w:basedOn w:val="DefaultParagraphFont"/>
    <w:rsid w:val="002C0793"/>
  </w:style>
  <w:style w:type="character" w:customStyle="1" w:styleId="rynqvb">
    <w:name w:val="rynqvb"/>
    <w:basedOn w:val="DefaultParagraphFont"/>
    <w:rsid w:val="002C0793"/>
  </w:style>
  <w:style w:type="character" w:styleId="CommentReference">
    <w:name w:val="annotation reference"/>
    <w:basedOn w:val="DefaultParagraphFont"/>
    <w:uiPriority w:val="99"/>
    <w:semiHidden/>
    <w:unhideWhenUsed/>
    <w:rsid w:val="00DB4E14"/>
    <w:rPr>
      <w:sz w:val="16"/>
      <w:szCs w:val="16"/>
    </w:rPr>
  </w:style>
  <w:style w:type="paragraph" w:styleId="CommentText">
    <w:name w:val="annotation text"/>
    <w:basedOn w:val="Normal"/>
    <w:link w:val="TekstopmerkingChar"/>
    <w:uiPriority w:val="99"/>
    <w:unhideWhenUsed/>
    <w:rsid w:val="00DB4E14"/>
    <w:pPr>
      <w:spacing w:line="240" w:lineRule="auto"/>
    </w:pPr>
    <w:rPr>
      <w:sz w:val="20"/>
      <w:szCs w:val="20"/>
    </w:rPr>
  </w:style>
  <w:style w:type="character" w:customStyle="1" w:styleId="TekstopmerkingChar">
    <w:name w:val="Tekst opmerking Char"/>
    <w:basedOn w:val="DefaultParagraphFont"/>
    <w:link w:val="CommentText"/>
    <w:uiPriority w:val="99"/>
    <w:rsid w:val="00DB4E14"/>
    <w:rPr>
      <w:sz w:val="20"/>
      <w:szCs w:val="20"/>
    </w:rPr>
  </w:style>
  <w:style w:type="paragraph" w:styleId="CommentSubject">
    <w:name w:val="annotation subject"/>
    <w:basedOn w:val="CommentText"/>
    <w:next w:val="CommentText"/>
    <w:link w:val="OnderwerpvanopmerkingChar"/>
    <w:uiPriority w:val="99"/>
    <w:semiHidden/>
    <w:unhideWhenUsed/>
    <w:rsid w:val="00DB4E14"/>
    <w:rPr>
      <w:b/>
      <w:bCs/>
    </w:rPr>
  </w:style>
  <w:style w:type="character" w:customStyle="1" w:styleId="OnderwerpvanopmerkingChar">
    <w:name w:val="Onderwerp van opmerking Char"/>
    <w:basedOn w:val="TekstopmerkingChar"/>
    <w:link w:val="CommentSubject"/>
    <w:uiPriority w:val="99"/>
    <w:semiHidden/>
    <w:rsid w:val="00DB4E14"/>
    <w:rPr>
      <w:b/>
      <w:bCs/>
      <w:sz w:val="20"/>
      <w:szCs w:val="20"/>
    </w:rPr>
  </w:style>
  <w:style w:type="paragraph" w:styleId="Revision">
    <w:name w:val="Revision"/>
    <w:hidden/>
    <w:uiPriority w:val="99"/>
    <w:semiHidden/>
    <w:rsid w:val="008C7C67"/>
    <w:pPr>
      <w:spacing w:after="0" w:line="240" w:lineRule="auto"/>
    </w:pPr>
  </w:style>
  <w:style w:type="paragraph" w:customStyle="1" w:styleId="paragraph">
    <w:name w:val="paragraph"/>
    <w:basedOn w:val="Normal"/>
    <w:rsid w:val="003843B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DefaultParagraphFont"/>
    <w:rsid w:val="00384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6" /><Relationship Type="http://schemas.openxmlformats.org/officeDocument/2006/relationships/numbering" Target="numbering.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2001</ap:Words>
  <ap:Characters>11009</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2025-10-03T10:04:00.0000000Z</dcterms:created>
  <dcterms:modified xsi:type="dcterms:W3CDTF">2026-06-29T08:16:00.0000000Z</dcterms:modified>
  <dc:creator/>
  <lastModifiedBy/>
  <dc:description>------------------------</dc:description>
  <dc:subject/>
  <dc:title/>
  <keywords/>
  <version/>
  <category/>
</coreProperties>
</file>