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07B0159" w14:textId="77777777">
        <w:tc>
          <w:tcPr>
            <w:tcW w:w="6379" w:type="dxa"/>
            <w:gridSpan w:val="2"/>
            <w:tcBorders>
              <w:top w:val="nil"/>
              <w:left w:val="nil"/>
              <w:bottom w:val="nil"/>
              <w:right w:val="nil"/>
            </w:tcBorders>
            <w:vAlign w:val="center"/>
          </w:tcPr>
          <w:p w:rsidR="004330ED" w:rsidP="00EA1CE4" w:rsidRDefault="004330ED" w14:paraId="37BA26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69A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452B650" w14:textId="77777777">
        <w:trPr>
          <w:cantSplit/>
        </w:trPr>
        <w:tc>
          <w:tcPr>
            <w:tcW w:w="10348" w:type="dxa"/>
            <w:gridSpan w:val="3"/>
            <w:tcBorders>
              <w:top w:val="single" w:color="auto" w:sz="4" w:space="0"/>
              <w:left w:val="nil"/>
              <w:bottom w:val="nil"/>
              <w:right w:val="nil"/>
            </w:tcBorders>
          </w:tcPr>
          <w:p w:rsidR="004330ED" w:rsidP="004A1E29" w:rsidRDefault="004330ED" w14:paraId="29EF81C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419BEA4" w14:textId="77777777">
        <w:trPr>
          <w:cantSplit/>
        </w:trPr>
        <w:tc>
          <w:tcPr>
            <w:tcW w:w="10348" w:type="dxa"/>
            <w:gridSpan w:val="3"/>
            <w:tcBorders>
              <w:top w:val="nil"/>
              <w:left w:val="nil"/>
              <w:bottom w:val="nil"/>
              <w:right w:val="nil"/>
            </w:tcBorders>
          </w:tcPr>
          <w:p w:rsidR="004330ED" w:rsidP="00BF623B" w:rsidRDefault="004330ED" w14:paraId="5429010A" w14:textId="77777777">
            <w:pPr>
              <w:pStyle w:val="Amendement"/>
              <w:tabs>
                <w:tab w:val="clear" w:pos="3310"/>
                <w:tab w:val="clear" w:pos="3600"/>
              </w:tabs>
              <w:rPr>
                <w:rFonts w:ascii="Times New Roman" w:hAnsi="Times New Roman"/>
                <w:b w:val="0"/>
              </w:rPr>
            </w:pPr>
          </w:p>
        </w:tc>
      </w:tr>
      <w:tr w:rsidR="004330ED" w:rsidTr="00EA1CE4" w14:paraId="3EFE3CF6" w14:textId="77777777">
        <w:trPr>
          <w:cantSplit/>
        </w:trPr>
        <w:tc>
          <w:tcPr>
            <w:tcW w:w="10348" w:type="dxa"/>
            <w:gridSpan w:val="3"/>
            <w:tcBorders>
              <w:top w:val="nil"/>
              <w:left w:val="nil"/>
              <w:bottom w:val="single" w:color="auto" w:sz="4" w:space="0"/>
              <w:right w:val="nil"/>
            </w:tcBorders>
          </w:tcPr>
          <w:p w:rsidR="004330ED" w:rsidP="00BF623B" w:rsidRDefault="004330ED" w14:paraId="2AB36389" w14:textId="77777777">
            <w:pPr>
              <w:pStyle w:val="Amendement"/>
              <w:tabs>
                <w:tab w:val="clear" w:pos="3310"/>
                <w:tab w:val="clear" w:pos="3600"/>
              </w:tabs>
              <w:rPr>
                <w:rFonts w:ascii="Times New Roman" w:hAnsi="Times New Roman"/>
              </w:rPr>
            </w:pPr>
          </w:p>
        </w:tc>
      </w:tr>
      <w:tr w:rsidR="004330ED" w:rsidTr="00EA1CE4" w14:paraId="5DF33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757A1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D8A9B4" w14:textId="77777777">
            <w:pPr>
              <w:suppressAutoHyphens/>
              <w:ind w:left="-70"/>
              <w:rPr>
                <w:b/>
              </w:rPr>
            </w:pPr>
          </w:p>
        </w:tc>
      </w:tr>
      <w:tr w:rsidR="003C21AC" w:rsidTr="00EA1CE4" w14:paraId="6ACB7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E4438" w14:paraId="574AFAE6" w14:textId="15CDABA2">
            <w:pPr>
              <w:pStyle w:val="Amendement"/>
              <w:tabs>
                <w:tab w:val="clear" w:pos="3310"/>
                <w:tab w:val="clear" w:pos="3600"/>
              </w:tabs>
              <w:rPr>
                <w:rFonts w:ascii="Times New Roman" w:hAnsi="Times New Roman"/>
              </w:rPr>
            </w:pPr>
            <w:r>
              <w:rPr>
                <w:rFonts w:ascii="Times New Roman" w:hAnsi="Times New Roman"/>
              </w:rPr>
              <w:t>36 731</w:t>
            </w:r>
          </w:p>
        </w:tc>
        <w:tc>
          <w:tcPr>
            <w:tcW w:w="7371" w:type="dxa"/>
            <w:gridSpan w:val="2"/>
          </w:tcPr>
          <w:p w:rsidRPr="009E4438" w:rsidR="003C21AC" w:rsidP="009E4438" w:rsidRDefault="009E4438" w14:paraId="72881CF2" w14:textId="4E23FC40">
            <w:pPr>
              <w:rPr>
                <w:b/>
                <w:bCs/>
              </w:rPr>
            </w:pPr>
            <w:r w:rsidRPr="009E4438">
              <w:rPr>
                <w:b/>
                <w:bCs/>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3C21AC" w:rsidTr="00EA1CE4" w14:paraId="44D15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8D559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B18E336" w14:textId="77777777">
            <w:pPr>
              <w:pStyle w:val="Amendement"/>
              <w:tabs>
                <w:tab w:val="clear" w:pos="3310"/>
                <w:tab w:val="clear" w:pos="3600"/>
              </w:tabs>
              <w:ind w:left="-70"/>
              <w:rPr>
                <w:rFonts w:ascii="Times New Roman" w:hAnsi="Times New Roman"/>
              </w:rPr>
            </w:pPr>
          </w:p>
        </w:tc>
      </w:tr>
      <w:tr w:rsidR="003C21AC" w:rsidTr="00EA1CE4" w14:paraId="70E3F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F4D57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AD5008" w14:textId="77777777">
            <w:pPr>
              <w:pStyle w:val="Amendement"/>
              <w:tabs>
                <w:tab w:val="clear" w:pos="3310"/>
                <w:tab w:val="clear" w:pos="3600"/>
              </w:tabs>
              <w:ind w:left="-70"/>
              <w:rPr>
                <w:rFonts w:ascii="Times New Roman" w:hAnsi="Times New Roman"/>
              </w:rPr>
            </w:pPr>
          </w:p>
        </w:tc>
      </w:tr>
      <w:tr w:rsidR="003C21AC" w:rsidTr="00EA1CE4" w14:paraId="6A4FC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D44F3D" w14:textId="7312ED48">
            <w:pPr>
              <w:pStyle w:val="Amendement"/>
              <w:tabs>
                <w:tab w:val="clear" w:pos="3310"/>
                <w:tab w:val="clear" w:pos="3600"/>
              </w:tabs>
              <w:rPr>
                <w:rFonts w:ascii="Times New Roman" w:hAnsi="Times New Roman"/>
              </w:rPr>
            </w:pPr>
            <w:r w:rsidRPr="00C035D4">
              <w:rPr>
                <w:rFonts w:ascii="Times New Roman" w:hAnsi="Times New Roman"/>
              </w:rPr>
              <w:t xml:space="preserve">Nr. </w:t>
            </w:r>
            <w:r w:rsidR="00BB2051">
              <w:rPr>
                <w:rFonts w:ascii="Times New Roman" w:hAnsi="Times New Roman"/>
                <w:caps/>
              </w:rPr>
              <w:t>11</w:t>
            </w:r>
          </w:p>
        </w:tc>
        <w:tc>
          <w:tcPr>
            <w:tcW w:w="7371" w:type="dxa"/>
            <w:gridSpan w:val="2"/>
          </w:tcPr>
          <w:p w:rsidRPr="00C035D4" w:rsidR="003C21AC" w:rsidP="006E0971" w:rsidRDefault="003C21AC" w14:paraId="6CF0BB56" w14:textId="10D875D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E4438">
              <w:rPr>
                <w:rFonts w:ascii="Times New Roman" w:hAnsi="Times New Roman"/>
                <w:caps/>
              </w:rPr>
              <w:t>Abdi</w:t>
            </w:r>
          </w:p>
        </w:tc>
      </w:tr>
      <w:tr w:rsidR="003C21AC" w:rsidTr="00EA1CE4" w14:paraId="0C52A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747A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953659" w14:textId="5B3B05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4B14">
              <w:rPr>
                <w:rFonts w:ascii="Times New Roman" w:hAnsi="Times New Roman"/>
                <w:b w:val="0"/>
              </w:rPr>
              <w:t>29 juni 2026</w:t>
            </w:r>
          </w:p>
        </w:tc>
      </w:tr>
      <w:tr w:rsidR="00B01BA6" w:rsidTr="00EA1CE4" w14:paraId="4A3BE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9390AA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5B00D5" w14:textId="77777777">
            <w:pPr>
              <w:pStyle w:val="Amendement"/>
              <w:tabs>
                <w:tab w:val="clear" w:pos="3310"/>
                <w:tab w:val="clear" w:pos="3600"/>
              </w:tabs>
              <w:ind w:left="-70"/>
              <w:rPr>
                <w:rFonts w:ascii="Times New Roman" w:hAnsi="Times New Roman"/>
                <w:b w:val="0"/>
              </w:rPr>
            </w:pPr>
          </w:p>
        </w:tc>
      </w:tr>
      <w:tr w:rsidRPr="00EA69AC" w:rsidR="00B01BA6" w:rsidTr="00EA1CE4" w14:paraId="5BA58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A6299" w14:textId="77777777">
            <w:pPr>
              <w:ind w:firstLine="284"/>
            </w:pPr>
            <w:r w:rsidRPr="00EA69AC">
              <w:t>De ondergetekende stelt het volgende amendement voor:</w:t>
            </w:r>
          </w:p>
        </w:tc>
      </w:tr>
    </w:tbl>
    <w:p w:rsidRPr="00EA69AC" w:rsidR="004330ED" w:rsidP="00D774B3" w:rsidRDefault="004330ED" w14:paraId="7945911B" w14:textId="77777777"/>
    <w:p w:rsidR="00EB6973" w:rsidP="00C23295" w:rsidRDefault="00EB6973" w14:paraId="0AE5F7DF" w14:textId="3694C414">
      <w:pPr>
        <w:pStyle w:val="Amendement"/>
        <w:tabs>
          <w:tab w:val="clear" w:pos="3310"/>
          <w:tab w:val="left" w:pos="3261"/>
        </w:tabs>
        <w:ind w:firstLine="284"/>
        <w:rPr>
          <w:rFonts w:ascii="Times New Roman" w:hAnsi="Times New Roman"/>
          <w:b w:val="0"/>
        </w:rPr>
      </w:pPr>
      <w:r>
        <w:rPr>
          <w:rFonts w:ascii="Times New Roman" w:hAnsi="Times New Roman"/>
          <w:b w:val="0"/>
        </w:rPr>
        <w:t>Voor artikel I, onderdeel A, wordt een onderdeel ingevoegd, luidende:</w:t>
      </w:r>
    </w:p>
    <w:p w:rsidR="00EB6973" w:rsidP="0076584E" w:rsidRDefault="00EB6973" w14:paraId="0A1B0E2E" w14:textId="77777777">
      <w:pPr>
        <w:pStyle w:val="Amendement"/>
        <w:tabs>
          <w:tab w:val="clear" w:pos="3310"/>
          <w:tab w:val="left" w:pos="3261"/>
        </w:tabs>
        <w:rPr>
          <w:rFonts w:ascii="Times New Roman" w:hAnsi="Times New Roman"/>
          <w:b w:val="0"/>
        </w:rPr>
      </w:pPr>
    </w:p>
    <w:p w:rsidR="00767FD7" w:rsidP="0076584E" w:rsidRDefault="00767FD7" w14:paraId="0CABA0DC" w14:textId="77777777">
      <w:pPr>
        <w:pStyle w:val="Amendement"/>
        <w:tabs>
          <w:tab w:val="clear" w:pos="3310"/>
          <w:tab w:val="left" w:pos="3261"/>
        </w:tabs>
        <w:rPr>
          <w:rFonts w:ascii="Times New Roman" w:hAnsi="Times New Roman"/>
          <w:b w:val="0"/>
        </w:rPr>
      </w:pPr>
      <w:r>
        <w:rPr>
          <w:rFonts w:ascii="Times New Roman" w:hAnsi="Times New Roman"/>
          <w:b w:val="0"/>
        </w:rPr>
        <w:t>0A</w:t>
      </w:r>
    </w:p>
    <w:p w:rsidR="00767FD7" w:rsidP="0076584E" w:rsidRDefault="00767FD7" w14:paraId="6DB2BE20" w14:textId="77777777">
      <w:pPr>
        <w:pStyle w:val="Amendement"/>
        <w:tabs>
          <w:tab w:val="clear" w:pos="3310"/>
          <w:tab w:val="left" w:pos="3261"/>
        </w:tabs>
        <w:rPr>
          <w:rFonts w:ascii="Times New Roman" w:hAnsi="Times New Roman"/>
          <w:b w:val="0"/>
        </w:rPr>
      </w:pPr>
    </w:p>
    <w:p w:rsidR="0076584E" w:rsidP="009540BD" w:rsidRDefault="0076584E" w14:paraId="0A045A9E" w14:textId="0524385C">
      <w:pPr>
        <w:pStyle w:val="Amendement"/>
        <w:tabs>
          <w:tab w:val="clear" w:pos="3310"/>
          <w:tab w:val="left" w:pos="3261"/>
        </w:tabs>
        <w:ind w:firstLine="284"/>
        <w:rPr>
          <w:rFonts w:ascii="Times New Roman" w:hAnsi="Times New Roman"/>
          <w:b w:val="0"/>
        </w:rPr>
      </w:pPr>
      <w:r w:rsidRPr="0045517D">
        <w:rPr>
          <w:rFonts w:ascii="Times New Roman" w:hAnsi="Times New Roman"/>
          <w:b w:val="0"/>
        </w:rPr>
        <w:t>Aan artikel 6 wordt</w:t>
      </w:r>
      <w:r w:rsidR="00852D6F">
        <w:rPr>
          <w:rFonts w:ascii="Times New Roman" w:hAnsi="Times New Roman"/>
          <w:b w:val="0"/>
        </w:rPr>
        <w:t>, onder vervan</w:t>
      </w:r>
      <w:r w:rsidR="00E83632">
        <w:rPr>
          <w:rFonts w:ascii="Times New Roman" w:hAnsi="Times New Roman"/>
          <w:b w:val="0"/>
        </w:rPr>
        <w:t>g</w:t>
      </w:r>
      <w:r w:rsidR="00852D6F">
        <w:rPr>
          <w:rFonts w:ascii="Times New Roman" w:hAnsi="Times New Roman"/>
          <w:b w:val="0"/>
        </w:rPr>
        <w:t xml:space="preserve">ing van </w:t>
      </w:r>
      <w:r w:rsidR="0086708A">
        <w:rPr>
          <w:rFonts w:ascii="Times New Roman" w:hAnsi="Times New Roman"/>
          <w:b w:val="0"/>
        </w:rPr>
        <w:t>de punt aan het slot van onderdeel i door een puntkomma,</w:t>
      </w:r>
      <w:r w:rsidRPr="0045517D">
        <w:rPr>
          <w:rFonts w:ascii="Times New Roman" w:hAnsi="Times New Roman"/>
          <w:b w:val="0"/>
        </w:rPr>
        <w:t xml:space="preserve"> een </w:t>
      </w:r>
      <w:r w:rsidR="00497AA2">
        <w:rPr>
          <w:rFonts w:ascii="Times New Roman" w:hAnsi="Times New Roman"/>
          <w:b w:val="0"/>
        </w:rPr>
        <w:t xml:space="preserve">onderdeel </w:t>
      </w:r>
      <w:r w:rsidRPr="0045517D">
        <w:rPr>
          <w:rFonts w:ascii="Times New Roman" w:hAnsi="Times New Roman"/>
          <w:b w:val="0"/>
        </w:rPr>
        <w:t xml:space="preserve">toegevoegd, luidende: </w:t>
      </w:r>
    </w:p>
    <w:p w:rsidR="0076584E" w:rsidP="009F0121" w:rsidRDefault="0076584E" w14:paraId="64150CCE" w14:textId="0CE4469C">
      <w:pPr>
        <w:pStyle w:val="Amendement"/>
        <w:tabs>
          <w:tab w:val="clear" w:pos="3310"/>
          <w:tab w:val="left" w:pos="3261"/>
        </w:tabs>
        <w:ind w:firstLine="284"/>
        <w:rPr>
          <w:rFonts w:ascii="Times New Roman" w:hAnsi="Times New Roman"/>
          <w:b w:val="0"/>
        </w:rPr>
      </w:pPr>
      <w:r w:rsidRPr="0045517D">
        <w:rPr>
          <w:rFonts w:ascii="Times New Roman" w:hAnsi="Times New Roman"/>
          <w:b w:val="0"/>
        </w:rPr>
        <w:t xml:space="preserve">j. een vordering tot vergoeding van schade en kosten geleden door een in Nederland wonende natuurlijke persoon of gevestigde rechtspersoon als gevolg van een vordering die door een buiten de Europese Unie wonende of gevestigde eiser bij een rechter in een land buiten de </w:t>
      </w:r>
      <w:r w:rsidR="000D58A7">
        <w:rPr>
          <w:rFonts w:ascii="Times New Roman" w:hAnsi="Times New Roman"/>
          <w:b w:val="0"/>
        </w:rPr>
        <w:t xml:space="preserve">Europese </w:t>
      </w:r>
      <w:r w:rsidRPr="0045517D">
        <w:rPr>
          <w:rFonts w:ascii="Times New Roman" w:hAnsi="Times New Roman"/>
          <w:b w:val="0"/>
        </w:rPr>
        <w:t>Unie is ingesteld wegens diens betrokkenheid bij publieke participatie, indien daarbij misbruik van procesrecht</w:t>
      </w:r>
      <w:r w:rsidR="00C907EE">
        <w:rPr>
          <w:rFonts w:ascii="Times New Roman" w:hAnsi="Times New Roman"/>
          <w:b w:val="0"/>
        </w:rPr>
        <w:t xml:space="preserve"> als bedoeld in de </w:t>
      </w:r>
      <w:r w:rsidRPr="0045517D">
        <w:rPr>
          <w:rFonts w:ascii="Times New Roman" w:hAnsi="Times New Roman"/>
          <w:b w:val="0"/>
        </w:rPr>
        <w:t xml:space="preserve">Richtlijn </w:t>
      </w:r>
      <w:r w:rsidRPr="009540BD" w:rsidR="009540BD">
        <w:rPr>
          <w:rFonts w:ascii="Times New Roman" w:hAnsi="Times New Roman"/>
          <w:b w:val="0"/>
        </w:rPr>
        <w:t>(EU) 2024/1069 van het Europees Parlement en de Raad van 11 april 2024 betreffende bescherming van bij publieke participatie betrokken personen tegen kennelijk ongegronde vorderingen of misbruik van procesrecht (‘strategische rechtszaken tegen publieke participatie’)</w:t>
      </w:r>
      <w:r w:rsidRPr="001C78D2" w:rsidR="009540BD">
        <w:rPr>
          <w:rFonts w:ascii="Times New Roman" w:hAnsi="Times New Roman"/>
          <w:bCs/>
        </w:rPr>
        <w:t xml:space="preserve"> </w:t>
      </w:r>
      <w:r w:rsidRPr="0045517D">
        <w:rPr>
          <w:rFonts w:ascii="Times New Roman" w:hAnsi="Times New Roman"/>
          <w:b w:val="0"/>
        </w:rPr>
        <w:t>wordt gemaakt.</w:t>
      </w:r>
    </w:p>
    <w:p w:rsidR="00E719F0" w:rsidP="00EA1CE4" w:rsidRDefault="00E719F0" w14:paraId="49976EC3" w14:textId="77777777">
      <w:pPr>
        <w:rPr>
          <w:b/>
        </w:rPr>
      </w:pPr>
    </w:p>
    <w:p w:rsidRPr="00EA69AC" w:rsidR="003C21AC" w:rsidP="00EA1CE4" w:rsidRDefault="003C21AC" w14:paraId="422377F4" w14:textId="797CF387">
      <w:pPr>
        <w:rPr>
          <w:b/>
        </w:rPr>
      </w:pPr>
      <w:r w:rsidRPr="00EA69AC">
        <w:rPr>
          <w:b/>
        </w:rPr>
        <w:t>Toelichting</w:t>
      </w:r>
    </w:p>
    <w:p w:rsidRPr="00EA69AC" w:rsidR="003C21AC" w:rsidP="009E4438" w:rsidRDefault="003C21AC" w14:paraId="65BDA793" w14:textId="77777777"/>
    <w:p w:rsidR="009E4438" w:rsidP="009E4438" w:rsidRDefault="009E4438" w14:paraId="7BE72185" w14:textId="12D33E69">
      <w:pPr>
        <w:pStyle w:val="Amendement"/>
        <w:tabs>
          <w:tab w:val="clear" w:pos="3310"/>
          <w:tab w:val="left" w:pos="3261"/>
        </w:tabs>
        <w:rPr>
          <w:rFonts w:ascii="Times New Roman" w:hAnsi="Times New Roman"/>
          <w:b w:val="0"/>
        </w:rPr>
      </w:pPr>
      <w:r w:rsidRPr="0045517D">
        <w:rPr>
          <w:rFonts w:ascii="Times New Roman" w:hAnsi="Times New Roman"/>
          <w:b w:val="0"/>
        </w:rPr>
        <w:t xml:space="preserve">In tegenstelling tot hetgeen in de </w:t>
      </w:r>
      <w:r>
        <w:rPr>
          <w:rFonts w:ascii="Times New Roman" w:hAnsi="Times New Roman"/>
          <w:b w:val="0"/>
        </w:rPr>
        <w:t>m</w:t>
      </w:r>
      <w:r w:rsidRPr="0045517D">
        <w:rPr>
          <w:rFonts w:ascii="Times New Roman" w:hAnsi="Times New Roman"/>
          <w:b w:val="0"/>
        </w:rPr>
        <w:t xml:space="preserve">emorie van </w:t>
      </w:r>
      <w:r>
        <w:rPr>
          <w:rFonts w:ascii="Times New Roman" w:hAnsi="Times New Roman"/>
          <w:b w:val="0"/>
        </w:rPr>
        <w:t>t</w:t>
      </w:r>
      <w:r w:rsidRPr="0045517D">
        <w:rPr>
          <w:rFonts w:ascii="Times New Roman" w:hAnsi="Times New Roman"/>
          <w:b w:val="0"/>
        </w:rPr>
        <w:t>oelichting (</w:t>
      </w:r>
      <w:r>
        <w:rPr>
          <w:rFonts w:ascii="Times New Roman" w:hAnsi="Times New Roman"/>
          <w:b w:val="0"/>
        </w:rPr>
        <w:t>Kamerstukken II</w:t>
      </w:r>
      <w:r w:rsidRPr="0045517D">
        <w:rPr>
          <w:rFonts w:ascii="Times New Roman" w:hAnsi="Times New Roman"/>
          <w:b w:val="0"/>
        </w:rPr>
        <w:t xml:space="preserve"> 2024</w:t>
      </w:r>
      <w:r>
        <w:rPr>
          <w:rFonts w:ascii="Times New Roman" w:hAnsi="Times New Roman"/>
          <w:b w:val="0"/>
        </w:rPr>
        <w:t>/</w:t>
      </w:r>
      <w:r w:rsidRPr="0045517D">
        <w:rPr>
          <w:rFonts w:ascii="Times New Roman" w:hAnsi="Times New Roman"/>
          <w:b w:val="0"/>
        </w:rPr>
        <w:t>25, 36731</w:t>
      </w:r>
      <w:r>
        <w:rPr>
          <w:rFonts w:ascii="Times New Roman" w:hAnsi="Times New Roman"/>
          <w:b w:val="0"/>
        </w:rPr>
        <w:t xml:space="preserve">, nr. </w:t>
      </w:r>
      <w:r w:rsidRPr="0045517D">
        <w:rPr>
          <w:rFonts w:ascii="Times New Roman" w:hAnsi="Times New Roman"/>
          <w:b w:val="0"/>
        </w:rPr>
        <w:t>3, p. 16-17) wordt gesteld, volstaat de huidige bevoegdheidsgrond in artikel 6</w:t>
      </w:r>
      <w:r w:rsidR="000F7E96">
        <w:rPr>
          <w:rFonts w:ascii="Times New Roman" w:hAnsi="Times New Roman"/>
          <w:b w:val="0"/>
        </w:rPr>
        <w:t>,</w:t>
      </w:r>
      <w:r w:rsidRPr="0045517D">
        <w:rPr>
          <w:rFonts w:ascii="Times New Roman" w:hAnsi="Times New Roman"/>
          <w:b w:val="0"/>
        </w:rPr>
        <w:t xml:space="preserve"> sub e</w:t>
      </w:r>
      <w:r w:rsidR="000F7E96">
        <w:rPr>
          <w:rFonts w:ascii="Times New Roman" w:hAnsi="Times New Roman"/>
          <w:b w:val="0"/>
        </w:rPr>
        <w:t>,</w:t>
      </w:r>
      <w:r>
        <w:rPr>
          <w:rFonts w:ascii="Times New Roman" w:hAnsi="Times New Roman"/>
          <w:b w:val="0"/>
        </w:rPr>
        <w:t xml:space="preserve"> van het Wetboek </w:t>
      </w:r>
      <w:r w:rsidR="003705A8">
        <w:rPr>
          <w:rFonts w:ascii="Times New Roman" w:hAnsi="Times New Roman"/>
          <w:b w:val="0"/>
        </w:rPr>
        <w:t xml:space="preserve">van </w:t>
      </w:r>
      <w:r>
        <w:rPr>
          <w:rFonts w:ascii="Times New Roman" w:hAnsi="Times New Roman"/>
          <w:b w:val="0"/>
        </w:rPr>
        <w:t>Burgerlijke Rechtsvordering</w:t>
      </w:r>
      <w:r w:rsidRPr="0045517D">
        <w:rPr>
          <w:rFonts w:ascii="Times New Roman" w:hAnsi="Times New Roman"/>
          <w:b w:val="0"/>
        </w:rPr>
        <w:t xml:space="preserve"> </w:t>
      </w:r>
      <w:r>
        <w:rPr>
          <w:rFonts w:ascii="Times New Roman" w:hAnsi="Times New Roman"/>
          <w:b w:val="0"/>
        </w:rPr>
        <w:t>(</w:t>
      </w:r>
      <w:r w:rsidRPr="0045517D">
        <w:rPr>
          <w:rFonts w:ascii="Times New Roman" w:hAnsi="Times New Roman"/>
          <w:b w:val="0"/>
        </w:rPr>
        <w:t>Rv</w:t>
      </w:r>
      <w:r>
        <w:rPr>
          <w:rFonts w:ascii="Times New Roman" w:hAnsi="Times New Roman"/>
          <w:b w:val="0"/>
        </w:rPr>
        <w:t>)</w:t>
      </w:r>
      <w:r w:rsidRPr="0045517D">
        <w:rPr>
          <w:rFonts w:ascii="Times New Roman" w:hAnsi="Times New Roman"/>
          <w:b w:val="0"/>
        </w:rPr>
        <w:t xml:space="preserve"> (“indien het </w:t>
      </w:r>
      <w:proofErr w:type="spellStart"/>
      <w:r w:rsidRPr="0045517D">
        <w:rPr>
          <w:rFonts w:ascii="Times New Roman" w:hAnsi="Times New Roman"/>
          <w:b w:val="0"/>
        </w:rPr>
        <w:t>schadebrengende</w:t>
      </w:r>
      <w:proofErr w:type="spellEnd"/>
      <w:r w:rsidRPr="0045517D">
        <w:rPr>
          <w:rFonts w:ascii="Times New Roman" w:hAnsi="Times New Roman"/>
          <w:b w:val="0"/>
        </w:rPr>
        <w:t xml:space="preserve"> feit zich in Nederland heeft voorgedaan of zich kan voordoen”) niet om te voldoen aan de waarborg in artikel 17</w:t>
      </w:r>
      <w:r w:rsidR="00C105DF">
        <w:rPr>
          <w:rFonts w:ascii="Times New Roman" w:hAnsi="Times New Roman"/>
          <w:b w:val="0"/>
        </w:rPr>
        <w:t xml:space="preserve">, eerste lid, </w:t>
      </w:r>
      <w:r w:rsidRPr="0045517D">
        <w:rPr>
          <w:rFonts w:ascii="Times New Roman" w:hAnsi="Times New Roman"/>
          <w:b w:val="0"/>
        </w:rPr>
        <w:t xml:space="preserve">van de </w:t>
      </w:r>
      <w:r w:rsidRPr="0070366A" w:rsidR="0084629A">
        <w:rPr>
          <w:rFonts w:ascii="Times New Roman" w:hAnsi="Times New Roman"/>
          <w:b w:val="0"/>
        </w:rPr>
        <w:t>Richtlijn (EU) 2024/1069 van het Europees Parlement en de Raad van 11 april 2024 betreffende bescherming van bij publieke participatie betrokken personen tegen kennelijk ongegronde vorderingen of misbruik van procesrecht (</w:t>
      </w:r>
      <w:r w:rsidR="006D4F10">
        <w:rPr>
          <w:rFonts w:ascii="Times New Roman" w:hAnsi="Times New Roman"/>
          <w:b w:val="0"/>
        </w:rPr>
        <w:t>“</w:t>
      </w:r>
      <w:r w:rsidRPr="0070366A" w:rsidR="0084629A">
        <w:rPr>
          <w:rFonts w:ascii="Times New Roman" w:hAnsi="Times New Roman"/>
          <w:b w:val="0"/>
        </w:rPr>
        <w:t>strategische rechtszaken tegen publieke participatie</w:t>
      </w:r>
      <w:r w:rsidR="006D4F10">
        <w:rPr>
          <w:rFonts w:ascii="Times New Roman" w:hAnsi="Times New Roman"/>
          <w:b w:val="0"/>
        </w:rPr>
        <w:t>”</w:t>
      </w:r>
      <w:r w:rsidRPr="0070366A" w:rsidR="0070366A">
        <w:rPr>
          <w:rFonts w:ascii="Times New Roman" w:hAnsi="Times New Roman"/>
          <w:b w:val="0"/>
        </w:rPr>
        <w:t>)</w:t>
      </w:r>
      <w:r w:rsidRPr="0070366A" w:rsidR="0084629A">
        <w:rPr>
          <w:rFonts w:ascii="Times New Roman" w:hAnsi="Times New Roman"/>
          <w:b w:val="0"/>
        </w:rPr>
        <w:t xml:space="preserve"> </w:t>
      </w:r>
      <w:r w:rsidR="0084629A">
        <w:rPr>
          <w:rFonts w:ascii="Times New Roman" w:hAnsi="Times New Roman"/>
          <w:b w:val="0"/>
        </w:rPr>
        <w:t>(</w:t>
      </w:r>
      <w:r w:rsidR="00C20868">
        <w:rPr>
          <w:rFonts w:ascii="Times New Roman" w:hAnsi="Times New Roman"/>
          <w:b w:val="0"/>
        </w:rPr>
        <w:t xml:space="preserve">de </w:t>
      </w:r>
      <w:r w:rsidRPr="0045517D">
        <w:rPr>
          <w:rFonts w:ascii="Times New Roman" w:hAnsi="Times New Roman"/>
          <w:b w:val="0"/>
        </w:rPr>
        <w:t>Richtlijn</w:t>
      </w:r>
      <w:r w:rsidR="0070366A">
        <w:rPr>
          <w:rFonts w:ascii="Times New Roman" w:hAnsi="Times New Roman"/>
          <w:b w:val="0"/>
        </w:rPr>
        <w:t>)</w:t>
      </w:r>
      <w:r w:rsidRPr="0045517D">
        <w:rPr>
          <w:rFonts w:ascii="Times New Roman" w:hAnsi="Times New Roman"/>
          <w:b w:val="0"/>
        </w:rPr>
        <w:t>. Artikel 6</w:t>
      </w:r>
      <w:r w:rsidR="00D76915">
        <w:rPr>
          <w:rFonts w:ascii="Times New Roman" w:hAnsi="Times New Roman"/>
          <w:b w:val="0"/>
        </w:rPr>
        <w:t>,</w:t>
      </w:r>
      <w:r w:rsidRPr="0045517D">
        <w:rPr>
          <w:rFonts w:ascii="Times New Roman" w:hAnsi="Times New Roman"/>
          <w:b w:val="0"/>
        </w:rPr>
        <w:t xml:space="preserve"> sub e</w:t>
      </w:r>
      <w:r w:rsidR="00D76915">
        <w:rPr>
          <w:rFonts w:ascii="Times New Roman" w:hAnsi="Times New Roman"/>
          <w:b w:val="0"/>
        </w:rPr>
        <w:t>,</w:t>
      </w:r>
      <w:r w:rsidRPr="0045517D">
        <w:rPr>
          <w:rFonts w:ascii="Times New Roman" w:hAnsi="Times New Roman"/>
          <w:b w:val="0"/>
        </w:rPr>
        <w:t xml:space="preserve"> Rv heeft zowel betrekking op de plaats waar de schadeveroorzakende gebeurtenis zich heeft voorgedaan als op de plaats waar de directe schade is ingetreden. Uit de rechtspraak blijkt dat de woonplaats van de benadeelde op zichzelf niet voldoende is voor de bevoegdheid van de Nederlandse rechter op grond van de plaats waar de directe schade is ingetreden, en dat sprake moet zijn van bijkomende omstandigheden</w:t>
      </w:r>
      <w:r w:rsidR="00D76915">
        <w:rPr>
          <w:rFonts w:ascii="Times New Roman" w:hAnsi="Times New Roman"/>
          <w:b w:val="0"/>
        </w:rPr>
        <w:t>.</w:t>
      </w:r>
      <w:r>
        <w:rPr>
          <w:rStyle w:val="Voetnootmarkering"/>
          <w:rFonts w:ascii="Times New Roman" w:hAnsi="Times New Roman"/>
          <w:b w:val="0"/>
        </w:rPr>
        <w:footnoteReference w:id="1"/>
      </w:r>
      <w:r w:rsidRPr="0045517D">
        <w:rPr>
          <w:rFonts w:ascii="Times New Roman" w:hAnsi="Times New Roman"/>
          <w:b w:val="0"/>
        </w:rPr>
        <w:t xml:space="preserve">  In de </w:t>
      </w:r>
      <w:r>
        <w:rPr>
          <w:rFonts w:ascii="Times New Roman" w:hAnsi="Times New Roman"/>
          <w:b w:val="0"/>
        </w:rPr>
        <w:t>m</w:t>
      </w:r>
      <w:r w:rsidRPr="0045517D">
        <w:rPr>
          <w:rFonts w:ascii="Times New Roman" w:hAnsi="Times New Roman"/>
          <w:b w:val="0"/>
        </w:rPr>
        <w:t xml:space="preserve">emorie van </w:t>
      </w:r>
      <w:r>
        <w:rPr>
          <w:rFonts w:ascii="Times New Roman" w:hAnsi="Times New Roman"/>
          <w:b w:val="0"/>
        </w:rPr>
        <w:t>t</w:t>
      </w:r>
      <w:r w:rsidRPr="0045517D">
        <w:rPr>
          <w:rFonts w:ascii="Times New Roman" w:hAnsi="Times New Roman"/>
          <w:b w:val="0"/>
        </w:rPr>
        <w:t xml:space="preserve">oelichting wordt echter gesteld dat </w:t>
      </w:r>
      <w:r w:rsidR="00E96492">
        <w:rPr>
          <w:rFonts w:ascii="Times New Roman" w:hAnsi="Times New Roman"/>
          <w:b w:val="0"/>
        </w:rPr>
        <w:t xml:space="preserve">het voor de hand ligt dat </w:t>
      </w:r>
      <w:r w:rsidRPr="0045517D">
        <w:rPr>
          <w:rFonts w:ascii="Times New Roman" w:hAnsi="Times New Roman"/>
          <w:b w:val="0"/>
        </w:rPr>
        <w:t>de immateriële schade die het SLAPP-doelwit lijdt direct intreedt in diens woonplaats in Nederland</w:t>
      </w:r>
      <w:r w:rsidR="006846D7">
        <w:rPr>
          <w:rFonts w:ascii="Times New Roman" w:hAnsi="Times New Roman"/>
          <w:b w:val="0"/>
        </w:rPr>
        <w:t>.</w:t>
      </w:r>
      <w:r w:rsidR="002247AE">
        <w:rPr>
          <w:rStyle w:val="Voetnootmarkering"/>
          <w:rFonts w:ascii="Times New Roman" w:hAnsi="Times New Roman"/>
          <w:b w:val="0"/>
        </w:rPr>
        <w:footnoteReference w:id="2"/>
      </w:r>
      <w:r w:rsidR="006846D7">
        <w:rPr>
          <w:rFonts w:ascii="Times New Roman" w:hAnsi="Times New Roman"/>
          <w:b w:val="0"/>
        </w:rPr>
        <w:t xml:space="preserve"> </w:t>
      </w:r>
      <w:r w:rsidRPr="0045517D">
        <w:rPr>
          <w:rFonts w:ascii="Times New Roman" w:hAnsi="Times New Roman"/>
          <w:b w:val="0"/>
        </w:rPr>
        <w:t xml:space="preserve">De </w:t>
      </w:r>
      <w:r>
        <w:rPr>
          <w:rFonts w:ascii="Times New Roman" w:hAnsi="Times New Roman"/>
          <w:b w:val="0"/>
        </w:rPr>
        <w:t>m</w:t>
      </w:r>
      <w:r w:rsidRPr="0045517D">
        <w:rPr>
          <w:rFonts w:ascii="Times New Roman" w:hAnsi="Times New Roman"/>
          <w:b w:val="0"/>
        </w:rPr>
        <w:t xml:space="preserve">emorie van </w:t>
      </w:r>
      <w:r>
        <w:rPr>
          <w:rFonts w:ascii="Times New Roman" w:hAnsi="Times New Roman"/>
          <w:b w:val="0"/>
        </w:rPr>
        <w:t>t</w:t>
      </w:r>
      <w:r w:rsidRPr="0045517D">
        <w:rPr>
          <w:rFonts w:ascii="Times New Roman" w:hAnsi="Times New Roman"/>
          <w:b w:val="0"/>
        </w:rPr>
        <w:t xml:space="preserve">oelichting erkent wel dat voor </w:t>
      </w:r>
      <w:r w:rsidR="00DF48DD">
        <w:rPr>
          <w:rFonts w:ascii="Times New Roman" w:hAnsi="Times New Roman"/>
          <w:b w:val="0"/>
        </w:rPr>
        <w:t xml:space="preserve">zuiver </w:t>
      </w:r>
      <w:r w:rsidRPr="0045517D">
        <w:rPr>
          <w:rFonts w:ascii="Times New Roman" w:hAnsi="Times New Roman"/>
          <w:b w:val="0"/>
        </w:rPr>
        <w:t xml:space="preserve">financiële schade bijkomende omstandigheden vereist zijn naast de plaats van de </w:t>
      </w:r>
      <w:r w:rsidRPr="0045517D">
        <w:rPr>
          <w:rFonts w:ascii="Times New Roman" w:hAnsi="Times New Roman"/>
          <w:b w:val="0"/>
        </w:rPr>
        <w:lastRenderedPageBreak/>
        <w:t>bankrekening in de woonplaats van de benadeelde.</w:t>
      </w:r>
      <w:r w:rsidDel="00635D35" w:rsidR="00635D35">
        <w:rPr>
          <w:rStyle w:val="Voetnootmarkering"/>
          <w:rFonts w:ascii="Times New Roman" w:hAnsi="Times New Roman"/>
          <w:b w:val="0"/>
        </w:rPr>
        <w:t xml:space="preserve"> </w:t>
      </w:r>
      <w:r w:rsidRPr="0045517D">
        <w:rPr>
          <w:rFonts w:ascii="Times New Roman" w:hAnsi="Times New Roman"/>
          <w:b w:val="0"/>
        </w:rPr>
        <w:t xml:space="preserve"> Volgens de </w:t>
      </w:r>
      <w:r>
        <w:rPr>
          <w:rFonts w:ascii="Times New Roman" w:hAnsi="Times New Roman"/>
          <w:b w:val="0"/>
        </w:rPr>
        <w:t>m</w:t>
      </w:r>
      <w:r w:rsidRPr="0045517D">
        <w:rPr>
          <w:rFonts w:ascii="Times New Roman" w:hAnsi="Times New Roman"/>
          <w:b w:val="0"/>
        </w:rPr>
        <w:t xml:space="preserve">emorie van </w:t>
      </w:r>
      <w:r>
        <w:rPr>
          <w:rFonts w:ascii="Times New Roman" w:hAnsi="Times New Roman"/>
          <w:b w:val="0"/>
        </w:rPr>
        <w:t>t</w:t>
      </w:r>
      <w:r w:rsidRPr="0045517D">
        <w:rPr>
          <w:rFonts w:ascii="Times New Roman" w:hAnsi="Times New Roman"/>
          <w:b w:val="0"/>
        </w:rPr>
        <w:t>oelichting kunnen dergelijke omstandigheden bijvoorbeeld zijn dat de deelname aan het publieke debat vanuit de woonplaats van het SLAPP-doelwit heeft plaatsgevonden, of dat het SLAPP-doelwit nooit fysiek aanwezig is geweest in het land waar de SLAPP-procedure aanhangig is gemaakt</w:t>
      </w:r>
      <w:r w:rsidR="004B59F7">
        <w:rPr>
          <w:rFonts w:ascii="Times New Roman" w:hAnsi="Times New Roman"/>
          <w:b w:val="0"/>
        </w:rPr>
        <w:t>.</w:t>
      </w:r>
      <w:r w:rsidR="004B59F7">
        <w:rPr>
          <w:rStyle w:val="Voetnootmarkering"/>
          <w:rFonts w:ascii="Times New Roman" w:hAnsi="Times New Roman"/>
          <w:b w:val="0"/>
        </w:rPr>
        <w:footnoteReference w:id="3"/>
      </w:r>
      <w:r w:rsidRPr="0045517D">
        <w:rPr>
          <w:rFonts w:ascii="Times New Roman" w:hAnsi="Times New Roman"/>
          <w:b w:val="0"/>
        </w:rPr>
        <w:t xml:space="preserve"> </w:t>
      </w:r>
    </w:p>
    <w:p w:rsidR="009E4438" w:rsidP="009E4438" w:rsidRDefault="009E4438" w14:paraId="6CFDF867" w14:textId="77777777">
      <w:pPr>
        <w:pStyle w:val="Amendement"/>
        <w:tabs>
          <w:tab w:val="clear" w:pos="3310"/>
          <w:tab w:val="left" w:pos="3261"/>
        </w:tabs>
        <w:rPr>
          <w:rFonts w:ascii="Times New Roman" w:hAnsi="Times New Roman"/>
          <w:b w:val="0"/>
        </w:rPr>
      </w:pPr>
    </w:p>
    <w:p w:rsidRPr="00A30928" w:rsidR="00C910D5" w:rsidP="009E4438" w:rsidRDefault="009E4438" w14:paraId="7CEBEE46" w14:textId="28474EB4">
      <w:pPr>
        <w:pStyle w:val="Amendement"/>
        <w:tabs>
          <w:tab w:val="clear" w:pos="3310"/>
          <w:tab w:val="left" w:pos="3261"/>
        </w:tabs>
        <w:rPr>
          <w:rFonts w:ascii="Times New Roman" w:hAnsi="Times New Roman"/>
          <w:b w:val="0"/>
          <w:bCs/>
        </w:rPr>
      </w:pPr>
      <w:r w:rsidRPr="0045517D">
        <w:rPr>
          <w:rFonts w:ascii="Times New Roman" w:hAnsi="Times New Roman"/>
          <w:b w:val="0"/>
          <w:bCs/>
        </w:rPr>
        <w:t xml:space="preserve">Het vereiste dat voor </w:t>
      </w:r>
      <w:r w:rsidR="00DF48DD">
        <w:rPr>
          <w:rFonts w:ascii="Times New Roman" w:hAnsi="Times New Roman"/>
          <w:b w:val="0"/>
          <w:bCs/>
        </w:rPr>
        <w:t xml:space="preserve">de </w:t>
      </w:r>
      <w:r w:rsidRPr="0045517D">
        <w:rPr>
          <w:rFonts w:ascii="Times New Roman" w:hAnsi="Times New Roman"/>
          <w:b w:val="0"/>
          <w:bCs/>
        </w:rPr>
        <w:t>bevoegdheid van de Nederlandse rechter sprake moet zijn van bijkomende omstandigheden, naast de woonplaats of plaats van vestiging van het SLAPP-doelwit in Nederland, volgt echter niet uit art</w:t>
      </w:r>
      <w:r>
        <w:rPr>
          <w:rFonts w:ascii="Times New Roman" w:hAnsi="Times New Roman"/>
          <w:b w:val="0"/>
          <w:bCs/>
        </w:rPr>
        <w:t>ikel</w:t>
      </w:r>
      <w:r w:rsidRPr="0045517D">
        <w:rPr>
          <w:rFonts w:ascii="Times New Roman" w:hAnsi="Times New Roman"/>
          <w:b w:val="0"/>
          <w:bCs/>
        </w:rPr>
        <w:t xml:space="preserve"> 17</w:t>
      </w:r>
      <w:r w:rsidR="008833C2">
        <w:rPr>
          <w:rFonts w:ascii="Times New Roman" w:hAnsi="Times New Roman"/>
          <w:b w:val="0"/>
          <w:bCs/>
        </w:rPr>
        <w:t>, eerste</w:t>
      </w:r>
      <w:r w:rsidRPr="0045517D">
        <w:rPr>
          <w:rFonts w:ascii="Times New Roman" w:hAnsi="Times New Roman"/>
          <w:b w:val="0"/>
          <w:bCs/>
        </w:rPr>
        <w:t xml:space="preserve"> lid</w:t>
      </w:r>
      <w:r w:rsidR="008833C2">
        <w:rPr>
          <w:rFonts w:ascii="Times New Roman" w:hAnsi="Times New Roman"/>
          <w:b w:val="0"/>
          <w:bCs/>
        </w:rPr>
        <w:t xml:space="preserve">, </w:t>
      </w:r>
      <w:r w:rsidRPr="0045517D">
        <w:rPr>
          <w:rFonts w:ascii="Times New Roman" w:hAnsi="Times New Roman"/>
          <w:b w:val="0"/>
          <w:bCs/>
        </w:rPr>
        <w:t>van de Richtlijn.</w:t>
      </w:r>
      <w:r w:rsidR="004863CF">
        <w:rPr>
          <w:rStyle w:val="Voetnootmarkering"/>
          <w:rFonts w:ascii="Times New Roman" w:hAnsi="Times New Roman"/>
          <w:b w:val="0"/>
          <w:bCs/>
        </w:rPr>
        <w:footnoteReference w:id="4"/>
      </w:r>
      <w:r w:rsidRPr="0045517D">
        <w:rPr>
          <w:rFonts w:ascii="Times New Roman" w:hAnsi="Times New Roman"/>
          <w:b w:val="0"/>
          <w:bCs/>
        </w:rPr>
        <w:t xml:space="preserve"> Een dergelijk vereiste kan ertoe leiden dat SLAPP-doelwitten geen effectieve toegang tot de Nederlandse rechter hebben en ondermijnt daarmee de door de richtlijn beoogde bescherming. </w:t>
      </w:r>
      <w:r w:rsidR="00DF48DD">
        <w:rPr>
          <w:rFonts w:ascii="Times New Roman" w:hAnsi="Times New Roman"/>
          <w:b w:val="0"/>
          <w:bCs/>
        </w:rPr>
        <w:t xml:space="preserve">In lijn met recente Nederlandse rechtspraak dient geconcludeerd te worden dat </w:t>
      </w:r>
      <w:r w:rsidRPr="00A30928" w:rsidR="00A30928">
        <w:rPr>
          <w:rFonts w:ascii="Times New Roman" w:hAnsi="Times New Roman"/>
          <w:b w:val="0"/>
          <w:bCs/>
          <w:color w:val="000000"/>
          <w:szCs w:val="18"/>
          <w:shd w:val="clear" w:color="auto" w:fill="FFFFFF"/>
        </w:rPr>
        <w:t xml:space="preserve">de </w:t>
      </w:r>
      <w:proofErr w:type="spellStart"/>
      <w:r w:rsidRPr="00A30928" w:rsidR="00A30928">
        <w:rPr>
          <w:rFonts w:ascii="Times New Roman" w:hAnsi="Times New Roman"/>
          <w:b w:val="0"/>
          <w:bCs/>
          <w:color w:val="000000"/>
          <w:szCs w:val="18"/>
          <w:shd w:val="clear" w:color="auto" w:fill="FFFFFF"/>
        </w:rPr>
        <w:t>MvT</w:t>
      </w:r>
      <w:proofErr w:type="spellEnd"/>
      <w:r w:rsidRPr="00A30928" w:rsidR="00A30928">
        <w:rPr>
          <w:rFonts w:ascii="Times New Roman" w:hAnsi="Times New Roman"/>
          <w:b w:val="0"/>
          <w:bCs/>
          <w:color w:val="000000"/>
          <w:szCs w:val="18"/>
          <w:shd w:val="clear" w:color="auto" w:fill="FFFFFF"/>
        </w:rPr>
        <w:t xml:space="preserve"> ten onrechte </w:t>
      </w:r>
      <w:r w:rsidR="00151FF2">
        <w:rPr>
          <w:rFonts w:ascii="Times New Roman" w:hAnsi="Times New Roman"/>
          <w:b w:val="0"/>
          <w:bCs/>
          <w:color w:val="000000"/>
          <w:szCs w:val="18"/>
          <w:shd w:val="clear" w:color="auto" w:fill="FFFFFF"/>
        </w:rPr>
        <w:t xml:space="preserve">stelt </w:t>
      </w:r>
      <w:r w:rsidRPr="00A30928" w:rsidR="00A30928">
        <w:rPr>
          <w:rFonts w:ascii="Times New Roman" w:hAnsi="Times New Roman"/>
          <w:b w:val="0"/>
          <w:bCs/>
          <w:color w:val="000000"/>
          <w:szCs w:val="18"/>
          <w:shd w:val="clear" w:color="auto" w:fill="FFFFFF"/>
        </w:rPr>
        <w:t>dat artikel 17</w:t>
      </w:r>
      <w:r w:rsidR="00151FF2">
        <w:rPr>
          <w:rFonts w:ascii="Times New Roman" w:hAnsi="Times New Roman"/>
          <w:b w:val="0"/>
          <w:bCs/>
          <w:color w:val="000000"/>
          <w:szCs w:val="18"/>
          <w:shd w:val="clear" w:color="auto" w:fill="FFFFFF"/>
        </w:rPr>
        <w:t xml:space="preserve"> lid 1</w:t>
      </w:r>
      <w:r w:rsidRPr="00A30928" w:rsidR="00A30928">
        <w:rPr>
          <w:rFonts w:ascii="Times New Roman" w:hAnsi="Times New Roman"/>
          <w:b w:val="0"/>
          <w:bCs/>
          <w:color w:val="000000"/>
          <w:szCs w:val="18"/>
          <w:shd w:val="clear" w:color="auto" w:fill="FFFFFF"/>
        </w:rPr>
        <w:t xml:space="preserve"> </w:t>
      </w:r>
      <w:r w:rsidR="00151FF2">
        <w:rPr>
          <w:rFonts w:ascii="Times New Roman" w:hAnsi="Times New Roman"/>
          <w:b w:val="0"/>
          <w:bCs/>
          <w:color w:val="000000"/>
          <w:szCs w:val="18"/>
          <w:shd w:val="clear" w:color="auto" w:fill="FFFFFF"/>
        </w:rPr>
        <w:t>anti-SLAPP-</w:t>
      </w:r>
      <w:r w:rsidRPr="00A30928" w:rsidR="00A30928">
        <w:rPr>
          <w:rFonts w:ascii="Times New Roman" w:hAnsi="Times New Roman"/>
          <w:b w:val="0"/>
          <w:bCs/>
          <w:color w:val="000000"/>
          <w:szCs w:val="18"/>
          <w:shd w:val="clear" w:color="auto" w:fill="FFFFFF"/>
        </w:rPr>
        <w:t>Richtlijn geen implementatie behoeft.</w:t>
      </w:r>
      <w:r w:rsidR="00A30928">
        <w:rPr>
          <w:rStyle w:val="Voetnootmarkering"/>
          <w:rFonts w:ascii="Times New Roman" w:hAnsi="Times New Roman"/>
          <w:b w:val="0"/>
          <w:bCs/>
          <w:color w:val="000000"/>
          <w:szCs w:val="18"/>
          <w:shd w:val="clear" w:color="auto" w:fill="FFFFFF"/>
        </w:rPr>
        <w:footnoteReference w:id="5"/>
      </w:r>
      <w:r w:rsidRPr="00591480" w:rsidR="00591480">
        <w:rPr>
          <w:rFonts w:ascii="-webkit-standard" w:hAnsi="-webkit-standard"/>
          <w:color w:val="000000"/>
          <w:sz w:val="27"/>
          <w:szCs w:val="27"/>
        </w:rPr>
        <w:t xml:space="preserve"> </w:t>
      </w:r>
      <w:r w:rsidRPr="00151FF2" w:rsidR="00591480">
        <w:rPr>
          <w:rFonts w:ascii="Times New Roman" w:hAnsi="Times New Roman"/>
          <w:b w:val="0"/>
          <w:bCs/>
          <w:color w:val="000000"/>
          <w:szCs w:val="24"/>
        </w:rPr>
        <w:t xml:space="preserve">Zoals blijkt uit overweging 44 van de </w:t>
      </w:r>
      <w:r w:rsidR="00151FF2">
        <w:rPr>
          <w:rFonts w:ascii="Times New Roman" w:hAnsi="Times New Roman"/>
          <w:b w:val="0"/>
          <w:bCs/>
          <w:color w:val="000000"/>
          <w:szCs w:val="24"/>
        </w:rPr>
        <w:t>R</w:t>
      </w:r>
      <w:r w:rsidRPr="00151FF2" w:rsidR="00591480">
        <w:rPr>
          <w:rFonts w:ascii="Times New Roman" w:hAnsi="Times New Roman"/>
          <w:b w:val="0"/>
          <w:bCs/>
          <w:color w:val="000000"/>
          <w:szCs w:val="24"/>
        </w:rPr>
        <w:t xml:space="preserve">ichtlijn, bevat artikel 17 </w:t>
      </w:r>
      <w:r w:rsidR="00151FF2">
        <w:rPr>
          <w:rFonts w:ascii="Times New Roman" w:hAnsi="Times New Roman"/>
          <w:b w:val="0"/>
          <w:bCs/>
          <w:color w:val="000000"/>
          <w:szCs w:val="24"/>
        </w:rPr>
        <w:t xml:space="preserve">lid 1 </w:t>
      </w:r>
      <w:r w:rsidRPr="00151FF2" w:rsidR="00591480">
        <w:rPr>
          <w:rFonts w:ascii="Times New Roman" w:hAnsi="Times New Roman"/>
          <w:b w:val="0"/>
          <w:bCs/>
          <w:color w:val="000000"/>
          <w:szCs w:val="24"/>
        </w:rPr>
        <w:t>een nieuwe bijzondere bevoegdheidsgrond die als</w:t>
      </w:r>
      <w:r w:rsidRPr="00151FF2" w:rsidR="00591480">
        <w:rPr>
          <w:rStyle w:val="apple-converted-space"/>
          <w:rFonts w:ascii="Times New Roman" w:hAnsi="Times New Roman"/>
          <w:b w:val="0"/>
          <w:bCs/>
          <w:color w:val="000000"/>
          <w:szCs w:val="24"/>
        </w:rPr>
        <w:t> </w:t>
      </w:r>
      <w:r w:rsidRPr="00151FF2" w:rsidR="00591480">
        <w:rPr>
          <w:rStyle w:val="Nadruk"/>
          <w:rFonts w:ascii="Times New Roman" w:hAnsi="Times New Roman"/>
          <w:b w:val="0"/>
          <w:bCs/>
          <w:color w:val="000000"/>
          <w:szCs w:val="24"/>
        </w:rPr>
        <w:t>lex specialis</w:t>
      </w:r>
      <w:r w:rsidRPr="00151FF2" w:rsidR="00591480">
        <w:rPr>
          <w:rStyle w:val="apple-converted-space"/>
          <w:rFonts w:ascii="Times New Roman" w:hAnsi="Times New Roman"/>
          <w:b w:val="0"/>
          <w:bCs/>
          <w:color w:val="000000"/>
          <w:szCs w:val="24"/>
        </w:rPr>
        <w:t> </w:t>
      </w:r>
      <w:r w:rsidRPr="00151FF2" w:rsidR="00591480">
        <w:rPr>
          <w:rFonts w:ascii="Times New Roman" w:hAnsi="Times New Roman"/>
          <w:b w:val="0"/>
          <w:bCs/>
          <w:color w:val="000000"/>
          <w:szCs w:val="24"/>
        </w:rPr>
        <w:t>voorrang heeft boven bestaande bevoegdheidsregels, zoals artikel 7</w:t>
      </w:r>
      <w:r w:rsidR="00591480">
        <w:rPr>
          <w:rFonts w:ascii="Times New Roman" w:hAnsi="Times New Roman"/>
          <w:b w:val="0"/>
          <w:bCs/>
          <w:color w:val="000000"/>
          <w:szCs w:val="24"/>
        </w:rPr>
        <w:t xml:space="preserve"> </w:t>
      </w:r>
      <w:r w:rsidR="00151FF2">
        <w:rPr>
          <w:rFonts w:ascii="Times New Roman" w:hAnsi="Times New Roman"/>
          <w:b w:val="0"/>
          <w:bCs/>
          <w:color w:val="000000"/>
          <w:szCs w:val="24"/>
        </w:rPr>
        <w:t>lid 2 Brussel I bis Verordening</w:t>
      </w:r>
      <w:r w:rsidRPr="00151FF2" w:rsidR="00591480">
        <w:rPr>
          <w:rFonts w:ascii="Times New Roman" w:hAnsi="Times New Roman"/>
          <w:b w:val="0"/>
          <w:bCs/>
          <w:color w:val="000000"/>
          <w:szCs w:val="24"/>
        </w:rPr>
        <w:t xml:space="preserve"> en artikel 6</w:t>
      </w:r>
      <w:r w:rsidR="002B32AD">
        <w:rPr>
          <w:rFonts w:ascii="Times New Roman" w:hAnsi="Times New Roman"/>
          <w:b w:val="0"/>
          <w:bCs/>
          <w:color w:val="000000"/>
          <w:szCs w:val="24"/>
        </w:rPr>
        <w:t>,</w:t>
      </w:r>
      <w:r w:rsidR="00591480">
        <w:rPr>
          <w:rFonts w:ascii="Times New Roman" w:hAnsi="Times New Roman"/>
          <w:b w:val="0"/>
          <w:bCs/>
          <w:color w:val="000000"/>
          <w:szCs w:val="24"/>
        </w:rPr>
        <w:t xml:space="preserve"> sub</w:t>
      </w:r>
      <w:r w:rsidRPr="00151FF2" w:rsidR="00591480">
        <w:rPr>
          <w:rFonts w:ascii="Times New Roman" w:hAnsi="Times New Roman"/>
          <w:b w:val="0"/>
          <w:bCs/>
          <w:color w:val="000000"/>
          <w:szCs w:val="24"/>
        </w:rPr>
        <w:t xml:space="preserve"> e</w:t>
      </w:r>
      <w:r w:rsidR="002B32AD">
        <w:rPr>
          <w:rFonts w:ascii="Times New Roman" w:hAnsi="Times New Roman"/>
          <w:b w:val="0"/>
          <w:bCs/>
          <w:color w:val="000000"/>
          <w:szCs w:val="24"/>
        </w:rPr>
        <w:t>,</w:t>
      </w:r>
      <w:r w:rsidRPr="00151FF2" w:rsidR="00591480">
        <w:rPr>
          <w:rFonts w:ascii="Times New Roman" w:hAnsi="Times New Roman"/>
          <w:b w:val="0"/>
          <w:bCs/>
          <w:color w:val="000000"/>
          <w:szCs w:val="24"/>
        </w:rPr>
        <w:t xml:space="preserve"> Rv</w:t>
      </w:r>
      <w:r w:rsidRPr="00591480" w:rsidR="00A30928">
        <w:rPr>
          <w:rFonts w:ascii="Times New Roman" w:hAnsi="Times New Roman"/>
          <w:b w:val="0"/>
          <w:bCs/>
          <w:color w:val="000000"/>
          <w:szCs w:val="24"/>
          <w:shd w:val="clear" w:color="auto" w:fill="FFFFFF"/>
        </w:rPr>
        <w:t>.</w:t>
      </w:r>
      <w:r w:rsidRPr="00591480" w:rsidR="00A30928">
        <w:rPr>
          <w:rStyle w:val="Voetnootmarkering"/>
          <w:rFonts w:ascii="Times New Roman" w:hAnsi="Times New Roman"/>
          <w:b w:val="0"/>
          <w:bCs/>
          <w:color w:val="000000"/>
          <w:szCs w:val="24"/>
          <w:shd w:val="clear" w:color="auto" w:fill="FFFFFF"/>
        </w:rPr>
        <w:footnoteReference w:id="6"/>
      </w:r>
    </w:p>
    <w:p w:rsidR="00C910D5" w:rsidP="009E4438" w:rsidRDefault="00C910D5" w14:paraId="18146F10" w14:textId="77777777">
      <w:pPr>
        <w:pStyle w:val="Amendement"/>
        <w:tabs>
          <w:tab w:val="clear" w:pos="3310"/>
          <w:tab w:val="left" w:pos="3261"/>
        </w:tabs>
        <w:rPr>
          <w:rFonts w:ascii="Times New Roman" w:hAnsi="Times New Roman"/>
          <w:b w:val="0"/>
          <w:bCs/>
        </w:rPr>
      </w:pPr>
    </w:p>
    <w:p w:rsidRPr="0045517D" w:rsidR="009E4438" w:rsidP="009E4438" w:rsidRDefault="009E4438" w14:paraId="662F88D1" w14:textId="5B175AE9">
      <w:pPr>
        <w:pStyle w:val="Amendement"/>
        <w:tabs>
          <w:tab w:val="clear" w:pos="3310"/>
          <w:tab w:val="left" w:pos="3261"/>
        </w:tabs>
        <w:rPr>
          <w:rFonts w:ascii="Times New Roman" w:hAnsi="Times New Roman"/>
          <w:b w:val="0"/>
          <w:bCs/>
        </w:rPr>
      </w:pPr>
      <w:r w:rsidRPr="0045517D">
        <w:rPr>
          <w:rFonts w:ascii="Times New Roman" w:hAnsi="Times New Roman"/>
          <w:b w:val="0"/>
          <w:bCs/>
        </w:rPr>
        <w:t>In de implementatiediscussies in verschillende EU-lidstaten wordt benadrukt dat artikel 17</w:t>
      </w:r>
      <w:r w:rsidR="008833C2">
        <w:rPr>
          <w:rFonts w:ascii="Times New Roman" w:hAnsi="Times New Roman"/>
          <w:b w:val="0"/>
          <w:bCs/>
        </w:rPr>
        <w:t>, eerste lid,</w:t>
      </w:r>
      <w:r w:rsidRPr="0045517D">
        <w:rPr>
          <w:rFonts w:ascii="Times New Roman" w:hAnsi="Times New Roman"/>
          <w:b w:val="0"/>
          <w:bCs/>
        </w:rPr>
        <w:t xml:space="preserve"> van de Richtlijn een duidelijke en zelfstandige bevoegdheidsgrond vereist, teneinde te voorkomen dat slachtoffers van procedures in derde landen geen effectieve toegang tot de rechter hebben.</w:t>
      </w:r>
      <w:r w:rsidR="002A76C6">
        <w:rPr>
          <w:rStyle w:val="Voetnootmarkering"/>
          <w:rFonts w:ascii="Times New Roman" w:hAnsi="Times New Roman"/>
          <w:b w:val="0"/>
          <w:bCs/>
        </w:rPr>
        <w:footnoteReference w:id="7"/>
      </w:r>
      <w:r w:rsidRPr="0045517D">
        <w:rPr>
          <w:rFonts w:ascii="Times New Roman" w:hAnsi="Times New Roman"/>
          <w:b w:val="0"/>
          <w:bCs/>
        </w:rPr>
        <w:t xml:space="preserve"> In de implementatiewetgeving van </w:t>
      </w:r>
      <w:r w:rsidR="00CA127C">
        <w:rPr>
          <w:rFonts w:ascii="Times New Roman" w:hAnsi="Times New Roman"/>
          <w:b w:val="0"/>
          <w:bCs/>
        </w:rPr>
        <w:t xml:space="preserve">verschillende </w:t>
      </w:r>
      <w:r w:rsidRPr="0045517D">
        <w:rPr>
          <w:rFonts w:ascii="Times New Roman" w:hAnsi="Times New Roman"/>
          <w:b w:val="0"/>
          <w:bCs/>
        </w:rPr>
        <w:t>EU-lidstaten die reeds een wetsvoorstel of wet hebben gepubliceerd, is artikel 17</w:t>
      </w:r>
      <w:r w:rsidR="005B50A4">
        <w:rPr>
          <w:rFonts w:ascii="Times New Roman" w:hAnsi="Times New Roman"/>
          <w:b w:val="0"/>
          <w:bCs/>
        </w:rPr>
        <w:t>, eer</w:t>
      </w:r>
      <w:r w:rsidR="00D54416">
        <w:rPr>
          <w:rFonts w:ascii="Times New Roman" w:hAnsi="Times New Roman"/>
          <w:b w:val="0"/>
          <w:bCs/>
        </w:rPr>
        <w:t xml:space="preserve">ste </w:t>
      </w:r>
      <w:r w:rsidRPr="0045517D">
        <w:rPr>
          <w:rFonts w:ascii="Times New Roman" w:hAnsi="Times New Roman"/>
          <w:b w:val="0"/>
          <w:bCs/>
        </w:rPr>
        <w:t>lid</w:t>
      </w:r>
      <w:r w:rsidR="00D54416">
        <w:rPr>
          <w:rFonts w:ascii="Times New Roman" w:hAnsi="Times New Roman"/>
          <w:b w:val="0"/>
          <w:bCs/>
        </w:rPr>
        <w:t>,</w:t>
      </w:r>
      <w:r w:rsidRPr="0045517D">
        <w:rPr>
          <w:rFonts w:ascii="Times New Roman" w:hAnsi="Times New Roman"/>
          <w:b w:val="0"/>
          <w:bCs/>
        </w:rPr>
        <w:t xml:space="preserve"> van de Richtlijn dan ook opgenomen als een specifieke bevoegdheidsgrond.</w:t>
      </w:r>
      <w:r w:rsidR="00151FF2">
        <w:rPr>
          <w:rStyle w:val="Voetnootmarkering"/>
          <w:rFonts w:ascii="Times New Roman" w:hAnsi="Times New Roman"/>
          <w:b w:val="0"/>
          <w:bCs/>
        </w:rPr>
        <w:footnoteReference w:id="8"/>
      </w:r>
    </w:p>
    <w:p w:rsidR="009E4438" w:rsidP="009E4438" w:rsidRDefault="009E4438" w14:paraId="562786D7" w14:textId="77777777">
      <w:pPr>
        <w:pStyle w:val="Amendement"/>
        <w:tabs>
          <w:tab w:val="clear" w:pos="3310"/>
          <w:tab w:val="left" w:pos="3261"/>
        </w:tabs>
        <w:rPr>
          <w:rFonts w:ascii="Times New Roman" w:hAnsi="Times New Roman"/>
          <w:b w:val="0"/>
        </w:rPr>
      </w:pPr>
    </w:p>
    <w:p w:rsidR="009E4438" w:rsidP="009E4438" w:rsidRDefault="009E4438" w14:paraId="456CC69D" w14:textId="77777777">
      <w:pPr>
        <w:pStyle w:val="Amendement"/>
        <w:tabs>
          <w:tab w:val="clear" w:pos="3310"/>
          <w:tab w:val="left" w:pos="3261"/>
        </w:tabs>
        <w:rPr>
          <w:rFonts w:ascii="Times New Roman" w:hAnsi="Times New Roman"/>
          <w:b w:val="0"/>
        </w:rPr>
      </w:pPr>
      <w:r>
        <w:rPr>
          <w:rFonts w:ascii="Times New Roman" w:hAnsi="Times New Roman"/>
          <w:b w:val="0"/>
        </w:rPr>
        <w:t>Abdi</w:t>
      </w:r>
    </w:p>
    <w:p w:rsidR="009E4438" w:rsidP="009E4438" w:rsidRDefault="009E4438" w14:paraId="790C4D13" w14:textId="77777777">
      <w:pPr>
        <w:pStyle w:val="Amendement"/>
        <w:tabs>
          <w:tab w:val="clear" w:pos="3310"/>
          <w:tab w:val="left" w:pos="3261"/>
        </w:tabs>
        <w:rPr>
          <w:rFonts w:ascii="Times New Roman" w:hAnsi="Times New Roman"/>
          <w:b w:val="0"/>
        </w:rPr>
      </w:pPr>
    </w:p>
    <w:p w:rsidRPr="00EA69AC" w:rsidR="00B4708A" w:rsidP="009E4438" w:rsidRDefault="00B4708A" w14:paraId="00E354AF" w14:textId="7A2D57AD"/>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552D" w14:textId="77777777" w:rsidR="00573E37" w:rsidRDefault="00573E37">
      <w:pPr>
        <w:spacing w:line="20" w:lineRule="exact"/>
      </w:pPr>
    </w:p>
  </w:endnote>
  <w:endnote w:type="continuationSeparator" w:id="0">
    <w:p w14:paraId="623EF2D2" w14:textId="77777777" w:rsidR="00573E37" w:rsidRDefault="00573E37">
      <w:pPr>
        <w:pStyle w:val="Amendement"/>
      </w:pPr>
      <w:r>
        <w:rPr>
          <w:b w:val="0"/>
        </w:rPr>
        <w:t xml:space="preserve"> </w:t>
      </w:r>
    </w:p>
  </w:endnote>
  <w:endnote w:type="continuationNotice" w:id="1">
    <w:p w14:paraId="3CC8DD7B" w14:textId="77777777" w:rsidR="00573E37" w:rsidRDefault="00573E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9932" w14:textId="77777777" w:rsidR="00573E37" w:rsidRDefault="00573E37">
      <w:pPr>
        <w:pStyle w:val="Amendement"/>
      </w:pPr>
      <w:r>
        <w:rPr>
          <w:b w:val="0"/>
        </w:rPr>
        <w:separator/>
      </w:r>
    </w:p>
  </w:footnote>
  <w:footnote w:type="continuationSeparator" w:id="0">
    <w:p w14:paraId="42D66F4C" w14:textId="77777777" w:rsidR="00573E37" w:rsidRDefault="00573E37">
      <w:r>
        <w:continuationSeparator/>
      </w:r>
    </w:p>
  </w:footnote>
  <w:footnote w:id="1">
    <w:p w14:paraId="28567F1B" w14:textId="49B5C927" w:rsidR="009E4438" w:rsidRPr="006846D7" w:rsidRDefault="009E4438">
      <w:pPr>
        <w:pStyle w:val="Voetnoottekst"/>
        <w:rPr>
          <w:bCs/>
          <w:sz w:val="20"/>
          <w:lang w:val="en-US"/>
        </w:rPr>
      </w:pPr>
      <w:r w:rsidRPr="006846D7">
        <w:rPr>
          <w:rStyle w:val="Voetnootmarkering"/>
          <w:sz w:val="20"/>
        </w:rPr>
        <w:footnoteRef/>
      </w:r>
      <w:r w:rsidRPr="006846D7">
        <w:rPr>
          <w:bCs/>
          <w:sz w:val="20"/>
          <w:lang w:val="en-US"/>
        </w:rPr>
        <w:t xml:space="preserve"> Birgit van Houtert, ‘The Anti-SLAPP Directive in the context of EU and Dutch private international law: improvements and (remaining) challenges to protect SLAPP targets’, </w:t>
      </w:r>
      <w:proofErr w:type="spellStart"/>
      <w:r w:rsidRPr="006846D7">
        <w:rPr>
          <w:bCs/>
          <w:sz w:val="20"/>
          <w:lang w:val="en-US"/>
        </w:rPr>
        <w:t>Nederlands</w:t>
      </w:r>
      <w:proofErr w:type="spellEnd"/>
      <w:r w:rsidRPr="006846D7">
        <w:rPr>
          <w:bCs/>
          <w:sz w:val="20"/>
          <w:lang w:val="en-US"/>
        </w:rPr>
        <w:t xml:space="preserve"> </w:t>
      </w:r>
      <w:proofErr w:type="spellStart"/>
      <w:r w:rsidRPr="006846D7">
        <w:rPr>
          <w:bCs/>
          <w:sz w:val="20"/>
          <w:lang w:val="en-US"/>
        </w:rPr>
        <w:t>Internationaal</w:t>
      </w:r>
      <w:proofErr w:type="spellEnd"/>
      <w:r w:rsidRPr="006846D7">
        <w:rPr>
          <w:bCs/>
          <w:sz w:val="20"/>
          <w:lang w:val="en-US"/>
        </w:rPr>
        <w:t xml:space="preserve"> </w:t>
      </w:r>
      <w:proofErr w:type="spellStart"/>
      <w:r w:rsidRPr="006846D7">
        <w:rPr>
          <w:bCs/>
          <w:sz w:val="20"/>
          <w:lang w:val="en-US"/>
        </w:rPr>
        <w:t>Privaatrecht</w:t>
      </w:r>
      <w:proofErr w:type="spellEnd"/>
      <w:r w:rsidRPr="006846D7">
        <w:rPr>
          <w:bCs/>
          <w:sz w:val="20"/>
          <w:lang w:val="en-US"/>
        </w:rPr>
        <w:t xml:space="preserve"> 2024, </w:t>
      </w:r>
      <w:proofErr w:type="spellStart"/>
      <w:r w:rsidRPr="006846D7">
        <w:rPr>
          <w:bCs/>
          <w:sz w:val="20"/>
          <w:lang w:val="en-US"/>
        </w:rPr>
        <w:t>afl</w:t>
      </w:r>
      <w:proofErr w:type="spellEnd"/>
      <w:r w:rsidRPr="006846D7">
        <w:rPr>
          <w:bCs/>
          <w:sz w:val="20"/>
          <w:lang w:val="en-US"/>
        </w:rPr>
        <w:t>. 4, p. 669.</w:t>
      </w:r>
    </w:p>
  </w:footnote>
  <w:footnote w:id="2">
    <w:p w14:paraId="1BAF4A63" w14:textId="17CD4341" w:rsidR="002247AE" w:rsidRPr="00775ABB" w:rsidRDefault="002247AE">
      <w:pPr>
        <w:pStyle w:val="Voetnoottekst"/>
        <w:rPr>
          <w:lang w:val="en-US"/>
        </w:rPr>
      </w:pPr>
      <w:r w:rsidRPr="006846D7">
        <w:rPr>
          <w:rStyle w:val="Voetnootmarkering"/>
          <w:sz w:val="20"/>
        </w:rPr>
        <w:footnoteRef/>
      </w:r>
      <w:r w:rsidRPr="006846D7">
        <w:rPr>
          <w:sz w:val="20"/>
          <w:lang w:val="en-US"/>
        </w:rPr>
        <w:t xml:space="preserve"> </w:t>
      </w:r>
      <w:proofErr w:type="spellStart"/>
      <w:r w:rsidR="00775ABB" w:rsidRPr="006846D7">
        <w:rPr>
          <w:rStyle w:val="cf01"/>
          <w:rFonts w:ascii="Times New Roman" w:hAnsi="Times New Roman" w:cs="Times New Roman"/>
          <w:sz w:val="20"/>
          <w:szCs w:val="20"/>
          <w:lang w:val="en-US"/>
        </w:rPr>
        <w:t>HvJ</w:t>
      </w:r>
      <w:proofErr w:type="spellEnd"/>
      <w:r w:rsidR="00775ABB" w:rsidRPr="006846D7">
        <w:rPr>
          <w:rStyle w:val="cf01"/>
          <w:rFonts w:ascii="Times New Roman" w:hAnsi="Times New Roman" w:cs="Times New Roman"/>
          <w:sz w:val="20"/>
          <w:szCs w:val="20"/>
          <w:lang w:val="en-US"/>
        </w:rPr>
        <w:t xml:space="preserve"> EU 16 </w:t>
      </w:r>
      <w:proofErr w:type="spellStart"/>
      <w:r w:rsidR="00775ABB" w:rsidRPr="006846D7">
        <w:rPr>
          <w:rStyle w:val="cf01"/>
          <w:rFonts w:ascii="Times New Roman" w:hAnsi="Times New Roman" w:cs="Times New Roman"/>
          <w:sz w:val="20"/>
          <w:szCs w:val="20"/>
          <w:lang w:val="en-US"/>
        </w:rPr>
        <w:t>juni</w:t>
      </w:r>
      <w:proofErr w:type="spellEnd"/>
      <w:r w:rsidR="00775ABB" w:rsidRPr="006846D7">
        <w:rPr>
          <w:rStyle w:val="cf01"/>
          <w:rFonts w:ascii="Times New Roman" w:hAnsi="Times New Roman" w:cs="Times New Roman"/>
          <w:sz w:val="20"/>
          <w:szCs w:val="20"/>
          <w:lang w:val="en-US"/>
        </w:rPr>
        <w:t xml:space="preserve"> 2016, Universal Music International Holding BV </w:t>
      </w:r>
      <w:proofErr w:type="spellStart"/>
      <w:r w:rsidR="00775ABB" w:rsidRPr="006846D7">
        <w:rPr>
          <w:rStyle w:val="cf01"/>
          <w:rFonts w:ascii="Times New Roman" w:hAnsi="Times New Roman" w:cs="Times New Roman"/>
          <w:sz w:val="20"/>
          <w:szCs w:val="20"/>
          <w:lang w:val="en-US"/>
        </w:rPr>
        <w:t>tegen</w:t>
      </w:r>
      <w:proofErr w:type="spellEnd"/>
      <w:r w:rsidR="00775ABB" w:rsidRPr="006846D7">
        <w:rPr>
          <w:rStyle w:val="cf01"/>
          <w:rFonts w:ascii="Times New Roman" w:hAnsi="Times New Roman" w:cs="Times New Roman"/>
          <w:sz w:val="20"/>
          <w:szCs w:val="20"/>
          <w:lang w:val="en-US"/>
        </w:rPr>
        <w:t xml:space="preserve"> Michael </w:t>
      </w:r>
      <w:proofErr w:type="spellStart"/>
      <w:r w:rsidR="00775ABB" w:rsidRPr="006846D7">
        <w:rPr>
          <w:rStyle w:val="cf01"/>
          <w:rFonts w:ascii="Times New Roman" w:hAnsi="Times New Roman" w:cs="Times New Roman"/>
          <w:sz w:val="20"/>
          <w:szCs w:val="20"/>
          <w:lang w:val="en-US"/>
        </w:rPr>
        <w:t>Tétreault</w:t>
      </w:r>
      <w:proofErr w:type="spellEnd"/>
      <w:r w:rsidR="00775ABB" w:rsidRPr="006846D7">
        <w:rPr>
          <w:rStyle w:val="cf01"/>
          <w:rFonts w:ascii="Times New Roman" w:hAnsi="Times New Roman" w:cs="Times New Roman"/>
          <w:sz w:val="20"/>
          <w:szCs w:val="20"/>
          <w:lang w:val="en-US"/>
        </w:rPr>
        <w:t xml:space="preserve"> Schilling </w:t>
      </w:r>
      <w:proofErr w:type="spellStart"/>
      <w:r w:rsidR="00775ABB" w:rsidRPr="006846D7">
        <w:rPr>
          <w:rStyle w:val="cf01"/>
          <w:rFonts w:ascii="Times New Roman" w:hAnsi="Times New Roman" w:cs="Times New Roman"/>
          <w:sz w:val="20"/>
          <w:szCs w:val="20"/>
          <w:lang w:val="en-US"/>
        </w:rPr>
        <w:t>e.a.</w:t>
      </w:r>
      <w:proofErr w:type="spellEnd"/>
      <w:r w:rsidR="00775ABB" w:rsidRPr="006846D7">
        <w:rPr>
          <w:rStyle w:val="cf01"/>
          <w:rFonts w:ascii="Times New Roman" w:hAnsi="Times New Roman" w:cs="Times New Roman"/>
          <w:sz w:val="20"/>
          <w:szCs w:val="20"/>
          <w:lang w:val="en-US"/>
        </w:rPr>
        <w:t xml:space="preserve">, C-12/15, ECLI;EU:C:2016:449, </w:t>
      </w:r>
      <w:proofErr w:type="spellStart"/>
      <w:r w:rsidR="00775ABB" w:rsidRPr="006846D7">
        <w:rPr>
          <w:rStyle w:val="cf01"/>
          <w:rFonts w:ascii="Times New Roman" w:hAnsi="Times New Roman" w:cs="Times New Roman"/>
          <w:sz w:val="20"/>
          <w:szCs w:val="20"/>
          <w:lang w:val="en-US"/>
        </w:rPr>
        <w:t>r.o</w:t>
      </w:r>
      <w:proofErr w:type="spellEnd"/>
      <w:r w:rsidR="00775ABB" w:rsidRPr="006846D7">
        <w:rPr>
          <w:rStyle w:val="cf01"/>
          <w:rFonts w:ascii="Times New Roman" w:hAnsi="Times New Roman" w:cs="Times New Roman"/>
          <w:sz w:val="20"/>
          <w:szCs w:val="20"/>
          <w:lang w:val="en-US"/>
        </w:rPr>
        <w:t>. 38–40</w:t>
      </w:r>
      <w:r w:rsidR="00CB5792" w:rsidRPr="006846D7">
        <w:rPr>
          <w:rStyle w:val="cf01"/>
          <w:rFonts w:ascii="Times New Roman" w:hAnsi="Times New Roman" w:cs="Times New Roman"/>
          <w:sz w:val="20"/>
          <w:szCs w:val="20"/>
          <w:lang w:val="en-US"/>
        </w:rPr>
        <w:t>.</w:t>
      </w:r>
    </w:p>
  </w:footnote>
  <w:footnote w:id="3">
    <w:p w14:paraId="60598B60" w14:textId="135A9EDC" w:rsidR="004B59F7" w:rsidRPr="006846D7" w:rsidRDefault="004B59F7">
      <w:pPr>
        <w:pStyle w:val="Voetnoottekst"/>
        <w:rPr>
          <w:sz w:val="20"/>
        </w:rPr>
      </w:pPr>
      <w:r w:rsidRPr="006846D7">
        <w:rPr>
          <w:rStyle w:val="Voetnootmarkering"/>
          <w:sz w:val="20"/>
        </w:rPr>
        <w:footnoteRef/>
      </w:r>
      <w:r w:rsidRPr="006846D7">
        <w:rPr>
          <w:sz w:val="20"/>
        </w:rPr>
        <w:t xml:space="preserve"> Kamerstukken II 2024/25, 36731, nr. 3, p. 17.</w:t>
      </w:r>
    </w:p>
  </w:footnote>
  <w:footnote w:id="4">
    <w:p w14:paraId="7BEC5B3C" w14:textId="498457F6" w:rsidR="004863CF" w:rsidRPr="006846D7" w:rsidRDefault="004863CF">
      <w:pPr>
        <w:pStyle w:val="Voetnoottekst"/>
        <w:rPr>
          <w:sz w:val="20"/>
        </w:rPr>
      </w:pPr>
      <w:r w:rsidRPr="006846D7">
        <w:rPr>
          <w:rStyle w:val="Voetnootmarkering"/>
          <w:sz w:val="20"/>
        </w:rPr>
        <w:footnoteRef/>
      </w:r>
      <w:r w:rsidRPr="006846D7">
        <w:rPr>
          <w:sz w:val="20"/>
        </w:rPr>
        <w:t xml:space="preserve"> </w:t>
      </w:r>
      <w:r w:rsidR="005B0121" w:rsidRPr="006846D7">
        <w:rPr>
          <w:sz w:val="20"/>
          <w:shd w:val="clear" w:color="auto" w:fill="FFFFFF"/>
        </w:rPr>
        <w:t xml:space="preserve">Rechtbank Amsterdam 3 juni 2026, </w:t>
      </w:r>
      <w:r w:rsidR="005B0121" w:rsidRPr="006846D7">
        <w:rPr>
          <w:i/>
          <w:iCs/>
          <w:sz w:val="20"/>
          <w:shd w:val="clear" w:color="auto" w:fill="FFFFFF"/>
        </w:rPr>
        <w:t xml:space="preserve">Stichting Greenpeace Council tegen Energy Transfer LP e.a., </w:t>
      </w:r>
      <w:r w:rsidRPr="006846D7">
        <w:rPr>
          <w:sz w:val="20"/>
        </w:rPr>
        <w:t xml:space="preserve">ECLI:NL:RBAMS:2026:5461, </w:t>
      </w:r>
      <w:proofErr w:type="spellStart"/>
      <w:r w:rsidR="00192469" w:rsidRPr="006846D7">
        <w:rPr>
          <w:sz w:val="20"/>
        </w:rPr>
        <w:t>r.o.</w:t>
      </w:r>
      <w:proofErr w:type="spellEnd"/>
      <w:r w:rsidR="00192469" w:rsidRPr="006846D7">
        <w:rPr>
          <w:sz w:val="20"/>
        </w:rPr>
        <w:t xml:space="preserve"> </w:t>
      </w:r>
      <w:r w:rsidRPr="006846D7">
        <w:rPr>
          <w:sz w:val="20"/>
        </w:rPr>
        <w:t>4.10.</w:t>
      </w:r>
    </w:p>
  </w:footnote>
  <w:footnote w:id="5">
    <w:p w14:paraId="5EB51AF6" w14:textId="642C7A9E" w:rsidR="00A30928" w:rsidRPr="006846D7" w:rsidRDefault="00A30928">
      <w:pPr>
        <w:pStyle w:val="Voetnoottekst"/>
        <w:rPr>
          <w:sz w:val="20"/>
        </w:rPr>
      </w:pPr>
      <w:r w:rsidRPr="006846D7">
        <w:rPr>
          <w:rStyle w:val="Voetnootmarkering"/>
          <w:sz w:val="20"/>
        </w:rPr>
        <w:footnoteRef/>
      </w:r>
      <w:r w:rsidRPr="006846D7">
        <w:rPr>
          <w:sz w:val="20"/>
        </w:rPr>
        <w:t xml:space="preserve"> </w:t>
      </w:r>
      <w:r w:rsidRPr="006846D7">
        <w:rPr>
          <w:sz w:val="20"/>
          <w:shd w:val="clear" w:color="auto" w:fill="FFFFFF"/>
        </w:rPr>
        <w:t xml:space="preserve">Rechtbank Amsterdam 3 juni 2026, </w:t>
      </w:r>
      <w:r w:rsidRPr="006846D7">
        <w:rPr>
          <w:i/>
          <w:iCs/>
          <w:sz w:val="20"/>
          <w:shd w:val="clear" w:color="auto" w:fill="FFFFFF"/>
        </w:rPr>
        <w:t xml:space="preserve">Stichting Greenpeace Council tegen Energy Transfer LP e.a., </w:t>
      </w:r>
      <w:r w:rsidRPr="006846D7">
        <w:rPr>
          <w:sz w:val="20"/>
        </w:rPr>
        <w:t xml:space="preserve">ECLI:NL:RBAMS:2026:5461, </w:t>
      </w:r>
      <w:proofErr w:type="spellStart"/>
      <w:r w:rsidR="00192469" w:rsidRPr="006846D7">
        <w:rPr>
          <w:sz w:val="20"/>
        </w:rPr>
        <w:t>r.o.</w:t>
      </w:r>
      <w:proofErr w:type="spellEnd"/>
      <w:r w:rsidR="00192469" w:rsidRPr="006846D7">
        <w:rPr>
          <w:sz w:val="20"/>
        </w:rPr>
        <w:t xml:space="preserve"> </w:t>
      </w:r>
      <w:r w:rsidRPr="006846D7">
        <w:rPr>
          <w:sz w:val="20"/>
        </w:rPr>
        <w:t>4.9.</w:t>
      </w:r>
    </w:p>
  </w:footnote>
  <w:footnote w:id="6">
    <w:p w14:paraId="7B5D220C" w14:textId="7D2F08C3" w:rsidR="00A30928" w:rsidRPr="006846D7" w:rsidRDefault="00A30928">
      <w:pPr>
        <w:pStyle w:val="Voetnoottekst"/>
        <w:rPr>
          <w:sz w:val="20"/>
        </w:rPr>
      </w:pPr>
      <w:r w:rsidRPr="006846D7">
        <w:rPr>
          <w:rStyle w:val="Voetnootmarkering"/>
          <w:sz w:val="20"/>
        </w:rPr>
        <w:footnoteRef/>
      </w:r>
      <w:r w:rsidRPr="006846D7">
        <w:rPr>
          <w:sz w:val="20"/>
        </w:rPr>
        <w:t xml:space="preserve"> </w:t>
      </w:r>
      <w:r w:rsidRPr="006846D7">
        <w:rPr>
          <w:sz w:val="20"/>
          <w:shd w:val="clear" w:color="auto" w:fill="FFFFFF"/>
        </w:rPr>
        <w:t xml:space="preserve">Rechtbank Amsterdam 3 juni 2026, </w:t>
      </w:r>
      <w:r w:rsidRPr="006846D7">
        <w:rPr>
          <w:i/>
          <w:iCs/>
          <w:sz w:val="20"/>
          <w:shd w:val="clear" w:color="auto" w:fill="FFFFFF"/>
        </w:rPr>
        <w:t xml:space="preserve">Stichting Greenpeace Council tegen Energy Transfer LP e.a., </w:t>
      </w:r>
      <w:r w:rsidRPr="006846D7">
        <w:rPr>
          <w:sz w:val="20"/>
        </w:rPr>
        <w:t xml:space="preserve">ECLI:NL:RBAMS:2026:5461, </w:t>
      </w:r>
      <w:proofErr w:type="spellStart"/>
      <w:r w:rsidR="00192469" w:rsidRPr="006846D7">
        <w:rPr>
          <w:sz w:val="20"/>
        </w:rPr>
        <w:t>r.o.</w:t>
      </w:r>
      <w:proofErr w:type="spellEnd"/>
      <w:r w:rsidR="00192469" w:rsidRPr="006846D7">
        <w:rPr>
          <w:sz w:val="20"/>
        </w:rPr>
        <w:t xml:space="preserve"> </w:t>
      </w:r>
      <w:r w:rsidRPr="006846D7">
        <w:rPr>
          <w:sz w:val="20"/>
        </w:rPr>
        <w:t>4.9.</w:t>
      </w:r>
    </w:p>
  </w:footnote>
  <w:footnote w:id="7">
    <w:p w14:paraId="2A972CDE" w14:textId="7E783850" w:rsidR="002A76C6" w:rsidRPr="006846D7" w:rsidRDefault="002A76C6">
      <w:pPr>
        <w:pStyle w:val="Voetnoottekst"/>
        <w:rPr>
          <w:sz w:val="20"/>
        </w:rPr>
      </w:pPr>
      <w:r w:rsidRPr="006846D7">
        <w:rPr>
          <w:rStyle w:val="Voetnootmarkering"/>
          <w:sz w:val="20"/>
        </w:rPr>
        <w:footnoteRef/>
      </w:r>
      <w:r w:rsidRPr="006846D7">
        <w:rPr>
          <w:sz w:val="20"/>
        </w:rPr>
        <w:t xml:space="preserve"> Volgens het rechtsvergelijkend onderzoek verricht door de </w:t>
      </w:r>
      <w:r w:rsidRPr="006846D7">
        <w:rPr>
          <w:rFonts w:hint="eastAsia"/>
          <w:sz w:val="20"/>
        </w:rPr>
        <w:t>“</w:t>
      </w:r>
      <w:r w:rsidRPr="006846D7">
        <w:rPr>
          <w:sz w:val="20"/>
        </w:rPr>
        <w:t xml:space="preserve">European Association of Private International </w:t>
      </w:r>
      <w:proofErr w:type="spellStart"/>
      <w:r w:rsidRPr="006846D7">
        <w:rPr>
          <w:sz w:val="20"/>
        </w:rPr>
        <w:t>Law</w:t>
      </w:r>
      <w:proofErr w:type="spellEnd"/>
      <w:r w:rsidRPr="006846D7">
        <w:rPr>
          <w:sz w:val="20"/>
        </w:rPr>
        <w:t xml:space="preserve"> </w:t>
      </w:r>
      <w:proofErr w:type="spellStart"/>
      <w:r w:rsidRPr="006846D7">
        <w:rPr>
          <w:sz w:val="20"/>
        </w:rPr>
        <w:t>Working</w:t>
      </w:r>
      <w:proofErr w:type="spellEnd"/>
      <w:r w:rsidRPr="006846D7">
        <w:rPr>
          <w:sz w:val="20"/>
        </w:rPr>
        <w:t xml:space="preserve"> Group on Anti-SLAPP Directive </w:t>
      </w:r>
      <w:proofErr w:type="spellStart"/>
      <w:r w:rsidRPr="006846D7">
        <w:rPr>
          <w:sz w:val="20"/>
        </w:rPr>
        <w:t>Transpositions</w:t>
      </w:r>
      <w:proofErr w:type="spellEnd"/>
      <w:r w:rsidRPr="006846D7">
        <w:rPr>
          <w:rFonts w:hint="eastAsia"/>
          <w:sz w:val="20"/>
        </w:rPr>
        <w:t>”</w:t>
      </w:r>
      <w:r w:rsidRPr="006846D7">
        <w:rPr>
          <w:sz w:val="20"/>
        </w:rPr>
        <w:t xml:space="preserve">. </w:t>
      </w:r>
      <w:hyperlink r:id="rId1" w:history="1">
        <w:r w:rsidR="00E719F0" w:rsidRPr="006846D7">
          <w:rPr>
            <w:rStyle w:val="Hyperlink"/>
            <w:color w:val="auto"/>
            <w:sz w:val="20"/>
            <w:u w:val="none"/>
            <w:lang w:val="en-US"/>
          </w:rPr>
          <w:t>https://eapil.org/what-we-do/working-groups/group-on-anti-slapp-directive-transpositions/</w:t>
        </w:r>
      </w:hyperlink>
      <w:r w:rsidR="00E719F0" w:rsidRPr="006846D7">
        <w:rPr>
          <w:sz w:val="20"/>
          <w:lang w:val="en-US"/>
        </w:rPr>
        <w:t xml:space="preserve"> </w:t>
      </w:r>
      <w:proofErr w:type="spellStart"/>
      <w:r w:rsidRPr="006846D7">
        <w:rPr>
          <w:sz w:val="20"/>
          <w:lang w:val="en-US"/>
        </w:rPr>
        <w:t>Zie</w:t>
      </w:r>
      <w:proofErr w:type="spellEnd"/>
      <w:r w:rsidRPr="006846D7">
        <w:rPr>
          <w:sz w:val="20"/>
          <w:lang w:val="en-US"/>
        </w:rPr>
        <w:t xml:space="preserve"> Birgit van </w:t>
      </w:r>
      <w:proofErr w:type="spellStart"/>
      <w:r w:rsidRPr="006846D7">
        <w:rPr>
          <w:sz w:val="20"/>
          <w:lang w:val="en-US"/>
        </w:rPr>
        <w:t>Houtert</w:t>
      </w:r>
      <w:proofErr w:type="spellEnd"/>
      <w:r w:rsidRPr="006846D7">
        <w:rPr>
          <w:sz w:val="20"/>
          <w:lang w:val="en-US"/>
        </w:rPr>
        <w:t xml:space="preserve"> en Marco Pasqua, </w:t>
      </w:r>
      <w:r w:rsidRPr="006846D7">
        <w:rPr>
          <w:rFonts w:hint="eastAsia"/>
          <w:sz w:val="20"/>
          <w:lang w:val="en-US"/>
        </w:rPr>
        <w:t>‘</w:t>
      </w:r>
      <w:r w:rsidRPr="006846D7">
        <w:rPr>
          <w:sz w:val="20"/>
          <w:lang w:val="en-US"/>
        </w:rPr>
        <w:t>Challenges in the Anti-SLAPP Directive Transpositions at the 7 May 2026 Deadline</w:t>
      </w:r>
      <w:r w:rsidRPr="006846D7">
        <w:rPr>
          <w:rFonts w:hint="eastAsia"/>
          <w:sz w:val="20"/>
          <w:lang w:val="en-US"/>
        </w:rPr>
        <w:t>’</w:t>
      </w:r>
      <w:r w:rsidRPr="006846D7">
        <w:rPr>
          <w:sz w:val="20"/>
          <w:lang w:val="en-US"/>
        </w:rPr>
        <w:t xml:space="preserve">, EAPIL Blog, 7 </w:t>
      </w:r>
      <w:proofErr w:type="spellStart"/>
      <w:r w:rsidRPr="006846D7">
        <w:rPr>
          <w:sz w:val="20"/>
          <w:lang w:val="en-US"/>
        </w:rPr>
        <w:t>mei</w:t>
      </w:r>
      <w:proofErr w:type="spellEnd"/>
      <w:r w:rsidRPr="006846D7">
        <w:rPr>
          <w:sz w:val="20"/>
          <w:lang w:val="en-US"/>
        </w:rPr>
        <w:t xml:space="preserve"> 2026. </w:t>
      </w:r>
      <w:hyperlink r:id="rId2" w:history="1">
        <w:r w:rsidRPr="006846D7">
          <w:rPr>
            <w:rStyle w:val="Hyperlink"/>
            <w:color w:val="auto"/>
            <w:sz w:val="20"/>
            <w:u w:val="none"/>
          </w:rPr>
          <w:t>https://eapil.org/2026/05/07/challenges-in-the-anti-slapp-directive-transpositions-at-the-7-may-2026-deadline/</w:t>
        </w:r>
      </w:hyperlink>
      <w:r w:rsidRPr="006846D7">
        <w:rPr>
          <w:sz w:val="20"/>
        </w:rPr>
        <w:t xml:space="preserve"> </w:t>
      </w:r>
    </w:p>
  </w:footnote>
  <w:footnote w:id="8">
    <w:p w14:paraId="36EB60E9" w14:textId="15B12F8A" w:rsidR="00151FF2" w:rsidRDefault="00151FF2" w:rsidP="00151FF2">
      <w:pPr>
        <w:pStyle w:val="Voetnoottekst"/>
      </w:pPr>
      <w:r w:rsidRPr="006846D7">
        <w:rPr>
          <w:rStyle w:val="Voetnootmarkering"/>
          <w:sz w:val="20"/>
        </w:rPr>
        <w:footnoteRef/>
      </w:r>
      <w:r w:rsidRPr="006846D7">
        <w:rPr>
          <w:sz w:val="20"/>
        </w:rPr>
        <w:t xml:space="preserve"> Zie de definitieve implementatiewetten van België, Cyprus, Litouwen, Malta, </w:t>
      </w:r>
      <w:r w:rsidR="00CB5792" w:rsidRPr="006846D7">
        <w:rPr>
          <w:sz w:val="20"/>
        </w:rPr>
        <w:t xml:space="preserve">Polen, </w:t>
      </w:r>
      <w:r w:rsidRPr="006846D7">
        <w:rPr>
          <w:sz w:val="20"/>
        </w:rPr>
        <w:t xml:space="preserve">Slovenië, en Sweden (zie links naar implementatiewetten van deze EU-landen, </w:t>
      </w:r>
      <w:hyperlink r:id="rId3" w:history="1">
        <w:r w:rsidRPr="006846D7">
          <w:rPr>
            <w:rStyle w:val="Hyperlink"/>
            <w:color w:val="auto"/>
            <w:sz w:val="20"/>
            <w:u w:val="none"/>
          </w:rPr>
          <w:t>https://eur-lex.europa.eu/legal-content/IT/NIM/?uri=CELEX:32024L1069</w:t>
        </w:r>
      </w:hyperlink>
      <w:r w:rsidRPr="006846D7">
        <w:rPr>
          <w:sz w:val="20"/>
        </w:rPr>
        <w:t xml:space="preserve"> Voor België, zie </w:t>
      </w:r>
      <w:hyperlink r:id="rId4" w:history="1">
        <w:r w:rsidRPr="006846D7">
          <w:rPr>
            <w:rStyle w:val="Hyperlink"/>
            <w:color w:val="auto"/>
            <w:sz w:val="20"/>
            <w:u w:val="none"/>
          </w:rPr>
          <w:t>https://www.ejustice.just.fgov.be/cgi_wet/article.pl?language=nl&amp;sum_date=&amp;pd_search=2026-06-12&amp;numac_search=2026004263&amp;page=1&amp;lg_txt=N&amp;caller=list&amp;2026004263=5&amp;trier=afkondiging&amp;dt=WET&amp;ddd=2026-05-30&amp;ddf=2026-05-30&amp;nl=n&amp;choix1=en&amp;choix2=en</w:t>
        </w:r>
      </w:hyperlink>
      <w:r w:rsidRPr="006846D7">
        <w:rPr>
          <w:sz w:val="20"/>
        </w:rPr>
        <w:t xml:space="preserve">) </w:t>
      </w:r>
      <w:proofErr w:type="spellStart"/>
      <w:r w:rsidRPr="006846D7">
        <w:rPr>
          <w:sz w:val="20"/>
        </w:rPr>
        <w:t>Zie</w:t>
      </w:r>
      <w:proofErr w:type="spellEnd"/>
      <w:r w:rsidRPr="006846D7">
        <w:rPr>
          <w:sz w:val="20"/>
        </w:rPr>
        <w:t xml:space="preserve"> ook implementatiewetsvoorstellen van onder meer Spanje,</w:t>
      </w:r>
      <w:r w:rsidR="00CB5792" w:rsidRPr="006846D7">
        <w:rPr>
          <w:sz w:val="20"/>
        </w:rPr>
        <w:t xml:space="preserve"> </w:t>
      </w:r>
      <w:r w:rsidRPr="006846D7">
        <w:rPr>
          <w:sz w:val="20"/>
        </w:rPr>
        <w:t>Bulgarije. (Voor links naar deze implementatiewetsvoorstellen, zie https://eapil.org/2026/05/07/status-of-the-anti-slapp-directive-transpositions-at-the-7-may-2026-deadline/).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410"/>
    <w:multiLevelType w:val="hybridMultilevel"/>
    <w:tmpl w:val="2C786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679BE"/>
    <w:multiLevelType w:val="hybridMultilevel"/>
    <w:tmpl w:val="767043F4"/>
    <w:lvl w:ilvl="0" w:tplc="3F8AE0E2">
      <w:start w:val="1"/>
      <w:numFmt w:val="bullet"/>
      <w:lvlText w:val=""/>
      <w:lvlJc w:val="left"/>
      <w:pPr>
        <w:ind w:left="720" w:hanging="360"/>
      </w:pPr>
      <w:rPr>
        <w:rFonts w:ascii="Symbol" w:hAnsi="Symbol"/>
      </w:rPr>
    </w:lvl>
    <w:lvl w:ilvl="1" w:tplc="D47C1C32">
      <w:start w:val="1"/>
      <w:numFmt w:val="bullet"/>
      <w:lvlText w:val=""/>
      <w:lvlJc w:val="left"/>
      <w:pPr>
        <w:ind w:left="720" w:hanging="360"/>
      </w:pPr>
      <w:rPr>
        <w:rFonts w:ascii="Symbol" w:hAnsi="Symbol"/>
      </w:rPr>
    </w:lvl>
    <w:lvl w:ilvl="2" w:tplc="FA427344">
      <w:start w:val="1"/>
      <w:numFmt w:val="bullet"/>
      <w:lvlText w:val=""/>
      <w:lvlJc w:val="left"/>
      <w:pPr>
        <w:ind w:left="720" w:hanging="360"/>
      </w:pPr>
      <w:rPr>
        <w:rFonts w:ascii="Symbol" w:hAnsi="Symbol"/>
      </w:rPr>
    </w:lvl>
    <w:lvl w:ilvl="3" w:tplc="9252D4FE">
      <w:start w:val="1"/>
      <w:numFmt w:val="bullet"/>
      <w:lvlText w:val=""/>
      <w:lvlJc w:val="left"/>
      <w:pPr>
        <w:ind w:left="720" w:hanging="360"/>
      </w:pPr>
      <w:rPr>
        <w:rFonts w:ascii="Symbol" w:hAnsi="Symbol"/>
      </w:rPr>
    </w:lvl>
    <w:lvl w:ilvl="4" w:tplc="987095D2">
      <w:start w:val="1"/>
      <w:numFmt w:val="bullet"/>
      <w:lvlText w:val=""/>
      <w:lvlJc w:val="left"/>
      <w:pPr>
        <w:ind w:left="720" w:hanging="360"/>
      </w:pPr>
      <w:rPr>
        <w:rFonts w:ascii="Symbol" w:hAnsi="Symbol"/>
      </w:rPr>
    </w:lvl>
    <w:lvl w:ilvl="5" w:tplc="0F0ED918">
      <w:start w:val="1"/>
      <w:numFmt w:val="bullet"/>
      <w:lvlText w:val=""/>
      <w:lvlJc w:val="left"/>
      <w:pPr>
        <w:ind w:left="720" w:hanging="360"/>
      </w:pPr>
      <w:rPr>
        <w:rFonts w:ascii="Symbol" w:hAnsi="Symbol"/>
      </w:rPr>
    </w:lvl>
    <w:lvl w:ilvl="6" w:tplc="00C61DC2">
      <w:start w:val="1"/>
      <w:numFmt w:val="bullet"/>
      <w:lvlText w:val=""/>
      <w:lvlJc w:val="left"/>
      <w:pPr>
        <w:ind w:left="720" w:hanging="360"/>
      </w:pPr>
      <w:rPr>
        <w:rFonts w:ascii="Symbol" w:hAnsi="Symbol"/>
      </w:rPr>
    </w:lvl>
    <w:lvl w:ilvl="7" w:tplc="EE84D23A">
      <w:start w:val="1"/>
      <w:numFmt w:val="bullet"/>
      <w:lvlText w:val=""/>
      <w:lvlJc w:val="left"/>
      <w:pPr>
        <w:ind w:left="720" w:hanging="360"/>
      </w:pPr>
      <w:rPr>
        <w:rFonts w:ascii="Symbol" w:hAnsi="Symbol"/>
      </w:rPr>
    </w:lvl>
    <w:lvl w:ilvl="8" w:tplc="AB0ECE72">
      <w:start w:val="1"/>
      <w:numFmt w:val="bullet"/>
      <w:lvlText w:val=""/>
      <w:lvlJc w:val="left"/>
      <w:pPr>
        <w:ind w:left="720" w:hanging="360"/>
      </w:pPr>
      <w:rPr>
        <w:rFonts w:ascii="Symbol" w:hAnsi="Symbol"/>
      </w:rPr>
    </w:lvl>
  </w:abstractNum>
  <w:abstractNum w:abstractNumId="2" w15:restartNumberingAfterBreak="0">
    <w:nsid w:val="525F3A70"/>
    <w:multiLevelType w:val="hybridMultilevel"/>
    <w:tmpl w:val="511AD08A"/>
    <w:lvl w:ilvl="0" w:tplc="F09ADB56">
      <w:start w:val="1"/>
      <w:numFmt w:val="bullet"/>
      <w:lvlText w:val=""/>
      <w:lvlJc w:val="left"/>
      <w:pPr>
        <w:ind w:left="720" w:hanging="360"/>
      </w:pPr>
      <w:rPr>
        <w:rFonts w:ascii="Symbol" w:hAnsi="Symbol"/>
      </w:rPr>
    </w:lvl>
    <w:lvl w:ilvl="1" w:tplc="16089330">
      <w:start w:val="1"/>
      <w:numFmt w:val="bullet"/>
      <w:lvlText w:val=""/>
      <w:lvlJc w:val="left"/>
      <w:pPr>
        <w:ind w:left="720" w:hanging="360"/>
      </w:pPr>
      <w:rPr>
        <w:rFonts w:ascii="Symbol" w:hAnsi="Symbol"/>
      </w:rPr>
    </w:lvl>
    <w:lvl w:ilvl="2" w:tplc="398E7BB6">
      <w:start w:val="1"/>
      <w:numFmt w:val="bullet"/>
      <w:lvlText w:val=""/>
      <w:lvlJc w:val="left"/>
      <w:pPr>
        <w:ind w:left="720" w:hanging="360"/>
      </w:pPr>
      <w:rPr>
        <w:rFonts w:ascii="Symbol" w:hAnsi="Symbol"/>
      </w:rPr>
    </w:lvl>
    <w:lvl w:ilvl="3" w:tplc="844E127C">
      <w:start w:val="1"/>
      <w:numFmt w:val="bullet"/>
      <w:lvlText w:val=""/>
      <w:lvlJc w:val="left"/>
      <w:pPr>
        <w:ind w:left="720" w:hanging="360"/>
      </w:pPr>
      <w:rPr>
        <w:rFonts w:ascii="Symbol" w:hAnsi="Symbol"/>
      </w:rPr>
    </w:lvl>
    <w:lvl w:ilvl="4" w:tplc="77DA7F64">
      <w:start w:val="1"/>
      <w:numFmt w:val="bullet"/>
      <w:lvlText w:val=""/>
      <w:lvlJc w:val="left"/>
      <w:pPr>
        <w:ind w:left="720" w:hanging="360"/>
      </w:pPr>
      <w:rPr>
        <w:rFonts w:ascii="Symbol" w:hAnsi="Symbol"/>
      </w:rPr>
    </w:lvl>
    <w:lvl w:ilvl="5" w:tplc="99829764">
      <w:start w:val="1"/>
      <w:numFmt w:val="bullet"/>
      <w:lvlText w:val=""/>
      <w:lvlJc w:val="left"/>
      <w:pPr>
        <w:ind w:left="720" w:hanging="360"/>
      </w:pPr>
      <w:rPr>
        <w:rFonts w:ascii="Symbol" w:hAnsi="Symbol"/>
      </w:rPr>
    </w:lvl>
    <w:lvl w:ilvl="6" w:tplc="877C316C">
      <w:start w:val="1"/>
      <w:numFmt w:val="bullet"/>
      <w:lvlText w:val=""/>
      <w:lvlJc w:val="left"/>
      <w:pPr>
        <w:ind w:left="720" w:hanging="360"/>
      </w:pPr>
      <w:rPr>
        <w:rFonts w:ascii="Symbol" w:hAnsi="Symbol"/>
      </w:rPr>
    </w:lvl>
    <w:lvl w:ilvl="7" w:tplc="426ECE64">
      <w:start w:val="1"/>
      <w:numFmt w:val="bullet"/>
      <w:lvlText w:val=""/>
      <w:lvlJc w:val="left"/>
      <w:pPr>
        <w:ind w:left="720" w:hanging="360"/>
      </w:pPr>
      <w:rPr>
        <w:rFonts w:ascii="Symbol" w:hAnsi="Symbol"/>
      </w:rPr>
    </w:lvl>
    <w:lvl w:ilvl="8" w:tplc="4EA459FA">
      <w:start w:val="1"/>
      <w:numFmt w:val="bullet"/>
      <w:lvlText w:val=""/>
      <w:lvlJc w:val="left"/>
      <w:pPr>
        <w:ind w:left="720" w:hanging="360"/>
      </w:pPr>
      <w:rPr>
        <w:rFonts w:ascii="Symbol" w:hAnsi="Symbol"/>
      </w:rPr>
    </w:lvl>
  </w:abstractNum>
  <w:num w:numId="1" w16cid:durableId="888960801">
    <w:abstractNumId w:val="1"/>
  </w:num>
  <w:num w:numId="2" w16cid:durableId="760371769">
    <w:abstractNumId w:val="2"/>
  </w:num>
  <w:num w:numId="3" w16cid:durableId="151075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38"/>
    <w:rsid w:val="00052244"/>
    <w:rsid w:val="0007471A"/>
    <w:rsid w:val="00093D5E"/>
    <w:rsid w:val="000D17BF"/>
    <w:rsid w:val="000D58A7"/>
    <w:rsid w:val="000F7E96"/>
    <w:rsid w:val="0010355F"/>
    <w:rsid w:val="001100E2"/>
    <w:rsid w:val="00151FF2"/>
    <w:rsid w:val="00157CAF"/>
    <w:rsid w:val="001656EE"/>
    <w:rsid w:val="0016653D"/>
    <w:rsid w:val="00187AAD"/>
    <w:rsid w:val="00192469"/>
    <w:rsid w:val="001D56AF"/>
    <w:rsid w:val="001E0E21"/>
    <w:rsid w:val="00212E0A"/>
    <w:rsid w:val="002153B0"/>
    <w:rsid w:val="002172C7"/>
    <w:rsid w:val="0021777F"/>
    <w:rsid w:val="002247AE"/>
    <w:rsid w:val="0023546B"/>
    <w:rsid w:val="00241DD0"/>
    <w:rsid w:val="002962BB"/>
    <w:rsid w:val="002A0713"/>
    <w:rsid w:val="002A76C6"/>
    <w:rsid w:val="002B32AD"/>
    <w:rsid w:val="002B6EE4"/>
    <w:rsid w:val="003403EF"/>
    <w:rsid w:val="003705A8"/>
    <w:rsid w:val="003C0BAC"/>
    <w:rsid w:val="003C21AC"/>
    <w:rsid w:val="003C3F60"/>
    <w:rsid w:val="003C5218"/>
    <w:rsid w:val="003C7876"/>
    <w:rsid w:val="003E2308"/>
    <w:rsid w:val="003E2F98"/>
    <w:rsid w:val="00413B00"/>
    <w:rsid w:val="0042574B"/>
    <w:rsid w:val="004330ED"/>
    <w:rsid w:val="00481C91"/>
    <w:rsid w:val="004863CF"/>
    <w:rsid w:val="004911E3"/>
    <w:rsid w:val="0049249B"/>
    <w:rsid w:val="00497AA2"/>
    <w:rsid w:val="00497D57"/>
    <w:rsid w:val="004A1E29"/>
    <w:rsid w:val="004A7DD4"/>
    <w:rsid w:val="004B50D8"/>
    <w:rsid w:val="004B59F7"/>
    <w:rsid w:val="004B5B90"/>
    <w:rsid w:val="004F790F"/>
    <w:rsid w:val="00501109"/>
    <w:rsid w:val="005243F4"/>
    <w:rsid w:val="00530242"/>
    <w:rsid w:val="005703C9"/>
    <w:rsid w:val="005716AE"/>
    <w:rsid w:val="00573E37"/>
    <w:rsid w:val="00591480"/>
    <w:rsid w:val="00597703"/>
    <w:rsid w:val="005A6097"/>
    <w:rsid w:val="005B0121"/>
    <w:rsid w:val="005B1DCC"/>
    <w:rsid w:val="005B50A4"/>
    <w:rsid w:val="005B7323"/>
    <w:rsid w:val="005C24F1"/>
    <w:rsid w:val="005C25B9"/>
    <w:rsid w:val="0061073E"/>
    <w:rsid w:val="006267E6"/>
    <w:rsid w:val="00635D35"/>
    <w:rsid w:val="006558D2"/>
    <w:rsid w:val="00672D25"/>
    <w:rsid w:val="006738BC"/>
    <w:rsid w:val="006846D7"/>
    <w:rsid w:val="006A6C5B"/>
    <w:rsid w:val="006D3E69"/>
    <w:rsid w:val="006D4F10"/>
    <w:rsid w:val="006E0971"/>
    <w:rsid w:val="0070366A"/>
    <w:rsid w:val="00733BFB"/>
    <w:rsid w:val="00760696"/>
    <w:rsid w:val="0076584E"/>
    <w:rsid w:val="00767FD7"/>
    <w:rsid w:val="007709F6"/>
    <w:rsid w:val="00775ABB"/>
    <w:rsid w:val="00783215"/>
    <w:rsid w:val="0079284A"/>
    <w:rsid w:val="007965FC"/>
    <w:rsid w:val="007B503A"/>
    <w:rsid w:val="007C7D95"/>
    <w:rsid w:val="007D1DE2"/>
    <w:rsid w:val="007D2608"/>
    <w:rsid w:val="007F422F"/>
    <w:rsid w:val="007F4B14"/>
    <w:rsid w:val="008164E5"/>
    <w:rsid w:val="00830081"/>
    <w:rsid w:val="008449D5"/>
    <w:rsid w:val="0084629A"/>
    <w:rsid w:val="008467D7"/>
    <w:rsid w:val="00852541"/>
    <w:rsid w:val="00852D6F"/>
    <w:rsid w:val="00865D47"/>
    <w:rsid w:val="0086708A"/>
    <w:rsid w:val="008833C2"/>
    <w:rsid w:val="0088452C"/>
    <w:rsid w:val="008A436F"/>
    <w:rsid w:val="008B6396"/>
    <w:rsid w:val="008D7DCB"/>
    <w:rsid w:val="009055DB"/>
    <w:rsid w:val="00905ECB"/>
    <w:rsid w:val="00916922"/>
    <w:rsid w:val="009540BD"/>
    <w:rsid w:val="0096165D"/>
    <w:rsid w:val="00973A0C"/>
    <w:rsid w:val="00981B8B"/>
    <w:rsid w:val="00993E91"/>
    <w:rsid w:val="009A409F"/>
    <w:rsid w:val="009B5845"/>
    <w:rsid w:val="009C0C1F"/>
    <w:rsid w:val="009E3AA6"/>
    <w:rsid w:val="009E4438"/>
    <w:rsid w:val="009F0121"/>
    <w:rsid w:val="00A10505"/>
    <w:rsid w:val="00A1288B"/>
    <w:rsid w:val="00A22725"/>
    <w:rsid w:val="00A30928"/>
    <w:rsid w:val="00A4732E"/>
    <w:rsid w:val="00A51DC3"/>
    <w:rsid w:val="00A53203"/>
    <w:rsid w:val="00A56F28"/>
    <w:rsid w:val="00A7605B"/>
    <w:rsid w:val="00A772EB"/>
    <w:rsid w:val="00A917F7"/>
    <w:rsid w:val="00AC0DCC"/>
    <w:rsid w:val="00B01BA6"/>
    <w:rsid w:val="00B36836"/>
    <w:rsid w:val="00B4708A"/>
    <w:rsid w:val="00B60EB3"/>
    <w:rsid w:val="00BA40AC"/>
    <w:rsid w:val="00BB02A3"/>
    <w:rsid w:val="00BB2051"/>
    <w:rsid w:val="00BB4B9E"/>
    <w:rsid w:val="00BD6D87"/>
    <w:rsid w:val="00BE46B5"/>
    <w:rsid w:val="00BE4F34"/>
    <w:rsid w:val="00BF623B"/>
    <w:rsid w:val="00C035D4"/>
    <w:rsid w:val="00C06E5D"/>
    <w:rsid w:val="00C105DF"/>
    <w:rsid w:val="00C20868"/>
    <w:rsid w:val="00C23295"/>
    <w:rsid w:val="00C679BF"/>
    <w:rsid w:val="00C81BBD"/>
    <w:rsid w:val="00C907EE"/>
    <w:rsid w:val="00C910D5"/>
    <w:rsid w:val="00CA127C"/>
    <w:rsid w:val="00CB0C05"/>
    <w:rsid w:val="00CB5792"/>
    <w:rsid w:val="00CC4E7A"/>
    <w:rsid w:val="00CD3132"/>
    <w:rsid w:val="00CE1F84"/>
    <w:rsid w:val="00CE27CD"/>
    <w:rsid w:val="00D134F3"/>
    <w:rsid w:val="00D211B5"/>
    <w:rsid w:val="00D2552D"/>
    <w:rsid w:val="00D47D01"/>
    <w:rsid w:val="00D54416"/>
    <w:rsid w:val="00D76915"/>
    <w:rsid w:val="00D774B3"/>
    <w:rsid w:val="00DA3882"/>
    <w:rsid w:val="00DD1887"/>
    <w:rsid w:val="00DD35A5"/>
    <w:rsid w:val="00DE2948"/>
    <w:rsid w:val="00DF31AE"/>
    <w:rsid w:val="00DF48DD"/>
    <w:rsid w:val="00DF68BE"/>
    <w:rsid w:val="00DF712A"/>
    <w:rsid w:val="00E25DF4"/>
    <w:rsid w:val="00E3485D"/>
    <w:rsid w:val="00E376FB"/>
    <w:rsid w:val="00E6619B"/>
    <w:rsid w:val="00E719F0"/>
    <w:rsid w:val="00E83632"/>
    <w:rsid w:val="00E908D7"/>
    <w:rsid w:val="00E96492"/>
    <w:rsid w:val="00EA1CE4"/>
    <w:rsid w:val="00EA69AC"/>
    <w:rsid w:val="00EB40A1"/>
    <w:rsid w:val="00EB410E"/>
    <w:rsid w:val="00EB6973"/>
    <w:rsid w:val="00EC3112"/>
    <w:rsid w:val="00EC3D1B"/>
    <w:rsid w:val="00ED5E57"/>
    <w:rsid w:val="00EE1BD8"/>
    <w:rsid w:val="00F21EFF"/>
    <w:rsid w:val="00F31438"/>
    <w:rsid w:val="00FA5BBE"/>
    <w:rsid w:val="00FC0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84B4B"/>
  <w15:docId w15:val="{8C777A63-70E2-4D60-97B1-A896D812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2">
    <w:name w:val="heading 2"/>
    <w:basedOn w:val="Standaard"/>
    <w:link w:val="Kop2Char"/>
    <w:uiPriority w:val="9"/>
    <w:qFormat/>
    <w:rsid w:val="00A4732E"/>
    <w:pPr>
      <w:widowControl/>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E4438"/>
    <w:rPr>
      <w:sz w:val="24"/>
    </w:rPr>
  </w:style>
  <w:style w:type="character" w:styleId="Voetnootmarkering">
    <w:name w:val="footnote reference"/>
    <w:basedOn w:val="Standaardalinea-lettertype"/>
    <w:semiHidden/>
    <w:unhideWhenUsed/>
    <w:rsid w:val="009E4438"/>
    <w:rPr>
      <w:vertAlign w:val="superscript"/>
    </w:rPr>
  </w:style>
  <w:style w:type="character" w:styleId="Verwijzingopmerking">
    <w:name w:val="annotation reference"/>
    <w:basedOn w:val="Standaardalinea-lettertype"/>
    <w:semiHidden/>
    <w:unhideWhenUsed/>
    <w:rsid w:val="00DA3882"/>
    <w:rPr>
      <w:sz w:val="16"/>
      <w:szCs w:val="16"/>
    </w:rPr>
  </w:style>
  <w:style w:type="paragraph" w:styleId="Tekstopmerking">
    <w:name w:val="annotation text"/>
    <w:basedOn w:val="Standaard"/>
    <w:link w:val="TekstopmerkingChar"/>
    <w:unhideWhenUsed/>
    <w:rsid w:val="00DA3882"/>
    <w:rPr>
      <w:sz w:val="20"/>
    </w:rPr>
  </w:style>
  <w:style w:type="character" w:customStyle="1" w:styleId="TekstopmerkingChar">
    <w:name w:val="Tekst opmerking Char"/>
    <w:basedOn w:val="Standaardalinea-lettertype"/>
    <w:link w:val="Tekstopmerking"/>
    <w:rsid w:val="00DA3882"/>
  </w:style>
  <w:style w:type="paragraph" w:styleId="Onderwerpvanopmerking">
    <w:name w:val="annotation subject"/>
    <w:basedOn w:val="Tekstopmerking"/>
    <w:next w:val="Tekstopmerking"/>
    <w:link w:val="OnderwerpvanopmerkingChar"/>
    <w:semiHidden/>
    <w:unhideWhenUsed/>
    <w:rsid w:val="00DA3882"/>
    <w:rPr>
      <w:b/>
      <w:bCs/>
    </w:rPr>
  </w:style>
  <w:style w:type="character" w:customStyle="1" w:styleId="OnderwerpvanopmerkingChar">
    <w:name w:val="Onderwerp van opmerking Char"/>
    <w:basedOn w:val="TekstopmerkingChar"/>
    <w:link w:val="Onderwerpvanopmerking"/>
    <w:semiHidden/>
    <w:rsid w:val="00DA3882"/>
    <w:rPr>
      <w:b/>
      <w:bCs/>
    </w:rPr>
  </w:style>
  <w:style w:type="character" w:customStyle="1" w:styleId="Kop2Char">
    <w:name w:val="Kop 2 Char"/>
    <w:basedOn w:val="Standaardalinea-lettertype"/>
    <w:link w:val="Kop2"/>
    <w:uiPriority w:val="9"/>
    <w:rsid w:val="00A4732E"/>
    <w:rPr>
      <w:b/>
      <w:bCs/>
      <w:sz w:val="36"/>
      <w:szCs w:val="36"/>
    </w:rPr>
  </w:style>
  <w:style w:type="character" w:styleId="Hyperlink">
    <w:name w:val="Hyperlink"/>
    <w:basedOn w:val="Standaardalinea-lettertype"/>
    <w:unhideWhenUsed/>
    <w:rsid w:val="002172C7"/>
    <w:rPr>
      <w:color w:val="0000FF" w:themeColor="hyperlink"/>
      <w:u w:val="single"/>
    </w:rPr>
  </w:style>
  <w:style w:type="character" w:styleId="Onopgelostemelding">
    <w:name w:val="Unresolved Mention"/>
    <w:basedOn w:val="Standaardalinea-lettertype"/>
    <w:uiPriority w:val="99"/>
    <w:semiHidden/>
    <w:unhideWhenUsed/>
    <w:rsid w:val="002172C7"/>
    <w:rPr>
      <w:color w:val="605E5C"/>
      <w:shd w:val="clear" w:color="auto" w:fill="E1DFDD"/>
    </w:rPr>
  </w:style>
  <w:style w:type="character" w:styleId="GevolgdeHyperlink">
    <w:name w:val="FollowedHyperlink"/>
    <w:basedOn w:val="Standaardalinea-lettertype"/>
    <w:semiHidden/>
    <w:unhideWhenUsed/>
    <w:rsid w:val="002172C7"/>
    <w:rPr>
      <w:color w:val="800080" w:themeColor="followedHyperlink"/>
      <w:u w:val="single"/>
    </w:rPr>
  </w:style>
  <w:style w:type="character" w:customStyle="1" w:styleId="apple-converted-space">
    <w:name w:val="apple-converted-space"/>
    <w:basedOn w:val="Standaardalinea-lettertype"/>
    <w:rsid w:val="00C910D5"/>
  </w:style>
  <w:style w:type="character" w:styleId="Nadruk">
    <w:name w:val="Emphasis"/>
    <w:basedOn w:val="Standaardalinea-lettertype"/>
    <w:uiPriority w:val="20"/>
    <w:qFormat/>
    <w:rsid w:val="00C910D5"/>
    <w:rPr>
      <w:i/>
      <w:iCs/>
    </w:rPr>
  </w:style>
  <w:style w:type="character" w:customStyle="1" w:styleId="cf01">
    <w:name w:val="cf01"/>
    <w:basedOn w:val="Standaardalinea-lettertype"/>
    <w:rsid w:val="00775A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NIM/?uri=CELEX:32024L1069" TargetMode="External"/><Relationship Id="rId2" Type="http://schemas.openxmlformats.org/officeDocument/2006/relationships/hyperlink" Target="https://eapil.org/2026/05/07/challenges-in-the-anti-slapp-directive-transpositions-at-the-7-may-2026-deadline/" TargetMode="External"/><Relationship Id="rId1" Type="http://schemas.openxmlformats.org/officeDocument/2006/relationships/hyperlink" Target="https://eapil.org/what-we-do/working-groups/group-on-anti-slapp-directive-transpositions/" TargetMode="External"/><Relationship Id="rId4" Type="http://schemas.openxmlformats.org/officeDocument/2006/relationships/hyperlink" Target="https://www.ejustice.just.fgov.be/cgi_wet/article.pl?language=nl&amp;sum_date=&amp;pd_search=2026-06-12&amp;numac_search=2026004263&amp;page=1&amp;lg_txt=N&amp;caller=list&amp;2026004263=5&amp;trier=afkondiging&amp;dt=WET&amp;ddd=2026-05-30&amp;ddf=2026-05-30&amp;nl=n&amp;choix1=en&amp;choix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711</ap:Words>
  <ap:Characters>3913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2026-06-29T08:33:00.0000000Z</dcterms:created>
  <dcterms:modified xsi:type="dcterms:W3CDTF">2026-06-29T08:33:00.0000000Z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