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582F" w:rsidR="00C02574" w:rsidP="00C02574" w:rsidRDefault="00C02574" w14:paraId="582C8BF3" w14:textId="0429C63F">
      <w:pPr>
        <w:rPr>
          <w:rStyle w:val="Kop1Char"/>
        </w:rPr>
      </w:pPr>
      <w:r w:rsidRPr="00FD4289">
        <w:rPr>
          <w:rFonts w:cs="Arial"/>
          <w:b/>
          <w:bCs/>
        </w:rPr>
        <w:t>Nota van toelichting</w:t>
      </w:r>
      <w:r>
        <w:rPr>
          <w:rFonts w:cs="Arial"/>
          <w:b/>
          <w:bCs/>
        </w:rPr>
        <w:br/>
      </w:r>
      <w:r>
        <w:rPr>
          <w:rFonts w:cs="Arial"/>
          <w:b/>
          <w:bCs/>
        </w:rPr>
        <w:br/>
      </w:r>
      <w:r w:rsidRPr="0029582F">
        <w:rPr>
          <w:rStyle w:val="Kop1Char"/>
        </w:rPr>
        <w:t>I. Algemeen</w:t>
      </w:r>
    </w:p>
    <w:p w:rsidRPr="00514A55" w:rsidR="00C02574" w:rsidP="0093155C" w:rsidRDefault="00514A55" w14:paraId="20C66F21" w14:textId="6DFEDC36">
      <w:pPr>
        <w:pStyle w:val="Kop1"/>
        <w:numPr>
          <w:ilvl w:val="0"/>
          <w:numId w:val="9"/>
        </w:numPr>
      </w:pPr>
      <w:r>
        <w:t>Inleiding</w:t>
      </w:r>
      <w:r w:rsidR="00D81294">
        <w:t xml:space="preserve"> </w:t>
      </w:r>
      <w:r>
        <w:rPr>
          <w:rFonts w:cs="Arial"/>
        </w:rPr>
        <w:t xml:space="preserve"> </w:t>
      </w:r>
    </w:p>
    <w:p w:rsidR="00C02574" w:rsidP="0093155C" w:rsidRDefault="00C02574" w14:paraId="1FB6B183" w14:textId="33FB8D2A">
      <w:pPr>
        <w:pStyle w:val="Stijl1"/>
      </w:pPr>
      <w:r>
        <w:t>Steeds meer mensen in de Europese Unie (EU) maken gebruik van</w:t>
      </w:r>
      <w:r w:rsidRPr="00B36246">
        <w:t xml:space="preserve"> zorg buiten hun eigen regio of land. </w:t>
      </w:r>
      <w:r>
        <w:t xml:space="preserve">Dit kan </w:t>
      </w:r>
      <w:r w:rsidR="007706B9">
        <w:t xml:space="preserve">bijvoorbeeld </w:t>
      </w:r>
      <w:r>
        <w:t>gaan om</w:t>
      </w:r>
      <w:r w:rsidRPr="00B36246">
        <w:t xml:space="preserve"> spoedeisende hulp tijdens </w:t>
      </w:r>
      <w:r>
        <w:t>vakantie of werk</w:t>
      </w:r>
      <w:r>
        <w:rPr>
          <w:rStyle w:val="Voetnootmarkering"/>
        </w:rPr>
        <w:footnoteReference w:id="2"/>
      </w:r>
      <w:r>
        <w:t xml:space="preserve"> in een ander</w:t>
      </w:r>
      <w:r w:rsidR="007706B9">
        <w:t>e</w:t>
      </w:r>
      <w:r>
        <w:t xml:space="preserve"> EU-</w:t>
      </w:r>
      <w:r w:rsidR="007706B9">
        <w:t>lidstaat</w:t>
      </w:r>
      <w:r>
        <w:t>, maar ook om</w:t>
      </w:r>
      <w:r w:rsidRPr="00B36246">
        <w:t xml:space="preserve"> geplande behandelinge</w:t>
      </w:r>
      <w:r>
        <w:t>n</w:t>
      </w:r>
      <w:r w:rsidRPr="5FBA465D">
        <w:t xml:space="preserve">. </w:t>
      </w:r>
      <w:r>
        <w:t xml:space="preserve">Voor </w:t>
      </w:r>
      <w:r w:rsidR="0000733E">
        <w:t xml:space="preserve">de </w:t>
      </w:r>
      <w:r>
        <w:t xml:space="preserve">veiligheid en </w:t>
      </w:r>
      <w:r w:rsidR="008838C2">
        <w:t xml:space="preserve">het </w:t>
      </w:r>
      <w:r>
        <w:t>welzijn</w:t>
      </w:r>
      <w:r w:rsidR="0000733E">
        <w:t xml:space="preserve"> van cliënten</w:t>
      </w:r>
      <w:r>
        <w:t xml:space="preserve"> is het cruciaal dat</w:t>
      </w:r>
      <w:r w:rsidRPr="5FBA465D">
        <w:t xml:space="preserve"> </w:t>
      </w:r>
      <w:r w:rsidR="003C25FB">
        <w:t>zorgaanbieder</w:t>
      </w:r>
      <w:r>
        <w:t>s</w:t>
      </w:r>
      <w:r w:rsidRPr="5FBA465D">
        <w:t xml:space="preserve"> </w:t>
      </w:r>
      <w:r>
        <w:t>kunnen</w:t>
      </w:r>
      <w:r w:rsidRPr="00B36246">
        <w:t xml:space="preserve"> beschikken over</w:t>
      </w:r>
      <w:r w:rsidR="007706B9">
        <w:t xml:space="preserve"> de</w:t>
      </w:r>
      <w:r w:rsidRPr="00B36246">
        <w:t xml:space="preserve"> relevante gezondheidsgegevens</w:t>
      </w:r>
      <w:r w:rsidR="007706B9">
        <w:t xml:space="preserve"> van de personen</w:t>
      </w:r>
      <w:r w:rsidR="0000733E">
        <w:t xml:space="preserve"> die zij behandelen</w:t>
      </w:r>
      <w:r>
        <w:t xml:space="preserve">. Informatie over bijvoorbeeld </w:t>
      </w:r>
      <w:r w:rsidRPr="00395350">
        <w:t xml:space="preserve">medische aandoeningen, medicatiegebruik of contra-indicaties </w:t>
      </w:r>
      <w:r>
        <w:t>zijn namelijk belangrijk</w:t>
      </w:r>
      <w:r w:rsidRPr="00395350">
        <w:t xml:space="preserve"> en soms zelfs </w:t>
      </w:r>
      <w:r>
        <w:t>onmisbaar</w:t>
      </w:r>
      <w:r w:rsidRPr="00395350">
        <w:t xml:space="preserve"> voor </w:t>
      </w:r>
      <w:r>
        <w:t xml:space="preserve">het stellen van een juiste diagnose en inzetten van een goede behandeling. </w:t>
      </w:r>
      <w:r w:rsidRPr="00806B5C" w:rsidR="00806B5C">
        <w:t xml:space="preserve">Het ontbreken van relevante gezondheidsinformatie kan leiden tot medische fouten en onnodige, vaak kostbare, herhaling van onderzoeken. </w:t>
      </w:r>
      <w:r w:rsidRPr="003B49B0">
        <w:rPr>
          <w:rFonts w:eastAsia="Calibri" w:cs="Times New Roman"/>
        </w:rPr>
        <w:t>Door deze gegevens elektronisch uit te wisselen</w:t>
      </w:r>
      <w:r w:rsidR="00806B5C">
        <w:rPr>
          <w:rFonts w:eastAsia="Calibri" w:cs="Times New Roman"/>
        </w:rPr>
        <w:t>,</w:t>
      </w:r>
      <w:r w:rsidRPr="003B49B0">
        <w:rPr>
          <w:rFonts w:eastAsia="Calibri" w:cs="Times New Roman"/>
        </w:rPr>
        <w:t xml:space="preserve"> </w:t>
      </w:r>
      <w:r w:rsidR="000B5642">
        <w:rPr>
          <w:rFonts w:eastAsia="Calibri" w:cs="Times New Roman"/>
        </w:rPr>
        <w:t>zoude</w:t>
      </w:r>
      <w:r w:rsidRPr="003B49B0" w:rsidR="000B5642">
        <w:rPr>
          <w:rFonts w:eastAsia="Calibri" w:cs="Times New Roman"/>
        </w:rPr>
        <w:t xml:space="preserve">n </w:t>
      </w:r>
      <w:r w:rsidRPr="003B49B0">
        <w:rPr>
          <w:rFonts w:eastAsia="Calibri" w:cs="Times New Roman"/>
        </w:rPr>
        <w:t xml:space="preserve">administratieve lasten </w:t>
      </w:r>
      <w:r w:rsidR="00874DC2">
        <w:rPr>
          <w:rFonts w:eastAsia="Calibri" w:cs="Times New Roman"/>
        </w:rPr>
        <w:t xml:space="preserve">kunnen worden </w:t>
      </w:r>
      <w:r w:rsidRPr="003B49B0">
        <w:rPr>
          <w:rFonts w:eastAsia="Calibri" w:cs="Times New Roman"/>
        </w:rPr>
        <w:t xml:space="preserve">verminderd en fouten </w:t>
      </w:r>
      <w:r w:rsidR="008838C2">
        <w:rPr>
          <w:rFonts w:eastAsia="Calibri" w:cs="Times New Roman"/>
        </w:rPr>
        <w:t xml:space="preserve">kunnen </w:t>
      </w:r>
      <w:r w:rsidRPr="003B49B0">
        <w:rPr>
          <w:rFonts w:eastAsia="Calibri" w:cs="Times New Roman"/>
        </w:rPr>
        <w:t>worden voorkomen</w:t>
      </w:r>
      <w:r w:rsidR="000B5642">
        <w:rPr>
          <w:rFonts w:eastAsia="Calibri" w:cs="Times New Roman"/>
        </w:rPr>
        <w:t>.</w:t>
      </w:r>
      <w:r w:rsidRPr="5FBA465D" w:rsidR="000A6029">
        <w:t xml:space="preserve"> </w:t>
      </w:r>
      <w:r w:rsidRPr="005E2D73" w:rsidR="000A6029">
        <w:t>Iedere lidstaat heeft een eigen zorginformatiesysteem met eigen unieke kenmerken en hanteert daarbij eigen informatiestandaarden, waardoo</w:t>
      </w:r>
      <w:r w:rsidR="000A6029">
        <w:t>r</w:t>
      </w:r>
      <w:r w:rsidR="00DC3FC6">
        <w:t xml:space="preserve"> h</w:t>
      </w:r>
      <w:r>
        <w:t xml:space="preserve">et </w:t>
      </w:r>
      <w:r w:rsidR="00C92E0B">
        <w:t xml:space="preserve">echter </w:t>
      </w:r>
      <w:r w:rsidR="00806B5C">
        <w:t>lastig</w:t>
      </w:r>
      <w:r w:rsidRPr="5FBA465D">
        <w:t xml:space="preserve"> </w:t>
      </w:r>
      <w:r w:rsidR="00DC3FC6">
        <w:t xml:space="preserve">is </w:t>
      </w:r>
      <w:r>
        <w:t xml:space="preserve">om gegevens </w:t>
      </w:r>
      <w:r w:rsidR="00806B5C">
        <w:t xml:space="preserve">digitaal </w:t>
      </w:r>
      <w:r>
        <w:t>uit te wisselen</w:t>
      </w:r>
      <w:r w:rsidR="000A6029">
        <w:t xml:space="preserve"> tussen zorgaanbieders uit verschillende lidstaten</w:t>
      </w:r>
      <w:r w:rsidRPr="5FBA465D">
        <w:t>.</w:t>
      </w:r>
    </w:p>
    <w:p w:rsidR="00D47821" w:rsidP="0093155C" w:rsidRDefault="00D47821" w14:paraId="6BAAF10C" w14:textId="77777777">
      <w:pPr>
        <w:pStyle w:val="Stijl1"/>
      </w:pPr>
    </w:p>
    <w:p w:rsidRPr="00F958F2" w:rsidR="00D47821" w:rsidP="00D47821" w:rsidRDefault="00D47821" w14:paraId="4FD3854C" w14:textId="319CF082">
      <w:pPr>
        <w:pStyle w:val="Stijl1"/>
      </w:pPr>
      <w:r>
        <w:t>Het Nederlandse Nationaal Contactpunt voor Digitale Gezondheid (</w:t>
      </w:r>
      <w:r w:rsidRPr="5FBA465D">
        <w:rPr>
          <w:i/>
          <w:iCs/>
        </w:rPr>
        <w:t xml:space="preserve">National Contactpoint </w:t>
      </w:r>
      <w:proofErr w:type="spellStart"/>
      <w:r w:rsidRPr="5FBA465D">
        <w:rPr>
          <w:i/>
          <w:iCs/>
        </w:rPr>
        <w:t>for</w:t>
      </w:r>
      <w:proofErr w:type="spellEnd"/>
      <w:r w:rsidRPr="5FBA465D">
        <w:rPr>
          <w:i/>
          <w:iCs/>
        </w:rPr>
        <w:t xml:space="preserve"> eHealth</w:t>
      </w:r>
      <w:r>
        <w:t xml:space="preserve">, hierna: </w:t>
      </w:r>
      <w:proofErr w:type="spellStart"/>
      <w:r>
        <w:t>NCPeH</w:t>
      </w:r>
      <w:proofErr w:type="spellEnd"/>
      <w:r>
        <w:t xml:space="preserve">-NL) is een nationale toegangspoort die als communicatiepoort </w:t>
      </w:r>
      <w:r w:rsidRPr="00F958F2">
        <w:t>fungeert tussen het nationale informatiestelsel en</w:t>
      </w:r>
      <w:r w:rsidRPr="5FBA465D">
        <w:t xml:space="preserve"> </w:t>
      </w:r>
      <w:r w:rsidRPr="00F958F2">
        <w:t xml:space="preserve">de </w:t>
      </w:r>
      <w:r>
        <w:t>nationale contactpunten</w:t>
      </w:r>
      <w:r w:rsidRPr="00F958F2">
        <w:t xml:space="preserve"> van andere lidstaten. Tussen deze nationale contactpunten kunnen</w:t>
      </w:r>
      <w:r>
        <w:t xml:space="preserve"> via de federatieve digitale</w:t>
      </w:r>
      <w:r w:rsidR="0000733E">
        <w:t xml:space="preserve"> en beveiligde</w:t>
      </w:r>
      <w:r>
        <w:t xml:space="preserve"> infrastructuur </w:t>
      </w:r>
      <w:proofErr w:type="spellStart"/>
      <w:r>
        <w:t>MyHealth@EU</w:t>
      </w:r>
      <w:proofErr w:type="spellEnd"/>
      <w:r w:rsidRPr="00F958F2">
        <w:t xml:space="preserve"> categorieën van gezondheidsinformatie in twee richtingen worden uitgewisseld:</w:t>
      </w:r>
    </w:p>
    <w:p w:rsidRPr="00985294" w:rsidR="00D47821" w:rsidP="00D47821" w:rsidRDefault="00D47821" w14:paraId="00AD8B3B" w14:textId="01CF5B21">
      <w:pPr>
        <w:pStyle w:val="Stijl1"/>
        <w:numPr>
          <w:ilvl w:val="0"/>
          <w:numId w:val="10"/>
        </w:numPr>
      </w:pPr>
      <w:r w:rsidRPr="0003660E">
        <w:rPr>
          <w:rFonts w:eastAsiaTheme="minorEastAsia" w:cstheme="minorBidi"/>
          <w:color w:val="auto"/>
          <w:kern w:val="2"/>
          <w:lang w:eastAsia="en-US"/>
          <w14:ligatures w14:val="standardContextual"/>
        </w:rPr>
        <w:t xml:space="preserve">Het versturen van gegevens van Nederlandse cliënten naar een </w:t>
      </w:r>
      <w:r w:rsidRPr="0003660E" w:rsidR="003C25FB">
        <w:rPr>
          <w:rFonts w:eastAsiaTheme="minorEastAsia" w:cstheme="minorBidi"/>
          <w:color w:val="auto"/>
          <w:kern w:val="2"/>
          <w:lang w:eastAsia="en-US"/>
          <w14:ligatures w14:val="standardContextual"/>
        </w:rPr>
        <w:t>zorgaanbieder</w:t>
      </w:r>
      <w:r w:rsidRPr="0003660E">
        <w:rPr>
          <w:rFonts w:eastAsiaTheme="minorEastAsia" w:cstheme="minorBidi"/>
          <w:color w:val="auto"/>
          <w:kern w:val="2"/>
          <w:lang w:eastAsia="en-US"/>
          <w14:ligatures w14:val="standardContextual"/>
        </w:rPr>
        <w:t xml:space="preserve"> in een andere lidstaat</w:t>
      </w:r>
      <w:r w:rsidR="00EE5354">
        <w:rPr>
          <w:rFonts w:eastAsiaTheme="minorEastAsia" w:cstheme="minorBidi"/>
          <w:color w:val="auto"/>
          <w:kern w:val="2"/>
          <w:lang w:eastAsia="en-US"/>
          <w14:ligatures w14:val="standardContextual"/>
        </w:rPr>
        <w:t xml:space="preserve"> voor de verlening van zorg aldaar</w:t>
      </w:r>
      <w:r w:rsidRPr="0003660E">
        <w:rPr>
          <w:rFonts w:eastAsiaTheme="minorEastAsia" w:cstheme="minorBidi"/>
          <w:color w:val="auto"/>
          <w:kern w:val="2"/>
          <w:lang w:eastAsia="en-US"/>
          <w14:ligatures w14:val="standardContextual"/>
        </w:rPr>
        <w:t xml:space="preserve">; </w:t>
      </w:r>
    </w:p>
    <w:p w:rsidR="00C401C3" w:rsidP="5FBA465D" w:rsidRDefault="00D47821" w14:paraId="267E5740" w14:textId="3C95C3D9">
      <w:pPr>
        <w:pStyle w:val="Stijl1"/>
        <w:numPr>
          <w:ilvl w:val="0"/>
          <w:numId w:val="10"/>
        </w:numPr>
      </w:pPr>
      <w:r w:rsidRPr="00C02574">
        <w:t xml:space="preserve">Het ophalen van gegevens van cliënten uit andere lidstaten op verzoek van een </w:t>
      </w:r>
      <w:r w:rsidR="003C25FB">
        <w:t>zorgaanbieder</w:t>
      </w:r>
      <w:r w:rsidRPr="00C02574">
        <w:t xml:space="preserve"> in Nederland</w:t>
      </w:r>
      <w:r w:rsidR="00EE5354">
        <w:t xml:space="preserve"> voor de verlening van zorg alhier</w:t>
      </w:r>
      <w:r w:rsidRPr="00C02574">
        <w:t>.</w:t>
      </w:r>
    </w:p>
    <w:p w:rsidRPr="0093155C" w:rsidR="00C02574" w:rsidP="0003660E" w:rsidRDefault="00C02574" w14:paraId="3EC4AD01" w14:textId="77777777">
      <w:pPr>
        <w:pStyle w:val="Stijl1"/>
        <w:ind w:left="360"/>
        <w:rPr>
          <w:i/>
          <w:iCs/>
        </w:rPr>
      </w:pPr>
    </w:p>
    <w:p w:rsidR="00C02574" w:rsidP="0093155C" w:rsidRDefault="00C02574" w14:paraId="1A2DE4F8" w14:textId="2A160056">
      <w:pPr>
        <w:pStyle w:val="Stijl1"/>
      </w:pPr>
      <w:r>
        <w:lastRenderedPageBreak/>
        <w:t xml:space="preserve">Met </w:t>
      </w:r>
      <w:r w:rsidR="000028FE">
        <w:t xml:space="preserve">het </w:t>
      </w:r>
      <w:r>
        <w:t>wet</w:t>
      </w:r>
      <w:r w:rsidR="000028FE">
        <w:t>svoorstel</w:t>
      </w:r>
      <w:r w:rsidRPr="5FBA465D">
        <w:t xml:space="preserve"> </w:t>
      </w:r>
      <w:r w:rsidR="000028FE">
        <w:t>tot</w:t>
      </w:r>
      <w:r>
        <w:t xml:space="preserve"> wijziging van de Wet aanvullende bepalingen</w:t>
      </w:r>
      <w:r w:rsidRPr="5FBA465D" w:rsidR="007C75DF">
        <w:t xml:space="preserve"> </w:t>
      </w:r>
      <w:r>
        <w:t>verwerking persoonsgegevens in de zorg in verband met Richtlijn (EU) 2011/24 van het Europees Parlement en de Raad van 9 maart 2011 betreffende de toepassing van de rechten van patiënten bij grensoverschrijdende gezondheidszorg</w:t>
      </w:r>
      <w:r w:rsidR="00E74148">
        <w:t xml:space="preserve"> (hierna: het wetsvoorstel)</w:t>
      </w:r>
      <w:r w:rsidRPr="5FBA465D" w:rsidR="001F16C4">
        <w:t xml:space="preserve"> </w:t>
      </w:r>
      <w:r>
        <w:t>is ingezet op betere uitwisseling van gezondheidsgegevens tussen landen in de Europese Unie (EU).</w:t>
      </w:r>
      <w:r w:rsidR="00C327DB">
        <w:rPr>
          <w:rStyle w:val="Voetnootmarkering"/>
        </w:rPr>
        <w:footnoteReference w:id="3"/>
      </w:r>
      <w:r w:rsidRPr="5FBA465D">
        <w:t xml:space="preserve"> </w:t>
      </w:r>
      <w:r w:rsidR="000028FE">
        <w:t>Het wetsvoorstel</w:t>
      </w:r>
      <w:r>
        <w:t xml:space="preserve"> regelt de wettelijke taak voor  de inrichting, beschikbaarstelling, instandhouding, werking en het beheer van het </w:t>
      </w:r>
      <w:proofErr w:type="spellStart"/>
      <w:r>
        <w:t>NCPeH</w:t>
      </w:r>
      <w:proofErr w:type="spellEnd"/>
      <w:r>
        <w:t xml:space="preserve">-NL. Tevens regelt </w:t>
      </w:r>
      <w:r w:rsidR="000028FE">
        <w:t>het wetsvoorstel</w:t>
      </w:r>
      <w:r>
        <w:t xml:space="preserve"> de benodigde grondslagen voor het verwerken van (bijzondere) persoonsgegevens voor het uitvoeren van deze taak. </w:t>
      </w:r>
    </w:p>
    <w:p w:rsidR="00720DCD" w:rsidP="0093155C" w:rsidRDefault="00720DCD" w14:paraId="17896FD3" w14:textId="77777777">
      <w:pPr>
        <w:pStyle w:val="Stijl1"/>
      </w:pPr>
    </w:p>
    <w:p w:rsidR="000B5642" w:rsidP="000B5642" w:rsidRDefault="00E74148" w14:paraId="37178D96" w14:textId="4E715285">
      <w:pPr>
        <w:pStyle w:val="Stijl1"/>
      </w:pPr>
      <w:r>
        <w:t xml:space="preserve">Het </w:t>
      </w:r>
      <w:r w:rsidR="00151FA9">
        <w:t>Besluit nationaal contactpunt voor digitale gezondheid</w:t>
      </w:r>
      <w:r>
        <w:t xml:space="preserve"> (hierna: het besluit</w:t>
      </w:r>
      <w:r w:rsidR="00151FA9">
        <w:t>)</w:t>
      </w:r>
      <w:r w:rsidR="00C02574">
        <w:t xml:space="preserve"> betreft </w:t>
      </w:r>
      <w:r w:rsidR="00830AF4">
        <w:t>een inhoudelijke uitwerking</w:t>
      </w:r>
      <w:r w:rsidR="00C02574">
        <w:t xml:space="preserve"> van </w:t>
      </w:r>
      <w:r w:rsidR="006F567B">
        <w:t>het wetsvoorstel</w:t>
      </w:r>
      <w:r>
        <w:t xml:space="preserve"> en zal in deze nota van toelichting nader worden toegelicht. </w:t>
      </w:r>
    </w:p>
    <w:p w:rsidR="00C02574" w:rsidP="00F570EA" w:rsidRDefault="002F5016" w14:paraId="72FC1379" w14:textId="2026F7C0">
      <w:pPr>
        <w:pStyle w:val="Kop1"/>
        <w:numPr>
          <w:ilvl w:val="0"/>
          <w:numId w:val="9"/>
        </w:numPr>
        <w:spacing w:line="276" w:lineRule="auto"/>
      </w:pPr>
      <w:r w:rsidRPr="006F1297">
        <w:t>H</w:t>
      </w:r>
      <w:r w:rsidRPr="006F1297" w:rsidR="00650132">
        <w:t>oofdlijnen van</w:t>
      </w:r>
      <w:r w:rsidRPr="006F1297" w:rsidR="00E74148">
        <w:t xml:space="preserve"> het besluit</w:t>
      </w:r>
    </w:p>
    <w:p w:rsidRPr="00C02574" w:rsidR="00514A55" w:rsidP="00FD4289" w:rsidRDefault="00C02574" w14:paraId="58D1661F" w14:textId="717FD925">
      <w:pPr>
        <w:pStyle w:val="Stijl1"/>
      </w:pPr>
      <w:r w:rsidRPr="00C02574">
        <w:t xml:space="preserve">Artikel 15o, vierde lid, van het wetsvoorstel biedt de wettelijke grondslag om via een algemene maatregel van bestuur (hierna: AMvB) categorieën </w:t>
      </w:r>
      <w:r w:rsidR="00C92E0B">
        <w:t xml:space="preserve">van </w:t>
      </w:r>
      <w:r w:rsidRPr="00C02574">
        <w:t xml:space="preserve">gezondheidsinformatie </w:t>
      </w:r>
      <w:r w:rsidR="00C92E0B">
        <w:t>te introduceren, waarin tevens nader wordt geregeld welke gegevens daarbij worden verwerkt</w:t>
      </w:r>
      <w:r w:rsidR="00EE5354">
        <w:t xml:space="preserve"> door het </w:t>
      </w:r>
      <w:proofErr w:type="spellStart"/>
      <w:r w:rsidR="00EE5354">
        <w:t>NCPeH</w:t>
      </w:r>
      <w:proofErr w:type="spellEnd"/>
      <w:r w:rsidR="00EE5354">
        <w:t>-NL</w:t>
      </w:r>
      <w:r w:rsidRPr="00C02574">
        <w:t xml:space="preserve">. Op basis van artikel 15o, vijfde lid, van het wetsvoorstel kunnen voorts bij of krachtens AMvB </w:t>
      </w:r>
      <w:r w:rsidR="000B5642">
        <w:t xml:space="preserve">regels worden gesteld </w:t>
      </w:r>
      <w:r w:rsidRPr="00C02574">
        <w:t xml:space="preserve">over de inrichting, beschikbaarstelling, beveiliging, instandhouding en werking van het </w:t>
      </w:r>
      <w:proofErr w:type="spellStart"/>
      <w:r w:rsidRPr="00C02574">
        <w:t>NCPeH</w:t>
      </w:r>
      <w:proofErr w:type="spellEnd"/>
      <w:r w:rsidRPr="00C02574">
        <w:t xml:space="preserve">-NL. </w:t>
      </w:r>
      <w:r w:rsidR="0097096A">
        <w:t>Tevens</w:t>
      </w:r>
      <w:r w:rsidRPr="00C02574">
        <w:t xml:space="preserve"> biedt het wetsvoorstel, op grond van artikel 15p, derde lid, de mogelijkheid om bij of krachtens AMvB nadere regels te stellen over de voorwaarden </w:t>
      </w:r>
      <w:r w:rsidR="00605F35">
        <w:t>waaronder zorgaanbieders toegang tot</w:t>
      </w:r>
      <w:r w:rsidR="007C5A8B">
        <w:t xml:space="preserve"> het </w:t>
      </w:r>
      <w:proofErr w:type="spellStart"/>
      <w:r w:rsidR="007C5A8B">
        <w:t>NCPeH</w:t>
      </w:r>
      <w:proofErr w:type="spellEnd"/>
      <w:r w:rsidR="007C5A8B">
        <w:t xml:space="preserve">-NL </w:t>
      </w:r>
      <w:r w:rsidR="00605F35">
        <w:t>kunnen verkrijgen</w:t>
      </w:r>
      <w:r w:rsidRPr="5FBA465D" w:rsidR="00630B39">
        <w:t xml:space="preserve">. </w:t>
      </w:r>
      <w:r w:rsidR="00514A55">
        <w:t xml:space="preserve">Tot slot </w:t>
      </w:r>
      <w:r w:rsidR="00605F35">
        <w:t xml:space="preserve">regelt </w:t>
      </w:r>
      <w:r w:rsidR="00514A55">
        <w:t>het wetsvoorstel op grond van artikel 15s, derde lid, d</w:t>
      </w:r>
      <w:r w:rsidR="00605F35">
        <w:t>at de loggegevens</w:t>
      </w:r>
      <w:r w:rsidRPr="5FBA465D" w:rsidR="008F7634">
        <w:t xml:space="preserve"> </w:t>
      </w:r>
      <w:r w:rsidR="00605F35">
        <w:t xml:space="preserve">die </w:t>
      </w:r>
      <w:r w:rsidR="00514A55">
        <w:t xml:space="preserve">door het </w:t>
      </w:r>
      <w:proofErr w:type="spellStart"/>
      <w:r w:rsidR="00514A55">
        <w:t>NCPeH</w:t>
      </w:r>
      <w:proofErr w:type="spellEnd"/>
      <w:r w:rsidR="00514A55">
        <w:t xml:space="preserve">-NL </w:t>
      </w:r>
      <w:r w:rsidR="0000733E">
        <w:t>ten minste</w:t>
      </w:r>
      <w:r w:rsidR="000B5642">
        <w:t xml:space="preserve"> vijf jaar </w:t>
      </w:r>
      <w:r w:rsidR="00514A55">
        <w:t>worden bewaard</w:t>
      </w:r>
      <w:r w:rsidRPr="5FBA465D" w:rsidR="008F7634">
        <w:t>,</w:t>
      </w:r>
      <w:r w:rsidRPr="5FBA465D" w:rsidR="00514A55">
        <w:t xml:space="preserve"> </w:t>
      </w:r>
      <w:r w:rsidR="00605F35">
        <w:t>bij AMvB worden aangewezen.</w:t>
      </w:r>
    </w:p>
    <w:p w:rsidR="00BF1682" w:rsidP="00FD4289" w:rsidRDefault="00BF1682" w14:paraId="5BF89FEE" w14:textId="77777777">
      <w:pPr>
        <w:pStyle w:val="Stijl1"/>
      </w:pPr>
    </w:p>
    <w:p w:rsidRPr="00C02574" w:rsidR="00C02574" w:rsidP="00FD4289" w:rsidRDefault="00C02574" w14:paraId="18FBA1E4" w14:textId="50BA4CDD">
      <w:pPr>
        <w:pStyle w:val="Stijl1"/>
      </w:pPr>
      <w:r w:rsidRPr="00C02574">
        <w:t xml:space="preserve">In de volgende paragrafen wordt op hoofdlijnen beschreven hoe het wetsvoorstel nader is uitgewerkt in </w:t>
      </w:r>
      <w:r w:rsidR="00AC1F42">
        <w:t xml:space="preserve">het </w:t>
      </w:r>
      <w:r w:rsidR="00151FA9">
        <w:t>besluit</w:t>
      </w:r>
      <w:r w:rsidRPr="00C02574">
        <w:t>.</w:t>
      </w:r>
    </w:p>
    <w:p w:rsidR="00D5413A" w:rsidP="00F570EA" w:rsidRDefault="00D5413A" w14:paraId="23113E17" w14:textId="06D62A85">
      <w:pPr>
        <w:pStyle w:val="Kop1"/>
        <w:numPr>
          <w:ilvl w:val="0"/>
          <w:numId w:val="9"/>
        </w:numPr>
        <w:spacing w:line="276" w:lineRule="auto"/>
      </w:pPr>
      <w:r w:rsidRPr="006F1297">
        <w:t>Toegang tot het nationaal contactpunt voor digitale gezondheid</w:t>
      </w:r>
    </w:p>
    <w:p w:rsidR="003828CF" w:rsidP="00FD4289" w:rsidRDefault="003828CF" w14:paraId="3597BA22" w14:textId="6723F833">
      <w:pPr>
        <w:pStyle w:val="Kop2"/>
      </w:pPr>
      <w:bookmarkStart w:name="_Hlk203578759" w:id="0"/>
      <w:r>
        <w:t>3.1 Toegang</w:t>
      </w:r>
    </w:p>
    <w:p w:rsidR="001D1BBB" w:rsidP="005505C3" w:rsidRDefault="003846B3" w14:paraId="2032DFD0" w14:textId="21F18ACD">
      <w:pPr>
        <w:pStyle w:val="Stijl1"/>
      </w:pPr>
      <w:r>
        <w:t xml:space="preserve">Een </w:t>
      </w:r>
      <w:r w:rsidRPr="003846B3">
        <w:t xml:space="preserve">zorgaanbieder of – wanneer de zorgaanbieder een instelling is – de onder hem ressorterende zorgverlener </w:t>
      </w:r>
      <w:r>
        <w:t xml:space="preserve">(hierna: </w:t>
      </w:r>
      <w:bookmarkStart w:name="_Hlk229038760" w:id="1"/>
      <w:r>
        <w:t>zorgaanbieder of zorgverlener</w:t>
      </w:r>
      <w:bookmarkEnd w:id="1"/>
      <w:r>
        <w:t xml:space="preserve">) </w:t>
      </w:r>
      <w:r w:rsidR="005E2079">
        <w:t xml:space="preserve">kan </w:t>
      </w:r>
      <w:r w:rsidR="005505C3">
        <w:t xml:space="preserve">toegang krijgen tot het </w:t>
      </w:r>
      <w:proofErr w:type="spellStart"/>
      <w:r w:rsidR="005505C3">
        <w:t>NCPeH</w:t>
      </w:r>
      <w:proofErr w:type="spellEnd"/>
      <w:r w:rsidR="005505C3">
        <w:t xml:space="preserve">-NL om gegevens </w:t>
      </w:r>
      <w:r w:rsidR="00AF3A4B">
        <w:t xml:space="preserve">op te vragen en </w:t>
      </w:r>
      <w:r w:rsidR="005505C3">
        <w:t>te</w:t>
      </w:r>
      <w:r w:rsidR="00000ED9">
        <w:t xml:space="preserve"> ontvangen</w:t>
      </w:r>
      <w:r w:rsidRPr="5FBA465D" w:rsidR="005505C3">
        <w:t xml:space="preserve"> </w:t>
      </w:r>
      <w:r w:rsidR="00D81294">
        <w:t xml:space="preserve">op het moment dat </w:t>
      </w:r>
      <w:r w:rsidR="005505C3">
        <w:t>zij</w:t>
      </w:r>
      <w:r w:rsidR="00D81294">
        <w:t xml:space="preserve"> zorg </w:t>
      </w:r>
      <w:r w:rsidR="005E2079">
        <w:t xml:space="preserve">verleent </w:t>
      </w:r>
      <w:r w:rsidR="00D81294">
        <w:t>aan</w:t>
      </w:r>
      <w:r w:rsidR="005505C3">
        <w:t xml:space="preserve"> een </w:t>
      </w:r>
      <w:r w:rsidR="00AD0AA5">
        <w:t>cliënt</w:t>
      </w:r>
      <w:r w:rsidR="005505C3">
        <w:t xml:space="preserve"> uit een andere lidstaat. </w:t>
      </w:r>
      <w:r w:rsidR="00D81294">
        <w:t xml:space="preserve">In </w:t>
      </w:r>
      <w:r w:rsidR="00E74148">
        <w:t xml:space="preserve">het </w:t>
      </w:r>
      <w:r w:rsidR="005505C3">
        <w:t xml:space="preserve">besluit </w:t>
      </w:r>
      <w:r w:rsidR="00D81294">
        <w:t>wordt nader uitgewerkt</w:t>
      </w:r>
      <w:r w:rsidR="005505C3">
        <w:t xml:space="preserve"> aan welke </w:t>
      </w:r>
      <w:r w:rsidR="00F31338">
        <w:t xml:space="preserve">voorwaarden </w:t>
      </w:r>
      <w:r w:rsidR="005E2079">
        <w:t>zij</w:t>
      </w:r>
      <w:r w:rsidR="005505C3">
        <w:t xml:space="preserve"> moeten voldoen om</w:t>
      </w:r>
      <w:r w:rsidR="00F31338">
        <w:t xml:space="preserve"> van rechtswege</w:t>
      </w:r>
      <w:r w:rsidR="005505C3">
        <w:t xml:space="preserve"> toegang te </w:t>
      </w:r>
      <w:r w:rsidR="000743B2">
        <w:t xml:space="preserve">hebben </w:t>
      </w:r>
      <w:r w:rsidR="005505C3">
        <w:t xml:space="preserve">tot het </w:t>
      </w:r>
      <w:proofErr w:type="spellStart"/>
      <w:r w:rsidR="005505C3">
        <w:t>NCPeH</w:t>
      </w:r>
      <w:proofErr w:type="spellEnd"/>
      <w:r w:rsidR="005505C3">
        <w:t>-NL.</w:t>
      </w:r>
      <w:r w:rsidRPr="5FBA465D" w:rsidR="00C128E1">
        <w:t xml:space="preserve"> </w:t>
      </w:r>
      <w:r w:rsidR="005E2079">
        <w:t>Deze voorwaarden hebben betrekking op het</w:t>
      </w:r>
      <w:r w:rsidR="00E45E44">
        <w:t xml:space="preserve"> </w:t>
      </w:r>
      <w:r w:rsidR="005E2079">
        <w:t xml:space="preserve">te gebruiken </w:t>
      </w:r>
      <w:r w:rsidR="00E45E44">
        <w:t>identificatie- en authenticatiemiddel en</w:t>
      </w:r>
      <w:r w:rsidR="005E2079">
        <w:t xml:space="preserve"> op de</w:t>
      </w:r>
      <w:r w:rsidR="00E45E44">
        <w:t xml:space="preserve"> beroepsgroep</w:t>
      </w:r>
      <w:r w:rsidR="005E2079">
        <w:t xml:space="preserve"> en </w:t>
      </w:r>
      <w:r w:rsidR="00E45E44">
        <w:t>worden</w:t>
      </w:r>
      <w:r w:rsidR="005E2079">
        <w:t xml:space="preserve"> in de paragrafen</w:t>
      </w:r>
      <w:r w:rsidR="00E45E44">
        <w:t xml:space="preserve"> </w:t>
      </w:r>
      <w:r w:rsidR="001D1BBB">
        <w:t>3.1.1 en 3.1.2</w:t>
      </w:r>
      <w:r w:rsidR="005E2079">
        <w:t xml:space="preserve"> nader toegelicht</w:t>
      </w:r>
      <w:r w:rsidR="001D1BBB">
        <w:t>.</w:t>
      </w:r>
      <w:r w:rsidR="001C70F5">
        <w:t xml:space="preserve"> </w:t>
      </w:r>
    </w:p>
    <w:p w:rsidR="0092527A" w:rsidP="00FD4289" w:rsidRDefault="0092527A" w14:paraId="3F21B5D8" w14:textId="2AF5EF55">
      <w:pPr>
        <w:pStyle w:val="Stijl1"/>
      </w:pPr>
    </w:p>
    <w:p w:rsidRPr="00EE60EB" w:rsidR="00EE2C6F" w:rsidP="000F4B07" w:rsidRDefault="006858C2" w14:paraId="6208D6B0" w14:textId="6B6EFADB">
      <w:pPr>
        <w:pStyle w:val="Kop3"/>
      </w:pPr>
      <w:r>
        <w:t xml:space="preserve">3.1.1 </w:t>
      </w:r>
      <w:r w:rsidR="00EE2C6F">
        <w:t xml:space="preserve">Identificatie en authenticatie </w:t>
      </w:r>
    </w:p>
    <w:p w:rsidR="000944BB" w:rsidP="00AD4A80" w:rsidRDefault="00EE2C6F" w14:paraId="5FA5A83E" w14:textId="693FD6ED">
      <w:pPr>
        <w:rPr>
          <w:color w:val="000000" w:themeColor="text1"/>
        </w:rPr>
      </w:pPr>
      <w:bookmarkStart w:name="_Hlk228370843" w:id="2"/>
      <w:r w:rsidRPr="005E2D73">
        <w:t>Als een burger uit een andere lidstaat zich meldt bij een Nederlandse zorgaanbi</w:t>
      </w:r>
      <w:r w:rsidRPr="00AD4A80">
        <w:rPr>
          <w:color w:val="000000" w:themeColor="text1"/>
        </w:rPr>
        <w:t>eder</w:t>
      </w:r>
      <w:r w:rsidR="00EE5354">
        <w:rPr>
          <w:color w:val="000000" w:themeColor="text1"/>
        </w:rPr>
        <w:t xml:space="preserve"> voor het verkrijgen van zorg</w:t>
      </w:r>
      <w:r w:rsidRPr="00AD4A80">
        <w:rPr>
          <w:color w:val="000000" w:themeColor="text1"/>
        </w:rPr>
        <w:t>, moet de</w:t>
      </w:r>
      <w:r w:rsidR="001C70F5">
        <w:rPr>
          <w:color w:val="000000" w:themeColor="text1"/>
        </w:rPr>
        <w:t>ze</w:t>
      </w:r>
      <w:r w:rsidRPr="00AD4A80" w:rsidR="00955748">
        <w:rPr>
          <w:color w:val="000000" w:themeColor="text1"/>
        </w:rPr>
        <w:t xml:space="preserve"> </w:t>
      </w:r>
      <w:r w:rsidRPr="003846B3" w:rsidR="003846B3">
        <w:rPr>
          <w:color w:val="000000" w:themeColor="text1"/>
        </w:rPr>
        <w:t>zorgaanbieder of zorgverlener</w:t>
      </w:r>
      <w:r w:rsidRPr="00AD4A80">
        <w:rPr>
          <w:color w:val="000000" w:themeColor="text1"/>
        </w:rPr>
        <w:t xml:space="preserve"> zich </w:t>
      </w:r>
      <w:r w:rsidR="003F19F9">
        <w:rPr>
          <w:color w:val="000000" w:themeColor="text1"/>
        </w:rPr>
        <w:t xml:space="preserve">eerst </w:t>
      </w:r>
      <w:r w:rsidRPr="00AD4A80">
        <w:rPr>
          <w:color w:val="000000" w:themeColor="text1"/>
        </w:rPr>
        <w:t xml:space="preserve">bij het </w:t>
      </w:r>
      <w:proofErr w:type="spellStart"/>
      <w:r w:rsidRPr="00AD4A80">
        <w:rPr>
          <w:color w:val="000000" w:themeColor="text1"/>
        </w:rPr>
        <w:t>NCPeH</w:t>
      </w:r>
      <w:proofErr w:type="spellEnd"/>
      <w:r w:rsidRPr="00AD4A80">
        <w:rPr>
          <w:color w:val="000000" w:themeColor="text1"/>
        </w:rPr>
        <w:t xml:space="preserve">-NL identificeren en authentiseren om toegang te krijgen tot het </w:t>
      </w:r>
      <w:proofErr w:type="spellStart"/>
      <w:r w:rsidRPr="00AD4A80">
        <w:rPr>
          <w:color w:val="000000" w:themeColor="text1"/>
        </w:rPr>
        <w:t>NCPeH</w:t>
      </w:r>
      <w:proofErr w:type="spellEnd"/>
      <w:r w:rsidRPr="00AD4A80">
        <w:rPr>
          <w:color w:val="000000" w:themeColor="text1"/>
        </w:rPr>
        <w:t xml:space="preserve">-NL. </w:t>
      </w:r>
      <w:r w:rsidR="00C401C3">
        <w:rPr>
          <w:color w:val="000000" w:themeColor="text1"/>
        </w:rPr>
        <w:t xml:space="preserve">Binnen het </w:t>
      </w:r>
      <w:proofErr w:type="spellStart"/>
      <w:r w:rsidR="00C401C3">
        <w:rPr>
          <w:color w:val="000000" w:themeColor="text1"/>
        </w:rPr>
        <w:t>MyHealth@EU</w:t>
      </w:r>
      <w:r w:rsidR="005562E8">
        <w:rPr>
          <w:color w:val="000000" w:themeColor="text1"/>
        </w:rPr>
        <w:t>-</w:t>
      </w:r>
      <w:r w:rsidR="00C401C3">
        <w:rPr>
          <w:color w:val="000000" w:themeColor="text1"/>
        </w:rPr>
        <w:t>afsprakenstelsel</w:t>
      </w:r>
      <w:proofErr w:type="spellEnd"/>
      <w:r w:rsidR="00FE3987">
        <w:rPr>
          <w:rStyle w:val="Voetnootmarkering"/>
          <w:color w:val="000000" w:themeColor="text1"/>
        </w:rPr>
        <w:footnoteReference w:id="4"/>
      </w:r>
      <w:r w:rsidR="00C401C3">
        <w:rPr>
          <w:color w:val="000000" w:themeColor="text1"/>
        </w:rPr>
        <w:t xml:space="preserve"> zijn er vereisten omtrent de identificatie en authenticatie van de opvragende zorgverlener.</w:t>
      </w:r>
      <w:r w:rsidR="003F19F9">
        <w:rPr>
          <w:color w:val="000000" w:themeColor="text1"/>
        </w:rPr>
        <w:t xml:space="preserve"> </w:t>
      </w:r>
      <w:r w:rsidR="006A3DC0">
        <w:rPr>
          <w:color w:val="000000" w:themeColor="text1"/>
        </w:rPr>
        <w:t>Zo moeten</w:t>
      </w:r>
      <w:r w:rsidRPr="006A3DC0" w:rsidR="006A3DC0">
        <w:rPr>
          <w:color w:val="000000" w:themeColor="text1"/>
        </w:rPr>
        <w:t xml:space="preserve"> zorgverleners uniek en veilig worden geïdentificeerd en geauthentiseerd</w:t>
      </w:r>
      <w:r w:rsidR="00EE5354">
        <w:rPr>
          <w:color w:val="000000" w:themeColor="text1"/>
        </w:rPr>
        <w:t xml:space="preserve"> onder meer door ten minste een</w:t>
      </w:r>
      <w:r w:rsidR="006A3DC0">
        <w:rPr>
          <w:color w:val="000000" w:themeColor="text1"/>
        </w:rPr>
        <w:t xml:space="preserve"> twee</w:t>
      </w:r>
      <w:r w:rsidR="000944BB">
        <w:rPr>
          <w:color w:val="000000" w:themeColor="text1"/>
        </w:rPr>
        <w:t>-</w:t>
      </w:r>
      <w:r w:rsidR="006A3DC0">
        <w:rPr>
          <w:color w:val="000000" w:themeColor="text1"/>
        </w:rPr>
        <w:t>factor</w:t>
      </w:r>
      <w:r w:rsidR="000944BB">
        <w:rPr>
          <w:color w:val="000000" w:themeColor="text1"/>
        </w:rPr>
        <w:t>-</w:t>
      </w:r>
      <w:r w:rsidR="006A3DC0">
        <w:rPr>
          <w:color w:val="000000" w:themeColor="text1"/>
        </w:rPr>
        <w:t xml:space="preserve">authenticatie. </w:t>
      </w:r>
    </w:p>
    <w:p w:rsidR="000944BB" w:rsidP="00AD4A80" w:rsidRDefault="000944BB" w14:paraId="714442CF" w14:textId="77777777">
      <w:pPr>
        <w:rPr>
          <w:color w:val="000000" w:themeColor="text1"/>
        </w:rPr>
      </w:pPr>
    </w:p>
    <w:p w:rsidR="000944BB" w:rsidP="00AD4A80" w:rsidRDefault="003F19F9" w14:paraId="1B278F44" w14:textId="45518164">
      <w:pPr>
        <w:rPr>
          <w:color w:val="000000" w:themeColor="text1"/>
        </w:rPr>
      </w:pPr>
      <w:r>
        <w:rPr>
          <w:color w:val="000000" w:themeColor="text1"/>
        </w:rPr>
        <w:t>D</w:t>
      </w:r>
      <w:r w:rsidR="000944BB">
        <w:rPr>
          <w:color w:val="000000" w:themeColor="text1"/>
        </w:rPr>
        <w:t>e</w:t>
      </w:r>
      <w:r w:rsidRPr="0003660E" w:rsidR="00D5413A">
        <w:rPr>
          <w:color w:val="000000" w:themeColor="text1"/>
        </w:rPr>
        <w:t xml:space="preserve"> </w:t>
      </w:r>
      <w:proofErr w:type="spellStart"/>
      <w:r w:rsidRPr="0003660E" w:rsidR="00D5413A">
        <w:rPr>
          <w:color w:val="000000" w:themeColor="text1"/>
        </w:rPr>
        <w:t>eIDAS</w:t>
      </w:r>
      <w:proofErr w:type="spellEnd"/>
      <w:r w:rsidRPr="0003660E" w:rsidR="00D5413A">
        <w:rPr>
          <w:color w:val="000000" w:themeColor="text1"/>
        </w:rPr>
        <w:t>-verordening</w:t>
      </w:r>
      <w:r w:rsidR="00273BD7">
        <w:rPr>
          <w:color w:val="000000" w:themeColor="text1"/>
        </w:rPr>
        <w:t xml:space="preserve"> </w:t>
      </w:r>
      <w:r w:rsidR="000944BB">
        <w:rPr>
          <w:color w:val="000000" w:themeColor="text1"/>
        </w:rPr>
        <w:t xml:space="preserve">onderscheidt </w:t>
      </w:r>
      <w:r w:rsidRPr="0003660E" w:rsidR="00D5413A">
        <w:rPr>
          <w:color w:val="000000" w:themeColor="text1"/>
        </w:rPr>
        <w:t>drie betrouwbaarheidsniveaus</w:t>
      </w:r>
      <w:r w:rsidRPr="0003660E" w:rsidR="005505C3">
        <w:rPr>
          <w:color w:val="000000" w:themeColor="text1"/>
        </w:rPr>
        <w:t xml:space="preserve"> voor elektronische identificatie</w:t>
      </w:r>
      <w:r w:rsidRPr="0003660E" w:rsidR="00D5413A">
        <w:rPr>
          <w:color w:val="000000" w:themeColor="text1"/>
        </w:rPr>
        <w:t>: laag, substantieel en hoog.</w:t>
      </w:r>
      <w:r w:rsidR="00273BD7">
        <w:rPr>
          <w:rStyle w:val="Voetnootmarkering"/>
          <w:color w:val="000000" w:themeColor="text1"/>
        </w:rPr>
        <w:footnoteReference w:id="5"/>
      </w:r>
      <w:r w:rsidRPr="0003660E" w:rsidR="00D5413A">
        <w:rPr>
          <w:color w:val="000000" w:themeColor="text1"/>
        </w:rPr>
        <w:t xml:space="preserve"> </w:t>
      </w:r>
      <w:r w:rsidRPr="000944BB" w:rsidR="000944BB">
        <w:rPr>
          <w:color w:val="000000" w:themeColor="text1"/>
        </w:rPr>
        <w:t>Twee-factor-authenticatie behoort in dit kader tot het betrouwbaarheidsniveau substantieel.</w:t>
      </w:r>
    </w:p>
    <w:p w:rsidR="000944BB" w:rsidP="00AD4A80" w:rsidRDefault="000944BB" w14:paraId="004EE23D" w14:textId="77777777">
      <w:pPr>
        <w:rPr>
          <w:color w:val="000000" w:themeColor="text1"/>
        </w:rPr>
      </w:pPr>
    </w:p>
    <w:p w:rsidR="000944BB" w:rsidP="00AD4A80" w:rsidRDefault="000944BB" w14:paraId="569C979B" w14:textId="0DC9D449">
      <w:r w:rsidRPr="000944BB">
        <w:t xml:space="preserve">Gelet op de gevoeligheid van medische gegevens is er echter voor gekozen dat een </w:t>
      </w:r>
      <w:r w:rsidRPr="003846B3" w:rsidR="003846B3">
        <w:t xml:space="preserve">zorgaanbieder of zorgverlener </w:t>
      </w:r>
      <w:r w:rsidRPr="000944BB">
        <w:t>in Nederland alleen</w:t>
      </w:r>
      <w:r w:rsidR="00D34334">
        <w:t xml:space="preserve"> toegang </w:t>
      </w:r>
      <w:r>
        <w:t>heeft</w:t>
      </w:r>
      <w:r w:rsidR="00D34334">
        <w:t xml:space="preserve"> tot het </w:t>
      </w:r>
      <w:proofErr w:type="spellStart"/>
      <w:r w:rsidR="00D34334">
        <w:t>NCPeH</w:t>
      </w:r>
      <w:proofErr w:type="spellEnd"/>
      <w:r w:rsidR="00D34334">
        <w:t xml:space="preserve">-NL </w:t>
      </w:r>
      <w:r w:rsidRPr="000944BB">
        <w:t xml:space="preserve">bij gebruik van een middel op het betrouwbaarheidsniveau hoog, zoals bedoeld in de </w:t>
      </w:r>
      <w:proofErr w:type="spellStart"/>
      <w:r w:rsidRPr="000944BB">
        <w:t>eIDAS</w:t>
      </w:r>
      <w:proofErr w:type="spellEnd"/>
      <w:r w:rsidRPr="000944BB">
        <w:t>-verordening.</w:t>
      </w:r>
      <w:r>
        <w:t xml:space="preserve"> </w:t>
      </w:r>
      <w:r w:rsidRPr="000944BB">
        <w:t xml:space="preserve">Op moment van schrijven voldoet alleen de UZI-pas aan het betrouwbaarheidsniveau hoog. </w:t>
      </w:r>
    </w:p>
    <w:p w:rsidR="000944BB" w:rsidP="00AD4A80" w:rsidRDefault="000944BB" w14:paraId="3DCF990A" w14:textId="77777777"/>
    <w:p w:rsidRPr="0003660E" w:rsidR="007B5078" w:rsidP="00AD4A80" w:rsidRDefault="000944BB" w14:paraId="300E5765" w14:textId="252DAEF5">
      <w:r>
        <w:rPr>
          <w:color w:val="000000" w:themeColor="text1"/>
        </w:rPr>
        <w:t xml:space="preserve">Deze keuze voor het betrouwbaarheidsniveau hoog sluit aan bij het advies van de Autoriteit Persoonsgegevens, die het </w:t>
      </w:r>
      <w:r w:rsidR="00065501">
        <w:rPr>
          <w:color w:val="000000" w:themeColor="text1"/>
        </w:rPr>
        <w:t xml:space="preserve">ministerie van </w:t>
      </w:r>
      <w:r w:rsidR="0020612F">
        <w:rPr>
          <w:color w:val="000000" w:themeColor="text1"/>
        </w:rPr>
        <w:t>Volksgezondheid, Welzijn en Sport</w:t>
      </w:r>
      <w:r w:rsidR="00065501">
        <w:rPr>
          <w:color w:val="000000" w:themeColor="text1"/>
        </w:rPr>
        <w:t xml:space="preserve"> </w:t>
      </w:r>
      <w:r>
        <w:rPr>
          <w:color w:val="000000" w:themeColor="text1"/>
        </w:rPr>
        <w:t xml:space="preserve">in 2018 heeft </w:t>
      </w:r>
      <w:r w:rsidR="00065501">
        <w:rPr>
          <w:color w:val="000000" w:themeColor="text1"/>
        </w:rPr>
        <w:t xml:space="preserve">geadviseerd </w:t>
      </w:r>
      <w:r w:rsidRPr="0003660E" w:rsidR="00E57436">
        <w:rPr>
          <w:color w:val="000000" w:themeColor="text1"/>
        </w:rPr>
        <w:t>om voo</w:t>
      </w:r>
      <w:r w:rsidR="00E57436">
        <w:t>r toegang tot gegevens waarop het medisch beroepsgeheim rust het hoogste betrouwbaarheidsniveau te vereisen</w:t>
      </w:r>
      <w:r w:rsidRPr="5FBA465D" w:rsidR="00E57436">
        <w:t>.</w:t>
      </w:r>
      <w:r w:rsidR="004C238C">
        <w:rPr>
          <w:rStyle w:val="Voetnootmarkering"/>
        </w:rPr>
        <w:footnoteReference w:id="6"/>
      </w:r>
      <w:r w:rsidR="00E57436">
        <w:t xml:space="preserve"> </w:t>
      </w:r>
      <w:r>
        <w:t>In</w:t>
      </w:r>
      <w:r w:rsidR="00E57436">
        <w:t xml:space="preserve"> 2023 </w:t>
      </w:r>
      <w:r>
        <w:t xml:space="preserve">is </w:t>
      </w:r>
      <w:r w:rsidR="00E57436">
        <w:t>nogmaals door de A</w:t>
      </w:r>
      <w:r>
        <w:t>utoriteit Persoonsgegevens</w:t>
      </w:r>
      <w:r w:rsidR="00E57436">
        <w:t xml:space="preserve"> benadrukt dat inloggen op </w:t>
      </w:r>
      <w:r w:rsidR="00A9512F">
        <w:t>betrouwbaarheidsniveau</w:t>
      </w:r>
      <w:r w:rsidR="00B4581C">
        <w:t xml:space="preserve"> </w:t>
      </w:r>
      <w:r w:rsidR="00E57436">
        <w:t>hoog noodzakelijk is voor veilige toegang tot medische gegevens</w:t>
      </w:r>
      <w:r w:rsidRPr="5FBA465D" w:rsidR="00E57436">
        <w:t>.</w:t>
      </w:r>
      <w:r w:rsidR="004C238C">
        <w:rPr>
          <w:rStyle w:val="Voetnootmarkering"/>
        </w:rPr>
        <w:footnoteReference w:id="7"/>
      </w:r>
      <w:r w:rsidR="00E57436">
        <w:t xml:space="preserve"> </w:t>
      </w:r>
      <w:r>
        <w:t xml:space="preserve">Daarnaast heeft de </w:t>
      </w:r>
      <w:r w:rsidR="00E57436">
        <w:t>Raad van State</w:t>
      </w:r>
      <w:r>
        <w:t xml:space="preserve"> in 2024</w:t>
      </w:r>
      <w:r w:rsidR="00FE7CD4">
        <w:t>,</w:t>
      </w:r>
      <w:r w:rsidR="00E57436">
        <w:t xml:space="preserve"> in</w:t>
      </w:r>
      <w:r>
        <w:t xml:space="preserve"> zijn</w:t>
      </w:r>
      <w:r w:rsidR="00E57436">
        <w:t xml:space="preserve"> </w:t>
      </w:r>
      <w:r w:rsidR="00CD03CE">
        <w:t xml:space="preserve">advies </w:t>
      </w:r>
      <w:r>
        <w:t>over</w:t>
      </w:r>
      <w:r w:rsidR="00CD03CE">
        <w:t xml:space="preserve"> het </w:t>
      </w:r>
      <w:r w:rsidR="00831975">
        <w:t>wets</w:t>
      </w:r>
      <w:r w:rsidR="00CD03CE">
        <w:t xml:space="preserve">voorstel “Wet </w:t>
      </w:r>
      <w:r w:rsidRPr="00CD03CE" w:rsidR="00CD03CE">
        <w:t>digitale identificatie en authenticatie in de zorg</w:t>
      </w:r>
      <w:r w:rsidR="00CD03CE">
        <w:t>”</w:t>
      </w:r>
      <w:r w:rsidR="00FE7CD4">
        <w:t>,</w:t>
      </w:r>
      <w:r w:rsidR="00E57436">
        <w:t xml:space="preserve"> onderschreven dat veilige en hoog betrouwbare toegang tot medische gegevens vereist is</w:t>
      </w:r>
      <w:r w:rsidRPr="5FBA465D" w:rsidR="00E57436">
        <w:t>.</w:t>
      </w:r>
      <w:r w:rsidR="004C238C">
        <w:rPr>
          <w:rStyle w:val="Voetnootmarkering"/>
        </w:rPr>
        <w:footnoteReference w:id="8"/>
      </w:r>
    </w:p>
    <w:bookmarkEnd w:id="2"/>
    <w:p w:rsidR="00EF1CD4" w:rsidP="0003660E" w:rsidRDefault="00EF1CD4" w14:paraId="030E8BF4" w14:textId="77777777">
      <w:pPr>
        <w:jc w:val="both"/>
      </w:pPr>
    </w:p>
    <w:p w:rsidR="00EF1CD4" w:rsidP="5FBA465D" w:rsidRDefault="00EF1CD4" w14:paraId="55A51843" w14:textId="6DFDAC59">
      <w:r>
        <w:t>Alleen</w:t>
      </w:r>
      <w:r w:rsidR="00255444">
        <w:t xml:space="preserve"> zorgaanbieders </w:t>
      </w:r>
      <w:r w:rsidR="004F2B50">
        <w:t>en</w:t>
      </w:r>
      <w:r>
        <w:t xml:space="preserve"> zorgverleners </w:t>
      </w:r>
      <w:r w:rsidR="004049A4">
        <w:t>binnen bepaalde beroepsgroepen</w:t>
      </w:r>
      <w:r w:rsidR="003B0CB8">
        <w:t xml:space="preserve"> kunnen</w:t>
      </w:r>
      <w:r>
        <w:t xml:space="preserve"> toegang krijgen tot het </w:t>
      </w:r>
      <w:proofErr w:type="spellStart"/>
      <w:r>
        <w:t>NCPeH</w:t>
      </w:r>
      <w:proofErr w:type="spellEnd"/>
      <w:r>
        <w:t>-NL. Dit wordt in paragraaf 3.1.2 nader toegelicht. De zorgverlenersrol</w:t>
      </w:r>
      <w:r w:rsidRPr="5FBA465D">
        <w:t xml:space="preserve">, </w:t>
      </w:r>
      <w:r w:rsidR="00AF4363">
        <w:t>die</w:t>
      </w:r>
      <w:r w:rsidRPr="5FBA465D" w:rsidR="00297752">
        <w:t xml:space="preserve"> </w:t>
      </w:r>
      <w:r w:rsidR="00AF4363">
        <w:t>volgt uit</w:t>
      </w:r>
      <w:r w:rsidRPr="5FBA465D" w:rsidR="00297752">
        <w:t xml:space="preserve"> </w:t>
      </w:r>
      <w:r>
        <w:t>het</w:t>
      </w:r>
      <w:r w:rsidRPr="5FBA465D">
        <w:t xml:space="preserve"> </w:t>
      </w:r>
      <w:r w:rsidRPr="0081693F">
        <w:t>Unieke Zorgverlener Identificatie register (hierna: UZI-register</w:t>
      </w:r>
      <w:r w:rsidRPr="5FBA465D">
        <w:t>)</w:t>
      </w:r>
      <w:r w:rsidRPr="5FBA465D" w:rsidR="00AF4363">
        <w:t>,</w:t>
      </w:r>
      <w:r>
        <w:t xml:space="preserve"> moet als attribuut</w:t>
      </w:r>
      <w:r w:rsidR="006237C1">
        <w:rPr>
          <w:rStyle w:val="Voetnootmarkering"/>
        </w:rPr>
        <w:footnoteReference w:id="9"/>
      </w:r>
      <w:r>
        <w:t xml:space="preserve"> gekoppeld worden aan de identiteit van de zorgverlener</w:t>
      </w:r>
      <w:r w:rsidRPr="5FBA465D">
        <w:t xml:space="preserve">. </w:t>
      </w:r>
      <w:r w:rsidR="009F6E72">
        <w:t xml:space="preserve">Zoals </w:t>
      </w:r>
      <w:r w:rsidR="00126940">
        <w:t xml:space="preserve">in het wetsvoorstel wordt geregeld, </w:t>
      </w:r>
      <w:r w:rsidR="0081693F">
        <w:t xml:space="preserve">kan </w:t>
      </w:r>
      <w:r w:rsidRPr="0081693F" w:rsidR="0081693F">
        <w:t>identificatie en authenticatie plaats</w:t>
      </w:r>
      <w:r w:rsidR="0081693F">
        <w:t xml:space="preserve">vinden </w:t>
      </w:r>
      <w:r w:rsidRPr="0081693F" w:rsidR="0081693F">
        <w:t xml:space="preserve">aan de hand van het </w:t>
      </w:r>
      <w:r>
        <w:t xml:space="preserve">UZI-register </w:t>
      </w:r>
      <w:r w:rsidR="0081693F">
        <w:t xml:space="preserve">en de bijbehorende inlogmiddelen, </w:t>
      </w:r>
      <w:r w:rsidR="00126940">
        <w:t>zoals bedoeld in artikel 15, derde lid</w:t>
      </w:r>
      <w:r w:rsidR="00A5700B">
        <w:t>,</w:t>
      </w:r>
      <w:r w:rsidR="00126940">
        <w:t xml:space="preserve"> van de Wet aanvullende bepalingen verwerking persoonsgegevens in de zorg.</w:t>
      </w:r>
      <w:r w:rsidRPr="5FBA465D" w:rsidR="0014241E">
        <w:t xml:space="preserve"> </w:t>
      </w:r>
    </w:p>
    <w:p w:rsidR="00EF1CD4" w:rsidP="00EF1CD4" w:rsidRDefault="00EF1CD4" w14:paraId="4D702D31" w14:textId="77777777"/>
    <w:p w:rsidRPr="00AD4A80" w:rsidR="00E147AD" w:rsidP="00AD4A80" w:rsidRDefault="0014241E" w14:paraId="5CDE25DE" w14:textId="12547744">
      <w:r>
        <w:t>Het huidige UZI-register en de bijbehorende inlogmiddelen</w:t>
      </w:r>
      <w:r w:rsidRPr="5FBA465D" w:rsidR="005433FD">
        <w:t xml:space="preserve"> </w:t>
      </w:r>
      <w:r>
        <w:t>kunnen echter niet breed in de zorg worden gebruikt voor de verschillende systemen waarmee gewerkt wordt.</w:t>
      </w:r>
      <w:r w:rsidR="00E147AD">
        <w:t xml:space="preserve"> Momenteel ligt </w:t>
      </w:r>
      <w:r>
        <w:t xml:space="preserve">daarom </w:t>
      </w:r>
      <w:r w:rsidR="00126940">
        <w:t>het wetsvoorstel</w:t>
      </w:r>
      <w:r w:rsidRPr="00126940" w:rsidR="00126940">
        <w:t xml:space="preserve"> digitale identificatie en authenticatie in de zorg (DIAZ)</w:t>
      </w:r>
      <w:r>
        <w:t xml:space="preserve"> voor in de Tweede Kamer dat het mogelijk maakt voor Onze Minister om inlogmiddelen voor </w:t>
      </w:r>
      <w:r w:rsidR="003C25FB">
        <w:t>zorgaanbieder</w:t>
      </w:r>
      <w:r>
        <w:t>s goed te keuren indien deze voldoen aan het betrouwbaarheidsniveau hoog.</w:t>
      </w:r>
      <w:r w:rsidRPr="00126940" w:rsidR="008131BD">
        <w:rPr>
          <w:rStyle w:val="Voetnootmarkering"/>
        </w:rPr>
        <w:footnoteReference w:id="10"/>
      </w:r>
      <w:r w:rsidRPr="5FBA465D" w:rsidR="00126940">
        <w:t xml:space="preserve"> </w:t>
      </w:r>
      <w:r w:rsidRPr="00126940" w:rsidR="00126940">
        <w:t xml:space="preserve">Hierdoor zullen </w:t>
      </w:r>
      <w:r w:rsidR="003C25FB">
        <w:t>zorgaanbieder</w:t>
      </w:r>
      <w:r w:rsidRPr="00126940" w:rsidR="00126940">
        <w:t xml:space="preserve">s op termijn ook gebruik kunnen maken van andere goedgekeurde middelen op betrouwbaarheidsniveau hoog om toegang te verkrijgen tot het </w:t>
      </w:r>
      <w:proofErr w:type="spellStart"/>
      <w:r w:rsidRPr="00126940" w:rsidR="00126940">
        <w:t>NCPeH</w:t>
      </w:r>
      <w:proofErr w:type="spellEnd"/>
      <w:r w:rsidRPr="00126940" w:rsidR="00126940">
        <w:t xml:space="preserve">-NL en een opvraging te doen. In </w:t>
      </w:r>
      <w:r w:rsidR="00D81294">
        <w:t>het</w:t>
      </w:r>
      <w:r w:rsidRPr="5FBA465D" w:rsidR="00D81294">
        <w:t xml:space="preserve"> </w:t>
      </w:r>
      <w:r w:rsidRPr="00126940" w:rsidR="00126940">
        <w:t>wetsvoorstel is geregeld dat zowel gebruik kan worden gemaakt van de UZI-pas en</w:t>
      </w:r>
      <w:r w:rsidRPr="5FBA465D" w:rsidR="00D81294">
        <w:t>,</w:t>
      </w:r>
      <w:r w:rsidRPr="00126940" w:rsidR="00126940">
        <w:t xml:space="preserve"> indien het wetsvoorstel DIAZ in werking treedt</w:t>
      </w:r>
      <w:r w:rsidRPr="5FBA465D" w:rsidR="00D81294">
        <w:t>,</w:t>
      </w:r>
      <w:r w:rsidRPr="00126940" w:rsidR="00126940">
        <w:t xml:space="preserve"> tevens toegang kan worden verkregen met inlogmiddelen die </w:t>
      </w:r>
      <w:r w:rsidR="00D81294">
        <w:t>op grond van dat wetsvoorstel</w:t>
      </w:r>
      <w:r w:rsidRPr="00126940" w:rsidR="00126940">
        <w:t xml:space="preserve"> zijn goedgekeurd. </w:t>
      </w:r>
    </w:p>
    <w:p w:rsidR="00D5413A" w:rsidP="0014241E" w:rsidRDefault="00D5413A" w14:paraId="7B0C562E" w14:textId="4FADDC6B">
      <w:pPr>
        <w:pStyle w:val="Stijl1"/>
        <w:tabs>
          <w:tab w:val="left" w:pos="1320"/>
        </w:tabs>
      </w:pPr>
    </w:p>
    <w:p w:rsidRPr="00676726" w:rsidR="0014241E" w:rsidP="000F4B07" w:rsidRDefault="006858C2" w14:paraId="1BE35E90" w14:textId="63FCD073">
      <w:pPr>
        <w:pStyle w:val="Kop3"/>
      </w:pPr>
      <w:r w:rsidRPr="0084726D">
        <w:t xml:space="preserve">3.1.2 Aangewezen </w:t>
      </w:r>
      <w:r w:rsidRPr="0084726D" w:rsidR="0014241E">
        <w:t>beroepen</w:t>
      </w:r>
    </w:p>
    <w:p w:rsidR="00926549" w:rsidP="5FBA465D" w:rsidRDefault="0014241E" w14:paraId="25693A6C" w14:textId="3007FC33">
      <w:pPr>
        <w:pStyle w:val="Stijl1"/>
      </w:pPr>
      <w:r>
        <w:t xml:space="preserve">In het </w:t>
      </w:r>
      <w:proofErr w:type="spellStart"/>
      <w:r>
        <w:t>MyHealth@EU</w:t>
      </w:r>
      <w:r w:rsidRPr="5FBA465D" w:rsidR="00151020">
        <w:t>-</w:t>
      </w:r>
      <w:r>
        <w:t>afsprakenstelsel</w:t>
      </w:r>
      <w:proofErr w:type="spellEnd"/>
      <w:r>
        <w:t xml:space="preserve"> is </w:t>
      </w:r>
      <w:r w:rsidR="005721A8">
        <w:t xml:space="preserve">vastgelegd dat </w:t>
      </w:r>
      <w:r w:rsidR="00FD1832">
        <w:t>uitsluitend</w:t>
      </w:r>
      <w:r w:rsidR="00063B5E">
        <w:t xml:space="preserve"> zorgaanbieders </w:t>
      </w:r>
      <w:r w:rsidR="004F2B50">
        <w:t>en</w:t>
      </w:r>
      <w:r w:rsidR="005721A8">
        <w:t xml:space="preserve"> zorgverleners</w:t>
      </w:r>
      <w:r w:rsidR="0053159F">
        <w:t xml:space="preserve"> die</w:t>
      </w:r>
      <w:r w:rsidR="005721A8">
        <w:t xml:space="preserve"> </w:t>
      </w:r>
      <w:r w:rsidR="0053159F">
        <w:t>tot</w:t>
      </w:r>
      <w:r w:rsidR="00FD1832">
        <w:t xml:space="preserve"> specifieke beroepsgroepen</w:t>
      </w:r>
      <w:r w:rsidR="0053159F">
        <w:t xml:space="preserve"> behoren</w:t>
      </w:r>
      <w:r w:rsidR="00F920DB">
        <w:t>,</w:t>
      </w:r>
      <w:r w:rsidR="00FD1832">
        <w:t xml:space="preserve"> toegang mogen verkrijgen tot het </w:t>
      </w:r>
      <w:proofErr w:type="spellStart"/>
      <w:r w:rsidR="00FD1832">
        <w:t>NCPeH</w:t>
      </w:r>
      <w:proofErr w:type="spellEnd"/>
      <w:r w:rsidR="55D19211">
        <w:t>-NL</w:t>
      </w:r>
      <w:r w:rsidR="00FD1832">
        <w:t xml:space="preserve"> om bepaalde categorieën van gezondheidsinformatie op te vragen</w:t>
      </w:r>
      <w:r w:rsidR="005721A8">
        <w:t xml:space="preserve">. Zorgaanbieders of zorgautoriteiten </w:t>
      </w:r>
      <w:r w:rsidRPr="005721A8" w:rsidR="005721A8">
        <w:t>moeten aan iedere zorgverlener een status, functie, rol en authenticatie toekennen, om zo zowel vertrouwen als traceerbaarheid te waarborgen</w:t>
      </w:r>
      <w:r w:rsidR="005721A8">
        <w:t>. D</w:t>
      </w:r>
      <w:r w:rsidRPr="005721A8" w:rsidR="005721A8">
        <w:t xml:space="preserve">e toegestane </w:t>
      </w:r>
      <w:r w:rsidR="004049A4">
        <w:t>beroepscategorieën</w:t>
      </w:r>
      <w:r w:rsidRPr="5FBA465D" w:rsidR="004049A4">
        <w:t xml:space="preserve"> </w:t>
      </w:r>
      <w:r w:rsidRPr="005721A8" w:rsidR="005721A8">
        <w:t>zijn gedefinieerd volgens de ISCO-08-standaard</w:t>
      </w:r>
      <w:r w:rsidRPr="5FBA465D" w:rsidR="005721A8">
        <w:t>.</w:t>
      </w:r>
      <w:r w:rsidR="00151020">
        <w:rPr>
          <w:rStyle w:val="Voetnootmarkering"/>
        </w:rPr>
        <w:footnoteReference w:id="11"/>
      </w:r>
      <w:r w:rsidRPr="005721A8" w:rsidR="005721A8">
        <w:t xml:space="preserve"> Elk </w:t>
      </w:r>
      <w:proofErr w:type="spellStart"/>
      <w:r w:rsidR="005721A8">
        <w:t>NCPeH</w:t>
      </w:r>
      <w:proofErr w:type="spellEnd"/>
      <w:r w:rsidRPr="005721A8" w:rsidR="005721A8">
        <w:t xml:space="preserve"> koppelt deze </w:t>
      </w:r>
      <w:r w:rsidR="004049A4">
        <w:t>beroepscategorieën</w:t>
      </w:r>
      <w:r w:rsidRPr="5FBA465D" w:rsidR="004049A4">
        <w:t xml:space="preserve"> </w:t>
      </w:r>
      <w:r w:rsidRPr="005721A8" w:rsidR="005721A8">
        <w:t xml:space="preserve">aan de nationale zorgverlenersrollen, </w:t>
      </w:r>
      <w:r w:rsidRPr="005721A8" w:rsidR="76CA9363">
        <w:t>overeenkomstig</w:t>
      </w:r>
      <w:r w:rsidRPr="005721A8" w:rsidR="005721A8">
        <w:t xml:space="preserve"> de geldende nationale regelgeving, om te garanderen dat alleen </w:t>
      </w:r>
      <w:r w:rsidR="0004315D">
        <w:t xml:space="preserve">zorgaanbieders of </w:t>
      </w:r>
      <w:r w:rsidRPr="005721A8" w:rsidR="005721A8">
        <w:t xml:space="preserve">zorgverleners </w:t>
      </w:r>
      <w:r w:rsidR="00A215EB">
        <w:t xml:space="preserve">met een toegestane rol </w:t>
      </w:r>
      <w:r w:rsidRPr="005721A8" w:rsidR="005721A8">
        <w:t xml:space="preserve">toegang hebben tot de gezondheidsgegevens van de </w:t>
      </w:r>
      <w:r w:rsidR="005721A8">
        <w:t xml:space="preserve">cliënt. </w:t>
      </w:r>
      <w:r w:rsidR="00923D9F">
        <w:t xml:space="preserve">Het CIBG heeft als beheerder van het </w:t>
      </w:r>
      <w:proofErr w:type="spellStart"/>
      <w:r w:rsidR="00923D9F">
        <w:t>NCPeH</w:t>
      </w:r>
      <w:proofErr w:type="spellEnd"/>
      <w:r w:rsidR="00923D9F">
        <w:t xml:space="preserve">-NL de </w:t>
      </w:r>
      <w:r w:rsidR="004049A4">
        <w:t xml:space="preserve">beroepscategorieën </w:t>
      </w:r>
      <w:r w:rsidR="00923D9F">
        <w:t>gekoppeld aan nationale</w:t>
      </w:r>
      <w:r w:rsidR="004049A4">
        <w:t xml:space="preserve"> zorgverlener</w:t>
      </w:r>
      <w:r w:rsidR="00923D9F">
        <w:t xml:space="preserve"> rolcodes uit het UZI-register. </w:t>
      </w:r>
      <w:r w:rsidR="00A215EB">
        <w:t>Daarvoor heeft zij</w:t>
      </w:r>
      <w:r w:rsidR="00923D9F">
        <w:t xml:space="preserve"> een lijst </w:t>
      </w:r>
      <w:r w:rsidRPr="00923D9F" w:rsidR="00923D9F">
        <w:t xml:space="preserve">met </w:t>
      </w:r>
      <w:r w:rsidR="006858C2">
        <w:t xml:space="preserve">aangewezen </w:t>
      </w:r>
      <w:r w:rsidRPr="00923D9F" w:rsidR="00923D9F">
        <w:t>beroepen opgesteld die gebruik mogen maken van de dienstverlening</w:t>
      </w:r>
      <w:r w:rsidR="00923D9F">
        <w:t xml:space="preserve"> van het </w:t>
      </w:r>
      <w:proofErr w:type="spellStart"/>
      <w:r w:rsidR="00923D9F">
        <w:t>NCPeH</w:t>
      </w:r>
      <w:proofErr w:type="spellEnd"/>
      <w:r w:rsidR="00923D9F">
        <w:t xml:space="preserve">-NL. </w:t>
      </w:r>
      <w:r w:rsidRPr="00923D9F" w:rsidR="00923D9F">
        <w:t xml:space="preserve">Conform Nederlandse wetgeving is het in beginsel aan de artsen en ziekenhuizen om te bepalen wie toegang moet hebben tot de patiëntgegevens voor de uitvoering van hun werkzaamheden. </w:t>
      </w:r>
      <w:r w:rsidR="00514768">
        <w:t>H</w:t>
      </w:r>
      <w:r w:rsidR="00923D9F">
        <w:t>e</w:t>
      </w:r>
      <w:r w:rsidRPr="00923D9F" w:rsidR="00923D9F">
        <w:t xml:space="preserve">t </w:t>
      </w:r>
      <w:proofErr w:type="spellStart"/>
      <w:r w:rsidRPr="00923D9F" w:rsidR="00923D9F">
        <w:t>NCPeH</w:t>
      </w:r>
      <w:proofErr w:type="spellEnd"/>
      <w:r w:rsidRPr="00923D9F" w:rsidR="00923D9F">
        <w:t>-NL</w:t>
      </w:r>
      <w:r w:rsidR="00514768">
        <w:t xml:space="preserve"> speelt echter</w:t>
      </w:r>
      <w:r w:rsidRPr="00923D9F" w:rsidR="00923D9F">
        <w:t xml:space="preserve"> een belangrijke rol bij het beperken van de toegang tot </w:t>
      </w:r>
      <w:r w:rsidR="00923D9F">
        <w:t xml:space="preserve">gegevens van een cliënt. </w:t>
      </w:r>
      <w:r w:rsidRPr="00923D9F" w:rsidR="00923D9F">
        <w:t xml:space="preserve">Om de gegevens zo goed mogelijk te beveiligen </w:t>
      </w:r>
      <w:r w:rsidR="0043272C">
        <w:t xml:space="preserve">kan </w:t>
      </w:r>
      <w:r w:rsidR="00923D9F">
        <w:t xml:space="preserve">de toegang vanuit het </w:t>
      </w:r>
      <w:proofErr w:type="spellStart"/>
      <w:r w:rsidR="00923D9F">
        <w:t>NCPeH</w:t>
      </w:r>
      <w:proofErr w:type="spellEnd"/>
      <w:r w:rsidR="00923D9F">
        <w:t>-NL beperkt</w:t>
      </w:r>
      <w:r w:rsidR="0043272C">
        <w:t xml:space="preserve"> worden</w:t>
      </w:r>
      <w:r w:rsidR="00923D9F">
        <w:t xml:space="preserve"> tot een lijst met beroepen voor wie de gegevens</w:t>
      </w:r>
      <w:r w:rsidRPr="5FBA465D" w:rsidR="00923D9F">
        <w:t xml:space="preserve"> </w:t>
      </w:r>
      <w:r w:rsidR="00923D9F">
        <w:t>noodzakelijk zijn.</w:t>
      </w:r>
      <w:r w:rsidRPr="5FBA465D" w:rsidR="00923D9F">
        <w:t xml:space="preserve"> </w:t>
      </w:r>
      <w:r w:rsidR="0043272C">
        <w:t xml:space="preserve">Op dit moment is het alleen mogelijk om de </w:t>
      </w:r>
      <w:r w:rsidR="76CA9363">
        <w:t xml:space="preserve">categorie </w:t>
      </w:r>
      <w:r w:rsidR="0043272C">
        <w:t xml:space="preserve">patiëntsamenvatting als categorie gezondheidsinformatie </w:t>
      </w:r>
      <w:r w:rsidR="00C04C1D">
        <w:t xml:space="preserve">via het </w:t>
      </w:r>
      <w:proofErr w:type="spellStart"/>
      <w:r w:rsidR="00C04C1D">
        <w:t>NCPeH</w:t>
      </w:r>
      <w:proofErr w:type="spellEnd"/>
      <w:r w:rsidR="00C04C1D">
        <w:t xml:space="preserve">-NL </w:t>
      </w:r>
      <w:r w:rsidR="0043272C">
        <w:t>op te vragen</w:t>
      </w:r>
      <w:r w:rsidRPr="5FBA465D" w:rsidR="0043272C">
        <w:t xml:space="preserve">. </w:t>
      </w:r>
      <w:r w:rsidR="00923D9F">
        <w:t xml:space="preserve">Daarom is de lijst met </w:t>
      </w:r>
      <w:r w:rsidRPr="00923D9F" w:rsidR="00923D9F">
        <w:t>beroepen beperk</w:t>
      </w:r>
      <w:r w:rsidR="00923D9F">
        <w:t xml:space="preserve">t </w:t>
      </w:r>
      <w:r w:rsidR="006858C2">
        <w:t xml:space="preserve">tot </w:t>
      </w:r>
      <w:r w:rsidR="006D0CAF">
        <w:t xml:space="preserve">beroepen die vallen onder de categorieën </w:t>
      </w:r>
      <w:r w:rsidRPr="5FBA465D" w:rsidR="00923D9F">
        <w:t>‘</w:t>
      </w:r>
      <w:proofErr w:type="spellStart"/>
      <w:r w:rsidRPr="00923D9F" w:rsidR="00923D9F">
        <w:t>Medical</w:t>
      </w:r>
      <w:proofErr w:type="spellEnd"/>
      <w:r w:rsidRPr="00923D9F" w:rsidR="00923D9F">
        <w:t xml:space="preserve"> Doctors’ en ‘</w:t>
      </w:r>
      <w:proofErr w:type="spellStart"/>
      <w:r w:rsidRPr="00923D9F" w:rsidR="00923D9F">
        <w:t>Nursing</w:t>
      </w:r>
      <w:proofErr w:type="spellEnd"/>
      <w:r w:rsidRPr="00923D9F" w:rsidR="00923D9F">
        <w:t xml:space="preserve"> professionals’</w:t>
      </w:r>
      <w:r w:rsidR="0043272C">
        <w:t xml:space="preserve">, zoals gedefinieerd in de </w:t>
      </w:r>
      <w:r w:rsidRPr="005721A8" w:rsidR="0043272C">
        <w:t>ISCO-08-standaard</w:t>
      </w:r>
      <w:r w:rsidR="0043272C">
        <w:t xml:space="preserve">, omdat voor hen de </w:t>
      </w:r>
      <w:r w:rsidR="0002702B">
        <w:t>toegang tot een patiëntsamenvatting nodig wordt geacht</w:t>
      </w:r>
      <w:r w:rsidRPr="5FBA465D" w:rsidR="00923D9F">
        <w:t>.</w:t>
      </w:r>
      <w:r w:rsidRPr="5FBA465D" w:rsidR="00FD7258">
        <w:t xml:space="preserve"> </w:t>
      </w:r>
      <w:r w:rsidR="00774C6F">
        <w:t xml:space="preserve">Hierbij kan worden gedacht aan verpleegkundigen en medisch specialisten. </w:t>
      </w:r>
      <w:r w:rsidRPr="001A77E4" w:rsidR="000B5642">
        <w:t xml:space="preserve">Bij ministeriële regeling </w:t>
      </w:r>
      <w:r w:rsidR="00FD1832">
        <w:t>worden de</w:t>
      </w:r>
      <w:r w:rsidRPr="5FBA465D" w:rsidR="000B5642">
        <w:t xml:space="preserve"> </w:t>
      </w:r>
      <w:r w:rsidR="00A215EB">
        <w:t>beroep</w:t>
      </w:r>
      <w:r w:rsidR="00FD1832">
        <w:t>en</w:t>
      </w:r>
      <w:r w:rsidRPr="5FBA465D" w:rsidR="00A215EB">
        <w:t xml:space="preserve"> </w:t>
      </w:r>
      <w:r w:rsidR="00FD1832">
        <w:t>aangewezen waarop deze bepaling van toepassing</w:t>
      </w:r>
      <w:r w:rsidRPr="5FBA465D" w:rsidR="00FD1832">
        <w:t xml:space="preserve"> </w:t>
      </w:r>
      <w:r w:rsidR="002F732B">
        <w:t xml:space="preserve">is </w:t>
      </w:r>
      <w:r w:rsidR="00A215EB">
        <w:t>en</w:t>
      </w:r>
      <w:r w:rsidR="002F732B">
        <w:t xml:space="preserve"> die</w:t>
      </w:r>
      <w:r w:rsidR="00A215EB">
        <w:t xml:space="preserve"> daarmee </w:t>
      </w:r>
      <w:r w:rsidR="00926549">
        <w:t xml:space="preserve">toegang hebben tot het </w:t>
      </w:r>
      <w:proofErr w:type="spellStart"/>
      <w:r w:rsidR="00926549">
        <w:t>NCPeH</w:t>
      </w:r>
      <w:proofErr w:type="spellEnd"/>
      <w:r w:rsidR="00926549">
        <w:t>-NL</w:t>
      </w:r>
      <w:r w:rsidRPr="5FBA465D" w:rsidR="0002702B">
        <w:t>.</w:t>
      </w:r>
      <w:r w:rsidR="00FD1832">
        <w:t xml:space="preserve"> </w:t>
      </w:r>
      <w:r w:rsidR="006767A8">
        <w:t>Door deze delegatie naar het niveau van ministeriële regeling is</w:t>
      </w:r>
      <w:r w:rsidR="00FD1832">
        <w:t xml:space="preserve"> het mogelijk om, indien de praktijk daartoe aanleiding geeft, aanvullende beroepscategorieën </w:t>
      </w:r>
      <w:r w:rsidR="00D63B34">
        <w:t>op relatief eenvoudige wijze</w:t>
      </w:r>
      <w:r w:rsidR="006767A8">
        <w:t xml:space="preserve"> aan te wijzen die</w:t>
      </w:r>
      <w:r w:rsidR="00D63B34">
        <w:t xml:space="preserve"> </w:t>
      </w:r>
      <w:r w:rsidR="00C5313C">
        <w:t xml:space="preserve">toegang </w:t>
      </w:r>
      <w:r w:rsidR="006767A8">
        <w:t>dienen te hebben</w:t>
      </w:r>
      <w:r w:rsidR="00C5313C">
        <w:t xml:space="preserve"> tot het </w:t>
      </w:r>
      <w:proofErr w:type="spellStart"/>
      <w:r w:rsidR="00C5313C">
        <w:t>NCPeH</w:t>
      </w:r>
      <w:proofErr w:type="spellEnd"/>
      <w:r w:rsidR="00C5313C">
        <w:t>-NL</w:t>
      </w:r>
      <w:r w:rsidR="00FD1832">
        <w:t xml:space="preserve">. </w:t>
      </w:r>
    </w:p>
    <w:p w:rsidR="003828CF" w:rsidP="00FD4289" w:rsidRDefault="003828CF" w14:paraId="0DE6EAC0" w14:textId="55015A68">
      <w:pPr>
        <w:pStyle w:val="Stijl1"/>
      </w:pPr>
    </w:p>
    <w:p w:rsidRPr="00676726" w:rsidR="00926549" w:rsidP="000F4B07" w:rsidRDefault="006858C2" w14:paraId="006C3F83" w14:textId="42AEA8CA">
      <w:pPr>
        <w:pStyle w:val="Kop3"/>
      </w:pPr>
      <w:r>
        <w:t xml:space="preserve">3.1.3 </w:t>
      </w:r>
      <w:r w:rsidR="00926549">
        <w:t>Gebruik voor het doel van de wet</w:t>
      </w:r>
    </w:p>
    <w:p w:rsidR="00926549" w:rsidP="00FD4289" w:rsidRDefault="00D5413A" w14:paraId="32A62AF7" w14:textId="1FA768F6">
      <w:pPr>
        <w:pStyle w:val="Stijl1"/>
      </w:pPr>
      <w:r w:rsidRPr="00DD0A9C">
        <w:t xml:space="preserve">Zorgaanbieders </w:t>
      </w:r>
      <w:r w:rsidR="004F2B50">
        <w:t>en</w:t>
      </w:r>
      <w:r w:rsidR="00D34E5B">
        <w:t xml:space="preserve"> zorgverleners, </w:t>
      </w:r>
      <w:r>
        <w:t xml:space="preserve">die aan de hierboven beschreven </w:t>
      </w:r>
      <w:r w:rsidR="006E5517">
        <w:t xml:space="preserve">voorwaarden </w:t>
      </w:r>
      <w:r>
        <w:t>voldoen</w:t>
      </w:r>
      <w:r w:rsidRPr="5FBA465D" w:rsidR="00885A7B">
        <w:t>,</w:t>
      </w:r>
      <w:r w:rsidR="00E147AD">
        <w:t xml:space="preserve"> hebben</w:t>
      </w:r>
      <w:r w:rsidR="006E5517">
        <w:t xml:space="preserve"> van rechtswege</w:t>
      </w:r>
      <w:r w:rsidR="00E147AD">
        <w:t xml:space="preserve"> toegang tot het </w:t>
      </w:r>
      <w:proofErr w:type="spellStart"/>
      <w:r w:rsidR="00E147AD">
        <w:t>NCPeH</w:t>
      </w:r>
      <w:proofErr w:type="spellEnd"/>
      <w:r w:rsidR="00E147AD">
        <w:t xml:space="preserve">-NL. Uiteraard mogen </w:t>
      </w:r>
      <w:r w:rsidR="00302793">
        <w:t>zij</w:t>
      </w:r>
      <w:r w:rsidR="00E147AD">
        <w:t xml:space="preserve"> alleen gebruik maken van de diensten van het </w:t>
      </w:r>
      <w:proofErr w:type="spellStart"/>
      <w:r w:rsidR="00E147AD">
        <w:t>NCPeH</w:t>
      </w:r>
      <w:proofErr w:type="spellEnd"/>
      <w:r w:rsidR="00E147AD">
        <w:t xml:space="preserve">-NL voor de in het wetsvoorstel </w:t>
      </w:r>
      <w:r w:rsidR="00585116">
        <w:t xml:space="preserve">opgenomen </w:t>
      </w:r>
      <w:r w:rsidR="00E147AD">
        <w:t xml:space="preserve">beoogde doelen. </w:t>
      </w:r>
      <w:bookmarkEnd w:id="0"/>
      <w:r w:rsidR="00A215EB">
        <w:t xml:space="preserve">Dit betekent dat zij </w:t>
      </w:r>
      <w:r w:rsidR="00926549">
        <w:t xml:space="preserve">het </w:t>
      </w:r>
      <w:proofErr w:type="spellStart"/>
      <w:r w:rsidR="00926549">
        <w:t>NCPeH</w:t>
      </w:r>
      <w:proofErr w:type="spellEnd"/>
      <w:r w:rsidR="00926549">
        <w:t xml:space="preserve">-NL </w:t>
      </w:r>
      <w:r w:rsidR="00C04B03">
        <w:t xml:space="preserve">uitsluitend gebruiken </w:t>
      </w:r>
      <w:r w:rsidR="00926549">
        <w:t xml:space="preserve">om gegevens op te vragen </w:t>
      </w:r>
      <w:r w:rsidR="00A215EB">
        <w:t xml:space="preserve">ten behoeve </w:t>
      </w:r>
      <w:r w:rsidR="00926549">
        <w:t>van</w:t>
      </w:r>
      <w:r w:rsidR="00A215EB">
        <w:t xml:space="preserve"> het verlenen van zorg aan</w:t>
      </w:r>
      <w:r w:rsidR="00926549">
        <w:t xml:space="preserve"> een cliënt </w:t>
      </w:r>
      <w:r w:rsidR="00A215EB">
        <w:t>waarmee zij een behandelrelatie hebben</w:t>
      </w:r>
      <w:r w:rsidRPr="5FBA465D" w:rsidR="000C0C76">
        <w:t xml:space="preserve">. </w:t>
      </w:r>
      <w:r w:rsidRPr="004B0461" w:rsidR="000C0C76">
        <w:t xml:space="preserve">De behandelrelatie moet </w:t>
      </w:r>
      <w:r w:rsidRPr="004B0461" w:rsidR="00D609BF">
        <w:t xml:space="preserve">worden </w:t>
      </w:r>
      <w:r w:rsidRPr="004B0461" w:rsidR="000C0C76">
        <w:t xml:space="preserve">bevestigd door de </w:t>
      </w:r>
      <w:r w:rsidR="003C25FB">
        <w:t xml:space="preserve">behandelende </w:t>
      </w:r>
      <w:r w:rsidRPr="004B0461" w:rsidR="000C0C76">
        <w:t>zorgverlener bij het opvragen van gegevens</w:t>
      </w:r>
      <w:r w:rsidR="000C0C76">
        <w:t>, dit gebeurt door</w:t>
      </w:r>
      <w:r w:rsidRPr="5FBA465D" w:rsidR="005F614B">
        <w:t xml:space="preserve"> </w:t>
      </w:r>
      <w:r w:rsidR="000C0C76">
        <w:t xml:space="preserve">middel van een </w:t>
      </w:r>
      <w:proofErr w:type="spellStart"/>
      <w:r w:rsidR="000C0C76">
        <w:t>cryptografische</w:t>
      </w:r>
      <w:proofErr w:type="spellEnd"/>
      <w:r w:rsidR="000C0C76">
        <w:t xml:space="preserve"> ondertekening. </w:t>
      </w:r>
    </w:p>
    <w:p w:rsidR="000C0C76" w:rsidP="00FD4289" w:rsidRDefault="000C0C76" w14:paraId="7811DEC1" w14:textId="77777777">
      <w:pPr>
        <w:pStyle w:val="Stijl1"/>
      </w:pPr>
    </w:p>
    <w:p w:rsidR="00926549" w:rsidP="000F4B07" w:rsidRDefault="006858C2" w14:paraId="7F7B3D44" w14:textId="49C6CE36">
      <w:pPr>
        <w:pStyle w:val="Kop3"/>
      </w:pPr>
      <w:r>
        <w:t xml:space="preserve">3.1.4 </w:t>
      </w:r>
      <w:r w:rsidR="00926549">
        <w:t xml:space="preserve">Ontzeggen toegang </w:t>
      </w:r>
    </w:p>
    <w:p w:rsidR="762B337B" w:rsidRDefault="000C0C76" w14:paraId="189D4B71" w14:textId="65B53AE0">
      <w:r w:rsidRPr="000C0C76">
        <w:t>Vanwege de gevoeligheid van persoonlijke elektronische gezondheidsgegevens is het van belang om voldoende waarborgen te bieden, zowel op het niveau van de Europese Unie als op nationaal niveau, om een hoge mate van gegevensbescherming, beveiliging, vertrouwelijkheid en ethisch gebruik te garanderen.</w:t>
      </w:r>
      <w:r>
        <w:t xml:space="preserve"> Ieder </w:t>
      </w:r>
      <w:r w:rsidR="27A8E1F7">
        <w:t>nationaal contactpunt</w:t>
      </w:r>
      <w:r>
        <w:t xml:space="preserve"> is verplicht te monitoren op mogelijk oneigenlijk gebruik. Bij </w:t>
      </w:r>
      <w:r w:rsidR="006D0CAF">
        <w:t>een</w:t>
      </w:r>
      <w:r w:rsidRPr="5FBA465D" w:rsidR="007F29A5">
        <w:t xml:space="preserve"> </w:t>
      </w:r>
      <w:r>
        <w:t>vermoeden</w:t>
      </w:r>
      <w:r w:rsidR="00942A0A">
        <w:t xml:space="preserve"> van</w:t>
      </w:r>
      <w:r>
        <w:t xml:space="preserve"> misbruik moet het </w:t>
      </w:r>
      <w:proofErr w:type="spellStart"/>
      <w:r>
        <w:t>NCPeH</w:t>
      </w:r>
      <w:proofErr w:type="spellEnd"/>
      <w:r>
        <w:t>-NL te alle</w:t>
      </w:r>
      <w:r w:rsidR="001D1BBB">
        <w:t>n</w:t>
      </w:r>
      <w:r>
        <w:t xml:space="preserve"> tijden de mogelijkheid hebben om de toegang tot het </w:t>
      </w:r>
      <w:proofErr w:type="spellStart"/>
      <w:r>
        <w:t>NCPeH</w:t>
      </w:r>
      <w:proofErr w:type="spellEnd"/>
      <w:r>
        <w:t xml:space="preserve">-NL (tijdelijk) te ontzeggen. Dit kan bijvoorbeeld het geval zijn wanneer er binnen een korte tijd door </w:t>
      </w:r>
      <w:r w:rsidR="00B65288">
        <w:t xml:space="preserve">dezelfde </w:t>
      </w:r>
      <w:r>
        <w:t xml:space="preserve">gebruiker gegevens van meerdere personen worden opgevraagd. Een tijdelijke </w:t>
      </w:r>
      <w:r w:rsidR="00466145">
        <w:t xml:space="preserve">opschorting </w:t>
      </w:r>
      <w:r>
        <w:t xml:space="preserve">van de toegang </w:t>
      </w:r>
      <w:r w:rsidR="00D64CD2">
        <w:t xml:space="preserve">biedt de mogelijkheid voor het </w:t>
      </w:r>
      <w:proofErr w:type="spellStart"/>
      <w:r w:rsidR="00D64CD2">
        <w:t>NCPeH</w:t>
      </w:r>
      <w:proofErr w:type="spellEnd"/>
      <w:r w:rsidR="00D64CD2">
        <w:t>-NL om te onderzoeken of er inderdaad sprake is van misbruik</w:t>
      </w:r>
      <w:r w:rsidR="00466145">
        <w:t>. In geval van misbruik wordt de toegang ontzegd</w:t>
      </w:r>
      <w:r w:rsidRPr="5FBA465D" w:rsidR="00A215EB">
        <w:t xml:space="preserve"> </w:t>
      </w:r>
      <w:r w:rsidR="00D64CD2">
        <w:t xml:space="preserve">en </w:t>
      </w:r>
      <w:r w:rsidR="00466145">
        <w:t>wordt er</w:t>
      </w:r>
      <w:r w:rsidR="00D64CD2">
        <w:t xml:space="preserve"> melding </w:t>
      </w:r>
      <w:r w:rsidR="00466145">
        <w:t>gemaakt</w:t>
      </w:r>
      <w:r w:rsidR="00D64CD2">
        <w:t xml:space="preserve"> bij de daarvoor bestemde instanties.</w:t>
      </w:r>
      <w:r w:rsidR="00615F5E">
        <w:t xml:space="preserve"> Het opschorten of ontzeggen van de toegang tot het </w:t>
      </w:r>
      <w:proofErr w:type="spellStart"/>
      <w:r w:rsidR="00615F5E">
        <w:t>NCPeH</w:t>
      </w:r>
      <w:proofErr w:type="spellEnd"/>
      <w:r w:rsidR="00615F5E">
        <w:t>-NL kwalificeert als een besluit in de zin van artikel 1:3 van de Algemene wet bestuursrecht, hetgeen betekent dat daartegen de mogelijkheid van bezwaar en beroep openstaat.</w:t>
      </w:r>
    </w:p>
    <w:p w:rsidR="00474477" w:rsidP="000C0C76" w:rsidRDefault="00474477" w14:paraId="7C71C0BB" w14:textId="77777777"/>
    <w:p w:rsidR="00474477" w:rsidP="000C0C76" w:rsidRDefault="00474477" w14:paraId="3D70B2A8" w14:textId="03D13039">
      <w:r>
        <w:t xml:space="preserve">Wanneer de toegang tot het </w:t>
      </w:r>
      <w:proofErr w:type="spellStart"/>
      <w:r>
        <w:t>NCPeH</w:t>
      </w:r>
      <w:proofErr w:type="spellEnd"/>
      <w:r>
        <w:t xml:space="preserve">-NL is </w:t>
      </w:r>
      <w:r w:rsidR="004224CA">
        <w:t xml:space="preserve">opgeschort of ontzegd </w:t>
      </w:r>
      <w:r>
        <w:t xml:space="preserve">kan de </w:t>
      </w:r>
      <w:r w:rsidR="00C80D66">
        <w:t>betreffende</w:t>
      </w:r>
      <w:r w:rsidRPr="5FBA465D" w:rsidR="00A84545">
        <w:t xml:space="preserve"> </w:t>
      </w:r>
      <w:r w:rsidR="003C25FB">
        <w:t xml:space="preserve">zorgaanbieder </w:t>
      </w:r>
      <w:r w:rsidR="00005887">
        <w:t xml:space="preserve">of </w:t>
      </w:r>
      <w:r w:rsidRPr="00005887" w:rsidR="00005887">
        <w:t>zorgverlener</w:t>
      </w:r>
      <w:r w:rsidR="00844575">
        <w:t xml:space="preserve"> </w:t>
      </w:r>
      <w:r>
        <w:t xml:space="preserve">geen gebruik maken van het </w:t>
      </w:r>
      <w:proofErr w:type="spellStart"/>
      <w:r>
        <w:t>NCPeH</w:t>
      </w:r>
      <w:proofErr w:type="spellEnd"/>
      <w:r>
        <w:t>-NL om gegevens op te vragen</w:t>
      </w:r>
      <w:r w:rsidR="00D647A3">
        <w:t xml:space="preserve"> over een cliënt uit een andere lidstaat, hetgeen gevolgen kan hebben voor zorg aan cliënten uit andere lidstaten. Het </w:t>
      </w:r>
      <w:r w:rsidR="006D0CAF">
        <w:t xml:space="preserve">belang bij het </w:t>
      </w:r>
      <w:r w:rsidR="00D647A3">
        <w:t xml:space="preserve">voorkomen en tegengaan van misbruik van bijzondere persoonsgegevens weegt echter zwaarder. De cliënt uit de andere lidstaat zal nog steeds zorg ontvangen. De </w:t>
      </w:r>
      <w:r w:rsidR="003C25FB">
        <w:t xml:space="preserve">zorgaanbieder </w:t>
      </w:r>
      <w:r w:rsidR="00D609BF">
        <w:t>of</w:t>
      </w:r>
      <w:r w:rsidR="003C25FB">
        <w:t xml:space="preserve"> </w:t>
      </w:r>
      <w:r w:rsidR="00A84545">
        <w:t>zorgverlener</w:t>
      </w:r>
      <w:r w:rsidRPr="5FBA465D" w:rsidR="003C25FB">
        <w:t xml:space="preserve"> </w:t>
      </w:r>
      <w:r w:rsidR="00D006F3">
        <w:t xml:space="preserve">aan wie </w:t>
      </w:r>
      <w:r w:rsidR="003C25FB">
        <w:t>de toegang is ontzegd</w:t>
      </w:r>
      <w:r w:rsidRPr="5FBA465D" w:rsidR="00D006F3">
        <w:t>,</w:t>
      </w:r>
      <w:r w:rsidRPr="5FBA465D" w:rsidR="00A84545">
        <w:t xml:space="preserve"> </w:t>
      </w:r>
      <w:r w:rsidR="00D647A3">
        <w:t xml:space="preserve">heeft alleen geen toegang meer tot </w:t>
      </w:r>
      <w:r w:rsidR="001D1BBB">
        <w:t xml:space="preserve">specifiek </w:t>
      </w:r>
      <w:r w:rsidR="00D647A3">
        <w:t xml:space="preserve">de gegevens die via het </w:t>
      </w:r>
      <w:proofErr w:type="spellStart"/>
      <w:r w:rsidR="00D647A3">
        <w:t>NCPeH</w:t>
      </w:r>
      <w:proofErr w:type="spellEnd"/>
      <w:r w:rsidR="00D647A3">
        <w:t>-NL kunnen worden verstrekt. Daarnaast wordt de toegang alleen ontzeg</w:t>
      </w:r>
      <w:r w:rsidR="00675E3C">
        <w:t>d</w:t>
      </w:r>
      <w:r w:rsidR="00D647A3">
        <w:t xml:space="preserve"> als het</w:t>
      </w:r>
      <w:r w:rsidR="00B37D65">
        <w:t xml:space="preserve"> proportioneel is.</w:t>
      </w:r>
    </w:p>
    <w:p w:rsidR="000C0C76" w:rsidP="000C0C76" w:rsidRDefault="000C0C76" w14:paraId="1FA6317E" w14:textId="77777777"/>
    <w:p w:rsidRPr="00B34207" w:rsidR="00926549" w:rsidP="00EC2166" w:rsidRDefault="00D647A3" w14:paraId="75EFA0B8" w14:textId="15694016">
      <w:r>
        <w:t>De</w:t>
      </w:r>
      <w:r w:rsidRPr="00D647A3">
        <w:t xml:space="preserve"> ontzegging</w:t>
      </w:r>
      <w:r w:rsidRPr="5FBA465D">
        <w:t xml:space="preserve"> </w:t>
      </w:r>
      <w:r w:rsidR="00D006F3">
        <w:t xml:space="preserve">van toegang tot het </w:t>
      </w:r>
      <w:proofErr w:type="spellStart"/>
      <w:r w:rsidR="00D006F3">
        <w:t>NCPeH</w:t>
      </w:r>
      <w:proofErr w:type="spellEnd"/>
      <w:r w:rsidR="00D006F3">
        <w:t xml:space="preserve">-NL </w:t>
      </w:r>
      <w:r>
        <w:t>zal worden</w:t>
      </w:r>
      <w:r w:rsidRPr="00D647A3">
        <w:t xml:space="preserve"> beëindig</w:t>
      </w:r>
      <w:r w:rsidR="00C45E2A">
        <w:t>d</w:t>
      </w:r>
      <w:r w:rsidRPr="00D647A3">
        <w:t xml:space="preserve"> als de </w:t>
      </w:r>
      <w:r w:rsidRPr="00D647A3" w:rsidR="00A84545">
        <w:t xml:space="preserve">zorgaanbieder </w:t>
      </w:r>
      <w:r w:rsidRPr="00D647A3">
        <w:t>heeft aangetoond dat n</w:t>
      </w:r>
      <w:r w:rsidRPr="00D647A3" w:rsidR="6B25938B">
        <w:t>iet langer aanleiding bestaat</w:t>
      </w:r>
      <w:r w:rsidRPr="00D647A3" w:rsidR="0A274E52">
        <w:t xml:space="preserve"> de on</w:t>
      </w:r>
      <w:r w:rsidRPr="00D647A3" w:rsidR="5BF6B2A2">
        <w:t>tzegging te handhaven</w:t>
      </w:r>
      <w:r w:rsidRPr="5FBA465D">
        <w:t xml:space="preserve">. </w:t>
      </w:r>
      <w:r w:rsidR="00D006F3">
        <w:t>E</w:t>
      </w:r>
      <w:r w:rsidRPr="00D647A3">
        <w:t>en zorgaanbieder</w:t>
      </w:r>
      <w:r w:rsidR="00D006F3">
        <w:t xml:space="preserve"> kan dit</w:t>
      </w:r>
      <w:r w:rsidRPr="5FBA465D">
        <w:t xml:space="preserve"> </w:t>
      </w:r>
      <w:r w:rsidR="00A84545">
        <w:t xml:space="preserve">bijvoorbeeld </w:t>
      </w:r>
      <w:r w:rsidRPr="00D647A3">
        <w:t xml:space="preserve">aantonen door aan te geven dat er passende maatregelen zijn genomen tegen onrechtmatig gebruik van de toegang tot </w:t>
      </w:r>
      <w:proofErr w:type="spellStart"/>
      <w:r w:rsidRPr="00D647A3">
        <w:t>NCPeH</w:t>
      </w:r>
      <w:proofErr w:type="spellEnd"/>
      <w:r>
        <w:t>-NL</w:t>
      </w:r>
      <w:r w:rsidRPr="5FBA465D">
        <w:t>.</w:t>
      </w:r>
      <w:r w:rsidRPr="5FBA465D" w:rsidR="009E4605">
        <w:t xml:space="preserve"> </w:t>
      </w:r>
      <w:r w:rsidR="00F86276">
        <w:t xml:space="preserve">De nadere invulling van de bevoegdheden tot het opschorten van de toegang, het ontzeggen van de toegang en het beëindigen van ontzegging vindt plaats in beleidsregels. </w:t>
      </w:r>
    </w:p>
    <w:p w:rsidR="00C02574" w:rsidP="00F570EA" w:rsidRDefault="00C02574" w14:paraId="4B840483" w14:textId="7EEC8DD7">
      <w:pPr>
        <w:pStyle w:val="Kop1"/>
        <w:numPr>
          <w:ilvl w:val="0"/>
          <w:numId w:val="9"/>
        </w:numPr>
        <w:spacing w:line="276" w:lineRule="auto"/>
      </w:pPr>
      <w:r w:rsidRPr="006F1297">
        <w:t>Verwer</w:t>
      </w:r>
      <w:r w:rsidRPr="006F1297" w:rsidR="00BC3EC5">
        <w:t>k</w:t>
      </w:r>
      <w:r w:rsidRPr="006F1297">
        <w:t>ing van persoonsgegevens door Nationaal Contactpunt voor Digitale Gezondheid</w:t>
      </w:r>
    </w:p>
    <w:p w:rsidRPr="00FD4289" w:rsidR="00514A55" w:rsidP="000F4B07" w:rsidRDefault="00514A55" w14:paraId="32E89FC1" w14:textId="50B6AD70">
      <w:pPr>
        <w:pStyle w:val="Kop2"/>
      </w:pPr>
      <w:r>
        <w:t xml:space="preserve"> </w:t>
      </w:r>
      <w:r w:rsidR="005505C3">
        <w:t xml:space="preserve">4.1 </w:t>
      </w:r>
      <w:r w:rsidRPr="00514A55">
        <w:t xml:space="preserve">Inleiding </w:t>
      </w:r>
    </w:p>
    <w:p w:rsidR="00653568" w:rsidP="00C02574" w:rsidRDefault="00C02574" w14:paraId="7C4CCD65" w14:textId="1AFE9CDF">
      <w:r w:rsidRPr="00814532">
        <w:t xml:space="preserve">Via het </w:t>
      </w:r>
      <w:proofErr w:type="spellStart"/>
      <w:r w:rsidRPr="00814532">
        <w:t>MyHealth@EU-netwerk</w:t>
      </w:r>
      <w:proofErr w:type="spellEnd"/>
      <w:r w:rsidRPr="00814532">
        <w:t xml:space="preserve"> kunnen categorieën van gezondheidsinformatie</w:t>
      </w:r>
      <w:r w:rsidRPr="5FBA465D">
        <w:t xml:space="preserve"> </w:t>
      </w:r>
      <w:r w:rsidRPr="5FBA465D">
        <w:rPr>
          <w:i/>
          <w:iCs/>
        </w:rPr>
        <w:t>(Crossborder eHealth Information Services</w:t>
      </w:r>
      <w:r w:rsidRPr="00814532">
        <w:t xml:space="preserve">) tussen </w:t>
      </w:r>
      <w:r w:rsidR="006D0CAF">
        <w:t xml:space="preserve">zorgaanbieders uit deelnemende lidstaten worden uitgewisseld. Categorieën van gezondheidsinformatie </w:t>
      </w:r>
      <w:r w:rsidRPr="00814532">
        <w:t xml:space="preserve">bevatten een vastgestelde set </w:t>
      </w:r>
      <w:bookmarkStart w:name="_Hlk204954508" w:id="3"/>
      <w:r w:rsidRPr="00814532">
        <w:t>persoonlijke</w:t>
      </w:r>
      <w:r w:rsidRPr="5FBA465D">
        <w:t xml:space="preserve"> (</w:t>
      </w:r>
      <w:proofErr w:type="spellStart"/>
      <w:r w:rsidRPr="00814532">
        <w:t>gezondheids</w:t>
      </w:r>
      <w:proofErr w:type="spellEnd"/>
      <w:r w:rsidRPr="00814532">
        <w:t xml:space="preserve">)gegevens </w:t>
      </w:r>
      <w:bookmarkEnd w:id="3"/>
      <w:r w:rsidRPr="00814532">
        <w:t>op basis van een Europees uitwisselformaat.</w:t>
      </w:r>
      <w:r>
        <w:t xml:space="preserve"> Op </w:t>
      </w:r>
      <w:r w:rsidR="00CB62AB">
        <w:t xml:space="preserve">het </w:t>
      </w:r>
      <w:r>
        <w:t>moment</w:t>
      </w:r>
      <w:r w:rsidRPr="5FBA465D">
        <w:t xml:space="preserve"> </w:t>
      </w:r>
      <w:r w:rsidR="00CB62AB">
        <w:t xml:space="preserve">van schrijven </w:t>
      </w:r>
      <w:r w:rsidR="00D64CD2">
        <w:t xml:space="preserve">ondersteunt het </w:t>
      </w:r>
      <w:proofErr w:type="spellStart"/>
      <w:r w:rsidRPr="00814532" w:rsidR="00D64CD2">
        <w:t>MyHealth@EU-netwerk</w:t>
      </w:r>
      <w:proofErr w:type="spellEnd"/>
      <w:r w:rsidRPr="5FBA465D" w:rsidR="00125FBE">
        <w:t xml:space="preserve"> </w:t>
      </w:r>
      <w:r w:rsidR="00D64CD2">
        <w:t xml:space="preserve">de uitwisseling van </w:t>
      </w:r>
      <w:r w:rsidR="00B37D65">
        <w:t>drie</w:t>
      </w:r>
      <w:r w:rsidRPr="00814532" w:rsidR="00B37D65">
        <w:t xml:space="preserve"> </w:t>
      </w:r>
      <w:r w:rsidRPr="00814532">
        <w:t>categorieën van gezondheidsinformatie:</w:t>
      </w:r>
      <w:r w:rsidRPr="5FBA465D" w:rsidR="00F80CC1">
        <w:t xml:space="preserve"> </w:t>
      </w:r>
      <w:r w:rsidRPr="00F80CC1" w:rsidR="00F80CC1">
        <w:t>de patiëntsamenvattingen (</w:t>
      </w:r>
      <w:proofErr w:type="spellStart"/>
      <w:r w:rsidRPr="00AD4A80" w:rsidR="00F80CC1">
        <w:rPr>
          <w:i/>
          <w:iCs/>
        </w:rPr>
        <w:t>Patient</w:t>
      </w:r>
      <w:proofErr w:type="spellEnd"/>
      <w:r w:rsidRPr="00AD4A80" w:rsidR="00F80CC1">
        <w:rPr>
          <w:i/>
          <w:iCs/>
        </w:rPr>
        <w:t xml:space="preserve"> </w:t>
      </w:r>
      <w:proofErr w:type="spellStart"/>
      <w:r w:rsidRPr="5FBA465D" w:rsidR="00F80CC1">
        <w:rPr>
          <w:i/>
          <w:iCs/>
        </w:rPr>
        <w:t>Summaries</w:t>
      </w:r>
      <w:proofErr w:type="spellEnd"/>
      <w:r w:rsidRPr="00F80CC1" w:rsidR="00F80CC1">
        <w:t>), elektronische</w:t>
      </w:r>
      <w:r w:rsidRPr="5FBA465D" w:rsidR="00F80CC1">
        <w:t xml:space="preserve"> </w:t>
      </w:r>
      <w:r w:rsidRPr="00F80CC1" w:rsidR="00F80CC1">
        <w:t>recepten</w:t>
      </w:r>
      <w:r w:rsidR="00A5700B">
        <w:t xml:space="preserve"> en </w:t>
      </w:r>
      <w:r w:rsidR="00F80CC1">
        <w:t xml:space="preserve">verstrekkingen </w:t>
      </w:r>
      <w:r w:rsidRPr="00AD4A80" w:rsidR="00F80CC1">
        <w:rPr>
          <w:i/>
          <w:iCs/>
        </w:rPr>
        <w:t>(</w:t>
      </w:r>
      <w:proofErr w:type="spellStart"/>
      <w:r w:rsidRPr="00AD4A80" w:rsidR="00F80CC1">
        <w:rPr>
          <w:i/>
          <w:iCs/>
        </w:rPr>
        <w:t>ePrescription</w:t>
      </w:r>
      <w:proofErr w:type="spellEnd"/>
      <w:r w:rsidRPr="5FBA465D" w:rsidR="00F80CC1">
        <w:rPr>
          <w:i/>
          <w:iCs/>
        </w:rPr>
        <w:t>/</w:t>
      </w:r>
      <w:proofErr w:type="spellStart"/>
      <w:r w:rsidRPr="5FBA465D" w:rsidR="00F80CC1">
        <w:rPr>
          <w:i/>
          <w:iCs/>
        </w:rPr>
        <w:t>eDispensation</w:t>
      </w:r>
      <w:proofErr w:type="spellEnd"/>
      <w:r w:rsidRPr="00F80CC1" w:rsidR="00F80CC1">
        <w:t>) en lab uitslagen (</w:t>
      </w:r>
      <w:r w:rsidRPr="00AD4A80" w:rsidR="00F80CC1">
        <w:rPr>
          <w:i/>
          <w:iCs/>
        </w:rPr>
        <w:t xml:space="preserve">Lab </w:t>
      </w:r>
      <w:proofErr w:type="spellStart"/>
      <w:r w:rsidRPr="00AD4A80" w:rsidR="00F80CC1">
        <w:rPr>
          <w:i/>
          <w:iCs/>
        </w:rPr>
        <w:t>Results</w:t>
      </w:r>
      <w:proofErr w:type="spellEnd"/>
      <w:r w:rsidRPr="00F80CC1" w:rsidR="00F80CC1">
        <w:t>). Vanaf oktober 2026 z</w:t>
      </w:r>
      <w:r w:rsidR="00AE375C">
        <w:t>al</w:t>
      </w:r>
      <w:r w:rsidRPr="00F80CC1" w:rsidR="00F80CC1">
        <w:t xml:space="preserve"> ook de</w:t>
      </w:r>
      <w:r w:rsidR="00AE375C">
        <w:t xml:space="preserve"> uitwisseling van</w:t>
      </w:r>
      <w:r w:rsidRPr="00F80CC1" w:rsidR="00F80CC1">
        <w:t xml:space="preserve"> categorieën ontslagverslagen (</w:t>
      </w:r>
      <w:proofErr w:type="spellStart"/>
      <w:r w:rsidRPr="00AD4A80" w:rsidR="00F80CC1">
        <w:rPr>
          <w:i/>
          <w:iCs/>
        </w:rPr>
        <w:t>Hospital</w:t>
      </w:r>
      <w:proofErr w:type="spellEnd"/>
      <w:r w:rsidRPr="00AD4A80" w:rsidR="00F80CC1">
        <w:rPr>
          <w:i/>
          <w:iCs/>
        </w:rPr>
        <w:t xml:space="preserve"> Discharge </w:t>
      </w:r>
      <w:proofErr w:type="spellStart"/>
      <w:r w:rsidRPr="00AD4A80" w:rsidR="00F80CC1">
        <w:rPr>
          <w:i/>
          <w:iCs/>
        </w:rPr>
        <w:t>Report</w:t>
      </w:r>
      <w:r w:rsidRPr="5FBA465D" w:rsidR="00F80CC1">
        <w:rPr>
          <w:i/>
          <w:iCs/>
        </w:rPr>
        <w:t>s</w:t>
      </w:r>
      <w:proofErr w:type="spellEnd"/>
      <w:r w:rsidRPr="00F80CC1" w:rsidR="00F80CC1">
        <w:t>) en beeld</w:t>
      </w:r>
      <w:r w:rsidR="008E006D">
        <w:t>verslagen</w:t>
      </w:r>
      <w:r w:rsidRPr="00F80CC1" w:rsidR="00F80CC1">
        <w:t xml:space="preserve"> (</w:t>
      </w:r>
      <w:r w:rsidRPr="00AD4A80" w:rsidR="00F80CC1">
        <w:rPr>
          <w:i/>
          <w:iCs/>
        </w:rPr>
        <w:t xml:space="preserve">Image </w:t>
      </w:r>
      <w:proofErr w:type="spellStart"/>
      <w:r w:rsidRPr="00AD4A80" w:rsidR="00F80CC1">
        <w:rPr>
          <w:i/>
          <w:iCs/>
        </w:rPr>
        <w:t>Reports</w:t>
      </w:r>
      <w:proofErr w:type="spellEnd"/>
      <w:r w:rsidRPr="5FBA465D">
        <w:t>)</w:t>
      </w:r>
      <w:r w:rsidR="00AE375C">
        <w:t xml:space="preserve"> worden ondersteund</w:t>
      </w:r>
      <w:r w:rsidRPr="5FBA465D" w:rsidR="00F80CC1">
        <w:t>.</w:t>
      </w:r>
      <w:r w:rsidRPr="5FBA465D">
        <w:t xml:space="preserve"> </w:t>
      </w:r>
      <w:r w:rsidR="00F80CC1">
        <w:t xml:space="preserve">De verschillende categorieën zullen gefaseerd worden geïntroduceerd </w:t>
      </w:r>
      <w:r w:rsidR="00770A7F">
        <w:t>in</w:t>
      </w:r>
      <w:r w:rsidR="00F80CC1">
        <w:t xml:space="preserve"> het </w:t>
      </w:r>
      <w:proofErr w:type="spellStart"/>
      <w:r w:rsidR="00F80CC1">
        <w:t>NCPeH</w:t>
      </w:r>
      <w:proofErr w:type="spellEnd"/>
      <w:r w:rsidR="00F80CC1">
        <w:t>-NL.</w:t>
      </w:r>
      <w:r w:rsidR="008C3D38">
        <w:t xml:space="preserve"> </w:t>
      </w:r>
      <w:r w:rsidR="005F3795">
        <w:t>In eerste instantie</w:t>
      </w:r>
      <w:r w:rsidR="008C3D38">
        <w:t xml:space="preserve"> wordt de uitwisseling </w:t>
      </w:r>
      <w:r w:rsidR="003B12D1">
        <w:t xml:space="preserve">van </w:t>
      </w:r>
      <w:r w:rsidR="008C3D38">
        <w:t>patiëntsamenvatting</w:t>
      </w:r>
      <w:r w:rsidR="0021172A">
        <w:t>en</w:t>
      </w:r>
      <w:r w:rsidR="00B37D65">
        <w:t xml:space="preserve"> bij het </w:t>
      </w:r>
      <w:proofErr w:type="spellStart"/>
      <w:r w:rsidR="00B37D65">
        <w:t>NCPeH</w:t>
      </w:r>
      <w:proofErr w:type="spellEnd"/>
      <w:r w:rsidR="00B37D65">
        <w:t>-NL</w:t>
      </w:r>
      <w:r w:rsidR="008C3D38">
        <w:t xml:space="preserve"> mogelijk gemaakt</w:t>
      </w:r>
      <w:r w:rsidR="00D64CD2">
        <w:t xml:space="preserve">. </w:t>
      </w:r>
      <w:r w:rsidR="000743B2">
        <w:t>Dit</w:t>
      </w:r>
      <w:r w:rsidRPr="009E07DE" w:rsidR="008C3D38">
        <w:t xml:space="preserve"> besluit concretiseert</w:t>
      </w:r>
      <w:r w:rsidR="008C3D38">
        <w:t xml:space="preserve"> daarom enkel</w:t>
      </w:r>
      <w:r w:rsidRPr="009E07DE" w:rsidR="008C3D38">
        <w:t xml:space="preserve"> welke gegevens worden verwerkt voor de categorie patiëntsamenvattingen. </w:t>
      </w:r>
      <w:r w:rsidR="00D64CD2">
        <w:t xml:space="preserve">Wanneer </w:t>
      </w:r>
      <w:r w:rsidR="00CB62AB">
        <w:t xml:space="preserve">op termijn </w:t>
      </w:r>
      <w:r w:rsidR="00D64CD2">
        <w:t>andere</w:t>
      </w:r>
      <w:r w:rsidRPr="009E07DE" w:rsidR="008C3D38">
        <w:t xml:space="preserve"> categorieën van</w:t>
      </w:r>
      <w:r w:rsidRPr="5FBA465D" w:rsidR="008C3D38">
        <w:t xml:space="preserve"> </w:t>
      </w:r>
      <w:r w:rsidRPr="009E07DE" w:rsidR="008C3D38">
        <w:t>gezondheidsinformatie</w:t>
      </w:r>
      <w:r w:rsidR="00D64CD2">
        <w:t xml:space="preserve"> </w:t>
      </w:r>
      <w:r w:rsidR="00B37D65">
        <w:t xml:space="preserve">bij het </w:t>
      </w:r>
      <w:proofErr w:type="spellStart"/>
      <w:r w:rsidR="00B37D65">
        <w:t>NCPeH</w:t>
      </w:r>
      <w:proofErr w:type="spellEnd"/>
      <w:r w:rsidR="00B37D65">
        <w:t xml:space="preserve">-NL </w:t>
      </w:r>
      <w:r w:rsidR="00D64CD2">
        <w:t xml:space="preserve">worden geïmplementeerd, zal de concretisering daarvan </w:t>
      </w:r>
      <w:r w:rsidRPr="009E07DE" w:rsidR="008C3D38">
        <w:t>middels een wijziging van dit besluit</w:t>
      </w:r>
      <w:r w:rsidRPr="5FBA465D" w:rsidR="0021172A">
        <w:t xml:space="preserve"> </w:t>
      </w:r>
      <w:r w:rsidRPr="009E07DE" w:rsidR="0021172A">
        <w:t>worden toegevoegd</w:t>
      </w:r>
      <w:r w:rsidRPr="5FBA465D" w:rsidR="008C3D38">
        <w:t>.</w:t>
      </w:r>
    </w:p>
    <w:p w:rsidR="00653568" w:rsidP="008C3D38" w:rsidRDefault="00653568" w14:paraId="469C7940" w14:textId="77777777"/>
    <w:p w:rsidR="00F7517D" w:rsidP="00C02574" w:rsidRDefault="009E07DE" w14:paraId="17F57C1E" w14:textId="77777777">
      <w:r w:rsidDel="00D64CD2">
        <w:t xml:space="preserve">Zoals </w:t>
      </w:r>
      <w:r w:rsidDel="00D64CD2" w:rsidR="00DE2EE8">
        <w:t>in de memorie van toelichting</w:t>
      </w:r>
      <w:r w:rsidRPr="71674015" w:rsidDel="00D64CD2" w:rsidR="00DE2EE8">
        <w:t xml:space="preserve"> </w:t>
      </w:r>
      <w:r w:rsidR="00FD24E3">
        <w:t>van</w:t>
      </w:r>
      <w:r w:rsidRPr="71674015" w:rsidDel="00D64CD2" w:rsidR="00DE2EE8">
        <w:t xml:space="preserve"> </w:t>
      </w:r>
      <w:r w:rsidDel="00D64CD2" w:rsidR="00DE2EE8">
        <w:t>het wetsvoorstel nader is uitgewerkt</w:t>
      </w:r>
      <w:r w:rsidDel="00D64CD2">
        <w:t xml:space="preserve">, kunnen de categorieën </w:t>
      </w:r>
      <w:r w:rsidR="007F29A5">
        <w:t xml:space="preserve">van </w:t>
      </w:r>
      <w:r w:rsidDel="00D64CD2">
        <w:t xml:space="preserve">gezondheidsinformatie in twee richtingen worden uitgewisseld: van Nederland naar andere Europese lidstaten (A-uitwisseling) en van een andere </w:t>
      </w:r>
      <w:r w:rsidDel="00D64CD2" w:rsidR="00D81294">
        <w:t>lidstaat</w:t>
      </w:r>
      <w:r w:rsidDel="00D64CD2">
        <w:t xml:space="preserve"> naar Nederland (B-uitwisseling).</w:t>
      </w:r>
      <w:r w:rsidR="00F040F2">
        <w:rPr>
          <w:rStyle w:val="Voetnootmarkering"/>
        </w:rPr>
        <w:footnoteReference w:id="12"/>
      </w:r>
      <w:r w:rsidDel="00D64CD2">
        <w:t xml:space="preserve"> Deze twee uitwisselrichtingen worden gezien als twee aparte categorieën</w:t>
      </w:r>
      <w:r w:rsidRPr="71674015" w:rsidDel="00D64CD2" w:rsidR="00D5413A">
        <w:t xml:space="preserve">, </w:t>
      </w:r>
      <w:r w:rsidR="00653568">
        <w:t xml:space="preserve">omdat het land van herkomst van de gegevens leidend is voor welke gegevens er worden </w:t>
      </w:r>
      <w:r w:rsidR="00BE4C5F">
        <w:t>verwerkt</w:t>
      </w:r>
      <w:r w:rsidR="00653568">
        <w:t>. In</w:t>
      </w:r>
      <w:r w:rsidDel="00D64CD2">
        <w:t xml:space="preserve"> het wetsvoorstel</w:t>
      </w:r>
      <w:r w:rsidDel="00D64CD2" w:rsidR="00D5413A">
        <w:t xml:space="preserve"> is expliciet </w:t>
      </w:r>
      <w:r w:rsidDel="00D64CD2">
        <w:t>onderscheid gemaakt tussen deze</w:t>
      </w:r>
      <w:r w:rsidDel="00D64CD2" w:rsidR="00D5413A">
        <w:t xml:space="preserve"> twee</w:t>
      </w:r>
      <w:r w:rsidDel="00D64CD2">
        <w:t xml:space="preserve"> uitwisseling</w:t>
      </w:r>
      <w:r w:rsidDel="00D64CD2" w:rsidR="00D5413A">
        <w:t>en.</w:t>
      </w:r>
      <w:r w:rsidRPr="71674015" w:rsidR="00653568">
        <w:t xml:space="preserve"> </w:t>
      </w:r>
      <w:r w:rsidR="68146486">
        <w:t xml:space="preserve">In </w:t>
      </w:r>
      <w:r w:rsidR="00B37D65">
        <w:t xml:space="preserve">paragraaf </w:t>
      </w:r>
      <w:r w:rsidR="68146486">
        <w:t>4.3</w:t>
      </w:r>
      <w:r w:rsidR="00653568">
        <w:t xml:space="preserve"> worden de categorieën nader uitgewerkt. </w:t>
      </w:r>
    </w:p>
    <w:p w:rsidR="00D5413A" w:rsidP="00C02574" w:rsidRDefault="00D5413A" w14:paraId="091D3C82" w14:textId="66A9B79A">
      <w:r w:rsidRPr="71674015" w:rsidDel="00D64CD2">
        <w:t xml:space="preserve"> </w:t>
      </w:r>
    </w:p>
    <w:p w:rsidR="00C02574" w:rsidP="000F4B07" w:rsidRDefault="005505C3" w14:paraId="5E0D2F21" w14:textId="18A8A645">
      <w:pPr>
        <w:pStyle w:val="Kop2"/>
      </w:pPr>
      <w:bookmarkStart w:name="_Hlk207633546" w:id="4"/>
      <w:r w:rsidRPr="00E06DFE">
        <w:t>4.2</w:t>
      </w:r>
      <w:r w:rsidRPr="00E06DFE" w:rsidR="009E07DE">
        <w:t xml:space="preserve"> </w:t>
      </w:r>
      <w:r w:rsidRPr="00E06DFE">
        <w:t>Identificerende gegevens</w:t>
      </w:r>
    </w:p>
    <w:p w:rsidR="00C50632" w:rsidP="00BE4C5F" w:rsidRDefault="00BB6EEF" w14:paraId="6DF8AA74" w14:textId="4DB5F58E">
      <w:bookmarkStart w:name="_Hlk207632714" w:id="5"/>
      <w:r>
        <w:t xml:space="preserve">Bij ieder verzoek voor uitwisseling van een categorie </w:t>
      </w:r>
      <w:r w:rsidR="00806997">
        <w:t xml:space="preserve">van </w:t>
      </w:r>
      <w:r>
        <w:t xml:space="preserve">gezondheidsinformatie dat bij het </w:t>
      </w:r>
      <w:proofErr w:type="spellStart"/>
      <w:r>
        <w:t>NCPeH</w:t>
      </w:r>
      <w:proofErr w:type="spellEnd"/>
      <w:r>
        <w:t>-NL binnenkom</w:t>
      </w:r>
      <w:r w:rsidR="00C57DFB">
        <w:t xml:space="preserve">t, moet de identiteit van de cliënt worden vastgesteld. Hiervoor verwerkt het </w:t>
      </w:r>
      <w:proofErr w:type="spellStart"/>
      <w:r w:rsidR="00C57DFB">
        <w:t>NCPeH</w:t>
      </w:r>
      <w:proofErr w:type="spellEnd"/>
      <w:r w:rsidR="00C57DFB">
        <w:t xml:space="preserve">-NL </w:t>
      </w:r>
      <w:r>
        <w:t xml:space="preserve">een bepaalde </w:t>
      </w:r>
      <w:r w:rsidRPr="00292DAA" w:rsidR="00292DAA">
        <w:t>set identificerende gegevens</w:t>
      </w:r>
      <w:r w:rsidRPr="5FBA465D" w:rsidR="00C57DFB">
        <w:t xml:space="preserve">. </w:t>
      </w:r>
      <w:r w:rsidR="00C57DFB">
        <w:t>Deze identificerende gegevens bestaan uit een subset van de demografische gegevens over de cliënt</w:t>
      </w:r>
      <w:r w:rsidRPr="5FBA465D" w:rsidR="00FD40DF">
        <w:t xml:space="preserve">, </w:t>
      </w:r>
      <w:r w:rsidR="00FD40DF">
        <w:t>zoals naam, geboortedatum en een uniek nummer ter identificatie van de cliënt</w:t>
      </w:r>
      <w:r w:rsidRPr="5FBA465D" w:rsidR="00C57DFB">
        <w:t>.</w:t>
      </w:r>
      <w:r w:rsidR="00FD40DF">
        <w:t xml:space="preserve"> Daarnaast worden gegevens over de opvragende zorgaanbieder en </w:t>
      </w:r>
      <w:r w:rsidR="304D708A">
        <w:t>het moment va</w:t>
      </w:r>
      <w:r w:rsidR="71674015">
        <w:t xml:space="preserve">n </w:t>
      </w:r>
      <w:r w:rsidR="00FD40DF">
        <w:t>de opvraging verwerkt. Deze set</w:t>
      </w:r>
      <w:r w:rsidR="0036490B">
        <w:t xml:space="preserve"> </w:t>
      </w:r>
      <w:r w:rsidR="00770A7F">
        <w:t>zal</w:t>
      </w:r>
      <w:r w:rsidR="00FD40DF">
        <w:t xml:space="preserve"> </w:t>
      </w:r>
      <w:r w:rsidRPr="0036490B" w:rsidR="0036490B">
        <w:t>bij de verschillende categorieën gelijk</w:t>
      </w:r>
      <w:r w:rsidR="00770A7F">
        <w:t xml:space="preserve"> zijn</w:t>
      </w:r>
      <w:r w:rsidRPr="0036490B" w:rsidR="0036490B">
        <w:t>, maar kan wel verschillen naar gelang een A- of B-uitwisseling</w:t>
      </w:r>
      <w:r w:rsidR="00770A7F">
        <w:t xml:space="preserve"> (als omschreven in paragraaf 1 van deze toelichting)</w:t>
      </w:r>
      <w:r w:rsidRPr="0036490B" w:rsidR="0036490B">
        <w:t xml:space="preserve"> plaatsvindt</w:t>
      </w:r>
      <w:r w:rsidR="00FD40DF">
        <w:t xml:space="preserve">. Lidstaten bepalen namelijk, specifiek </w:t>
      </w:r>
      <w:r w:rsidR="00770A7F">
        <w:t>per</w:t>
      </w:r>
      <w:r w:rsidR="00FD40DF">
        <w:t xml:space="preserve"> land en binnen de Europese kaders, welke vereiste gegevens nodig zijn om een unieke cliënt te identificeren. De identificerende gegevens worden bij ieder verzoek voor uitwisseling door het </w:t>
      </w:r>
      <w:proofErr w:type="spellStart"/>
      <w:r w:rsidR="00FD40DF">
        <w:t>NCPeH</w:t>
      </w:r>
      <w:proofErr w:type="spellEnd"/>
      <w:r w:rsidR="00FD40DF">
        <w:t>-NL verwerkt, ook als uitwisseling van de categorie van gezondheidsinformatie niet plaatsvindt.</w:t>
      </w:r>
      <w:r w:rsidRPr="5FBA465D" w:rsidR="00FD40DF">
        <w:t xml:space="preserve"> </w:t>
      </w:r>
      <w:r w:rsidR="00FD40DF">
        <w:t xml:space="preserve">Bijvoorbeeld </w:t>
      </w:r>
      <w:r w:rsidR="00EA7BA0">
        <w:t>in de situatie dat er</w:t>
      </w:r>
      <w:r w:rsidRPr="5FBA465D" w:rsidR="00EA7BA0">
        <w:t xml:space="preserve"> </w:t>
      </w:r>
      <w:r w:rsidR="00FD40DF">
        <w:t>geen toestemming</w:t>
      </w:r>
      <w:r w:rsidR="00DC648C">
        <w:t xml:space="preserve"> door de cliënt</w:t>
      </w:r>
      <w:r w:rsidR="00FD40DF">
        <w:t xml:space="preserve"> is gegeven</w:t>
      </w:r>
      <w:r w:rsidR="00DC648C">
        <w:t xml:space="preserve"> voor het doorbreken van het medisch beroepsgeheim en beschikbaar</w:t>
      </w:r>
      <w:r w:rsidRPr="5FBA465D" w:rsidR="00DC648C">
        <w:t xml:space="preserve"> </w:t>
      </w:r>
      <w:r w:rsidR="00DC648C">
        <w:t>stellen van gegevens</w:t>
      </w:r>
      <w:r w:rsidR="00FD40DF">
        <w:t>. I</w:t>
      </w:r>
      <w:r w:rsidR="00B34207">
        <w:t>n h</w:t>
      </w:r>
      <w:r w:rsidR="001C268E">
        <w:t xml:space="preserve">oofdstuk </w:t>
      </w:r>
      <w:r w:rsidR="00DE23D2">
        <w:t>3</w:t>
      </w:r>
      <w:r w:rsidR="001C268E">
        <w:t xml:space="preserve"> van </w:t>
      </w:r>
      <w:r w:rsidR="009447C9">
        <w:t>dit</w:t>
      </w:r>
      <w:r w:rsidR="001C268E">
        <w:t xml:space="preserve"> besluit is </w:t>
      </w:r>
      <w:r w:rsidR="007D07BF">
        <w:t xml:space="preserve">uitgewerkt welke </w:t>
      </w:r>
      <w:r w:rsidR="008C5BCE">
        <w:t xml:space="preserve">persoonsgegevens </w:t>
      </w:r>
      <w:r w:rsidR="00FD40DF">
        <w:t xml:space="preserve">bij het identificeren van de cliënt door het </w:t>
      </w:r>
      <w:proofErr w:type="spellStart"/>
      <w:r w:rsidR="00FD40DF">
        <w:t>NCPeH</w:t>
      </w:r>
      <w:proofErr w:type="spellEnd"/>
      <w:r w:rsidR="00FD40DF">
        <w:t>-NL worden verwerkt</w:t>
      </w:r>
      <w:r w:rsidRPr="5FBA465D" w:rsidR="00C02574">
        <w:t>.</w:t>
      </w:r>
      <w:r w:rsidRPr="5FBA465D" w:rsidR="00FD40DF">
        <w:t xml:space="preserve"> </w:t>
      </w:r>
    </w:p>
    <w:p w:rsidRPr="00C50632" w:rsidR="00F7517D" w:rsidP="00BE4C5F" w:rsidRDefault="00F7517D" w14:paraId="25DFF5A4" w14:textId="77777777"/>
    <w:bookmarkEnd w:id="4"/>
    <w:bookmarkEnd w:id="5"/>
    <w:p w:rsidR="00C4498D" w:rsidP="000F4B07" w:rsidRDefault="00C4498D" w14:paraId="70984B90" w14:textId="349A4111">
      <w:pPr>
        <w:pStyle w:val="Kop2"/>
      </w:pPr>
      <w:r>
        <w:t>4.</w:t>
      </w:r>
      <w:r w:rsidR="003630C8">
        <w:t>3</w:t>
      </w:r>
      <w:r>
        <w:t xml:space="preserve"> Patiëntsamenvatting</w:t>
      </w:r>
    </w:p>
    <w:p w:rsidRPr="00770FEB" w:rsidR="00C4498D" w:rsidP="00B737C6" w:rsidRDefault="00653568" w14:paraId="54EC8259" w14:textId="1A6022E0">
      <w:r>
        <w:t>D</w:t>
      </w:r>
      <w:r w:rsidR="00C02574">
        <w:t xml:space="preserve">e patiëntsamenvatting is een categorie </w:t>
      </w:r>
      <w:r w:rsidR="007F29A5">
        <w:t xml:space="preserve">van </w:t>
      </w:r>
      <w:r w:rsidR="00C02574">
        <w:t xml:space="preserve">gezondheidsinformatie die via </w:t>
      </w:r>
      <w:r w:rsidRPr="00770FEB" w:rsidR="00C02574">
        <w:t xml:space="preserve">het </w:t>
      </w:r>
      <w:proofErr w:type="spellStart"/>
      <w:r w:rsidRPr="00770FEB" w:rsidR="00C02574">
        <w:t>MyHealth@EU</w:t>
      </w:r>
      <w:r w:rsidRPr="5FBA465D" w:rsidR="00C02574">
        <w:t>-</w:t>
      </w:r>
      <w:r w:rsidRPr="00770FEB" w:rsidR="00C02574">
        <w:t>netwerk</w:t>
      </w:r>
      <w:proofErr w:type="spellEnd"/>
      <w:r w:rsidRPr="5FBA465D" w:rsidR="00C02574">
        <w:t xml:space="preserve"> </w:t>
      </w:r>
      <w:r w:rsidR="00C02574">
        <w:t xml:space="preserve">en de nationale contactpunten voor digitale gezondheid </w:t>
      </w:r>
      <w:r w:rsidRPr="00770FEB" w:rsidR="00C02574">
        <w:t>tussen zorg</w:t>
      </w:r>
      <w:r w:rsidR="00806997">
        <w:t>aanbieders</w:t>
      </w:r>
      <w:r w:rsidRPr="00770FEB" w:rsidR="00C02574">
        <w:t xml:space="preserve"> uit </w:t>
      </w:r>
      <w:r w:rsidR="00806997">
        <w:t>deelnemende</w:t>
      </w:r>
      <w:r w:rsidRPr="5FBA465D" w:rsidR="00806997">
        <w:t xml:space="preserve"> </w:t>
      </w:r>
      <w:r w:rsidRPr="00770FEB" w:rsidR="00C02574">
        <w:t xml:space="preserve">lidstaten </w:t>
      </w:r>
      <w:r w:rsidR="00C02574">
        <w:t xml:space="preserve">kan </w:t>
      </w:r>
      <w:r w:rsidRPr="00770FEB" w:rsidR="00C02574">
        <w:t>worden uitgewisseld.</w:t>
      </w:r>
      <w:r w:rsidRPr="5FBA465D">
        <w:t xml:space="preserve"> </w:t>
      </w:r>
      <w:r w:rsidRPr="00814532">
        <w:t>De patiëntsamenvatting bevat gegevens over onder</w:t>
      </w:r>
      <w:r w:rsidRPr="5FBA465D" w:rsidR="00806997">
        <w:t xml:space="preserve"> </w:t>
      </w:r>
      <w:r w:rsidRPr="00814532">
        <w:t>andere medische aandoeningen, medicatiegebruik en allergieën en is daarmee</w:t>
      </w:r>
      <w:r w:rsidRPr="5FBA465D" w:rsidR="00806997">
        <w:t xml:space="preserve"> </w:t>
      </w:r>
      <w:r w:rsidRPr="00814532">
        <w:t>van waarde in het geval van bijvoorbeeld spoedzorg, medicatieverstrekking en</w:t>
      </w:r>
      <w:r w:rsidRPr="5FBA465D" w:rsidR="00806997">
        <w:t xml:space="preserve"> </w:t>
      </w:r>
      <w:r w:rsidRPr="00814532">
        <w:t>doorverwijzing.</w:t>
      </w:r>
      <w:r w:rsidRPr="5FBA465D">
        <w:t xml:space="preserve"> </w:t>
      </w:r>
      <w:r w:rsidR="00C4498D">
        <w:t xml:space="preserve">Het </w:t>
      </w:r>
      <w:proofErr w:type="spellStart"/>
      <w:r w:rsidR="00C4498D">
        <w:t>NCPeH</w:t>
      </w:r>
      <w:proofErr w:type="spellEnd"/>
      <w:r w:rsidR="00C4498D">
        <w:t>-N</w:t>
      </w:r>
      <w:r w:rsidR="00D20C9B">
        <w:t>L</w:t>
      </w:r>
      <w:r w:rsidR="00C4498D">
        <w:t xml:space="preserve"> kan</w:t>
      </w:r>
      <w:r w:rsidRPr="5FBA465D" w:rsidR="00D20C9B">
        <w:t xml:space="preserve"> </w:t>
      </w:r>
      <w:r w:rsidR="00C4498D">
        <w:t>de patiëntsamenvatting in twee richtingen uitwisselen</w:t>
      </w:r>
      <w:r w:rsidRPr="5FBA465D" w:rsidR="00D20C9B">
        <w:t xml:space="preserve"> </w:t>
      </w:r>
      <w:r w:rsidR="00CC5F36">
        <w:t>zoals nader uitgewerkt in dit besluit</w:t>
      </w:r>
      <w:r w:rsidRPr="5FBA465D" w:rsidR="00C4498D">
        <w:t xml:space="preserve">: </w:t>
      </w:r>
    </w:p>
    <w:p w:rsidR="00C4498D" w:rsidP="00C4498D" w:rsidRDefault="00C4498D" w14:paraId="10516CA6" w14:textId="67666ED2">
      <w:pPr>
        <w:pStyle w:val="Stijl1"/>
        <w:numPr>
          <w:ilvl w:val="0"/>
          <w:numId w:val="11"/>
        </w:numPr>
      </w:pPr>
      <w:r w:rsidRPr="00376149">
        <w:t>Patiëntsamenvatting A:</w:t>
      </w:r>
      <w:r w:rsidRPr="00770FEB">
        <w:t xml:space="preserve"> Het versturen van gegevens van </w:t>
      </w:r>
      <w:r>
        <w:t xml:space="preserve">cliënten van </w:t>
      </w:r>
      <w:r w:rsidR="003C25FB">
        <w:t>zorgaanbieder</w:t>
      </w:r>
      <w:r>
        <w:t>s uit Nederland</w:t>
      </w:r>
      <w:r w:rsidRPr="00770FEB">
        <w:t xml:space="preserve"> naar een </w:t>
      </w:r>
      <w:r w:rsidR="003C25FB">
        <w:t>zorgaanbieder</w:t>
      </w:r>
      <w:r w:rsidRPr="00770FEB">
        <w:t xml:space="preserve"> in een andere lidstaat</w:t>
      </w:r>
      <w:r w:rsidR="001E335F">
        <w:t xml:space="preserve"> ten behoeve van de zorgverlening aldaar aan de cliënt</w:t>
      </w:r>
      <w:r w:rsidRPr="00770FEB">
        <w:t xml:space="preserve">; </w:t>
      </w:r>
    </w:p>
    <w:p w:rsidR="00C4498D" w:rsidP="00C4498D" w:rsidRDefault="00C4498D" w14:paraId="1EC1C764" w14:textId="5FB6552A">
      <w:pPr>
        <w:pStyle w:val="Stijl1"/>
        <w:numPr>
          <w:ilvl w:val="0"/>
          <w:numId w:val="11"/>
        </w:numPr>
      </w:pPr>
      <w:r w:rsidRPr="00376149">
        <w:t>Patiëntsamenvatting B:</w:t>
      </w:r>
      <w:r w:rsidRPr="00770FEB">
        <w:t xml:space="preserve"> Het ophalen van gegevens van </w:t>
      </w:r>
      <w:r>
        <w:t>cliënten</w:t>
      </w:r>
      <w:r w:rsidRPr="00770FEB">
        <w:t xml:space="preserve"> uit andere lidstaten op verzoek van een </w:t>
      </w:r>
      <w:r w:rsidR="003C25FB">
        <w:t>zorgaanbieder</w:t>
      </w:r>
      <w:r w:rsidRPr="00770FEB">
        <w:t xml:space="preserve"> in Nederland</w:t>
      </w:r>
      <w:r w:rsidR="001E335F">
        <w:t xml:space="preserve"> ten behoeve van de zorgverlening alhier aan de cliënt</w:t>
      </w:r>
      <w:r>
        <w:t>.</w:t>
      </w:r>
    </w:p>
    <w:p w:rsidR="00C4498D" w:rsidP="00C4498D" w:rsidRDefault="00C4498D" w14:paraId="6B304A86" w14:textId="77777777">
      <w:pPr>
        <w:pStyle w:val="Stijl1"/>
      </w:pPr>
    </w:p>
    <w:p w:rsidR="00C4498D" w:rsidP="004D2F70" w:rsidRDefault="00C02574" w14:paraId="3600C88C" w14:textId="5EB694B6">
      <w:pPr>
        <w:pStyle w:val="Stijl1"/>
      </w:pPr>
      <w:r>
        <w:t xml:space="preserve">De patiëntsamenvatting </w:t>
      </w:r>
      <w:r w:rsidR="00C4498D">
        <w:t xml:space="preserve">wordt tussen twee </w:t>
      </w:r>
      <w:r w:rsidR="00CC5F36">
        <w:t xml:space="preserve">nationale </w:t>
      </w:r>
      <w:r w:rsidR="00C4498D">
        <w:t xml:space="preserve">contactpunten uitgewisseld op basis </w:t>
      </w:r>
      <w:r w:rsidRPr="00770FEB">
        <w:t>van een Europees uitwisselformat.</w:t>
      </w:r>
      <w:r>
        <w:t xml:space="preserve"> De </w:t>
      </w:r>
      <w:r w:rsidRPr="000142FA">
        <w:t>specificatie</w:t>
      </w:r>
      <w:r>
        <w:t xml:space="preserve">s van de patiëntsamenvatting zijn </w:t>
      </w:r>
      <w:r w:rsidRPr="000142FA">
        <w:t>op Europees niveau</w:t>
      </w:r>
      <w:r w:rsidRPr="5FBA465D">
        <w:t xml:space="preserve"> </w:t>
      </w:r>
      <w:r w:rsidRPr="000142FA">
        <w:t xml:space="preserve">vastgesteld in de </w:t>
      </w:r>
      <w:proofErr w:type="spellStart"/>
      <w:r w:rsidRPr="5FBA465D">
        <w:rPr>
          <w:i/>
          <w:iCs/>
        </w:rPr>
        <w:t>Patient</w:t>
      </w:r>
      <w:proofErr w:type="spellEnd"/>
      <w:r w:rsidRPr="5FBA465D">
        <w:rPr>
          <w:i/>
          <w:iCs/>
        </w:rPr>
        <w:t xml:space="preserve"> Summary </w:t>
      </w:r>
      <w:proofErr w:type="spellStart"/>
      <w:r w:rsidRPr="5FBA465D">
        <w:rPr>
          <w:i/>
          <w:iCs/>
        </w:rPr>
        <w:t>Guidelines</w:t>
      </w:r>
      <w:proofErr w:type="spellEnd"/>
      <w:r w:rsidRPr="000142FA">
        <w:t xml:space="preserve"> (meest actuele versie, 3.</w:t>
      </w:r>
      <w:r>
        <w:t>4</w:t>
      </w:r>
      <w:r w:rsidRPr="000142FA">
        <w:t xml:space="preserve"> van </w:t>
      </w:r>
      <w:r>
        <w:t>november 2024</w:t>
      </w:r>
      <w:r w:rsidR="00DC648C">
        <w:rPr>
          <w:rStyle w:val="Voetnootmarkering"/>
        </w:rPr>
        <w:footnoteReference w:id="13"/>
      </w:r>
      <w:r w:rsidRPr="5FBA465D" w:rsidR="00D20C9B">
        <w:t>)</w:t>
      </w:r>
      <w:r w:rsidRPr="5FBA465D">
        <w:t xml:space="preserve">. </w:t>
      </w:r>
      <w:r w:rsidR="005E3F94">
        <w:t>Hierin staat</w:t>
      </w:r>
      <w:r w:rsidRPr="000142FA">
        <w:t xml:space="preserve"> een lijst met gedefinieerde gegevens die in de patiëntsamenvatting </w:t>
      </w:r>
      <w:r w:rsidRPr="5FBA465D">
        <w:rPr>
          <w:i/>
          <w:iCs/>
        </w:rPr>
        <w:t>kunnen</w:t>
      </w:r>
      <w:r w:rsidRPr="000142FA">
        <w:t xml:space="preserve"> worden</w:t>
      </w:r>
      <w:r w:rsidR="00C4498D">
        <w:t xml:space="preserve"> opgenomen</w:t>
      </w:r>
      <w:r w:rsidRPr="5FBA465D">
        <w:t xml:space="preserve">, </w:t>
      </w:r>
      <w:r w:rsidR="00C4498D">
        <w:t xml:space="preserve">waarvan een aantal gegevensvelden minimaal vereist </w:t>
      </w:r>
      <w:r w:rsidR="00CC5F36">
        <w:t>is</w:t>
      </w:r>
      <w:r w:rsidRPr="5FBA465D" w:rsidR="00C4498D">
        <w:t>.</w:t>
      </w:r>
      <w:r w:rsidRPr="5FBA465D" w:rsidR="0096311D">
        <w:t xml:space="preserve"> </w:t>
      </w:r>
      <w:r w:rsidRPr="000142FA" w:rsidR="00C4498D">
        <w:t>Het streven is dat landen zoveel mogelijk data-elementen gestructureerd en gecodeerd aanleveren, zodat de gegevens vertaald en geautomatiseerd verwerkt kunnen worden.</w:t>
      </w:r>
      <w:r w:rsidR="00C4498D">
        <w:t xml:space="preserve"> De lidstaat die de patiëntsamenvatting verstrekt, bepaalt daarmee welke (categorieën van) medische gegevens uiteindelijk worden</w:t>
      </w:r>
      <w:r w:rsidR="00D20C9B">
        <w:t xml:space="preserve"> opgenomen</w:t>
      </w:r>
      <w:r w:rsidR="00C4498D">
        <w:t xml:space="preserve"> in de patiëntsamenvatting.</w:t>
      </w:r>
      <w:r w:rsidR="00D20C9B">
        <w:t xml:space="preserve"> Het contactpunt van het betreffende land confereert de informatie naar het Europese format. </w:t>
      </w:r>
      <w:r w:rsidR="00C4498D">
        <w:t>Uiteraard is wat binnen die lidstaat technisch mogelijk is van grote invloed. Daarbij wordt in elk geval voldaan aan het verplicht</w:t>
      </w:r>
      <w:r w:rsidR="00AE375C">
        <w:t>e</w:t>
      </w:r>
      <w:r w:rsidR="00C4498D">
        <w:t xml:space="preserve"> minimum uit de Europese specificatie</w:t>
      </w:r>
      <w:r w:rsidR="0036490B">
        <w:t>.</w:t>
      </w:r>
    </w:p>
    <w:p w:rsidR="00C02574" w:rsidP="00C02574" w:rsidRDefault="00C02574" w14:paraId="238E2C16" w14:textId="77777777">
      <w:pPr>
        <w:spacing w:line="276" w:lineRule="auto"/>
      </w:pPr>
    </w:p>
    <w:p w:rsidRPr="00D20C9B" w:rsidR="00514A55" w:rsidP="000F4B07" w:rsidRDefault="005505C3" w14:paraId="49F2034C" w14:textId="70EE1528">
      <w:pPr>
        <w:pStyle w:val="Kop3"/>
      </w:pPr>
      <w:r w:rsidRPr="00D20C9B">
        <w:t>4.</w:t>
      </w:r>
      <w:r w:rsidR="003630C8">
        <w:t>3</w:t>
      </w:r>
      <w:r w:rsidRPr="00D20C9B" w:rsidR="00D20C9B">
        <w:t>.1</w:t>
      </w:r>
      <w:r w:rsidRPr="00D20C9B" w:rsidR="00C02574">
        <w:t xml:space="preserve"> Patiëntsamenvatting </w:t>
      </w:r>
      <w:r w:rsidR="006858C2">
        <w:t>B</w:t>
      </w:r>
    </w:p>
    <w:p w:rsidR="006858C2" w:rsidP="00AD4A80" w:rsidRDefault="006858C2" w14:paraId="54C1BBBB" w14:textId="142E0B8E">
      <w:pPr>
        <w:spacing w:line="276" w:lineRule="auto"/>
      </w:pPr>
      <w:r>
        <w:t xml:space="preserve">Patiëntsamenvatting B is de patiëntsamenvatting van een cliënt uit een andere lidstaat, die door een zorgaanbieder in Nederland </w:t>
      </w:r>
      <w:r w:rsidR="23695DDC">
        <w:t xml:space="preserve">via het </w:t>
      </w:r>
      <w:proofErr w:type="spellStart"/>
      <w:r w:rsidR="23695DDC">
        <w:t>NCPeH</w:t>
      </w:r>
      <w:proofErr w:type="spellEnd"/>
      <w:r w:rsidR="23695DDC">
        <w:t xml:space="preserve">-NL </w:t>
      </w:r>
      <w:r>
        <w:t xml:space="preserve">kan worden opgevraagd ten behoeve van de zorgverlening </w:t>
      </w:r>
      <w:r w:rsidDel="23695DDC">
        <w:t>al</w:t>
      </w:r>
      <w:r w:rsidDel="158F10F5">
        <w:t xml:space="preserve">hier </w:t>
      </w:r>
      <w:r>
        <w:t>aan de</w:t>
      </w:r>
      <w:r w:rsidR="158F10F5">
        <w:t>ze</w:t>
      </w:r>
      <w:r>
        <w:t xml:space="preserve"> cliënt. De gegevens die een </w:t>
      </w:r>
      <w:r w:rsidRPr="00472B2F">
        <w:t>patiën</w:t>
      </w:r>
      <w:r>
        <w:t>t</w:t>
      </w:r>
      <w:r w:rsidRPr="00472B2F">
        <w:t xml:space="preserve">samenvatting B </w:t>
      </w:r>
      <w:r>
        <w:t xml:space="preserve">bevat kunnen verschillen per lidstaat. Zoals eerder toegelicht kan de lidstaat zelf, binnen de </w:t>
      </w:r>
      <w:r w:rsidR="067F0175">
        <w:t xml:space="preserve">vanuit Europa </w:t>
      </w:r>
      <w:r>
        <w:t xml:space="preserve">voorgeschreven specificatie, bepalen op welke wijze de patiëntsamenvatting wordt gevuld. </w:t>
      </w:r>
      <w:r w:rsidR="00F2676F">
        <w:t>Ten hoogste</w:t>
      </w:r>
      <w:r>
        <w:t xml:space="preserve"> bevat de patiëntsamenvatting B alle gegevens zoals beschreven in de </w:t>
      </w:r>
      <w:proofErr w:type="spellStart"/>
      <w:r w:rsidRPr="5FBA465D">
        <w:rPr>
          <w:i/>
          <w:iCs/>
        </w:rPr>
        <w:t>Patient</w:t>
      </w:r>
      <w:proofErr w:type="spellEnd"/>
      <w:r w:rsidRPr="5FBA465D">
        <w:rPr>
          <w:i/>
          <w:iCs/>
        </w:rPr>
        <w:t xml:space="preserve"> Summary </w:t>
      </w:r>
      <w:proofErr w:type="spellStart"/>
      <w:r w:rsidRPr="5FBA465D">
        <w:rPr>
          <w:i/>
          <w:iCs/>
        </w:rPr>
        <w:t>Guidelines</w:t>
      </w:r>
      <w:proofErr w:type="spellEnd"/>
      <w:r>
        <w:t xml:space="preserve">. Het </w:t>
      </w:r>
      <w:proofErr w:type="spellStart"/>
      <w:r>
        <w:t>NCPeH</w:t>
      </w:r>
      <w:proofErr w:type="spellEnd"/>
      <w:r>
        <w:t>-NL moet in staat zijn al deze gegevens te verwerken</w:t>
      </w:r>
      <w:r w:rsidR="00E664FB">
        <w:t xml:space="preserve">. </w:t>
      </w:r>
      <w:r w:rsidR="00962C48">
        <w:t xml:space="preserve">Voor de gegevensverwerking in het kader van </w:t>
      </w:r>
      <w:r w:rsidR="00B37D65">
        <w:t>de patiëntsamenvatting B</w:t>
      </w:r>
      <w:r w:rsidR="00E664FB">
        <w:t xml:space="preserve"> </w:t>
      </w:r>
      <w:r w:rsidR="00962C48">
        <w:t xml:space="preserve">zal </w:t>
      </w:r>
      <w:r w:rsidR="00E664FB">
        <w:t xml:space="preserve">daarom </w:t>
      </w:r>
      <w:r w:rsidR="00962C48">
        <w:t>in</w:t>
      </w:r>
      <w:r w:rsidR="00E664FB">
        <w:t xml:space="preserve"> een op dit besluit gebaseerde ministeriële regeling</w:t>
      </w:r>
      <w:r w:rsidR="00B37D65">
        <w:t xml:space="preserve"> </w:t>
      </w:r>
      <w:r w:rsidR="00962C48">
        <w:t xml:space="preserve">worden </w:t>
      </w:r>
      <w:r w:rsidR="00E664FB">
        <w:t xml:space="preserve">verwezen </w:t>
      </w:r>
      <w:r w:rsidR="00B37D65">
        <w:t xml:space="preserve">naar de laatste versie van de </w:t>
      </w:r>
      <w:proofErr w:type="spellStart"/>
      <w:r w:rsidRPr="5FBA465D" w:rsidR="00B37D65">
        <w:rPr>
          <w:i/>
          <w:iCs/>
        </w:rPr>
        <w:t>Patient</w:t>
      </w:r>
      <w:proofErr w:type="spellEnd"/>
      <w:r w:rsidRPr="5FBA465D" w:rsidR="00B37D65">
        <w:rPr>
          <w:i/>
          <w:iCs/>
        </w:rPr>
        <w:t xml:space="preserve"> Summary </w:t>
      </w:r>
      <w:proofErr w:type="spellStart"/>
      <w:r w:rsidRPr="5FBA465D" w:rsidR="00B37D65">
        <w:rPr>
          <w:i/>
          <w:iCs/>
        </w:rPr>
        <w:t>Guidelines</w:t>
      </w:r>
      <w:proofErr w:type="spellEnd"/>
      <w:r w:rsidRPr="5FBA465D" w:rsidR="00B37D65">
        <w:t>.</w:t>
      </w:r>
    </w:p>
    <w:p w:rsidR="007B5078" w:rsidP="00C02574" w:rsidRDefault="007B5078" w14:paraId="48C4D9B0" w14:textId="77777777">
      <w:pPr>
        <w:spacing w:line="276" w:lineRule="auto"/>
      </w:pPr>
    </w:p>
    <w:p w:rsidR="00DC648C" w:rsidP="00AD4A80" w:rsidRDefault="00DC648C" w14:paraId="1E475780" w14:textId="26492A9C">
      <w:pPr>
        <w:pStyle w:val="Kop3"/>
      </w:pPr>
      <w:r>
        <w:t xml:space="preserve">4.3.2 </w:t>
      </w:r>
      <w:r w:rsidRPr="00472B2F">
        <w:t xml:space="preserve">Patiëntsamenvatting </w:t>
      </w:r>
      <w:r>
        <w:t>A</w:t>
      </w:r>
    </w:p>
    <w:p w:rsidR="00C02574" w:rsidP="00C02574" w:rsidRDefault="00C02574" w14:paraId="07B67BCF" w14:textId="021441C4">
      <w:pPr>
        <w:spacing w:line="276" w:lineRule="auto"/>
      </w:pPr>
      <w:r>
        <w:t xml:space="preserve">De </w:t>
      </w:r>
      <w:r w:rsidRPr="00984F30">
        <w:t xml:space="preserve">patiëntsamenvatting A </w:t>
      </w:r>
      <w:r>
        <w:t xml:space="preserve">is de patiëntsamenvatting </w:t>
      </w:r>
      <w:r w:rsidR="008613F6">
        <w:t xml:space="preserve">met gegevens </w:t>
      </w:r>
      <w:r>
        <w:t xml:space="preserve">over een Nederlandse </w:t>
      </w:r>
      <w:r w:rsidR="00AE375C">
        <w:t>cliënt</w:t>
      </w:r>
      <w:r>
        <w:t xml:space="preserve">, die door het </w:t>
      </w:r>
      <w:proofErr w:type="spellStart"/>
      <w:r>
        <w:t>NCPeH</w:t>
      </w:r>
      <w:proofErr w:type="spellEnd"/>
      <w:r>
        <w:t xml:space="preserve">-NL beschikbaar kan worden gesteld aan </w:t>
      </w:r>
      <w:r w:rsidR="008613F6">
        <w:t xml:space="preserve">een </w:t>
      </w:r>
      <w:r w:rsidR="003C25FB">
        <w:t>zorgaanbieder</w:t>
      </w:r>
      <w:r>
        <w:t xml:space="preserve"> in een andere lidstaat</w:t>
      </w:r>
      <w:r w:rsidRPr="5FBA465D" w:rsidR="00164337">
        <w:t xml:space="preserve"> </w:t>
      </w:r>
      <w:r w:rsidR="00164337">
        <w:t xml:space="preserve">ten behoeve </w:t>
      </w:r>
      <w:r w:rsidDel="00AE375C" w:rsidR="00164337">
        <w:t xml:space="preserve">van de </w:t>
      </w:r>
      <w:r w:rsidR="00164337">
        <w:t>zorg</w:t>
      </w:r>
      <w:r w:rsidR="00AE375C">
        <w:t xml:space="preserve"> </w:t>
      </w:r>
      <w:r w:rsidDel="00AE375C" w:rsidR="00164337">
        <w:t xml:space="preserve">aldaar aan de </w:t>
      </w:r>
      <w:r w:rsidR="00164337">
        <w:t>cliënt</w:t>
      </w:r>
      <w:r>
        <w:t xml:space="preserve">. De velden uit de </w:t>
      </w:r>
      <w:proofErr w:type="spellStart"/>
      <w:r w:rsidRPr="5FBA465D">
        <w:rPr>
          <w:i/>
          <w:iCs/>
        </w:rPr>
        <w:t>Patient</w:t>
      </w:r>
      <w:proofErr w:type="spellEnd"/>
      <w:r w:rsidRPr="5FBA465D">
        <w:rPr>
          <w:i/>
          <w:iCs/>
        </w:rPr>
        <w:t xml:space="preserve"> Summary </w:t>
      </w:r>
      <w:proofErr w:type="spellStart"/>
      <w:r w:rsidRPr="5FBA465D">
        <w:rPr>
          <w:i/>
          <w:iCs/>
        </w:rPr>
        <w:t>Guidelines</w:t>
      </w:r>
      <w:proofErr w:type="spellEnd"/>
      <w:r>
        <w:t xml:space="preserve"> zijn niet één op één op te leveren vanuit het Nederlandse zorginformatiestelsel. Zoals eerder is toegelicht is er ruimte voor lidstaten om te bepalen welke gegevens gebruikt worden om de velden in de patiëntsamenvatting te vullen. Het </w:t>
      </w:r>
      <w:proofErr w:type="spellStart"/>
      <w:r>
        <w:t>NCPeH</w:t>
      </w:r>
      <w:proofErr w:type="spellEnd"/>
      <w:r>
        <w:t xml:space="preserve">-NL haalt de gegevens uit het Nederlandse zorginformatiestelsel en zet dit om in het Europese format. </w:t>
      </w:r>
      <w:r w:rsidR="00BF205D">
        <w:t>In dit hoofdstuk van het besluit wordt aangegeven welke gegevens de patiëntsamenvatting A zou kunnen bevatten</w:t>
      </w:r>
      <w:r w:rsidRPr="5FBA465D" w:rsidR="003D05C9">
        <w:t>,</w:t>
      </w:r>
      <w:r w:rsidR="00806997">
        <w:t xml:space="preserve"> indien aanwezig in het dossier van de cliënt</w:t>
      </w:r>
      <w:r w:rsidRPr="5FBA465D" w:rsidR="00BF205D">
        <w:t xml:space="preserve">. </w:t>
      </w:r>
      <w:r w:rsidR="005424AF">
        <w:t xml:space="preserve">Uiteraard is dit afhankelijk van het medisch dossier van de patiënt </w:t>
      </w:r>
      <w:r w:rsidR="00B40B24">
        <w:t xml:space="preserve">of het </w:t>
      </w:r>
      <w:r w:rsidR="005424AF">
        <w:t>deze gegevens beva</w:t>
      </w:r>
      <w:r w:rsidR="001B20CA">
        <w:t xml:space="preserve">t. </w:t>
      </w:r>
      <w:r w:rsidR="00BF205D">
        <w:t xml:space="preserve">Dit biedt transparantie aan de burger, door duidelijk te maken welke persoonsgegevens </w:t>
      </w:r>
      <w:r w:rsidR="00B40B24">
        <w:t xml:space="preserve">door het </w:t>
      </w:r>
      <w:proofErr w:type="spellStart"/>
      <w:r w:rsidR="00B40B24">
        <w:t>NCPeH</w:t>
      </w:r>
      <w:proofErr w:type="spellEnd"/>
      <w:r w:rsidR="00B40B24">
        <w:t xml:space="preserve">-NL </w:t>
      </w:r>
      <w:r w:rsidR="00BF205D">
        <w:t>verwerkt</w:t>
      </w:r>
      <w:r w:rsidRPr="5FBA465D" w:rsidR="003C1E30">
        <w:t xml:space="preserve"> </w:t>
      </w:r>
      <w:r w:rsidR="00BF205D">
        <w:t xml:space="preserve">worden </w:t>
      </w:r>
      <w:r w:rsidR="00232E95">
        <w:t>bij het samenstellen van de patiëntsamenvatting, wanneer een cliënt toestemming heeft gegeven</w:t>
      </w:r>
      <w:r w:rsidRPr="5FBA465D" w:rsidR="00BF205D">
        <w:t xml:space="preserve">. </w:t>
      </w:r>
      <w:r w:rsidR="00806997">
        <w:t xml:space="preserve">Het </w:t>
      </w:r>
      <w:r w:rsidR="008131BD">
        <w:t xml:space="preserve">hoofdstuk behelst </w:t>
      </w:r>
      <w:r w:rsidRPr="001A77E4" w:rsidR="008131BD">
        <w:t>geenszins een verplicht voorgeschreven dataset</w:t>
      </w:r>
      <w:r w:rsidRPr="5FBA465D" w:rsidR="00B40B24">
        <w:t>,</w:t>
      </w:r>
      <w:r w:rsidR="00126E59">
        <w:t xml:space="preserve"> maar maakt slechts transparant </w:t>
      </w:r>
      <w:r w:rsidR="0051562E">
        <w:t>welke gegevens verwerkt kunnen worden indien aanwezig in het dossier van de cliënt</w:t>
      </w:r>
      <w:r w:rsidRPr="5FBA465D" w:rsidR="008131BD">
        <w:t>.</w:t>
      </w:r>
      <w:r w:rsidRPr="5FBA465D" w:rsidR="00171212">
        <w:t xml:space="preserve"> </w:t>
      </w:r>
    </w:p>
    <w:p w:rsidR="00C02574" w:rsidP="00C02574" w:rsidRDefault="00C02574" w14:paraId="7EB868A5" w14:textId="77777777">
      <w:pPr>
        <w:spacing w:line="276" w:lineRule="auto"/>
      </w:pPr>
    </w:p>
    <w:p w:rsidR="00632FB3" w:rsidP="5DD4849A" w:rsidRDefault="009E1A57" w14:paraId="22CC5902" w14:textId="738ED810">
      <w:pPr>
        <w:spacing w:line="276" w:lineRule="auto"/>
      </w:pPr>
      <w:r>
        <w:t>Voor de Nederlandse patiëntsamenvatti</w:t>
      </w:r>
      <w:r w:rsidR="006858C2">
        <w:t>n</w:t>
      </w:r>
      <w:r>
        <w:t>g</w:t>
      </w:r>
      <w:r w:rsidR="00C02574">
        <w:t xml:space="preserve"> is </w:t>
      </w:r>
      <w:r>
        <w:t xml:space="preserve">ervoor </w:t>
      </w:r>
      <w:r w:rsidR="00C02574">
        <w:t xml:space="preserve">gekozen om </w:t>
      </w:r>
      <w:r w:rsidR="00A84545">
        <w:t xml:space="preserve">vooralsnog </w:t>
      </w:r>
      <w:r w:rsidR="00356043">
        <w:t xml:space="preserve">inhoudelijk </w:t>
      </w:r>
      <w:r w:rsidR="00C02574">
        <w:t xml:space="preserve">aan te sluiten bij de </w:t>
      </w:r>
      <w:r w:rsidR="00DC648C">
        <w:t>gegevens die zijn opgenomen in de richtlijn Gegevensuitwisseling acute zorg.</w:t>
      </w:r>
      <w:r w:rsidRPr="00984F30" w:rsidR="00DC648C">
        <w:rPr>
          <w:rStyle w:val="Voetnootmarkering"/>
        </w:rPr>
        <w:footnoteReference w:id="14"/>
      </w:r>
      <w:r w:rsidRPr="00984F30" w:rsidR="00C02574">
        <w:t xml:space="preserve"> </w:t>
      </w:r>
      <w:r w:rsidR="00B37D65">
        <w:t>In de richtlijn</w:t>
      </w:r>
      <w:r w:rsidR="00632FB3">
        <w:t xml:space="preserve"> </w:t>
      </w:r>
      <w:r w:rsidRPr="00984F30" w:rsidR="00632FB3">
        <w:t>hebben partijen uit de zorg</w:t>
      </w:r>
      <w:r w:rsidR="00632FB3">
        <w:t xml:space="preserve"> </w:t>
      </w:r>
      <w:r w:rsidRPr="00984F30" w:rsidR="00632FB3">
        <w:t xml:space="preserve">vastgelegd welke gegevens van belang </w:t>
      </w:r>
      <w:r w:rsidRPr="5DD4849A" w:rsidR="00632FB3">
        <w:rPr>
          <w:rFonts w:cstheme="minorBidi"/>
        </w:rPr>
        <w:t xml:space="preserve">zijn om digitaal uit te wisselen in het kader van een acute situatie. Hierbij is het namelijk van belang dat zorgverleners in één oogopslag de medische gegevens van een cliënt kunnen overzien. In een groot aantal gevallen van zorgverlening in het buitenland betreft het voor de zorgverlener een onbekende cliënt, terwijl in die situaties tevens sprake kan zijn van spoedeisende zorg. </w:t>
      </w:r>
      <w:r w:rsidR="00171212">
        <w:t xml:space="preserve">In dat kader is het van belang dat de zorgverlener op eenvoudige wijze inzicht heeft in de meest relevante medische gegevens. </w:t>
      </w:r>
    </w:p>
    <w:p w:rsidR="001D21F6" w:rsidP="00F570EA" w:rsidRDefault="001D21F6" w14:paraId="1B44050A" w14:textId="77777777">
      <w:pPr>
        <w:spacing w:line="276" w:lineRule="auto"/>
      </w:pPr>
    </w:p>
    <w:p w:rsidRPr="0036490B" w:rsidR="00C02574" w:rsidP="00AD4A80" w:rsidRDefault="001D21F6" w14:paraId="039387D8" w14:textId="5C9E6912">
      <w:pPr>
        <w:spacing w:line="276" w:lineRule="auto"/>
        <w:rPr>
          <w:rFonts w:cstheme="minorBidi"/>
        </w:rPr>
      </w:pPr>
      <w:r w:rsidRPr="5DD4849A">
        <w:rPr>
          <w:rFonts w:cstheme="minorBidi"/>
        </w:rPr>
        <w:t xml:space="preserve">De Richtlijn </w:t>
      </w:r>
      <w:r w:rsidR="00B37D65">
        <w:rPr>
          <w:rFonts w:cstheme="minorBidi"/>
        </w:rPr>
        <w:t>G</w:t>
      </w:r>
      <w:r w:rsidRPr="5DD4849A">
        <w:rPr>
          <w:rFonts w:cstheme="minorBidi"/>
        </w:rPr>
        <w:t>egevensuitwisseling acute zorg vormt de basis voor de informatiestandaard Acute Zorg</w:t>
      </w:r>
      <w:r w:rsidRPr="5DD4849A">
        <w:rPr>
          <w:rStyle w:val="Voetnootmarkering"/>
          <w:rFonts w:cstheme="minorBidi"/>
        </w:rPr>
        <w:footnoteReference w:id="15"/>
      </w:r>
      <w:r w:rsidRPr="5DD4849A">
        <w:rPr>
          <w:rFonts w:cstheme="minorBidi"/>
        </w:rPr>
        <w:t xml:space="preserve">. </w:t>
      </w:r>
      <w:r w:rsidRPr="00984F30" w:rsidR="00C02574">
        <w:t xml:space="preserve">In een informatiestandaard worden door de betrokken partijen uit het zorgveld afspraken vastgelegd die van belang zijn om het daadwerkelijk delen en uitwisselen van informatie mogelijk te maken. De dataset van een informatiestandaard bevat de specificatie van alle gegevens (klinische concepten) die binnen de context van een specifiek zorgproces en de daarbij gedefinieerde </w:t>
      </w:r>
      <w:r w:rsidR="00D20C9B">
        <w:t>berichten</w:t>
      </w:r>
      <w:r w:rsidRPr="00984F30" w:rsidR="00C02574">
        <w:t xml:space="preserve"> worden vastgelegd of uitgewisseld. </w:t>
      </w:r>
      <w:r w:rsidR="00EB300E">
        <w:t>Iemand die met spoed zorg nodig heeft</w:t>
      </w:r>
      <w:r w:rsidRPr="00984F30" w:rsidR="00C02574">
        <w:t xml:space="preserve"> kan </w:t>
      </w:r>
      <w:r w:rsidR="00EB300E">
        <w:t xml:space="preserve">in veel gevallen </w:t>
      </w:r>
      <w:r w:rsidRPr="00984F30" w:rsidR="00C02574">
        <w:t xml:space="preserve">niet de medische informatie over zichzelf geven.  </w:t>
      </w:r>
    </w:p>
    <w:p w:rsidR="00C02574" w:rsidP="00C02574" w:rsidRDefault="00C02574" w14:paraId="4DCF0D5C" w14:textId="77777777">
      <w:pPr>
        <w:spacing w:line="276" w:lineRule="auto"/>
        <w:rPr>
          <w:rFonts w:cstheme="minorHAnsi"/>
        </w:rPr>
      </w:pPr>
    </w:p>
    <w:p w:rsidRPr="0036490B" w:rsidR="00C02574" w:rsidP="00AD4A80" w:rsidRDefault="00C02574" w14:paraId="0F28E7A1" w14:textId="5D48FE35">
      <w:pPr>
        <w:spacing w:line="276" w:lineRule="auto"/>
        <w:rPr>
          <w:rFonts w:cstheme="minorBidi"/>
        </w:rPr>
      </w:pPr>
      <w:r w:rsidRPr="7D5A0620">
        <w:rPr>
          <w:rFonts w:cstheme="minorBidi"/>
        </w:rPr>
        <w:t xml:space="preserve">Voor het samenstellen </w:t>
      </w:r>
      <w:r w:rsidRPr="7D5A0620" w:rsidR="00C672CF">
        <w:rPr>
          <w:rFonts w:cstheme="minorBidi"/>
        </w:rPr>
        <w:t xml:space="preserve">van </w:t>
      </w:r>
      <w:r w:rsidRPr="7D5A0620">
        <w:rPr>
          <w:rFonts w:cstheme="minorBidi"/>
        </w:rPr>
        <w:t xml:space="preserve">de patiëntsamenvatting A wordt gebruik gemaakt van </w:t>
      </w:r>
      <w:r w:rsidRPr="7D5A0620" w:rsidR="00D20C9B">
        <w:rPr>
          <w:rFonts w:cstheme="minorBidi"/>
        </w:rPr>
        <w:t>het bericht</w:t>
      </w:r>
      <w:r w:rsidRPr="7D5A0620">
        <w:rPr>
          <w:rFonts w:cstheme="minorBidi"/>
        </w:rPr>
        <w:t xml:space="preserve"> Spoedsamenvatting uit </w:t>
      </w:r>
      <w:r w:rsidRPr="7D5A0620" w:rsidR="008613F6">
        <w:rPr>
          <w:rFonts w:cstheme="minorBidi"/>
        </w:rPr>
        <w:t xml:space="preserve">de </w:t>
      </w:r>
      <w:r w:rsidRPr="7D5A0620">
        <w:rPr>
          <w:rFonts w:cstheme="minorBidi"/>
        </w:rPr>
        <w:t xml:space="preserve">informatiestandaard Acute Zorg. </w:t>
      </w:r>
      <w:r w:rsidRPr="7D5A0620" w:rsidR="00D20C9B">
        <w:rPr>
          <w:rFonts w:cstheme="minorBidi"/>
        </w:rPr>
        <w:t>Het bericht</w:t>
      </w:r>
      <w:r w:rsidRPr="7D5A0620">
        <w:rPr>
          <w:rFonts w:cstheme="minorBidi"/>
        </w:rPr>
        <w:t xml:space="preserve"> Spoedsamenvatting bestaat uit een aantal bouwstenen die afkomstig zijn uit de systemen van de huisartsen (HIS). </w:t>
      </w:r>
      <w:r w:rsidRPr="000142FA">
        <w:t>Voor de patiëntsamenvatting</w:t>
      </w:r>
      <w:r>
        <w:t xml:space="preserve"> A</w:t>
      </w:r>
      <w:r w:rsidRPr="000142FA">
        <w:t xml:space="preserve"> worden</w:t>
      </w:r>
      <w:r>
        <w:t xml:space="preserve"> de relevante</w:t>
      </w:r>
      <w:r w:rsidRPr="000142FA">
        <w:t xml:space="preserve"> bouwstenen voor de spoedsamenvatting van de huisarts </w:t>
      </w:r>
      <w:r>
        <w:t xml:space="preserve">opgevraagd door het </w:t>
      </w:r>
      <w:proofErr w:type="spellStart"/>
      <w:r>
        <w:t>NCPeH</w:t>
      </w:r>
      <w:proofErr w:type="spellEnd"/>
      <w:r>
        <w:t>-NL. De bouwstenen die niet passen binnen de Europese specificatie worden niet opgevraagd.</w:t>
      </w:r>
    </w:p>
    <w:p w:rsidRPr="001879A8" w:rsidR="00C02574" w:rsidP="00C02574" w:rsidRDefault="00C02574" w14:paraId="2F4AB227" w14:textId="77777777">
      <w:pPr>
        <w:spacing w:line="276" w:lineRule="auto"/>
      </w:pPr>
    </w:p>
    <w:p w:rsidRPr="001879A8" w:rsidR="00C02574" w:rsidP="00C02574" w:rsidRDefault="00FE14CA" w14:paraId="5FA15184" w14:textId="4431D066">
      <w:pPr>
        <w:spacing w:line="276" w:lineRule="auto"/>
      </w:pPr>
      <w:r>
        <w:t xml:space="preserve">In </w:t>
      </w:r>
      <w:r w:rsidR="00356043">
        <w:t>artikel 3.3</w:t>
      </w:r>
      <w:r>
        <w:t xml:space="preserve"> van het besluit is uitgewerkt dat d</w:t>
      </w:r>
      <w:r w:rsidRPr="001879A8" w:rsidR="00C02574">
        <w:t>e volgende categorieën van gegevens</w:t>
      </w:r>
      <w:r w:rsidRPr="5FBA465D" w:rsidR="00E65620">
        <w:t>,</w:t>
      </w:r>
      <w:r w:rsidRPr="5FBA465D" w:rsidR="00BF205D">
        <w:t xml:space="preserve"> </w:t>
      </w:r>
      <w:r w:rsidRPr="001879A8" w:rsidR="00C02574">
        <w:t>indien aanwezig in het dossier van de cliënt in Nederland</w:t>
      </w:r>
      <w:r w:rsidRPr="5FBA465D" w:rsidR="00E65620">
        <w:t>,</w:t>
      </w:r>
      <w:r w:rsidRPr="5FBA465D" w:rsidR="00C02574">
        <w:t xml:space="preserve"> </w:t>
      </w:r>
      <w:r w:rsidRPr="001879A8">
        <w:t xml:space="preserve">worden </w:t>
      </w:r>
      <w:r w:rsidRPr="001879A8" w:rsidR="00C02574">
        <w:t xml:space="preserve">opgenomen in de patiëntsamenvatting en daarmee verwerkt door het </w:t>
      </w:r>
      <w:proofErr w:type="spellStart"/>
      <w:r w:rsidRPr="001879A8" w:rsidR="00C02574">
        <w:t>NCPeH</w:t>
      </w:r>
      <w:proofErr w:type="spellEnd"/>
      <w:r w:rsidRPr="001879A8" w:rsidR="00C02574">
        <w:t>-NL</w:t>
      </w:r>
      <w:r w:rsidRPr="5FBA465D" w:rsidR="00364455">
        <w:t>:</w:t>
      </w:r>
    </w:p>
    <w:p w:rsidRPr="00B62C7B" w:rsidR="0011266B" w:rsidP="0011266B" w:rsidRDefault="0011266B" w14:paraId="33084DC3" w14:textId="77777777">
      <w:pPr>
        <w:pStyle w:val="Lijstalinea"/>
        <w:numPr>
          <w:ilvl w:val="0"/>
          <w:numId w:val="1"/>
        </w:numPr>
        <w:autoSpaceDN/>
        <w:spacing w:line="276" w:lineRule="auto"/>
        <w:textAlignment w:val="auto"/>
      </w:pPr>
      <w:r>
        <w:t>a</w:t>
      </w:r>
      <w:r w:rsidRPr="00B62C7B">
        <w:t>llergie</w:t>
      </w:r>
      <w:r>
        <w:t>ën en i</w:t>
      </w:r>
      <w:r w:rsidRPr="00B62C7B">
        <w:t>ntolerantie</w:t>
      </w:r>
      <w:r>
        <w:t>s;</w:t>
      </w:r>
    </w:p>
    <w:p w:rsidRPr="00B62C7B" w:rsidR="0011266B" w:rsidP="0011266B" w:rsidRDefault="0011266B" w14:paraId="609BFECA" w14:textId="77777777">
      <w:pPr>
        <w:pStyle w:val="Lijstalinea"/>
        <w:numPr>
          <w:ilvl w:val="0"/>
          <w:numId w:val="1"/>
        </w:numPr>
        <w:autoSpaceDN/>
        <w:spacing w:line="276" w:lineRule="auto"/>
        <w:textAlignment w:val="auto"/>
      </w:pPr>
      <w:r w:rsidRPr="00B62C7B">
        <w:t xml:space="preserve">contra-indicaties </w:t>
      </w:r>
      <w:r>
        <w:t>voor medicatie;</w:t>
      </w:r>
      <w:r w:rsidRPr="00B62C7B">
        <w:t xml:space="preserve"> </w:t>
      </w:r>
    </w:p>
    <w:p w:rsidR="007B5078" w:rsidP="000F4B07" w:rsidRDefault="0011266B" w14:paraId="0C516B82" w14:textId="65D51DC2">
      <w:pPr>
        <w:pStyle w:val="Lijstalinea"/>
        <w:numPr>
          <w:ilvl w:val="0"/>
          <w:numId w:val="1"/>
        </w:numPr>
        <w:autoSpaceDN/>
        <w:spacing w:line="276" w:lineRule="auto"/>
        <w:textAlignment w:val="auto"/>
      </w:pPr>
      <w:r>
        <w:t>m</w:t>
      </w:r>
      <w:r w:rsidRPr="00B62C7B">
        <w:t>edische aandoeningen</w:t>
      </w:r>
      <w:r>
        <w:t>:</w:t>
      </w:r>
      <w:r w:rsidRPr="00B62C7B">
        <w:t xml:space="preserve"> lijst van actuele aandoeningen en diagnoses en overige relevante aandoeningen</w:t>
      </w:r>
      <w:r>
        <w:t>;</w:t>
      </w:r>
    </w:p>
    <w:p w:rsidRPr="00B62C7B" w:rsidR="0011266B" w:rsidP="0011266B" w:rsidRDefault="0011266B" w14:paraId="6A7C094B" w14:textId="32EEC03B">
      <w:pPr>
        <w:pStyle w:val="Lijstalinea"/>
        <w:numPr>
          <w:ilvl w:val="0"/>
          <w:numId w:val="1"/>
        </w:numPr>
        <w:autoSpaceDN/>
        <w:spacing w:line="276" w:lineRule="auto"/>
        <w:textAlignment w:val="auto"/>
      </w:pPr>
      <w:r>
        <w:t>v</w:t>
      </w:r>
      <w:r w:rsidRPr="00B62C7B">
        <w:t>oorgeschreven medicatie: actuele voorgeschreven medicatie en overige relevante medicatie</w:t>
      </w:r>
      <w:r>
        <w:t>;</w:t>
      </w:r>
    </w:p>
    <w:p w:rsidR="0011266B" w:rsidP="5FBA465D" w:rsidRDefault="0011266B" w14:paraId="6DAB728B" w14:textId="58F55FEA">
      <w:pPr>
        <w:pStyle w:val="Lijstalinea"/>
        <w:numPr>
          <w:ilvl w:val="0"/>
          <w:numId w:val="1"/>
        </w:numPr>
      </w:pPr>
      <w:r>
        <w:t>g</w:t>
      </w:r>
      <w:r w:rsidRPr="00B62C7B">
        <w:t>egevens patiënt</w:t>
      </w:r>
      <w:r w:rsidRPr="5FBA465D" w:rsidR="00364455">
        <w:t>:</w:t>
      </w:r>
      <w:r w:rsidRPr="5FBA465D">
        <w:t xml:space="preserve"> </w:t>
      </w:r>
      <w:proofErr w:type="spellStart"/>
      <w:r w:rsidRPr="00B62C7B">
        <w:t>burgerservicenummer</w:t>
      </w:r>
      <w:proofErr w:type="spellEnd"/>
      <w:r w:rsidRPr="00B62C7B">
        <w:t>, voornamen, achternaam, geboortedatum, geslacht, adre</w:t>
      </w:r>
      <w:r>
        <w:t>s</w:t>
      </w:r>
      <w:r w:rsidRPr="5FBA465D" w:rsidR="00B737C6">
        <w:t>;</w:t>
      </w:r>
    </w:p>
    <w:p w:rsidR="0011266B" w:rsidP="0011266B" w:rsidRDefault="0011266B" w14:paraId="7CB373F8" w14:textId="2EA5F69F">
      <w:pPr>
        <w:pStyle w:val="Lijstalinea"/>
        <w:numPr>
          <w:ilvl w:val="0"/>
          <w:numId w:val="1"/>
        </w:numPr>
        <w:autoSpaceDN/>
        <w:spacing w:line="276" w:lineRule="auto"/>
        <w:textAlignment w:val="auto"/>
      </w:pPr>
      <w:r>
        <w:t>g</w:t>
      </w:r>
      <w:r w:rsidRPr="00B62C7B">
        <w:t>egevens zorgverlener</w:t>
      </w:r>
      <w:r>
        <w:t>:</w:t>
      </w:r>
      <w:r w:rsidRPr="00B62C7B">
        <w:t xml:space="preserve"> voornamen, achternaam, adres, telefoonnummer, e</w:t>
      </w:r>
      <w:r>
        <w:t>-</w:t>
      </w:r>
      <w:r w:rsidRPr="00B62C7B">
        <w:t>mailadres</w:t>
      </w:r>
      <w:r w:rsidR="00B737C6">
        <w:t>;</w:t>
      </w:r>
    </w:p>
    <w:p w:rsidRPr="001879A8" w:rsidR="001442B3" w:rsidP="4158EADE" w:rsidRDefault="0011266B" w14:paraId="405BCACF" w14:textId="0F8A7377">
      <w:pPr>
        <w:pStyle w:val="Lijstalinea"/>
        <w:numPr>
          <w:ilvl w:val="0"/>
          <w:numId w:val="1"/>
        </w:numPr>
        <w:autoSpaceDN/>
        <w:spacing w:line="276" w:lineRule="auto"/>
        <w:textAlignment w:val="auto"/>
      </w:pPr>
      <w:r>
        <w:t>l</w:t>
      </w:r>
      <w:r w:rsidRPr="00B62C7B">
        <w:t>aboratoriumuitslagen en meetuitslagen</w:t>
      </w:r>
      <w:r w:rsidRPr="4158EADE" w:rsidR="00AE237D">
        <w:t>.</w:t>
      </w:r>
    </w:p>
    <w:p w:rsidRPr="0003660E" w:rsidR="00C02574" w:rsidP="00CB62AB" w:rsidRDefault="006A3F11" w14:paraId="3219AD4C" w14:textId="5585BABE">
      <w:pPr>
        <w:pStyle w:val="Kop1"/>
        <w:numPr>
          <w:ilvl w:val="0"/>
          <w:numId w:val="9"/>
        </w:numPr>
      </w:pPr>
      <w:r w:rsidRPr="0003660E">
        <w:t xml:space="preserve">Bewaren </w:t>
      </w:r>
      <w:r w:rsidR="00F7517D">
        <w:t>van persoonsgegevens</w:t>
      </w:r>
    </w:p>
    <w:p w:rsidR="00692900" w:rsidP="159B90B0" w:rsidRDefault="00027601" w14:paraId="56621D55" w14:textId="59641908">
      <w:pPr>
        <w:pStyle w:val="Stijl1"/>
        <w:rPr>
          <w:color w:val="000000" w:themeColor="text1"/>
        </w:rPr>
      </w:pPr>
      <w:bookmarkStart w:name="_Hlk228462286" w:id="6"/>
      <w:r>
        <w:t>In het wetsvoorstel is vastgelegd dat de</w:t>
      </w:r>
      <w:r w:rsidR="008613F6">
        <w:t xml:space="preserve"> (bijzondere)</w:t>
      </w:r>
      <w:r>
        <w:t xml:space="preserve"> persoonsgegevens die door het </w:t>
      </w:r>
      <w:proofErr w:type="spellStart"/>
      <w:r>
        <w:t>NCPeH</w:t>
      </w:r>
      <w:proofErr w:type="spellEnd"/>
      <w:r>
        <w:t xml:space="preserve">-NL worden verwerkt niet langer worden bewaard </w:t>
      </w:r>
      <w:r w:rsidR="008613F6">
        <w:t xml:space="preserve">dan </w:t>
      </w:r>
      <w:r>
        <w:t xml:space="preserve">voor de </w:t>
      </w:r>
      <w:r w:rsidR="008613F6">
        <w:t>opvraging, verwerking en verstrekking van de</w:t>
      </w:r>
      <w:r w:rsidR="00980A82">
        <w:t xml:space="preserve"> categorie van gezondheids</w:t>
      </w:r>
      <w:r w:rsidR="007F29A5">
        <w:t>informatie</w:t>
      </w:r>
      <w:r w:rsidR="00980A82">
        <w:t>, zoals de</w:t>
      </w:r>
      <w:r w:rsidR="008613F6">
        <w:t xml:space="preserve"> patiëntsamenvatting</w:t>
      </w:r>
      <w:r w:rsidRPr="5FBA465D" w:rsidR="00980A82">
        <w:t xml:space="preserve">, </w:t>
      </w:r>
      <w:r w:rsidR="008613F6">
        <w:t>noodzakelijk is</w:t>
      </w:r>
      <w:r w:rsidRPr="5FBA465D">
        <w:t xml:space="preserve">. </w:t>
      </w:r>
      <w:r w:rsidR="008613F6">
        <w:t>E</w:t>
      </w:r>
      <w:r>
        <w:t xml:space="preserve">en uitzondering </w:t>
      </w:r>
      <w:r w:rsidR="008613F6">
        <w:t xml:space="preserve">is in het besluit geregeld </w:t>
      </w:r>
      <w:r>
        <w:t xml:space="preserve">voor </w:t>
      </w:r>
      <w:r w:rsidR="008613F6">
        <w:t xml:space="preserve">de </w:t>
      </w:r>
      <w:r>
        <w:t>metagegevens</w:t>
      </w:r>
      <w:r w:rsidRPr="5FBA465D" w:rsidR="008613F6">
        <w:t xml:space="preserve"> </w:t>
      </w:r>
      <w:r>
        <w:t xml:space="preserve">die worden bewaard </w:t>
      </w:r>
      <w:r w:rsidR="008613F6">
        <w:t>ten behoeve van</w:t>
      </w:r>
      <w:r w:rsidRPr="5FBA465D">
        <w:t xml:space="preserve"> </w:t>
      </w:r>
      <w:proofErr w:type="spellStart"/>
      <w:r>
        <w:t>logging</w:t>
      </w:r>
      <w:proofErr w:type="spellEnd"/>
      <w:r w:rsidRPr="5FBA465D" w:rsidR="005505C3">
        <w:t xml:space="preserve">. </w:t>
      </w:r>
      <w:r w:rsidR="47F02196">
        <w:t>I</w:t>
      </w:r>
      <w:r w:rsidR="5AB95519">
        <w:t>ngevolge</w:t>
      </w:r>
      <w:r w:rsidRPr="5FBA465D" w:rsidR="718D971A">
        <w:t xml:space="preserve"> </w:t>
      </w:r>
      <w:r w:rsidR="1B98464B">
        <w:t>a</w:t>
      </w:r>
      <w:r w:rsidR="2A549B4B">
        <w:t>rtikel 5, tweede lid, van het Besluit elektronische gegevensverwerking door zorga</w:t>
      </w:r>
      <w:r w:rsidR="36BBFFDE">
        <w:t>a</w:t>
      </w:r>
      <w:r w:rsidR="2A549B4B">
        <w:t xml:space="preserve">nbieders en het daarop gebaseerde Besluit </w:t>
      </w:r>
      <w:r w:rsidR="36BBFFDE">
        <w:t xml:space="preserve">vaststelling bewaartermijn </w:t>
      </w:r>
      <w:proofErr w:type="spellStart"/>
      <w:r w:rsidR="36BBFFDE">
        <w:t>logging</w:t>
      </w:r>
      <w:proofErr w:type="spellEnd"/>
      <w:r w:rsidR="5AB95519">
        <w:t xml:space="preserve"> zijn zorgaanbieders </w:t>
      </w:r>
      <w:r w:rsidR="51596200">
        <w:t xml:space="preserve">gehouden aan een bewaartermijn voor </w:t>
      </w:r>
      <w:proofErr w:type="spellStart"/>
      <w:r w:rsidR="51596200">
        <w:t>lo</w:t>
      </w:r>
      <w:r w:rsidR="05E94CB3">
        <w:t>gging</w:t>
      </w:r>
      <w:proofErr w:type="spellEnd"/>
      <w:r w:rsidR="05E94CB3">
        <w:t xml:space="preserve"> van ten minste vijf jaar. </w:t>
      </w:r>
      <w:r w:rsidR="00E217D6">
        <w:t>U</w:t>
      </w:r>
      <w:r w:rsidR="001B45EF">
        <w:t xml:space="preserve">it </w:t>
      </w:r>
      <w:r w:rsidRPr="001B45EF" w:rsidR="001B45EF">
        <w:t xml:space="preserve">proces 10.40 van de </w:t>
      </w:r>
      <w:proofErr w:type="spellStart"/>
      <w:r w:rsidRPr="001B45EF" w:rsidR="001B45EF">
        <w:t>Concernbrede</w:t>
      </w:r>
      <w:proofErr w:type="spellEnd"/>
      <w:r w:rsidRPr="001B45EF" w:rsidR="001B45EF">
        <w:t xml:space="preserve"> selectielijst van het ministerie van Volksgezondheid, Welzijn en Spor</w:t>
      </w:r>
      <w:r w:rsidR="001B45EF">
        <w:t xml:space="preserve">t </w:t>
      </w:r>
      <w:r w:rsidR="00E217D6">
        <w:t xml:space="preserve">volgt eveneens </w:t>
      </w:r>
      <w:r w:rsidR="001B45EF">
        <w:t xml:space="preserve">dat voor </w:t>
      </w:r>
      <w:proofErr w:type="spellStart"/>
      <w:r w:rsidR="001B45EF">
        <w:t>logging</w:t>
      </w:r>
      <w:proofErr w:type="spellEnd"/>
      <w:r w:rsidRPr="001B45EF" w:rsidR="001B45EF">
        <w:t xml:space="preserve"> een bewaartermijn van</w:t>
      </w:r>
      <w:r w:rsidRPr="5FBA465D" w:rsidR="001B45EF">
        <w:t xml:space="preserve"> </w:t>
      </w:r>
      <w:r w:rsidR="00F0112A">
        <w:t>minstens</w:t>
      </w:r>
      <w:r w:rsidRPr="001B45EF" w:rsidR="001B45EF">
        <w:t xml:space="preserve"> vijf jaar geldt</w:t>
      </w:r>
      <w:r w:rsidRPr="5FBA465D" w:rsidR="001B45EF">
        <w:t>.</w:t>
      </w:r>
      <w:r w:rsidR="00F2676F">
        <w:rPr>
          <w:rStyle w:val="Voetnootmarkering"/>
        </w:rPr>
        <w:footnoteReference w:id="16"/>
      </w:r>
      <w:r w:rsidRPr="5FBA465D" w:rsidR="001B45EF">
        <w:t xml:space="preserve"> </w:t>
      </w:r>
      <w:r w:rsidR="000C6DAB">
        <w:t>I</w:t>
      </w:r>
      <w:r w:rsidR="05E94CB3">
        <w:t xml:space="preserve">n het wetsvoorstel </w:t>
      </w:r>
      <w:r w:rsidR="000C6DAB">
        <w:t>is daarom bij deze termijn aangesloten</w:t>
      </w:r>
      <w:r w:rsidR="00692900">
        <w:rPr>
          <w:color w:val="000000" w:themeColor="text1"/>
        </w:rPr>
        <w:t xml:space="preserve">. </w:t>
      </w:r>
    </w:p>
    <w:p w:rsidR="00692900" w:rsidP="159B90B0" w:rsidRDefault="00692900" w14:paraId="0083E453" w14:textId="77777777">
      <w:pPr>
        <w:pStyle w:val="Stijl1"/>
        <w:rPr>
          <w:color w:val="000000" w:themeColor="text1"/>
        </w:rPr>
      </w:pPr>
    </w:p>
    <w:p w:rsidRPr="00E30F98" w:rsidR="00E30F98" w:rsidP="5FBA465D" w:rsidRDefault="005505C3" w14:paraId="582EF115" w14:textId="391E1AFB">
      <w:pPr>
        <w:pStyle w:val="Stijl1"/>
      </w:pPr>
      <w:r w:rsidRPr="00AD4A80">
        <w:rPr>
          <w:color w:val="000000" w:themeColor="text1"/>
        </w:rPr>
        <w:t>Met dit besluit wordt nader geconcretisee</w:t>
      </w:r>
      <w:r>
        <w:t xml:space="preserve">rd welke gegevens </w:t>
      </w:r>
      <w:r w:rsidR="00614D73">
        <w:t>worden bewaard</w:t>
      </w:r>
      <w:r w:rsidR="00867CA9">
        <w:t xml:space="preserve"> in het kader van </w:t>
      </w:r>
      <w:proofErr w:type="spellStart"/>
      <w:r w:rsidR="00867CA9">
        <w:t>logging</w:t>
      </w:r>
      <w:proofErr w:type="spellEnd"/>
      <w:r w:rsidRPr="5FBA465D">
        <w:t>.</w:t>
      </w:r>
      <w:r w:rsidRPr="5FBA465D" w:rsidR="001D21F6">
        <w:t xml:space="preserve"> </w:t>
      </w:r>
      <w:r w:rsidRPr="006912E7">
        <w:t xml:space="preserve">Alleen de voor </w:t>
      </w:r>
      <w:proofErr w:type="spellStart"/>
      <w:r w:rsidRPr="006912E7">
        <w:t>logging</w:t>
      </w:r>
      <w:proofErr w:type="spellEnd"/>
      <w:r w:rsidRPr="006912E7">
        <w:t xml:space="preserve"> noodzakelijke gegevens worden</w:t>
      </w:r>
      <w:r w:rsidRPr="5FBA465D">
        <w:t xml:space="preserve"> </w:t>
      </w:r>
      <w:r w:rsidRPr="006912E7">
        <w:t>bewaard, zowel ten behoeve van de onweerlegbaarheid van</w:t>
      </w:r>
      <w:r w:rsidRPr="5FBA465D">
        <w:t xml:space="preserve"> </w:t>
      </w:r>
      <w:r w:rsidRPr="006912E7">
        <w:t>gegevensuitwisseling als voor beveiligingsdoeleinden (zoals het voorkomen en</w:t>
      </w:r>
      <w:r w:rsidRPr="5FBA465D">
        <w:t xml:space="preserve"> </w:t>
      </w:r>
      <w:r w:rsidRPr="006912E7">
        <w:t>opsporen van misbruik).</w:t>
      </w:r>
      <w:r>
        <w:t xml:space="preserve"> Door vast te leggen welke informatie wanneer en door wie is opgevraagd, is het mogelijk op een later moment na te gaan door wie de gegevens zijn verwerkt. Dit draagt bij aan transparantie en integriteit van het systeem, en waarborgt dat er altijd verantwoording kan worden afgelegd over het raadplegen van de categorieën</w:t>
      </w:r>
      <w:r w:rsidR="007F29A5">
        <w:t xml:space="preserve"> van</w:t>
      </w:r>
      <w:r>
        <w:t xml:space="preserve"> gezondheidsinformatie. </w:t>
      </w:r>
      <w:r w:rsidR="00B737C6">
        <w:t>B</w:t>
      </w:r>
      <w:r w:rsidR="00164337">
        <w:t xml:space="preserve">ij de </w:t>
      </w:r>
      <w:proofErr w:type="spellStart"/>
      <w:r w:rsidR="00164337">
        <w:t>logging</w:t>
      </w:r>
      <w:proofErr w:type="spellEnd"/>
      <w:r w:rsidR="00164337">
        <w:t xml:space="preserve"> worden </w:t>
      </w:r>
      <w:r w:rsidR="00B737C6">
        <w:t xml:space="preserve">dus </w:t>
      </w:r>
      <w:r w:rsidR="00164337">
        <w:t xml:space="preserve">niet de medisch inhoudelijke gegevens opgeslagen maar </w:t>
      </w:r>
      <w:r w:rsidR="00653568">
        <w:t>wel over wie</w:t>
      </w:r>
      <w:r w:rsidR="00FB3C35">
        <w:t xml:space="preserve">, welke soort informatie is verwerkt en wie die opvraging heeft gedaan. </w:t>
      </w:r>
      <w:r w:rsidR="00867CA9">
        <w:t xml:space="preserve">Na het verstrijken van de bewaartermijn van vijf jaar worden de gegevens automatisch verwijderd. </w:t>
      </w:r>
    </w:p>
    <w:bookmarkEnd w:id="6"/>
    <w:p w:rsidRPr="00E30F98" w:rsidR="00E30F98" w:rsidP="5DD4849A" w:rsidRDefault="00E30F98" w14:paraId="3BAC796C" w14:textId="190E8D18">
      <w:pPr>
        <w:pStyle w:val="Kop1"/>
        <w:numPr>
          <w:ilvl w:val="0"/>
          <w:numId w:val="9"/>
        </w:numPr>
      </w:pPr>
      <w:r w:rsidRPr="00D72D07">
        <w:t xml:space="preserve">Verhouding tot andere regelgeving </w:t>
      </w:r>
    </w:p>
    <w:p w:rsidR="00E30F98" w:rsidP="5DD4849A" w:rsidRDefault="00E30F98" w14:paraId="3CD32BDA" w14:textId="78E65664">
      <w:pPr>
        <w:pStyle w:val="Kop1"/>
        <w:rPr>
          <w:szCs w:val="36"/>
        </w:rPr>
      </w:pPr>
      <w:r w:rsidRPr="00D06B78">
        <w:t xml:space="preserve">6.1 EHDS </w:t>
      </w:r>
    </w:p>
    <w:p w:rsidRPr="00001320" w:rsidR="00983F8E" w:rsidP="0003660E" w:rsidRDefault="00001320" w14:paraId="7127A777" w14:textId="729528D0">
      <w:r>
        <w:t>Op 26 maart 2025 is</w:t>
      </w:r>
      <w:r w:rsidRPr="5FBA465D">
        <w:t xml:space="preserve"> </w:t>
      </w:r>
      <w:r>
        <w:t xml:space="preserve">de verordening </w:t>
      </w:r>
      <w:r w:rsidRPr="00C97C42">
        <w:t>van het Europees Parlement en de Raad betreffende de</w:t>
      </w:r>
      <w:r w:rsidRPr="5FBA465D">
        <w:t xml:space="preserve"> </w:t>
      </w:r>
      <w:r w:rsidRPr="00C97C42">
        <w:t>Europese ruimte voor gezondheidsgegevens (</w:t>
      </w:r>
      <w:r w:rsidRPr="5FBA465D">
        <w:rPr>
          <w:i/>
          <w:iCs/>
        </w:rPr>
        <w:t xml:space="preserve">European Health Data Space, </w:t>
      </w:r>
      <w:r w:rsidRPr="00C97C42">
        <w:t>hierna: EHDS</w:t>
      </w:r>
      <w:r w:rsidRPr="00C97C42" w:rsidR="0894669B">
        <w:t>-verordening</w:t>
      </w:r>
      <w:r w:rsidRPr="5FBA465D">
        <w:t>)</w:t>
      </w:r>
      <w:r>
        <w:t xml:space="preserve"> in werking getreden.</w:t>
      </w:r>
      <w:r w:rsidRPr="00001320">
        <w:t xml:space="preserve"> Deze verordening heeft als doel de beschikbaarheid van elektronische gezondheidsgegevens te vergroten voor de levering van zorg (primair gebruik) en voor wetenschappelijk onderzoek, innovatie en beleid (secundair gebruik).</w:t>
      </w:r>
      <w:r w:rsidRPr="00983F8E" w:rsidR="00983F8E">
        <w:t xml:space="preserve"> Onder de EHDS</w:t>
      </w:r>
      <w:r w:rsidRPr="5FBA465D" w:rsidR="00AD791D">
        <w:t>-</w:t>
      </w:r>
      <w:r w:rsidR="00983F8E">
        <w:t>verordening</w:t>
      </w:r>
      <w:r w:rsidRPr="00983F8E" w:rsidR="00983F8E">
        <w:t xml:space="preserve"> wordt het inrichten van een </w:t>
      </w:r>
      <w:r w:rsidRPr="00983F8E" w:rsidR="0894669B">
        <w:t>nationaal contactpu</w:t>
      </w:r>
      <w:r w:rsidR="5E3385A4">
        <w:t>nt</w:t>
      </w:r>
      <w:r w:rsidRPr="00983F8E" w:rsidR="00983F8E">
        <w:t xml:space="preserve"> en het aansluiten op het </w:t>
      </w:r>
      <w:proofErr w:type="spellStart"/>
      <w:r w:rsidRPr="00983F8E" w:rsidR="00983F8E">
        <w:t>MyHealth@EU-netwerk</w:t>
      </w:r>
      <w:proofErr w:type="spellEnd"/>
      <w:r w:rsidRPr="00983F8E" w:rsidR="00983F8E">
        <w:t>, ten behoeve van de bevordering van gegevensuitwisseling voor primair gebruik, verplicht.</w:t>
      </w:r>
      <w:r w:rsidRPr="5FBA465D" w:rsidR="00983F8E">
        <w:t xml:space="preserve"> </w:t>
      </w:r>
      <w:r w:rsidRPr="00983F8E" w:rsidR="00AD791D">
        <w:t>De</w:t>
      </w:r>
      <w:r w:rsidR="00754170">
        <w:t>ze en andere</w:t>
      </w:r>
      <w:r w:rsidRPr="00983F8E" w:rsidR="00AD791D">
        <w:t xml:space="preserve"> verplichtingen voortvloeiend uit de EHDS</w:t>
      </w:r>
      <w:r w:rsidR="00FC5C88">
        <w:t>-verordening</w:t>
      </w:r>
      <w:r w:rsidRPr="00983F8E" w:rsidR="00AD791D">
        <w:t xml:space="preserve"> zullen de komende jaren gefaseerd van kracht worden</w:t>
      </w:r>
      <w:r w:rsidRPr="5FBA465D" w:rsidR="00AD791D">
        <w:t>.</w:t>
      </w:r>
      <w:r w:rsidR="00AB41B6">
        <w:t xml:space="preserve"> Per 26 maart 2029 moeten lidstaten een eigen </w:t>
      </w:r>
      <w:r w:rsidR="5E3385A4">
        <w:t>nationaal contactp</w:t>
      </w:r>
      <w:r w:rsidR="360F2D6A">
        <w:t>unt</w:t>
      </w:r>
      <w:r w:rsidRPr="5FBA465D" w:rsidR="00AB41B6">
        <w:t xml:space="preserve"> </w:t>
      </w:r>
      <w:r w:rsidR="00A65201">
        <w:t>hebben</w:t>
      </w:r>
      <w:r w:rsidR="00AB41B6">
        <w:t xml:space="preserve"> aangewezen</w:t>
      </w:r>
      <w:r w:rsidR="360F2D6A">
        <w:t xml:space="preserve">, dat vanaf dat moment </w:t>
      </w:r>
      <w:r w:rsidR="00A65201">
        <w:t xml:space="preserve">operationeel </w:t>
      </w:r>
      <w:r w:rsidR="360F2D6A">
        <w:t>is</w:t>
      </w:r>
      <w:r w:rsidRPr="5FBA465D" w:rsidR="00A65201">
        <w:t xml:space="preserve"> </w:t>
      </w:r>
      <w:r w:rsidR="00AB41B6">
        <w:t xml:space="preserve">voor het uitwisselen van patiëntsamenvattingen, elektronische recepten en </w:t>
      </w:r>
      <w:r w:rsidR="00A65201">
        <w:t>verstrekkingen</w:t>
      </w:r>
      <w:r w:rsidRPr="5FBA465D" w:rsidR="00AB41B6">
        <w:t>.</w:t>
      </w:r>
      <w:r w:rsidRPr="5FBA465D" w:rsidR="00AD791D">
        <w:t xml:space="preserve"> </w:t>
      </w:r>
      <w:r w:rsidR="00CF59EF">
        <w:t>Het</w:t>
      </w:r>
      <w:r w:rsidR="00551BAE">
        <w:t xml:space="preserve"> wetsvoorstel en </w:t>
      </w:r>
      <w:r w:rsidR="0071376E">
        <w:t>dit</w:t>
      </w:r>
      <w:r w:rsidR="00551BAE">
        <w:t xml:space="preserve"> bijbehorende besluit </w:t>
      </w:r>
      <w:r w:rsidR="00CF59EF">
        <w:t>voorzien</w:t>
      </w:r>
      <w:r w:rsidR="001E4D2F">
        <w:t xml:space="preserve"> in de implementatie van de Richtlijn 2011/24/EU. De </w:t>
      </w:r>
      <w:r w:rsidR="00CF59EF">
        <w:t xml:space="preserve">aanwijzing van </w:t>
      </w:r>
      <w:r w:rsidR="00551BAE">
        <w:t xml:space="preserve">het </w:t>
      </w:r>
      <w:proofErr w:type="spellStart"/>
      <w:r w:rsidR="00551BAE">
        <w:t>NCPeH</w:t>
      </w:r>
      <w:proofErr w:type="spellEnd"/>
      <w:r w:rsidR="00551BAE">
        <w:t xml:space="preserve">-NL </w:t>
      </w:r>
      <w:r w:rsidR="0071376E">
        <w:t xml:space="preserve">en het </w:t>
      </w:r>
      <w:r w:rsidR="00551BAE">
        <w:t xml:space="preserve">operationeel zijn </w:t>
      </w:r>
      <w:r w:rsidR="0071376E">
        <w:t>daarvan</w:t>
      </w:r>
      <w:r w:rsidRPr="5FBA465D" w:rsidR="0071376E">
        <w:t xml:space="preserve"> </w:t>
      </w:r>
      <w:r w:rsidRPr="3B261B4B" w:rsidR="3B261B4B">
        <w:t>vindt al</w:t>
      </w:r>
      <w:r w:rsidR="001E4D2F">
        <w:t xml:space="preserve">dus </w:t>
      </w:r>
      <w:r w:rsidR="4EBECB13">
        <w:t>plaats</w:t>
      </w:r>
      <w:r w:rsidRPr="5FBA465D" w:rsidR="001E4D2F">
        <w:t xml:space="preserve"> </w:t>
      </w:r>
      <w:r w:rsidR="00551BAE">
        <w:t xml:space="preserve">op basis </w:t>
      </w:r>
      <w:r w:rsidR="001E4D2F">
        <w:t>deze</w:t>
      </w:r>
      <w:r w:rsidR="00551BAE">
        <w:t xml:space="preserve"> richtlij</w:t>
      </w:r>
      <w:r w:rsidR="001E4D2F">
        <w:t>n</w:t>
      </w:r>
      <w:r w:rsidRPr="5FBA465D" w:rsidR="0071376E">
        <w:t>.</w:t>
      </w:r>
      <w:r w:rsidR="00551BAE">
        <w:t xml:space="preserve"> Voor de implementatie van de EHDS zal</w:t>
      </w:r>
      <w:r w:rsidRPr="5FBA465D" w:rsidR="00AD791D">
        <w:t xml:space="preserve"> </w:t>
      </w:r>
      <w:r w:rsidR="00754170">
        <w:t>door het ministerie van V</w:t>
      </w:r>
      <w:r w:rsidR="00F55818">
        <w:t>olksgezondheid, Welzijn en Sport</w:t>
      </w:r>
      <w:r w:rsidR="00754170">
        <w:t xml:space="preserve"> </w:t>
      </w:r>
      <w:r w:rsidR="00AD791D">
        <w:t>uitvoeringswetgeving worden opgesteld</w:t>
      </w:r>
      <w:r w:rsidRPr="5FBA465D" w:rsidR="00E85DF8">
        <w:t>.</w:t>
      </w:r>
      <w:r w:rsidR="00A65201">
        <w:rPr>
          <w:rStyle w:val="Voetnootmarkering"/>
        </w:rPr>
        <w:footnoteReference w:id="17"/>
      </w:r>
      <w:r w:rsidRPr="5FBA465D" w:rsidR="00E85DF8">
        <w:t xml:space="preserve"> </w:t>
      </w:r>
      <w:r w:rsidR="00551BAE">
        <w:t xml:space="preserve">Door middel van deze uitvoeringswetgeving </w:t>
      </w:r>
      <w:r w:rsidR="4EBECB13">
        <w:t>zullen</w:t>
      </w:r>
      <w:r w:rsidR="00551BAE">
        <w:t xml:space="preserve"> het wetsvoorstel en het besluit </w:t>
      </w:r>
      <w:r w:rsidR="002A0E0C">
        <w:t xml:space="preserve">verder </w:t>
      </w:r>
      <w:r w:rsidR="00551BAE">
        <w:t xml:space="preserve">in lijn </w:t>
      </w:r>
      <w:r w:rsidR="4EBECB13">
        <w:t xml:space="preserve">worden </w:t>
      </w:r>
      <w:r w:rsidR="00551BAE">
        <w:t>gebracht met de EHDS</w:t>
      </w:r>
      <w:r w:rsidRPr="5FBA465D" w:rsidR="4EBECB13">
        <w:t>-</w:t>
      </w:r>
      <w:r w:rsidR="09970685">
        <w:t>verordening</w:t>
      </w:r>
      <w:r w:rsidRPr="5FBA465D" w:rsidR="00F66D47">
        <w:t>.</w:t>
      </w:r>
    </w:p>
    <w:p w:rsidRPr="00540D47" w:rsidR="00540D47" w:rsidP="00540D47" w:rsidRDefault="00540D47" w14:paraId="16F3BB89" w14:textId="011C9A73">
      <w:pPr>
        <w:pStyle w:val="Kop1"/>
        <w:numPr>
          <w:ilvl w:val="0"/>
          <w:numId w:val="9"/>
        </w:numPr>
      </w:pPr>
      <w:r>
        <w:t>Regeldruk</w:t>
      </w:r>
    </w:p>
    <w:p w:rsidR="004D69E0" w:rsidP="00F80090" w:rsidRDefault="006C14EB" w14:paraId="4709C9A4" w14:textId="6B617A37">
      <w:r>
        <w:t xml:space="preserve">Dit besluit heeft </w:t>
      </w:r>
      <w:r w:rsidR="005E16B5">
        <w:t xml:space="preserve">geringe </w:t>
      </w:r>
      <w:r w:rsidR="00752A12">
        <w:t>impact op</w:t>
      </w:r>
      <w:r>
        <w:t xml:space="preserve"> de regeldruk aan de zijde van de zorgaanbieders</w:t>
      </w:r>
      <w:r w:rsidR="00582C32">
        <w:t xml:space="preserve"> in Nederland</w:t>
      </w:r>
      <w:r w:rsidRPr="5FBA465D">
        <w:t xml:space="preserve">. </w:t>
      </w:r>
      <w:r w:rsidR="00270D62">
        <w:t xml:space="preserve">Zoals eerder aangegeven vereist </w:t>
      </w:r>
      <w:r w:rsidR="00752A12">
        <w:t xml:space="preserve">de </w:t>
      </w:r>
      <w:r w:rsidR="009A73DE">
        <w:t>toegang tot</w:t>
      </w:r>
      <w:r w:rsidR="00270D62">
        <w:t xml:space="preserve"> het </w:t>
      </w:r>
      <w:proofErr w:type="spellStart"/>
      <w:r w:rsidR="00D61B39">
        <w:t>NCPeH</w:t>
      </w:r>
      <w:proofErr w:type="spellEnd"/>
      <w:r w:rsidR="00D61B39">
        <w:t>-NL</w:t>
      </w:r>
      <w:r w:rsidRPr="5FBA465D" w:rsidR="00270D62">
        <w:t xml:space="preserve"> </w:t>
      </w:r>
      <w:r w:rsidR="000602BA">
        <w:t xml:space="preserve">geen actieve handeling van de </w:t>
      </w:r>
      <w:r w:rsidRPr="003846B3" w:rsidR="003846B3">
        <w:t>zorgaanbieder of zorgverlener</w:t>
      </w:r>
      <w:r w:rsidR="000602BA">
        <w:t>.</w:t>
      </w:r>
      <w:r w:rsidRPr="5FBA465D" w:rsidR="00752A12">
        <w:t xml:space="preserve"> </w:t>
      </w:r>
      <w:r w:rsidR="000602BA">
        <w:t xml:space="preserve">Het is enkel noodzakelijk dat </w:t>
      </w:r>
      <w:r w:rsidR="003846B3">
        <w:t xml:space="preserve">de </w:t>
      </w:r>
      <w:r w:rsidRPr="003846B3" w:rsidR="003846B3">
        <w:t xml:space="preserve">zorgaanbieder of zorgverlener </w:t>
      </w:r>
      <w:r w:rsidR="000602BA">
        <w:t xml:space="preserve">gebruik maakt van een authenticatiemiddel op het </w:t>
      </w:r>
      <w:proofErr w:type="spellStart"/>
      <w:r w:rsidR="000602BA">
        <w:t>eIDAS</w:t>
      </w:r>
      <w:proofErr w:type="spellEnd"/>
      <w:r w:rsidR="000602BA">
        <w:t xml:space="preserve"> niveau </w:t>
      </w:r>
      <w:r w:rsidR="00F835C3">
        <w:t>h</w:t>
      </w:r>
      <w:r w:rsidR="000602BA">
        <w:t>oog</w:t>
      </w:r>
      <w:r w:rsidR="00710DA3">
        <w:t xml:space="preserve"> en dat de</w:t>
      </w:r>
      <w:r w:rsidR="003142DC">
        <w:t>ze</w:t>
      </w:r>
      <w:r w:rsidR="00EC6C71">
        <w:t xml:space="preserve"> een, overeenkomstig de ministeriele regeling, </w:t>
      </w:r>
      <w:r w:rsidR="00710DA3">
        <w:t>geautoriseerd beroep uitoefent</w:t>
      </w:r>
      <w:r w:rsidRPr="5FBA465D" w:rsidR="00F23CB5">
        <w:t>.</w:t>
      </w:r>
      <w:r w:rsidR="004D69E0">
        <w:t xml:space="preserve"> Dit brengt geen regeldrukgevolgen met zich mee.</w:t>
      </w:r>
      <w:r w:rsidRPr="5FBA465D" w:rsidR="00F23CB5">
        <w:t xml:space="preserve"> </w:t>
      </w:r>
    </w:p>
    <w:p w:rsidR="00FD40DF" w:rsidP="00F80090" w:rsidRDefault="00FD40DF" w14:paraId="7B6BEA42" w14:textId="77777777"/>
    <w:p w:rsidR="00D06B78" w:rsidP="5FBA465D" w:rsidRDefault="009A73DE" w14:paraId="0FA9107F" w14:textId="138A8A82">
      <w:r>
        <w:t xml:space="preserve">Uiteraard </w:t>
      </w:r>
      <w:r w:rsidR="00710DA3">
        <w:t>moet</w:t>
      </w:r>
      <w:r w:rsidR="003142DC">
        <w:t>en</w:t>
      </w:r>
      <w:r w:rsidR="00710DA3">
        <w:t xml:space="preserve"> </w:t>
      </w:r>
      <w:r w:rsidRPr="006C14EB" w:rsidR="006C14EB">
        <w:t>zorgaanbieder</w:t>
      </w:r>
      <w:r w:rsidR="003142DC">
        <w:t>s</w:t>
      </w:r>
      <w:r>
        <w:t xml:space="preserve"> </w:t>
      </w:r>
      <w:r w:rsidR="003142DC">
        <w:t>en</w:t>
      </w:r>
      <w:r w:rsidR="008A3A37">
        <w:t xml:space="preserve"> zorgverlener</w:t>
      </w:r>
      <w:r w:rsidR="003142DC">
        <w:t>s</w:t>
      </w:r>
      <w:r w:rsidR="008A3A37">
        <w:t xml:space="preserve"> </w:t>
      </w:r>
      <w:r>
        <w:t>wel</w:t>
      </w:r>
      <w:r w:rsidRPr="5FBA465D" w:rsidR="006C14EB">
        <w:t xml:space="preserve"> </w:t>
      </w:r>
      <w:r w:rsidR="003F6A7B">
        <w:t>kennisnemen van de nieuwe wet- en regelg</w:t>
      </w:r>
      <w:r w:rsidR="00E73997">
        <w:t>ev</w:t>
      </w:r>
      <w:r w:rsidR="003F6A7B">
        <w:t xml:space="preserve">ing </w:t>
      </w:r>
      <w:r w:rsidRPr="006C14EB" w:rsidR="006C14EB">
        <w:t xml:space="preserve">en het gebruik van het </w:t>
      </w:r>
      <w:proofErr w:type="spellStart"/>
      <w:r w:rsidRPr="006C14EB" w:rsidR="006C14EB">
        <w:t>NCPeH</w:t>
      </w:r>
      <w:proofErr w:type="spellEnd"/>
      <w:r w:rsidRPr="006C14EB" w:rsidR="006C14EB">
        <w:t>-NL, evenals van de bijbehorende gebruikersvoorwaarden</w:t>
      </w:r>
      <w:r w:rsidR="003F6A7B">
        <w:t>; zogenaamde kennisnamekosten.</w:t>
      </w:r>
      <w:r w:rsidRPr="5FBA465D" w:rsidR="003F6A7B">
        <w:t xml:space="preserve"> </w:t>
      </w:r>
      <w:r w:rsidRPr="003F6A7B" w:rsidR="003F6A7B">
        <w:t>Hiervoor moeten ongeveer 20.000 zorgaanbieders een half uur investeren. Daarmee komen de kennisnamekosten uit op 470.000 euro (10.000 uur x 47,00 euro)</w:t>
      </w:r>
      <w:r w:rsidRPr="5FBA465D" w:rsidR="003F6A7B">
        <w:t xml:space="preserve">. </w:t>
      </w:r>
    </w:p>
    <w:p w:rsidR="00D06B78" w:rsidP="00F80090" w:rsidRDefault="00D06B78" w14:paraId="56EB139E" w14:textId="77777777"/>
    <w:p w:rsidR="007B5078" w:rsidP="00F80090" w:rsidRDefault="00D06B78" w14:paraId="3083A833" w14:textId="55403B8D">
      <w:r w:rsidRPr="00D06B78">
        <w:t>Het Adviescollege toetsing regeldruk (ATR) heeft het dossier niet geselecteerd voor een formeel advies, omdat het geen (omvangrijke) gevolgen voor de regeldruk heeft</w:t>
      </w:r>
      <w:r w:rsidRPr="118F66A2">
        <w:t>.</w:t>
      </w:r>
    </w:p>
    <w:p w:rsidRPr="003F089E" w:rsidR="008131BD" w:rsidP="00010BA5" w:rsidRDefault="00C02574" w14:paraId="717C1858" w14:textId="381CAB45">
      <w:pPr>
        <w:pStyle w:val="Kop1"/>
        <w:numPr>
          <w:ilvl w:val="0"/>
          <w:numId w:val="9"/>
        </w:numPr>
      </w:pPr>
      <w:r w:rsidRPr="003F089E">
        <w:t xml:space="preserve">Verantwoording ontvangen adviezen </w:t>
      </w:r>
    </w:p>
    <w:p w:rsidR="00C02574" w:rsidP="00010BA5" w:rsidRDefault="00C02574" w14:paraId="0448189D" w14:textId="6F190E3C">
      <w:pPr>
        <w:pStyle w:val="Kop2"/>
        <w:numPr>
          <w:ilvl w:val="1"/>
          <w:numId w:val="20"/>
        </w:numPr>
      </w:pPr>
      <w:r>
        <w:t>Autoriteit Persoonsgegevens</w:t>
      </w:r>
    </w:p>
    <w:p w:rsidR="00095953" w:rsidP="00010BA5" w:rsidRDefault="00095953" w14:paraId="3D43B9C1" w14:textId="26741471">
      <w:r>
        <w:t>Het conceptbesluit en de conceptregeling zijn voor advies voorgelegd aan de Autoriteit Persoonsgegevens (AP). De AP heeft bij brief van 3 februari 2026 haar advies gegeven op het b</w:t>
      </w:r>
      <w:r w:rsidRPr="00095953">
        <w:t xml:space="preserve">esluit </w:t>
      </w:r>
      <w:r>
        <w:t xml:space="preserve">en de regeling. De AP heeft in beide gevallen geen aanmerkingen op de concepten. </w:t>
      </w:r>
    </w:p>
    <w:p w:rsidRPr="00095953" w:rsidR="00F7517D" w:rsidP="00010BA5" w:rsidRDefault="00F7517D" w14:paraId="7D2279EE" w14:textId="77777777"/>
    <w:p w:rsidR="00C02574" w:rsidP="00010BA5" w:rsidRDefault="00C02574" w14:paraId="5CE4F2E2" w14:textId="5E489DAE">
      <w:pPr>
        <w:pStyle w:val="Kop2"/>
        <w:numPr>
          <w:ilvl w:val="1"/>
          <w:numId w:val="20"/>
        </w:numPr>
      </w:pPr>
      <w:r>
        <w:t>Uitvoeringstoets</w:t>
      </w:r>
    </w:p>
    <w:p w:rsidRPr="00D72D07" w:rsidR="00477BE6" w:rsidP="00DD36E1" w:rsidRDefault="00095953" w14:paraId="10A0C5C6" w14:textId="5F4BB543">
      <w:r>
        <w:t>Het CIBG heeft een uitvoeringstoets gedaan op het conceptbesluit</w:t>
      </w:r>
      <w:r w:rsidR="00315120">
        <w:t xml:space="preserve">. Het CIBG heeft het conceptbesluit als uitvoerbaar en realiseerbaar beoordeeld. </w:t>
      </w:r>
      <w:r w:rsidR="003142DC">
        <w:t>Wel wijst zij erop dat vo</w:t>
      </w:r>
      <w:r w:rsidRPr="00477BE6" w:rsidR="003142DC">
        <w:t xml:space="preserve">or de in artikel 2.2 benoemde opschortingen en ontzeggingen een proces moet worden ingericht en </w:t>
      </w:r>
      <w:r w:rsidR="003142DC">
        <w:t>dat</w:t>
      </w:r>
      <w:r w:rsidRPr="00477BE6" w:rsidR="003142DC">
        <w:t xml:space="preserve"> de nadere voorwaarden </w:t>
      </w:r>
      <w:r w:rsidRPr="00477BE6" w:rsidDel="00AF24F4" w:rsidR="003142DC">
        <w:t xml:space="preserve">moeten </w:t>
      </w:r>
      <w:r w:rsidRPr="00477BE6" w:rsidR="003142DC">
        <w:t xml:space="preserve">worden uitgewerkt in een beleidsregel. Hiervoor moeten ook nadere afspraken met de toezichthouder </w:t>
      </w:r>
      <w:r w:rsidR="003142DC">
        <w:t xml:space="preserve">worden </w:t>
      </w:r>
      <w:r w:rsidRPr="00477BE6" w:rsidR="003142DC">
        <w:t>gemaakt.</w:t>
      </w:r>
      <w:r w:rsidR="004533D2">
        <w:t xml:space="preserve"> </w:t>
      </w:r>
      <w:r w:rsidR="003142DC">
        <w:t xml:space="preserve">Verder heeft het CIBG </w:t>
      </w:r>
      <w:r w:rsidR="00DD36E1">
        <w:t xml:space="preserve">erop gewezen dat artikel 2.1 gericht moet zijn tot zorgverleners. Naar aanleiding van deze opmerking is de bepaling aangepast. </w:t>
      </w:r>
      <w:r w:rsidR="003142DC">
        <w:br/>
      </w:r>
    </w:p>
    <w:p w:rsidR="00C02574" w:rsidP="00010BA5" w:rsidRDefault="00C02574" w14:paraId="5646BC9D" w14:textId="77777777">
      <w:pPr>
        <w:pStyle w:val="Kop2"/>
        <w:numPr>
          <w:ilvl w:val="1"/>
          <w:numId w:val="20"/>
        </w:numPr>
        <w:ind w:left="284" w:hanging="284"/>
      </w:pPr>
      <w:r>
        <w:t>Internetconsultatie</w:t>
      </w:r>
    </w:p>
    <w:p w:rsidR="000F4B07" w:rsidP="5FBA465D" w:rsidRDefault="00E74148" w14:paraId="78B35C21" w14:textId="0615B154">
      <w:r>
        <w:t xml:space="preserve">De internetconsultatie van het besluit is gestart op 7 oktober 2025 en gesloten op 18 november 2025. De consultatie heeft in totaal twaalf reacties opgeleverd. Gelijktijdig is de ministeriële regeling </w:t>
      </w:r>
      <w:r w:rsidR="000F4B07">
        <w:t xml:space="preserve">die bij dit besluit hoort in consultatie gebracht. </w:t>
      </w:r>
      <w:r>
        <w:t>Deze consultatie heeft vijf reacties opgeleverd.</w:t>
      </w:r>
      <w:r w:rsidR="000F4B07">
        <w:t xml:space="preserve"> Omdat de binnengekomen reacties betrekking hebben op zowel het besluit als de regeling, wordt hieronder op alle reacties gezamenlijk ingegaan. Uit de consultatie zijn een aantal aandachtspunten naar voren gekomen die nadere duiding of aanpassing van de voorstellen vragen. Hierna wordt ingegaan op de hoofdlijnen van de consultatie en de wijzigingen die naar aanleiding daarvan zijn aangebracht. </w:t>
      </w:r>
    </w:p>
    <w:p w:rsidR="00944EF6" w:rsidP="0003660E" w:rsidRDefault="00D06B78" w14:paraId="23828D63" w14:textId="018CC6F4">
      <w:pPr>
        <w:pStyle w:val="Kop3"/>
      </w:pPr>
      <w:r>
        <w:t>8</w:t>
      </w:r>
      <w:r w:rsidR="000F4B07">
        <w:t xml:space="preserve">.3.1 </w:t>
      </w:r>
      <w:r w:rsidR="00130F9E">
        <w:t>Waarborgen</w:t>
      </w:r>
    </w:p>
    <w:p w:rsidR="00130F9E" w:rsidP="5FBA465D" w:rsidRDefault="00DD7634" w14:paraId="45EB6BE2" w14:textId="10B9260E">
      <w:r>
        <w:t>In een aantal reacties worden zorgen geuit over de veiligheid van</w:t>
      </w:r>
      <w:r w:rsidR="00130F9E">
        <w:t xml:space="preserve"> het systeem, de mogelijke verschillen tussen lidstaten </w:t>
      </w:r>
      <w:r>
        <w:t xml:space="preserve">en de gevolgen voor </w:t>
      </w:r>
      <w:r w:rsidR="000B0B53">
        <w:t xml:space="preserve">de </w:t>
      </w:r>
      <w:r>
        <w:t>privacy van burger</w:t>
      </w:r>
      <w:r w:rsidR="000B0B53">
        <w:t>s</w:t>
      </w:r>
      <w:r>
        <w:t xml:space="preserve">. </w:t>
      </w:r>
      <w:r w:rsidRPr="007C10E4">
        <w:t xml:space="preserve">Vanwege de gevoeligheid van persoonlijke elektronische gezondheidsgegevens is het van belang om voldoende waarborgen te bieden, zowel op het niveau van de Europese Unie als op nationaal niveau, </w:t>
      </w:r>
      <w:r>
        <w:t>teneinde</w:t>
      </w:r>
      <w:r w:rsidRPr="007C10E4">
        <w:t xml:space="preserve"> een hoge mate van gegevensbescherming, beveiliging, vertrouwelijkheid en ethisch gebruik te garanderen. </w:t>
      </w:r>
      <w:r>
        <w:t>In paragraaf 3.2.5 van de memorie van toelichting</w:t>
      </w:r>
      <w:r w:rsidR="00974540">
        <w:t xml:space="preserve"> bij het wetsvoorstel</w:t>
      </w:r>
      <w:r>
        <w:t xml:space="preserve"> is uiteengezet dat op Europees niveau technische </w:t>
      </w:r>
      <w:r w:rsidRPr="007C10E4">
        <w:rPr>
          <w:rFonts w:eastAsia="Calibri"/>
        </w:rPr>
        <w:t>en organisatorische waarborgen</w:t>
      </w:r>
      <w:r>
        <w:rPr>
          <w:rFonts w:eastAsia="Calibri"/>
        </w:rPr>
        <w:t xml:space="preserve"> zijn</w:t>
      </w:r>
      <w:r w:rsidRPr="007C10E4">
        <w:t xml:space="preserve"> ingericht</w:t>
      </w:r>
      <w:r w:rsidRPr="007C10E4">
        <w:rPr>
          <w:rFonts w:eastAsia="Calibri"/>
        </w:rPr>
        <w:t xml:space="preserve">, zoals authenticatie, autorisatie, </w:t>
      </w:r>
      <w:proofErr w:type="spellStart"/>
      <w:r w:rsidRPr="007C10E4">
        <w:rPr>
          <w:rFonts w:eastAsia="Calibri"/>
        </w:rPr>
        <w:t>cryptografische</w:t>
      </w:r>
      <w:proofErr w:type="spellEnd"/>
      <w:r w:rsidRPr="007C10E4">
        <w:rPr>
          <w:rFonts w:eastAsia="Calibri"/>
        </w:rPr>
        <w:t xml:space="preserve"> bevestiging van de behandelrelatie, </w:t>
      </w:r>
      <w:proofErr w:type="spellStart"/>
      <w:r w:rsidRPr="007C10E4">
        <w:rPr>
          <w:rFonts w:eastAsia="Calibri"/>
        </w:rPr>
        <w:t>logging</w:t>
      </w:r>
      <w:proofErr w:type="spellEnd"/>
      <w:r w:rsidRPr="007C10E4">
        <w:rPr>
          <w:rFonts w:eastAsia="Calibri"/>
        </w:rPr>
        <w:t xml:space="preserve"> en monitoring van </w:t>
      </w:r>
      <w:proofErr w:type="spellStart"/>
      <w:r w:rsidRPr="007C10E4">
        <w:rPr>
          <w:rFonts w:eastAsia="Calibri"/>
        </w:rPr>
        <w:t>opvragingen</w:t>
      </w:r>
      <w:proofErr w:type="spellEnd"/>
      <w:r w:rsidRPr="5FBA465D">
        <w:t>.</w:t>
      </w:r>
      <w:r>
        <w:t xml:space="preserve"> Dit is opgenomen in de vereisten voor deelname aan </w:t>
      </w:r>
      <w:proofErr w:type="spellStart"/>
      <w:r>
        <w:t>MyHealt</w:t>
      </w:r>
      <w:r w:rsidR="00AC46DE">
        <w:t>h</w:t>
      </w:r>
      <w:r>
        <w:t>@EU</w:t>
      </w:r>
      <w:proofErr w:type="spellEnd"/>
      <w:r w:rsidR="00944EF6">
        <w:t>, waardoor alle lidstaten zijn gebonden aan dezelfde afspraken</w:t>
      </w:r>
      <w:r w:rsidRPr="5FBA465D">
        <w:t xml:space="preserve">. </w:t>
      </w:r>
    </w:p>
    <w:p w:rsidR="00130F9E" w:rsidP="00DD7634" w:rsidRDefault="00130F9E" w14:paraId="032D00E6" w14:textId="77777777"/>
    <w:p w:rsidR="00DD7634" w:rsidP="5DD4849A" w:rsidRDefault="00DD7634" w14:paraId="6D2971A9" w14:textId="51567F88">
      <w:r w:rsidRPr="007C10E4">
        <w:t xml:space="preserve">Naast </w:t>
      </w:r>
      <w:r w:rsidR="00974540">
        <w:t>een</w:t>
      </w:r>
      <w:r w:rsidRPr="007C10E4">
        <w:t xml:space="preserve"> technisch</w:t>
      </w:r>
      <w:r w:rsidR="00974540">
        <w:t xml:space="preserve"> kader is er met </w:t>
      </w:r>
      <w:r>
        <w:t>de AVG</w:t>
      </w:r>
      <w:r w:rsidR="00974540">
        <w:t xml:space="preserve"> ook een juridisch kader</w:t>
      </w:r>
      <w:r w:rsidRPr="007C10E4">
        <w:t xml:space="preserve"> waarbinnen een zorgaanbieder dient te handelen. </w:t>
      </w:r>
      <w:r w:rsidRPr="007C10E4" w:rsidR="00944EF6">
        <w:t xml:space="preserve">De AVG is rechtstreeks van toepassing in alle EU-lidstaten, waardoor een uniform juridisch kader geldt voor de verwerking van persoonsgegevens, ook bij grensoverschrijdende uitwisseling. Lidstaten moeten daarom hun nationale contactpunten zo inrichten dat deze verwerking in overeenstemming is met de AVG. Op </w:t>
      </w:r>
      <w:r w:rsidR="005235B9">
        <w:t xml:space="preserve">de naleving </w:t>
      </w:r>
      <w:r w:rsidRPr="007C10E4" w:rsidR="00944EF6">
        <w:t>hiervan wordt toegezien en gehandhaafd door nationale toezichthouders</w:t>
      </w:r>
      <w:r w:rsidR="00F85233">
        <w:t>, in Nederland de AP</w:t>
      </w:r>
      <w:r w:rsidRPr="007C10E4" w:rsidR="00944EF6">
        <w:t xml:space="preserve">. </w:t>
      </w:r>
    </w:p>
    <w:p w:rsidR="00DD7634" w:rsidP="00DD7634" w:rsidRDefault="00DD7634" w14:paraId="2082B415" w14:textId="77777777"/>
    <w:p w:rsidR="000F4B07" w:rsidP="000F4B07" w:rsidRDefault="00D06B78" w14:paraId="6BBD8CB8" w14:textId="0B1AB79B">
      <w:pPr>
        <w:pStyle w:val="Kop3"/>
      </w:pPr>
      <w:r>
        <w:t>8</w:t>
      </w:r>
      <w:r w:rsidR="00DD7634">
        <w:t xml:space="preserve">.3.2 </w:t>
      </w:r>
      <w:r w:rsidR="000F4B07">
        <w:t xml:space="preserve">Verhouding tot de EHDS verordening </w:t>
      </w:r>
    </w:p>
    <w:p w:rsidR="00974540" w:rsidP="00B53C40" w:rsidRDefault="000F4B07" w14:paraId="3B0425FB" w14:textId="05625EE7">
      <w:pPr>
        <w:rPr>
          <w:rFonts w:eastAsia="Times New Roman"/>
        </w:rPr>
      </w:pPr>
      <w:r>
        <w:t>In de reacties</w:t>
      </w:r>
      <w:r w:rsidR="00B53C40">
        <w:t xml:space="preserve"> </w:t>
      </w:r>
      <w:r w:rsidRPr="008E006D" w:rsidR="008E006D">
        <w:t>komt meermaals de vraag naar voren hoe dit besluit zich verhoudt tot de op 26 maart 2025 in werking getreden EHDS-verordening, waarin toestemming voor het beschikbaar stellen van elektronische gezondheidsgegevens niet langer een vereiste is, maar</w:t>
      </w:r>
      <w:r w:rsidR="00F85233">
        <w:t xml:space="preserve"> het uitgangspunt verstrekking is en</w:t>
      </w:r>
      <w:r w:rsidRPr="008E006D" w:rsidR="008E006D">
        <w:t xml:space="preserve"> beperkingsrechten, zoals een </w:t>
      </w:r>
      <w:proofErr w:type="spellStart"/>
      <w:r w:rsidRPr="008E006D" w:rsidR="008E006D">
        <w:t>opt</w:t>
      </w:r>
      <w:proofErr w:type="spellEnd"/>
      <w:r w:rsidRPr="008E006D" w:rsidR="008E006D">
        <w:t>-out, van toepassing zijn</w:t>
      </w:r>
      <w:r w:rsidR="00DD7634">
        <w:rPr>
          <w:rFonts w:eastAsia="Times New Roman"/>
        </w:rPr>
        <w:t>.</w:t>
      </w:r>
    </w:p>
    <w:p w:rsidR="00974540" w:rsidP="00B53C40" w:rsidRDefault="00974540" w14:paraId="6E5CDF05" w14:textId="77777777">
      <w:pPr>
        <w:rPr>
          <w:rFonts w:eastAsia="Times New Roman"/>
        </w:rPr>
      </w:pPr>
    </w:p>
    <w:p w:rsidR="00E30F98" w:rsidP="00B53C40" w:rsidRDefault="00B53C40" w14:paraId="7C1AD865" w14:textId="585F0B3F">
      <w:r w:rsidRPr="00B53C40">
        <w:t>In de huidige situatie moeten burgers uitdrukkelijk toestemming geven voor het beschikbaar stellen van gezondheidsgegevens voor de Europese uitwisseling.</w:t>
      </w:r>
      <w:r w:rsidRPr="5FBA465D">
        <w:t xml:space="preserve"> </w:t>
      </w:r>
      <w:r w:rsidRPr="00B53C40">
        <w:t>Onder de EHDS</w:t>
      </w:r>
      <w:r w:rsidR="003D19AE">
        <w:t>-verordening</w:t>
      </w:r>
      <w:r w:rsidRPr="00B53C40">
        <w:t xml:space="preserve"> is toestemming voor het delen van gegevens via het </w:t>
      </w:r>
      <w:proofErr w:type="spellStart"/>
      <w:r w:rsidRPr="00B53C40">
        <w:t>NCPeH</w:t>
      </w:r>
      <w:proofErr w:type="spellEnd"/>
      <w:r w:rsidRPr="00B53C40">
        <w:t>-NL in</w:t>
      </w:r>
      <w:r w:rsidR="00130F9E">
        <w:t xml:space="preserve">derdaad </w:t>
      </w:r>
      <w:r w:rsidRPr="00B53C40">
        <w:t>niet langer vereis</w:t>
      </w:r>
      <w:r>
        <w:t>t</w:t>
      </w:r>
      <w:r w:rsidRPr="5FBA465D">
        <w:t xml:space="preserve">. </w:t>
      </w:r>
      <w:r w:rsidR="00787225">
        <w:t xml:space="preserve">Een respondent vraagt wanneer het overgangsmoment plaatsvindt. </w:t>
      </w:r>
      <w:r w:rsidR="008D4BCF">
        <w:t>De EHDS</w:t>
      </w:r>
      <w:r w:rsidRPr="5FBA465D" w:rsidR="55179C29">
        <w:t>-</w:t>
      </w:r>
      <w:r w:rsidR="008D4BCF">
        <w:t>verordening bepaalt</w:t>
      </w:r>
      <w:r w:rsidR="001C7C8D">
        <w:t xml:space="preserve"> namelijk</w:t>
      </w:r>
      <w:r w:rsidR="008D4BCF">
        <w:t xml:space="preserve"> dat </w:t>
      </w:r>
      <w:r>
        <w:t xml:space="preserve">vanaf maart 2029 </w:t>
      </w:r>
      <w:r w:rsidR="008D4BCF">
        <w:t>zorgaanbieders</w:t>
      </w:r>
      <w:r w:rsidRPr="008D4BCF" w:rsidR="008D4BCF">
        <w:t xml:space="preserve"> in beginsel het recht </w:t>
      </w:r>
      <w:r w:rsidR="008D4BCF">
        <w:t xml:space="preserve">krijgen </w:t>
      </w:r>
      <w:r w:rsidRPr="008D4BCF" w:rsidR="008D4BCF">
        <w:t xml:space="preserve">op inzage in persoonlijke gezondheidsgegevens van de patiënten die zij behandelen, tenzij een burger gebruik heeft gemaakt </w:t>
      </w:r>
      <w:r>
        <w:t>van de beperkingsrechten.</w:t>
      </w:r>
      <w:r w:rsidRPr="5FBA465D">
        <w:t xml:space="preserve"> </w:t>
      </w:r>
      <w:r>
        <w:t>De EHDS</w:t>
      </w:r>
      <w:r w:rsidR="003D19AE">
        <w:t>-verordening</w:t>
      </w:r>
      <w:r>
        <w:t xml:space="preserve"> geeft burgers twee beperkingsrechten voor primair gebruik</w:t>
      </w:r>
      <w:r w:rsidRPr="5FBA465D">
        <w:t xml:space="preserve">, </w:t>
      </w:r>
      <w:r w:rsidRPr="00010BA5">
        <w:t xml:space="preserve">namelijk het </w:t>
      </w:r>
      <w:proofErr w:type="spellStart"/>
      <w:r w:rsidRPr="00010BA5">
        <w:t>opt</w:t>
      </w:r>
      <w:proofErr w:type="spellEnd"/>
      <w:r w:rsidRPr="00010BA5">
        <w:t>-out recht, waarmee een burger aan kan geven dat zijn gegevens niet opvraagbaar zijn en het recht op het beperken van toegang, dat een burger in staat stelt een beperking aan te brengen in wie zijn gegevens mag opvragen.</w:t>
      </w:r>
      <w:r w:rsidRPr="5FBA465D">
        <w:t xml:space="preserve"> </w:t>
      </w:r>
      <w:r w:rsidRPr="00AE176E">
        <w:rPr>
          <w:rFonts w:eastAsia="Times New Roman"/>
        </w:rPr>
        <w:t xml:space="preserve">Het </w:t>
      </w:r>
      <w:proofErr w:type="spellStart"/>
      <w:r w:rsidRPr="00AE176E">
        <w:rPr>
          <w:rFonts w:eastAsia="Times New Roman"/>
        </w:rPr>
        <w:t>opt</w:t>
      </w:r>
      <w:proofErr w:type="spellEnd"/>
      <w:r w:rsidRPr="00AE176E">
        <w:rPr>
          <w:rFonts w:eastAsia="Times New Roman"/>
        </w:rPr>
        <w:t>-out recht voor primair gebruik is voor lidstaten optioneel om in te stellen</w:t>
      </w:r>
      <w:r>
        <w:rPr>
          <w:rFonts w:eastAsia="Times New Roman"/>
        </w:rPr>
        <w:t xml:space="preserve">. </w:t>
      </w:r>
      <w:r w:rsidRPr="008D4BCF">
        <w:t>Nederland kiest ervoor om hier gebruik van te maken.</w:t>
      </w:r>
      <w:r>
        <w:rPr>
          <w:rStyle w:val="Voetnootmarkering"/>
          <w:rFonts w:eastAsia="Times New Roman"/>
        </w:rPr>
        <w:footnoteReference w:id="18"/>
      </w:r>
      <w:r w:rsidRPr="5FBA465D" w:rsidR="001C7C8D">
        <w:t xml:space="preserve"> </w:t>
      </w:r>
      <w:r>
        <w:t>H</w:t>
      </w:r>
      <w:r w:rsidRPr="008D4BCF" w:rsidR="008D4BCF">
        <w:t xml:space="preserve">et ministerie van </w:t>
      </w:r>
      <w:r w:rsidR="009A1574">
        <w:t xml:space="preserve">Volksgezondheid, Welzijn en Sport </w:t>
      </w:r>
      <w:r w:rsidRPr="008D4BCF" w:rsidR="008D4BCF">
        <w:t>werkt momenteel uit hoe de beperkingsrechten het best kunnen worden geborgd. Hiervoor wordt gewerkt aan nationale wetgeving die uiterlijk 26 maart 2029 moet gelden.</w:t>
      </w:r>
      <w:r>
        <w:rPr>
          <w:rStyle w:val="Voetnootmarkering"/>
        </w:rPr>
        <w:footnoteReference w:id="19"/>
      </w:r>
      <w:r w:rsidRPr="5FBA465D">
        <w:t xml:space="preserve"> </w:t>
      </w:r>
    </w:p>
    <w:p w:rsidR="00FC60A8" w:rsidP="00E30F98" w:rsidRDefault="00FC60A8" w14:paraId="0C0795F5" w14:textId="77777777"/>
    <w:p w:rsidR="001C7C8D" w:rsidP="5FBA465D" w:rsidRDefault="00FC60A8" w14:paraId="7FA74B94" w14:textId="3A372E65">
      <w:r>
        <w:t xml:space="preserve">Daarnaast wordt in de reacties </w:t>
      </w:r>
      <w:r w:rsidR="007F0D26">
        <w:t xml:space="preserve">gevraagd naar </w:t>
      </w:r>
      <w:r w:rsidR="0AE8C4C1">
        <w:t xml:space="preserve">hoe </w:t>
      </w:r>
      <w:r w:rsidR="00AD7CE9">
        <w:t>de Nederlandse patiëntsamenvatting</w:t>
      </w:r>
      <w:r w:rsidRPr="5FBA465D" w:rsidR="0AE8C4C1">
        <w:t>,</w:t>
      </w:r>
      <w:r w:rsidR="00AD7CE9">
        <w:t xml:space="preserve"> waarvan de </w:t>
      </w:r>
      <w:proofErr w:type="spellStart"/>
      <w:r w:rsidR="00AD7CE9">
        <w:t>gegevensset</w:t>
      </w:r>
      <w:proofErr w:type="spellEnd"/>
      <w:r w:rsidR="00AD7CE9">
        <w:t xml:space="preserve"> is </w:t>
      </w:r>
      <w:r w:rsidR="001C7C8D">
        <w:t>gebaseerd</w:t>
      </w:r>
      <w:r w:rsidR="00AD7CE9">
        <w:t xml:space="preserve"> op </w:t>
      </w:r>
      <w:r w:rsidR="57C760B6">
        <w:t xml:space="preserve">de </w:t>
      </w:r>
      <w:r w:rsidR="00AD7CE9">
        <w:t>Spoedsamenvatting</w:t>
      </w:r>
      <w:r w:rsidRPr="5FBA465D" w:rsidR="57C760B6">
        <w:t>,</w:t>
      </w:r>
      <w:r w:rsidRPr="5FBA465D" w:rsidR="00AD7CE9">
        <w:t xml:space="preserve"> </w:t>
      </w:r>
      <w:r w:rsidR="57C760B6">
        <w:t>zich verhoudt tot</w:t>
      </w:r>
      <w:r w:rsidR="00AD7CE9">
        <w:t xml:space="preserve"> de Europese ontwikkelingen rond de </w:t>
      </w:r>
      <w:r w:rsidRPr="00010BA5" w:rsidR="00AD7CE9">
        <w:t xml:space="preserve">EU </w:t>
      </w:r>
      <w:proofErr w:type="spellStart"/>
      <w:r w:rsidRPr="00010BA5" w:rsidR="00AD7CE9">
        <w:t>Patient</w:t>
      </w:r>
      <w:proofErr w:type="spellEnd"/>
      <w:r w:rsidRPr="00010BA5" w:rsidR="00AD7CE9">
        <w:t xml:space="preserve"> Summary</w:t>
      </w:r>
      <w:r w:rsidR="00AD7CE9">
        <w:t xml:space="preserve"> in het kader van de EHDS</w:t>
      </w:r>
      <w:r w:rsidR="003D19AE">
        <w:t>-verordening</w:t>
      </w:r>
      <w:r w:rsidR="00AD7CE9">
        <w:t xml:space="preserve">. </w:t>
      </w:r>
      <w:r w:rsidR="000F376A">
        <w:t>Zoals toegelicht in paragraaf 4.3</w:t>
      </w:r>
      <w:r w:rsidR="00BD49B5">
        <w:t xml:space="preserve"> van deze toelichting</w:t>
      </w:r>
      <w:r w:rsidR="000F376A">
        <w:t xml:space="preserve"> is er op Europees niveau een richtlijn vastgesteld over de patiëntsamenvatting</w:t>
      </w:r>
      <w:r w:rsidRPr="5FBA465D" w:rsidR="000F376A">
        <w:t xml:space="preserve">: </w:t>
      </w:r>
      <w:r w:rsidRPr="6C06D68C" w:rsidR="6C06D68C">
        <w:t xml:space="preserve">de </w:t>
      </w:r>
      <w:proofErr w:type="spellStart"/>
      <w:r w:rsidRPr="5FBA465D" w:rsidR="000F376A">
        <w:rPr>
          <w:i/>
          <w:iCs/>
        </w:rPr>
        <w:t>Patient</w:t>
      </w:r>
      <w:proofErr w:type="spellEnd"/>
      <w:r w:rsidRPr="5FBA465D" w:rsidR="000F376A">
        <w:rPr>
          <w:i/>
          <w:iCs/>
        </w:rPr>
        <w:t xml:space="preserve"> Summary </w:t>
      </w:r>
      <w:proofErr w:type="spellStart"/>
      <w:r w:rsidRPr="5FBA465D" w:rsidR="000F376A">
        <w:rPr>
          <w:i/>
          <w:iCs/>
        </w:rPr>
        <w:t>Guidelines</w:t>
      </w:r>
      <w:proofErr w:type="spellEnd"/>
      <w:r w:rsidRPr="5FBA465D" w:rsidR="000F376A">
        <w:rPr>
          <w:i/>
          <w:iCs/>
        </w:rPr>
        <w:t xml:space="preserve">. </w:t>
      </w:r>
      <w:r w:rsidRPr="007F0D26" w:rsidR="000F376A">
        <w:t>De uitwisseling tussen contactpunten van lidstaten vindt</w:t>
      </w:r>
      <w:r w:rsidRPr="00010BA5" w:rsidR="00010BA5">
        <w:t xml:space="preserve"> </w:t>
      </w:r>
      <w:r w:rsidRPr="007F0D26" w:rsidR="00010BA5">
        <w:t>conform de</w:t>
      </w:r>
      <w:r w:rsidR="00010BA5">
        <w:t>ze</w:t>
      </w:r>
      <w:r w:rsidRPr="007F0D26" w:rsidR="00010BA5">
        <w:t xml:space="preserve"> richtlijn</w:t>
      </w:r>
      <w:r w:rsidRPr="007F0D26" w:rsidR="000F376A">
        <w:t xml:space="preserve"> plaats via een uitwisselformat</w:t>
      </w:r>
      <w:r w:rsidR="000F376A">
        <w:t>.</w:t>
      </w:r>
    </w:p>
    <w:p w:rsidR="009962A6" w:rsidP="5FBA465D" w:rsidRDefault="009962A6" w14:paraId="46F61D86" w14:textId="77777777"/>
    <w:p w:rsidRPr="007F0D26" w:rsidR="007F0D26" w:rsidP="5FBA465D" w:rsidRDefault="000F376A" w14:paraId="2BE76A06" w14:textId="601476F1">
      <w:r>
        <w:t xml:space="preserve">Voor de Nederlandse patiëntsamenvatting is </w:t>
      </w:r>
      <w:r w:rsidR="001C7C8D">
        <w:t>aansluiting gezocht bij een bestaande informatiestandaard die door het zorgveld wordt gebruikt, te weten de Spoedsamenvatting uit</w:t>
      </w:r>
      <w:r>
        <w:t xml:space="preserve"> de informatiestandaard Acute Zorg. Het </w:t>
      </w:r>
      <w:proofErr w:type="spellStart"/>
      <w:r>
        <w:t>NCPeH</w:t>
      </w:r>
      <w:proofErr w:type="spellEnd"/>
      <w:r>
        <w:t xml:space="preserve">-NL zet de gegevens om in het uitwisselformat zodat het leesbaar en bruikbaar is voor de zorgverlener in het buitenland. </w:t>
      </w:r>
      <w:bookmarkStart w:name="_Hlk221695864" w:id="7"/>
      <w:bookmarkStart w:name="_Hlk221528318" w:id="8"/>
      <w:r>
        <w:t xml:space="preserve">De </w:t>
      </w:r>
      <w:r w:rsidRPr="007F0D26" w:rsidR="007F0D26">
        <w:t xml:space="preserve">EHDS-verordening </w:t>
      </w:r>
      <w:r>
        <w:t xml:space="preserve">verplicht </w:t>
      </w:r>
      <w:r w:rsidRPr="007F0D26" w:rsidR="007F0D26">
        <w:t>gestandaardiseerde uitwisseling van enkele categorieën gezondheidsgegevens</w:t>
      </w:r>
      <w:r w:rsidR="001C7C8D">
        <w:t xml:space="preserve"> per maart 2029</w:t>
      </w:r>
      <w:r w:rsidRPr="007F0D26" w:rsidR="007F0D26">
        <w:t xml:space="preserve">. De vrijwillige richtlijnen die nu worden gebruikt voor uitwisseling via </w:t>
      </w:r>
      <w:proofErr w:type="spellStart"/>
      <w:r w:rsidRPr="007F0D26" w:rsidR="007F0D26">
        <w:t>MyHealth@EU</w:t>
      </w:r>
      <w:proofErr w:type="spellEnd"/>
      <w:r w:rsidRPr="007F0D26" w:rsidR="007F0D26">
        <w:t xml:space="preserve"> worden herschreven en zullen </w:t>
      </w:r>
      <w:r w:rsidR="00F85233">
        <w:t xml:space="preserve">in de vorm van uitvoeringshandelingen als </w:t>
      </w:r>
      <w:r w:rsidRPr="007F0D26" w:rsidR="007F0D26">
        <w:t xml:space="preserve">verplichte technische specificaties meegenomen worden in de EHDS-verordening. Vanaf maart 2029 gelden de verplichtingen voor patiëntsamenvattingen, elektronische recepten </w:t>
      </w:r>
      <w:r w:rsidR="00BD49B5">
        <w:t>en</w:t>
      </w:r>
      <w:r w:rsidRPr="007F0D26" w:rsidR="007F0D26">
        <w:t xml:space="preserve"> verstrekkingen. </w:t>
      </w:r>
      <w:bookmarkEnd w:id="7"/>
      <w:bookmarkEnd w:id="8"/>
      <w:r w:rsidR="00926768">
        <w:t xml:space="preserve">Het ministerie van VWS werkt aan een </w:t>
      </w:r>
      <w:r w:rsidR="009962A6">
        <w:t>uitvoeringswet</w:t>
      </w:r>
      <w:r w:rsidR="00926768">
        <w:t xml:space="preserve"> van de EHDS</w:t>
      </w:r>
      <w:r w:rsidR="00F85233">
        <w:t xml:space="preserve"> (de Wet op het gezondheidsinformatiestelsel). De eerste tranche moet in 2027 in werking treden en de tweede tranche, die onder andere de regels betreffende het </w:t>
      </w:r>
      <w:proofErr w:type="spellStart"/>
      <w:r w:rsidR="00F85233">
        <w:t>NCPeH</w:t>
      </w:r>
      <w:proofErr w:type="spellEnd"/>
      <w:r w:rsidR="00F85233">
        <w:t>-NL in lijn brengt met de EHDS</w:t>
      </w:r>
      <w:r w:rsidR="003D19AE">
        <w:t>-verordening</w:t>
      </w:r>
      <w:r w:rsidR="00F85233">
        <w:t xml:space="preserve">, moet </w:t>
      </w:r>
      <w:r w:rsidR="00926768">
        <w:t xml:space="preserve"> maart 2029 in werking treden. </w:t>
      </w:r>
      <w:r w:rsidR="00F66D47">
        <w:t xml:space="preserve">Het </w:t>
      </w:r>
      <w:r w:rsidR="00F85233">
        <w:t xml:space="preserve"> </w:t>
      </w:r>
      <w:r w:rsidR="00F66D47">
        <w:t xml:space="preserve">wetsvoorstel en </w:t>
      </w:r>
      <w:r w:rsidR="00214A72">
        <w:t>dit</w:t>
      </w:r>
      <w:r w:rsidRPr="5FBA465D" w:rsidR="00F66D47">
        <w:t xml:space="preserve"> </w:t>
      </w:r>
      <w:r w:rsidR="00214A72">
        <w:t>bijbehorende</w:t>
      </w:r>
      <w:r w:rsidRPr="5FBA465D" w:rsidR="00F66D47">
        <w:t xml:space="preserve"> </w:t>
      </w:r>
      <w:r w:rsidR="00F66D47">
        <w:t xml:space="preserve">besluit zullen </w:t>
      </w:r>
      <w:r w:rsidR="00F85233">
        <w:t>dus op dat moment worden aangepast</w:t>
      </w:r>
      <w:r w:rsidR="00F66D47">
        <w:t xml:space="preserve">. </w:t>
      </w:r>
    </w:p>
    <w:p w:rsidR="00926768" w:rsidP="00E30F98" w:rsidRDefault="00926768" w14:paraId="036C65B7" w14:textId="77777777"/>
    <w:p w:rsidR="00926768" w:rsidP="5DD4849A" w:rsidRDefault="00926768" w14:paraId="7A930B0E" w14:textId="1716420C">
      <w:r>
        <w:t>Naar aanleiding van de vragen over de verhouding met de EHDS</w:t>
      </w:r>
      <w:r w:rsidR="003D19AE">
        <w:t>-verordening</w:t>
      </w:r>
      <w:r>
        <w:t xml:space="preserve"> is in paragraaf 6.1 een nadere toelichting opgenomen. </w:t>
      </w:r>
    </w:p>
    <w:p w:rsidR="00E30F98" w:rsidP="5FBA465D" w:rsidRDefault="00D06B78" w14:paraId="2B8B10A9" w14:textId="068E81FF">
      <w:pPr>
        <w:pStyle w:val="Kop3"/>
      </w:pPr>
      <w:r>
        <w:t>8</w:t>
      </w:r>
      <w:r w:rsidR="00E30F98">
        <w:t>.3.</w:t>
      </w:r>
      <w:r>
        <w:t>3</w:t>
      </w:r>
      <w:r w:rsidR="00E30F98">
        <w:t xml:space="preserve"> Toegang tot het </w:t>
      </w:r>
      <w:proofErr w:type="spellStart"/>
      <w:r w:rsidR="00E30F98">
        <w:t>NCPeH</w:t>
      </w:r>
      <w:proofErr w:type="spellEnd"/>
      <w:r w:rsidR="00E30F98">
        <w:t>-NL</w:t>
      </w:r>
    </w:p>
    <w:p w:rsidR="00B53C40" w:rsidP="136EFF02" w:rsidRDefault="00B53C40" w14:paraId="7D627CBA" w14:textId="6DB84EB4">
      <w:r>
        <w:t xml:space="preserve">Meerdere respondenten hebben bij de consultatie aangegeven dat de lijst </w:t>
      </w:r>
      <w:r w:rsidRPr="00B53C40">
        <w:t>met geautoriseerde beroepen</w:t>
      </w:r>
      <w:r>
        <w:t xml:space="preserve">, die op basis </w:t>
      </w:r>
      <w:r w:rsidRPr="00820C0A">
        <w:t>van art</w:t>
      </w:r>
      <w:r w:rsidRPr="00820C0A" w:rsidR="00D31416">
        <w:t>ikel</w:t>
      </w:r>
      <w:r w:rsidR="00820C0A">
        <w:t xml:space="preserve"> 2</w:t>
      </w:r>
      <w:r w:rsidRPr="118F66A2" w:rsidR="00D31416">
        <w:t>.</w:t>
      </w:r>
      <w:r w:rsidR="00820C0A">
        <w:t>1</w:t>
      </w:r>
      <w:r>
        <w:t xml:space="preserve"> toegang hebben tot het </w:t>
      </w:r>
      <w:proofErr w:type="spellStart"/>
      <w:r>
        <w:t>NCPeH</w:t>
      </w:r>
      <w:proofErr w:type="spellEnd"/>
      <w:r>
        <w:t>-NL</w:t>
      </w:r>
      <w:r w:rsidRPr="00B53C40">
        <w:t xml:space="preserve"> niet toereikend is</w:t>
      </w:r>
      <w:r w:rsidRPr="118F66A2">
        <w:t>.</w:t>
      </w:r>
      <w:r w:rsidRPr="118F66A2" w:rsidR="00D31416">
        <w:t xml:space="preserve"> </w:t>
      </w:r>
      <w:r w:rsidR="00D31416">
        <w:t xml:space="preserve">De lijst zou </w:t>
      </w:r>
      <w:r w:rsidR="00192367">
        <w:t>volgens</w:t>
      </w:r>
      <w:r w:rsidR="00D31416">
        <w:t xml:space="preserve"> de respondenten moeten worden uitgebreid</w:t>
      </w:r>
      <w:r w:rsidRPr="118F66A2" w:rsidR="004E4C7A">
        <w:t>.</w:t>
      </w:r>
      <w:r w:rsidR="00D31416">
        <w:t xml:space="preserve"> Daarnaast zouden er verlopen codes uit het UZI-register zijn opgenomen.</w:t>
      </w:r>
      <w:r w:rsidRPr="118F66A2" w:rsidR="00D31416">
        <w:t xml:space="preserve"> </w:t>
      </w:r>
      <w:r w:rsidRPr="0036490B" w:rsidR="0036490B">
        <w:t xml:space="preserve">Naar aanleiding hiervan zijn in de lijst de arts-specialisaties uit het </w:t>
      </w:r>
      <w:proofErr w:type="spellStart"/>
      <w:r w:rsidRPr="0036490B" w:rsidR="0036490B">
        <w:t>Certification</w:t>
      </w:r>
      <w:proofErr w:type="spellEnd"/>
      <w:r w:rsidRPr="0036490B" w:rsidR="0036490B">
        <w:t xml:space="preserve"> </w:t>
      </w:r>
      <w:proofErr w:type="spellStart"/>
      <w:r w:rsidRPr="0036490B" w:rsidR="0036490B">
        <w:t>Practice</w:t>
      </w:r>
      <w:proofErr w:type="spellEnd"/>
      <w:r w:rsidRPr="0036490B" w:rsidR="0036490B">
        <w:t xml:space="preserve"> Statement</w:t>
      </w:r>
      <w:r w:rsidR="0036490B">
        <w:rPr>
          <w:rStyle w:val="Voetnootmarkering"/>
        </w:rPr>
        <w:footnoteReference w:id="20"/>
      </w:r>
      <w:r w:rsidRPr="118F66A2" w:rsidR="0036490B">
        <w:t xml:space="preserve"> </w:t>
      </w:r>
      <w:r w:rsidRPr="0036490B" w:rsidR="0036490B">
        <w:t>aan de categorie '</w:t>
      </w:r>
      <w:proofErr w:type="spellStart"/>
      <w:r w:rsidRPr="0036490B" w:rsidR="0036490B">
        <w:t>Medical</w:t>
      </w:r>
      <w:proofErr w:type="spellEnd"/>
      <w:r w:rsidRPr="0036490B" w:rsidR="0036490B">
        <w:t xml:space="preserve"> Doctors' toegevoegd en zijn de beroepen waarvan de codes zijn verlopen verwijderd.</w:t>
      </w:r>
      <w:r w:rsidR="0036490B">
        <w:t xml:space="preserve"> </w:t>
      </w:r>
    </w:p>
    <w:p w:rsidR="00840CE1" w:rsidRDefault="00840CE1" w14:paraId="23B09F9E" w14:textId="77777777"/>
    <w:p w:rsidR="00E30F98" w:rsidP="00E30F98" w:rsidRDefault="00840CE1" w14:paraId="38770488" w14:textId="0EF8DCAE">
      <w:r>
        <w:t xml:space="preserve">Daarnaast wordt door een respondent </w:t>
      </w:r>
      <w:r w:rsidR="006B66FD">
        <w:t>opgemerkt dat</w:t>
      </w:r>
      <w:r w:rsidRPr="5FBA465D" w:rsidR="006B66FD">
        <w:t xml:space="preserve"> </w:t>
      </w:r>
      <w:r w:rsidR="007C5178">
        <w:t>het conceptbesluit verwijst naar</w:t>
      </w:r>
      <w:r w:rsidRPr="5FBA465D" w:rsidR="007C5178">
        <w:t xml:space="preserve"> </w:t>
      </w:r>
      <w:r w:rsidR="007C5178">
        <w:t xml:space="preserve">de </w:t>
      </w:r>
      <w:proofErr w:type="spellStart"/>
      <w:r w:rsidR="007C5178">
        <w:t>M</w:t>
      </w:r>
      <w:r w:rsidRPr="006B66FD" w:rsidR="007C5178">
        <w:t>yHealth@EU</w:t>
      </w:r>
      <w:proofErr w:type="spellEnd"/>
      <w:r w:rsidRPr="5FBA465D" w:rsidR="007C5178">
        <w:t xml:space="preserve"> </w:t>
      </w:r>
      <w:proofErr w:type="spellStart"/>
      <w:r w:rsidRPr="006B66FD" w:rsidR="007C5178">
        <w:t>Functional</w:t>
      </w:r>
      <w:proofErr w:type="spellEnd"/>
      <w:r w:rsidRPr="5FBA465D" w:rsidR="007C5178">
        <w:t xml:space="preserve"> </w:t>
      </w:r>
      <w:proofErr w:type="spellStart"/>
      <w:r w:rsidRPr="006B66FD" w:rsidR="007C5178">
        <w:t>Requirements</w:t>
      </w:r>
      <w:proofErr w:type="spellEnd"/>
      <w:r w:rsidRPr="5FBA465D" w:rsidR="007C5178">
        <w:t xml:space="preserve"> </w:t>
      </w:r>
      <w:r w:rsidR="007C5178">
        <w:t xml:space="preserve">ter onderbouwing van de </w:t>
      </w:r>
      <w:r w:rsidR="00762884">
        <w:t xml:space="preserve">eis </w:t>
      </w:r>
      <w:r w:rsidR="007C5178">
        <w:t xml:space="preserve">dat </w:t>
      </w:r>
      <w:r w:rsidRPr="006B66FD" w:rsidR="006B66FD">
        <w:t>zorgprofessionals</w:t>
      </w:r>
      <w:r w:rsidRPr="5FBA465D" w:rsidR="006B66FD">
        <w:t xml:space="preserve"> </w:t>
      </w:r>
      <w:r w:rsidRPr="006B66FD" w:rsidR="006B66FD">
        <w:t>een</w:t>
      </w:r>
      <w:r w:rsidRPr="5FBA465D" w:rsidR="006B66FD">
        <w:t xml:space="preserve"> </w:t>
      </w:r>
      <w:r w:rsidR="007C5178">
        <w:t>inlog</w:t>
      </w:r>
      <w:r w:rsidRPr="006B66FD" w:rsidR="006B66FD">
        <w:t>middel met</w:t>
      </w:r>
      <w:r w:rsidRPr="5FBA465D" w:rsidR="006B66FD">
        <w:t xml:space="preserve"> </w:t>
      </w:r>
      <w:r w:rsidRPr="006B66FD" w:rsidR="006B66FD">
        <w:t xml:space="preserve">betrouwbaarheidsniveau “hoog” </w:t>
      </w:r>
      <w:r w:rsidR="007C5178">
        <w:t>moeten</w:t>
      </w:r>
      <w:r w:rsidRPr="006B66FD" w:rsidR="006B66FD">
        <w:t xml:space="preserve"> gebruiken</w:t>
      </w:r>
      <w:r w:rsidR="00762884">
        <w:t xml:space="preserve"> om toegang te krijgen tot het </w:t>
      </w:r>
      <w:proofErr w:type="spellStart"/>
      <w:r w:rsidR="00762884">
        <w:t>NCPeH</w:t>
      </w:r>
      <w:proofErr w:type="spellEnd"/>
      <w:r w:rsidR="00762884">
        <w:t>-NL</w:t>
      </w:r>
      <w:r w:rsidRPr="5FBA465D" w:rsidR="006B66FD">
        <w:t xml:space="preserve">. </w:t>
      </w:r>
      <w:r w:rsidR="00DD36E1">
        <w:t>Hij wijst er</w:t>
      </w:r>
      <w:r w:rsidR="006B66FD">
        <w:t xml:space="preserve">op dat </w:t>
      </w:r>
      <w:r w:rsidR="00762884">
        <w:t>een eis voor betrouwbaarheidsniveau hoog</w:t>
      </w:r>
      <w:r w:rsidR="006B66FD">
        <w:t xml:space="preserve"> niet is opgenomen in de huidige </w:t>
      </w:r>
      <w:proofErr w:type="spellStart"/>
      <w:r w:rsidR="006B66FD">
        <w:t>MyHealth@EU</w:t>
      </w:r>
      <w:r w:rsidRPr="5FBA465D" w:rsidR="007C5178">
        <w:t>-</w:t>
      </w:r>
      <w:r w:rsidR="006B66FD">
        <w:t>vereisten</w:t>
      </w:r>
      <w:proofErr w:type="spellEnd"/>
      <w:r w:rsidR="006B66FD">
        <w:t xml:space="preserve"> en vraagt zich</w:t>
      </w:r>
      <w:r w:rsidR="00DD36E1">
        <w:t xml:space="preserve"> daarom</w:t>
      </w:r>
      <w:r w:rsidR="006B66FD">
        <w:t xml:space="preserve"> af of </w:t>
      </w:r>
      <w:r w:rsidR="00DD36E1">
        <w:t>dit</w:t>
      </w:r>
      <w:r w:rsidRPr="5FBA465D" w:rsidR="00762884">
        <w:t xml:space="preserve"> </w:t>
      </w:r>
      <w:r w:rsidR="006B66FD">
        <w:t xml:space="preserve">niet te ver gaat. </w:t>
      </w:r>
      <w:r w:rsidR="0011084F">
        <w:t>In de conceptversie van de</w:t>
      </w:r>
      <w:r w:rsidR="00F85233">
        <w:t xml:space="preserve"> nota van</w:t>
      </w:r>
      <w:r w:rsidR="0011084F">
        <w:t xml:space="preserve"> toelichting is per abuis een verwijzing opgenomen waaruit zou blijken dat binnen Europa is afgesproken dat voor het opvragen van gegevens via </w:t>
      </w:r>
      <w:proofErr w:type="spellStart"/>
      <w:r w:rsidR="0011084F">
        <w:t>MyHealth@EU</w:t>
      </w:r>
      <w:proofErr w:type="spellEnd"/>
      <w:r w:rsidR="0011084F">
        <w:t xml:space="preserve"> op betrouwbaarheidsniveau hoog geauthentiseerd moet worden. Deze verwijzing was onjuist en is daarom aangepast. Paragraaf 3.1.1 van de nota van toelichting is op dit punt gewijzigd, zodat duidelijk is dat het hier gaat om een nationale beleidskeuze en niet om een rechtstreeks uit de Europese regelgeving voortvloeiende verplichting.</w:t>
      </w:r>
      <w:r w:rsidRPr="5FBA465D" w:rsidR="00692900">
        <w:t xml:space="preserve"> </w:t>
      </w:r>
      <w:r w:rsidR="006B66FD">
        <w:t>Ondanks dat op basis van Europese eisen het</w:t>
      </w:r>
      <w:r w:rsidRPr="5FBA465D" w:rsidR="006B66FD">
        <w:t xml:space="preserve"> </w:t>
      </w:r>
      <w:r w:rsidR="006B66FD">
        <w:t>betrouwbaarheidsniveau hoog</w:t>
      </w:r>
      <w:r w:rsidRPr="5FBA465D" w:rsidR="00D06B78">
        <w:t xml:space="preserve"> </w:t>
      </w:r>
      <w:r w:rsidR="006B66FD">
        <w:t xml:space="preserve">niet is vereist, is ervoor gekozen om voor toegang tot medische gegevens dit wel te vereisen. Deze keuze is gebaseerd op nationale afwegingen en adviezen van de </w:t>
      </w:r>
      <w:r w:rsidR="00552674">
        <w:t>AP</w:t>
      </w:r>
      <w:r w:rsidR="006B66FD">
        <w:t xml:space="preserve"> en de Raad van State, waarin het belang van veilige en hoog betrouwbare toegang tot medische gegevens wordt benadrukt.</w:t>
      </w:r>
      <w:r w:rsidRPr="5FBA465D" w:rsidR="00933C67">
        <w:t xml:space="preserve"> </w:t>
      </w:r>
    </w:p>
    <w:p w:rsidR="00E30F98" w:rsidP="5FBA465D" w:rsidRDefault="00D06B78" w14:paraId="23E20F24" w14:textId="7C1DFE35">
      <w:pPr>
        <w:pStyle w:val="Kop3"/>
      </w:pPr>
      <w:r>
        <w:t>8</w:t>
      </w:r>
      <w:r w:rsidR="00E30F98">
        <w:t>.3.</w:t>
      </w:r>
      <w:r>
        <w:t>4</w:t>
      </w:r>
      <w:r w:rsidR="00E30F98">
        <w:t xml:space="preserve"> Gegevens verwerkt door </w:t>
      </w:r>
      <w:proofErr w:type="spellStart"/>
      <w:r w:rsidR="00E30F98">
        <w:t>NCPeH</w:t>
      </w:r>
      <w:proofErr w:type="spellEnd"/>
      <w:r w:rsidR="00E30F98">
        <w:t>-NL</w:t>
      </w:r>
    </w:p>
    <w:p w:rsidR="00062321" w:rsidP="5FBA465D" w:rsidRDefault="00062321" w14:paraId="2619378B" w14:textId="6FD610D8">
      <w:r>
        <w:t xml:space="preserve">Een van de respondenten heeft de vraag gesteld wat wordt verstaan onder </w:t>
      </w:r>
      <w:r w:rsidRPr="5FBA465D" w:rsidR="00D053DF">
        <w:t>“</w:t>
      </w:r>
      <w:r>
        <w:t>een indicatie van een behandelrelatie</w:t>
      </w:r>
      <w:r w:rsidRPr="5FBA465D" w:rsidR="00D053DF">
        <w:t>”</w:t>
      </w:r>
      <w:r>
        <w:t xml:space="preserve">, het gegeven dat onder artikel 3.1 wordt bewaard in de </w:t>
      </w:r>
      <w:proofErr w:type="spellStart"/>
      <w:r>
        <w:t>logging</w:t>
      </w:r>
      <w:proofErr w:type="spellEnd"/>
      <w:r>
        <w:t xml:space="preserve"> door het </w:t>
      </w:r>
      <w:proofErr w:type="spellStart"/>
      <w:r>
        <w:t>NCPeH</w:t>
      </w:r>
      <w:proofErr w:type="spellEnd"/>
      <w:r>
        <w:t xml:space="preserve">-NL. De respondent benadrukt hierbij dat in de </w:t>
      </w:r>
      <w:r w:rsidR="00552674">
        <w:t xml:space="preserve">nota van </w:t>
      </w:r>
      <w:r>
        <w:t xml:space="preserve">toelichting staat opgenomen dat het </w:t>
      </w:r>
      <w:proofErr w:type="spellStart"/>
      <w:r>
        <w:t>NCPeH</w:t>
      </w:r>
      <w:proofErr w:type="spellEnd"/>
      <w:r>
        <w:t>-NL geen medisch inhoudelijke gegevens bewaar</w:t>
      </w:r>
      <w:r w:rsidR="000438C6">
        <w:t>t</w:t>
      </w:r>
      <w:r>
        <w:t xml:space="preserve"> en vraagt om opheldering over hoe dit zich tot elkaar verhoud</w:t>
      </w:r>
      <w:r w:rsidR="00D053DF">
        <w:t>t</w:t>
      </w:r>
      <w:r w:rsidRPr="5FBA465D">
        <w:t xml:space="preserve">. </w:t>
      </w:r>
      <w:r>
        <w:t xml:space="preserve">Het </w:t>
      </w:r>
      <w:proofErr w:type="spellStart"/>
      <w:r>
        <w:t>NCPeH</w:t>
      </w:r>
      <w:proofErr w:type="spellEnd"/>
      <w:r>
        <w:t>-NL logt inderdaad geen medisch-inhoudelijke gegevens uit de categorieën van gezondheidsinformatie. Het</w:t>
      </w:r>
      <w:r w:rsidRPr="5FBA465D">
        <w:t xml:space="preserve"> </w:t>
      </w:r>
      <w:proofErr w:type="spellStart"/>
      <w:r>
        <w:t>NCPeH</w:t>
      </w:r>
      <w:proofErr w:type="spellEnd"/>
      <w:r>
        <w:t>-NL bewaart een aantal gegevens</w:t>
      </w:r>
      <w:r w:rsidRPr="5FBA465D">
        <w:t>,</w:t>
      </w:r>
      <w:r>
        <w:t xml:space="preserve"> waaronder persoonsgegevens over de cliënt, identificatiegegevens van de opvragende zorgverleners en </w:t>
      </w:r>
      <w:r w:rsidR="00D053DF">
        <w:t>de indicatie van de behandelrelatie</w:t>
      </w:r>
      <w:r>
        <w:t>. Het loggen van deze gegevens is noodzakelijk voor de onweerlegbaarheid van gegevensuitwisseling en voor beveiligingsdoeleinden, zoals het opsporen van misbruik. De indicatie van een behandelrelatie</w:t>
      </w:r>
      <w:r w:rsidRPr="00167DA5">
        <w:t xml:space="preserve"> bevat alleen </w:t>
      </w:r>
      <w:r>
        <w:t>de informatie of</w:t>
      </w:r>
      <w:r w:rsidRPr="00167DA5">
        <w:t xml:space="preserve"> er </w:t>
      </w:r>
      <w:r>
        <w:t xml:space="preserve">bij de betreffende opvraging </w:t>
      </w:r>
      <w:r w:rsidRPr="00167DA5">
        <w:t>sprake is</w:t>
      </w:r>
      <w:r>
        <w:t xml:space="preserve"> geweest</w:t>
      </w:r>
      <w:r w:rsidRPr="00167DA5">
        <w:t xml:space="preserve"> van een normale behandelrelatie ("treatment") of van een </w:t>
      </w:r>
      <w:r>
        <w:t>spoedsituatie</w:t>
      </w:r>
      <w:r w:rsidRPr="5FBA465D">
        <w:t xml:space="preserve"> ("</w:t>
      </w:r>
      <w:proofErr w:type="spellStart"/>
      <w:r w:rsidRPr="00167DA5">
        <w:t>emergency</w:t>
      </w:r>
      <w:proofErr w:type="spellEnd"/>
      <w:r>
        <w:t xml:space="preserve">”). Om dit te verduidelijken is de artikelsgewijze toelichting </w:t>
      </w:r>
      <w:r w:rsidR="00552674">
        <w:t>op</w:t>
      </w:r>
      <w:r>
        <w:t xml:space="preserve"> artikel 3.1 gewijzigd. </w:t>
      </w:r>
    </w:p>
    <w:p w:rsidR="007F0D26" w:rsidP="00062321" w:rsidRDefault="007F0D26" w14:paraId="033DDAB1" w14:textId="77777777"/>
    <w:p w:rsidR="007F0D26" w:rsidP="5DD4849A" w:rsidRDefault="007F0D26" w14:paraId="2FAA689C" w14:textId="02513292">
      <w:r>
        <w:t xml:space="preserve">Daarnaast </w:t>
      </w:r>
      <w:r w:rsidR="00D053DF">
        <w:t>merkt</w:t>
      </w:r>
      <w:r>
        <w:t xml:space="preserve"> een respondent op dat in artikel 3.3 van het Besluit</w:t>
      </w:r>
      <w:r w:rsidRPr="56020B48">
        <w:t xml:space="preserve"> </w:t>
      </w:r>
      <w:r>
        <w:t>punt f ontbreekt. Dit betrof een fout in de</w:t>
      </w:r>
      <w:r w:rsidR="0092394F">
        <w:t xml:space="preserve"> alfabetische</w:t>
      </w:r>
      <w:r>
        <w:t xml:space="preserve"> nummering. Naar aanleiding van deze opmerking is het artikel aangepast. </w:t>
      </w:r>
    </w:p>
    <w:p w:rsidR="002F3160" w:rsidP="00133C13" w:rsidRDefault="00133C13" w14:paraId="01A2E293" w14:textId="590E3346">
      <w:pPr>
        <w:pStyle w:val="Kop3"/>
      </w:pPr>
      <w:r>
        <w:t>8.3.5. Bewaartermijn</w:t>
      </w:r>
    </w:p>
    <w:p w:rsidR="00762884" w:rsidP="5FBA465D" w:rsidRDefault="00762884" w14:paraId="716FF40F" w14:textId="5791E655">
      <w:r>
        <w:t xml:space="preserve">Een andere respondent vraagt naar de onderbouwing voor de bewaartermijn van vijf jaar voor de loggegevens door het </w:t>
      </w:r>
      <w:proofErr w:type="spellStart"/>
      <w:r>
        <w:t>NCPeH</w:t>
      </w:r>
      <w:proofErr w:type="spellEnd"/>
      <w:r>
        <w:t xml:space="preserve">-NL. </w:t>
      </w:r>
      <w:r w:rsidRPr="00762884">
        <w:t xml:space="preserve">In </w:t>
      </w:r>
      <w:r>
        <w:t>het besluit</w:t>
      </w:r>
      <w:r w:rsidRPr="00762884">
        <w:t xml:space="preserve"> is opgenomen welke gegevens concreet worden gelogd</w:t>
      </w:r>
      <w:r>
        <w:t>. De bewaartermijn</w:t>
      </w:r>
      <w:r w:rsidRPr="5FBA465D" w:rsidR="004E4C7A">
        <w:t xml:space="preserve"> </w:t>
      </w:r>
      <w:r>
        <w:t>voor deze gegevens is op het niveau van de wet vastgelegd</w:t>
      </w:r>
      <w:r w:rsidRPr="5FBA465D">
        <w:t>.</w:t>
      </w:r>
      <w:r w:rsidR="00213ABD">
        <w:rPr>
          <w:rStyle w:val="Voetnootmarkering"/>
        </w:rPr>
        <w:footnoteReference w:id="21"/>
      </w:r>
      <w:r w:rsidRPr="5FBA465D">
        <w:t xml:space="preserve"> </w:t>
      </w:r>
      <w:r w:rsidRPr="00762884">
        <w:t xml:space="preserve">De in het wetsvoorstel opgenomen bewaartermijn is gebaseerd op proces 10.40 van de </w:t>
      </w:r>
      <w:proofErr w:type="spellStart"/>
      <w:r w:rsidRPr="00762884">
        <w:t>Concernbrede</w:t>
      </w:r>
      <w:proofErr w:type="spellEnd"/>
      <w:r w:rsidRPr="00762884">
        <w:t xml:space="preserve"> selectielijst van het ministerie van Volksgezondheid, Welzijn en Sport (VWS).</w:t>
      </w:r>
      <w:r w:rsidR="00721256">
        <w:rPr>
          <w:rStyle w:val="Voetnootmarkering"/>
        </w:rPr>
        <w:footnoteReference w:id="22"/>
      </w:r>
      <w:r w:rsidRPr="00762884">
        <w:t xml:space="preserve"> Hieruit volgt dat een bewaartermijn van </w:t>
      </w:r>
      <w:r w:rsidR="00213ABD">
        <w:t xml:space="preserve">minstens </w:t>
      </w:r>
      <w:r w:rsidRPr="00762884">
        <w:t xml:space="preserve">vijf jaar geldt voor de </w:t>
      </w:r>
      <w:proofErr w:type="spellStart"/>
      <w:r w:rsidRPr="00762884">
        <w:t>logging</w:t>
      </w:r>
      <w:proofErr w:type="spellEnd"/>
      <w:r w:rsidRPr="00762884">
        <w:t xml:space="preserve">. Deze termijn sluit ook aan bij de minimale bewaartermijn van vijf jaar die volgt uit het Besluit vaststelling bewaartermijn </w:t>
      </w:r>
      <w:proofErr w:type="spellStart"/>
      <w:r w:rsidRPr="00762884">
        <w:t>logging</w:t>
      </w:r>
      <w:proofErr w:type="spellEnd"/>
      <w:r w:rsidRPr="00762884">
        <w:t>, dat zijn grondslag vindt in artikel 5, tweede lid, van het Besluit elektronische gegevensverwerking door zorgaanbieders</w:t>
      </w:r>
      <w:r w:rsidRPr="5FBA465D">
        <w:t xml:space="preserve">. </w:t>
      </w:r>
      <w:r w:rsidR="003D19AE">
        <w:t xml:space="preserve">Na vijf jaar worden de loggegevens automatisch verwijderd. </w:t>
      </w:r>
      <w:r>
        <w:t xml:space="preserve">In paragraaf 5 van de nota van toelichting is een verwijzing opgenomen. </w:t>
      </w:r>
    </w:p>
    <w:p w:rsidRPr="007B5078" w:rsidR="001456BE" w:rsidP="000438C6" w:rsidRDefault="001456BE" w14:paraId="60F548F6" w14:textId="09409B0B">
      <w:pPr>
        <w:pStyle w:val="Kop1"/>
      </w:pPr>
      <w:r w:rsidRPr="00A432BF">
        <w:t>II</w:t>
      </w:r>
      <w:r w:rsidRPr="0036490B">
        <w:rPr>
          <w:rFonts w:cs="Arial"/>
        </w:rPr>
        <w:t>. Artikelsgewijze toelichting</w:t>
      </w:r>
    </w:p>
    <w:p w:rsidR="001456BE" w:rsidP="00A03827" w:rsidRDefault="001456BE" w14:paraId="3CFCEB59" w14:textId="5B3E6B61">
      <w:pPr>
        <w:rPr>
          <w:rFonts w:eastAsia="Times New Roman" w:cs="Calibri"/>
        </w:rPr>
      </w:pPr>
      <w:r w:rsidRPr="5FBA465D">
        <w:rPr>
          <w:i/>
          <w:iCs/>
        </w:rPr>
        <w:t xml:space="preserve">Artikel 1.1 </w:t>
      </w:r>
      <w:r w:rsidR="00133C13">
        <w:rPr>
          <w:i/>
          <w:iCs/>
        </w:rPr>
        <w:t>B</w:t>
      </w:r>
      <w:r w:rsidRPr="5FBA465D">
        <w:rPr>
          <w:i/>
          <w:iCs/>
        </w:rPr>
        <w:t xml:space="preserve">egripsbepalingen </w:t>
      </w:r>
      <w:r w:rsidRPr="00A432BF">
        <w:br/>
        <w:t xml:space="preserve">Dit besluit geeft uitvoering aan bepalingen die met het wetsvoorstel worden ingevoegd in de Wet aanvullende bepalingen verwerking persoonsgegevens in de zorg (hierna: </w:t>
      </w:r>
      <w:proofErr w:type="spellStart"/>
      <w:r w:rsidRPr="00A432BF">
        <w:t>Wabvpz</w:t>
      </w:r>
      <w:proofErr w:type="spellEnd"/>
      <w:r w:rsidRPr="00A432BF">
        <w:t xml:space="preserve">). In de begripsbepalingen is daarom tot uitdrukking gebracht dat onder ‘wet’ de </w:t>
      </w:r>
      <w:proofErr w:type="spellStart"/>
      <w:r w:rsidRPr="00A432BF">
        <w:t>Wabvpz</w:t>
      </w:r>
      <w:proofErr w:type="spellEnd"/>
      <w:r w:rsidRPr="00A432BF">
        <w:t xml:space="preserve"> wordt verstaan.</w:t>
      </w:r>
      <w:r w:rsidRPr="00A432BF">
        <w:br/>
      </w:r>
      <w:r w:rsidRPr="00A432BF">
        <w:br/>
        <w:t xml:space="preserve">Daarnaast is het begrip ‘betrouwbaarheidsniveau hoog’ gedefinieerd door te verwijzen naar de definitie daarvan in de </w:t>
      </w:r>
      <w:proofErr w:type="spellStart"/>
      <w:r w:rsidRPr="00A432BF">
        <w:t>eIDAS</w:t>
      </w:r>
      <w:proofErr w:type="spellEnd"/>
      <w:r w:rsidRPr="00A432BF">
        <w:t xml:space="preserve">-verordening. Dit begrip is van belang voor de toegang van zorgaanbieders </w:t>
      </w:r>
      <w:r>
        <w:t xml:space="preserve">en zorgverleners </w:t>
      </w:r>
      <w:r w:rsidRPr="00A432BF">
        <w:t xml:space="preserve">tot het </w:t>
      </w:r>
      <w:proofErr w:type="spellStart"/>
      <w:r w:rsidRPr="00A432BF">
        <w:t>NCPeH</w:t>
      </w:r>
      <w:proofErr w:type="spellEnd"/>
      <w:r w:rsidRPr="00A432BF">
        <w:t xml:space="preserve">-NL. </w:t>
      </w:r>
      <w:r>
        <w:t>Dit begrip wordt ook gedefinieerd in het wetsvoorstel tot wij</w:t>
      </w:r>
      <w:r w:rsidRPr="00A918D5">
        <w:t>ziging van de Wet aanvullende bepalingen verwerking persoonsgegevens in de zorg en de Jeugdwet in verband met digitale identificatie en authenticatie in de zorg</w:t>
      </w:r>
      <w:r w:rsidR="00960DD1">
        <w:t xml:space="preserve"> (hierna: wetsvoorstel DIAZ)</w:t>
      </w:r>
      <w:r w:rsidRPr="5FBA465D">
        <w:t>.</w:t>
      </w:r>
      <w:r>
        <w:rPr>
          <w:rStyle w:val="Voetnootmarkering"/>
        </w:rPr>
        <w:footnoteReference w:id="23"/>
      </w:r>
      <w:r>
        <w:t xml:space="preserve"> Indien dit voorstel tot wet wordt verheven, kan deze begripsomschrijving in dit besluit komen te vervallen.</w:t>
      </w:r>
      <w:r w:rsidRPr="00A432BF">
        <w:br/>
      </w:r>
      <w:r w:rsidRPr="00A432BF">
        <w:br/>
        <w:t>Verder wordt bepaald welke gegevens worden bedoeld als in dit besluit wordt gesproken over ‘identificerende gegevens van de zorgverlener’, ‘identificerende gegevens van de cliënt’ en ‘administratieve kenmerken van de rechtspersoon’.</w:t>
      </w:r>
      <w:r w:rsidRPr="5FBA465D">
        <w:t xml:space="preserve"> </w:t>
      </w:r>
      <w:r w:rsidRPr="00A432BF">
        <w:rPr>
          <w:i/>
          <w:iCs/>
        </w:rPr>
        <w:br/>
      </w:r>
      <w:r w:rsidRPr="00A432BF">
        <w:rPr>
          <w:i/>
          <w:iCs/>
        </w:rPr>
        <w:br/>
      </w:r>
      <w:r w:rsidRPr="5FBA465D">
        <w:rPr>
          <w:rFonts w:eastAsia="Times New Roman" w:cs="Calibri"/>
          <w:i/>
          <w:iCs/>
        </w:rPr>
        <w:t xml:space="preserve">Artikel 2.1 </w:t>
      </w:r>
      <w:r w:rsidR="00133C13">
        <w:rPr>
          <w:rFonts w:eastAsia="Times New Roman" w:cs="Calibri"/>
          <w:i/>
          <w:iCs/>
        </w:rPr>
        <w:t xml:space="preserve">Toegang </w:t>
      </w:r>
      <w:r>
        <w:rPr>
          <w:rFonts w:eastAsia="Times New Roman" w:cs="Calibri"/>
          <w:i/>
          <w:iCs/>
        </w:rPr>
        <w:br/>
      </w:r>
      <w:r w:rsidRPr="00BE16B7" w:rsidR="00BE16B7">
        <w:rPr>
          <w:rFonts w:eastAsia="Times New Roman" w:cs="Calibri"/>
        </w:rPr>
        <w:t xml:space="preserve">In deze bepaling wordt in de onderdelen a en b geregeld onder welke voorwaarden een </w:t>
      </w:r>
      <w:r w:rsidRPr="003846B3" w:rsidR="003846B3">
        <w:rPr>
          <w:rFonts w:eastAsia="Times New Roman" w:cs="Calibri"/>
        </w:rPr>
        <w:t xml:space="preserve">zorgaanbieder of zorgverlener </w:t>
      </w:r>
      <w:r w:rsidRPr="00BE16B7" w:rsidR="00BE16B7">
        <w:rPr>
          <w:rFonts w:eastAsia="Times New Roman" w:cs="Calibri"/>
        </w:rPr>
        <w:t xml:space="preserve">toegang heeft tot het </w:t>
      </w:r>
      <w:proofErr w:type="spellStart"/>
      <w:r w:rsidRPr="00BE16B7" w:rsidR="00BE16B7">
        <w:rPr>
          <w:rFonts w:eastAsia="Times New Roman" w:cs="Calibri"/>
        </w:rPr>
        <w:t>NCPeH</w:t>
      </w:r>
      <w:proofErr w:type="spellEnd"/>
      <w:r w:rsidRPr="00BE16B7" w:rsidR="00BE16B7">
        <w:rPr>
          <w:rFonts w:eastAsia="Times New Roman" w:cs="Calibri"/>
        </w:rPr>
        <w:t xml:space="preserve">-NL. De voorwaarden hebben betrekking op het </w:t>
      </w:r>
      <w:r w:rsidR="00DD36E1">
        <w:rPr>
          <w:rFonts w:eastAsia="Times New Roman" w:cs="Calibri"/>
        </w:rPr>
        <w:t xml:space="preserve">te gebruiken </w:t>
      </w:r>
      <w:r w:rsidRPr="00BE16B7" w:rsidR="00BE16B7">
        <w:rPr>
          <w:rFonts w:eastAsia="Times New Roman" w:cs="Calibri"/>
        </w:rPr>
        <w:t xml:space="preserve">toegangsmiddel </w:t>
      </w:r>
      <w:r w:rsidR="00DD36E1">
        <w:rPr>
          <w:rFonts w:eastAsia="Times New Roman" w:cs="Calibri"/>
        </w:rPr>
        <w:t xml:space="preserve">en </w:t>
      </w:r>
      <w:r w:rsidRPr="00BE16B7" w:rsidR="00BE16B7">
        <w:rPr>
          <w:rFonts w:eastAsia="Times New Roman" w:cs="Calibri"/>
        </w:rPr>
        <w:t>het</w:t>
      </w:r>
      <w:r w:rsidR="00DD36E1">
        <w:rPr>
          <w:rFonts w:eastAsia="Times New Roman" w:cs="Calibri"/>
        </w:rPr>
        <w:t xml:space="preserve"> uit te oefenen</w:t>
      </w:r>
      <w:r w:rsidRPr="00BE16B7" w:rsidR="00BE16B7">
        <w:rPr>
          <w:rFonts w:eastAsia="Times New Roman" w:cs="Calibri"/>
        </w:rPr>
        <w:t xml:space="preserve"> beroep. Voor het verkrijgen van toegang hoeft geen aanvraagprocedure te worden doorlopen, het gaat hier om toegang van rechtswege. Onderdeel a ziet op de situatie dat een zorgaanbieder zelf aan de voorwaarden voldoet. Het gaat in</w:t>
      </w:r>
      <w:r w:rsidR="007E50F2">
        <w:rPr>
          <w:rFonts w:eastAsia="Times New Roman" w:cs="Calibri"/>
        </w:rPr>
        <w:t xml:space="preserve"> de praktijk dan</w:t>
      </w:r>
      <w:r w:rsidRPr="00BE16B7" w:rsidR="00BE16B7">
        <w:rPr>
          <w:rFonts w:eastAsia="Times New Roman" w:cs="Calibri"/>
        </w:rPr>
        <w:t xml:space="preserve"> om de solistisch werkend zorgverlener. Onderdeel b ziet op de situatie dat de onder de zorgaanbieder ressorterende zorgverlener aan de voorwaarden voldoe</w:t>
      </w:r>
      <w:r w:rsidR="00DD36E1">
        <w:rPr>
          <w:rFonts w:eastAsia="Times New Roman" w:cs="Calibri"/>
        </w:rPr>
        <w:t>t</w:t>
      </w:r>
      <w:r w:rsidRPr="00BE16B7" w:rsidR="00BE16B7">
        <w:rPr>
          <w:rFonts w:eastAsia="Times New Roman" w:cs="Calibri"/>
        </w:rPr>
        <w:t>. Hier gaat het om een instelling, waarbij de toegang feitelijk plaatsvindt via de onder hem ressorterende zorgverleners. Die beschikken namelijk over het toegangsmiddel en dienen een aangewezen beroep uit te oefenen.</w:t>
      </w:r>
      <w:r w:rsidR="00BE16B7">
        <w:rPr>
          <w:rFonts w:eastAsia="Times New Roman" w:cs="Calibri"/>
        </w:rPr>
        <w:br/>
      </w:r>
      <w:r w:rsidR="007B71C6">
        <w:rPr>
          <w:rFonts w:eastAsia="Times New Roman" w:cs="Calibri"/>
        </w:rPr>
        <w:br/>
      </w:r>
      <w:r w:rsidR="00A03827">
        <w:rPr>
          <w:rFonts w:eastAsia="Times New Roman" w:cs="Calibri"/>
        </w:rPr>
        <w:t xml:space="preserve">De voorwaarden </w:t>
      </w:r>
      <w:r w:rsidR="001D32D1">
        <w:rPr>
          <w:rFonts w:eastAsia="Times New Roman" w:cs="Calibri"/>
        </w:rPr>
        <w:t>worden hierna kort toegelicht</w:t>
      </w:r>
      <w:r w:rsidR="00A03827">
        <w:rPr>
          <w:rFonts w:eastAsia="Times New Roman" w:cs="Calibri"/>
        </w:rPr>
        <w:t>.</w:t>
      </w:r>
      <w:r w:rsidR="00A03827">
        <w:rPr>
          <w:rFonts w:eastAsia="Times New Roman" w:cs="Calibri"/>
        </w:rPr>
        <w:br/>
      </w:r>
      <w:r w:rsidR="00A03827">
        <w:rPr>
          <w:rFonts w:eastAsia="Times New Roman" w:cs="Calibri"/>
        </w:rPr>
        <w:br/>
      </w:r>
      <w:r w:rsidRPr="5FBA465D" w:rsidR="00377E7E">
        <w:rPr>
          <w:rFonts w:eastAsia="Times New Roman" w:cs="Calibri"/>
          <w:i/>
          <w:iCs/>
        </w:rPr>
        <w:t>T</w:t>
      </w:r>
      <w:r w:rsidRPr="5FBA465D" w:rsidR="00A03827">
        <w:rPr>
          <w:rFonts w:eastAsia="Times New Roman" w:cs="Calibri"/>
          <w:i/>
          <w:iCs/>
        </w:rPr>
        <w:t>oegangsmiddel</w:t>
      </w:r>
    </w:p>
    <w:p w:rsidRPr="00A432BF" w:rsidR="001456BE" w:rsidP="001456BE" w:rsidRDefault="001456BE" w14:paraId="4DDD7ED6" w14:textId="0FDADA3B">
      <w:pPr>
        <w:rPr>
          <w:rFonts w:eastAsia="Times New Roman" w:cs="Arial"/>
          <w:color w:val="333333"/>
        </w:rPr>
      </w:pPr>
      <w:r>
        <w:rPr>
          <w:rFonts w:eastAsia="Times New Roman" w:cs="Calibri"/>
        </w:rPr>
        <w:t>De UZI-pas is het huidige toegangsmiddel als bedoeld in artikel 15, derde lid, van de wet. Dit is een toegangsmiddel op</w:t>
      </w:r>
      <w:r w:rsidRPr="00A432BF">
        <w:rPr>
          <w:rFonts w:eastAsia="Times New Roman" w:cs="Calibri"/>
        </w:rPr>
        <w:t xml:space="preserve"> het betrouwbaarheidsniveau hoog, als bedoeld in de </w:t>
      </w:r>
      <w:proofErr w:type="spellStart"/>
      <w:r w:rsidRPr="00A432BF">
        <w:rPr>
          <w:rFonts w:eastAsia="Times New Roman" w:cs="Calibri"/>
        </w:rPr>
        <w:t>eIDAS</w:t>
      </w:r>
      <w:proofErr w:type="spellEnd"/>
      <w:r w:rsidRPr="00A432BF">
        <w:rPr>
          <w:rFonts w:eastAsia="Times New Roman" w:cs="Calibri"/>
        </w:rPr>
        <w:t>-verordening.</w:t>
      </w:r>
      <w:r>
        <w:rPr>
          <w:rFonts w:eastAsia="Times New Roman" w:cs="Calibri"/>
        </w:rPr>
        <w:t xml:space="preserve"> </w:t>
      </w:r>
      <w:r>
        <w:rPr>
          <w:rFonts w:eastAsia="Times New Roman" w:cs="Calibri"/>
        </w:rPr>
        <w:br/>
      </w:r>
      <w:r>
        <w:rPr>
          <w:rFonts w:eastAsia="Times New Roman" w:cs="Calibri"/>
        </w:rPr>
        <w:br/>
        <w:t>Het wetsvoorstel DIAZ voorziet erin dat zorgaanbieders in de toekomst dienen te beschikken over een “</w:t>
      </w:r>
      <w:proofErr w:type="spellStart"/>
      <w:r>
        <w:rPr>
          <w:rFonts w:eastAsia="Times New Roman" w:cs="Calibri"/>
        </w:rPr>
        <w:t>Dezi</w:t>
      </w:r>
      <w:proofErr w:type="spellEnd"/>
      <w:r>
        <w:rPr>
          <w:rFonts w:eastAsia="Times New Roman" w:cs="Calibri"/>
        </w:rPr>
        <w:t>”-inlogmiddel (</w:t>
      </w:r>
      <w:proofErr w:type="spellStart"/>
      <w:r>
        <w:rPr>
          <w:rFonts w:eastAsia="Times New Roman" w:cs="Calibri"/>
        </w:rPr>
        <w:t>Dezi</w:t>
      </w:r>
      <w:proofErr w:type="spellEnd"/>
      <w:r>
        <w:rPr>
          <w:rFonts w:eastAsia="Times New Roman" w:cs="Calibri"/>
        </w:rPr>
        <w:t xml:space="preserve"> staat voor dé zorgidentiteit). Dit is een door Onze Minister onder die wet goedgekeurd inlogmiddel, eveneens op het betrouwbaarheidsniveau hoog, waarmee zorgaanbieders toegang verkrijgen tot zorgsystemen. </w:t>
      </w:r>
      <w:r w:rsidRPr="00A432BF">
        <w:rPr>
          <w:rFonts w:eastAsia="Times New Roman" w:cs="Calibri"/>
        </w:rPr>
        <w:br/>
      </w:r>
      <w:r w:rsidRPr="00A432BF">
        <w:rPr>
          <w:rFonts w:eastAsia="Times New Roman" w:cs="Calibri"/>
        </w:rPr>
        <w:br/>
      </w:r>
      <w:r w:rsidRPr="5FBA465D" w:rsidR="00377E7E">
        <w:rPr>
          <w:rFonts w:eastAsia="Times New Roman" w:cs="Calibri"/>
          <w:i/>
          <w:iCs/>
        </w:rPr>
        <w:t>Aangewezen</w:t>
      </w:r>
      <w:r w:rsidRPr="5FBA465D" w:rsidR="00D610F4">
        <w:rPr>
          <w:rFonts w:eastAsia="Times New Roman" w:cs="Calibri"/>
          <w:i/>
          <w:iCs/>
        </w:rPr>
        <w:t xml:space="preserve"> beroep</w:t>
      </w:r>
      <w:r w:rsidRPr="00A432BF">
        <w:rPr>
          <w:rFonts w:eastAsia="Times New Roman" w:cs="Calibri"/>
          <w:i/>
          <w:iCs/>
        </w:rPr>
        <w:br/>
      </w:r>
      <w:r w:rsidRPr="00A432BF">
        <w:rPr>
          <w:rFonts w:eastAsia="Times New Roman" w:cs="Calibri"/>
        </w:rPr>
        <w:t>Het is niet wenselijk dat iedere zorg</w:t>
      </w:r>
      <w:r w:rsidR="00A03827">
        <w:rPr>
          <w:rFonts w:eastAsia="Times New Roman" w:cs="Calibri"/>
        </w:rPr>
        <w:t>verlen</w:t>
      </w:r>
      <w:r w:rsidRPr="00A432BF">
        <w:rPr>
          <w:rFonts w:eastAsia="Times New Roman" w:cs="Calibri"/>
        </w:rPr>
        <w:t xml:space="preserve">er die over een inlogmiddel met betrouwbaarheidsniveau hoog beschikt, ook toegang tot het </w:t>
      </w:r>
      <w:proofErr w:type="spellStart"/>
      <w:r w:rsidRPr="00A432BF">
        <w:rPr>
          <w:rFonts w:eastAsia="Times New Roman" w:cs="Calibri"/>
        </w:rPr>
        <w:t>NCPeH</w:t>
      </w:r>
      <w:proofErr w:type="spellEnd"/>
      <w:r w:rsidRPr="00A432BF">
        <w:rPr>
          <w:rFonts w:eastAsia="Times New Roman" w:cs="Calibri"/>
        </w:rPr>
        <w:t xml:space="preserve">-NL heeft. Alleen </w:t>
      </w:r>
      <w:r w:rsidRPr="00A432BF" w:rsidR="00A03827">
        <w:rPr>
          <w:rFonts w:eastAsia="Times New Roman" w:cs="Calibri"/>
        </w:rPr>
        <w:t>zorg</w:t>
      </w:r>
      <w:r w:rsidR="00A03827">
        <w:rPr>
          <w:rFonts w:eastAsia="Times New Roman" w:cs="Calibri"/>
        </w:rPr>
        <w:t>verlen</w:t>
      </w:r>
      <w:r w:rsidRPr="00A432BF" w:rsidR="00A03827">
        <w:rPr>
          <w:rFonts w:eastAsia="Times New Roman" w:cs="Calibri"/>
        </w:rPr>
        <w:t xml:space="preserve">ers </w:t>
      </w:r>
      <w:r w:rsidRPr="00A432BF">
        <w:rPr>
          <w:rFonts w:eastAsia="Times New Roman" w:cs="Calibri"/>
        </w:rPr>
        <w:t xml:space="preserve">die een zogenoemd </w:t>
      </w:r>
      <w:r>
        <w:rPr>
          <w:rFonts w:eastAsia="Times New Roman" w:cs="Calibri"/>
        </w:rPr>
        <w:t>aangewezen</w:t>
      </w:r>
      <w:r w:rsidRPr="00A432BF">
        <w:rPr>
          <w:rFonts w:eastAsia="Times New Roman" w:cs="Calibri"/>
        </w:rPr>
        <w:t xml:space="preserve"> beroep uitoefenen, dienen toegang te hebben. Zoals de bepaling vermeldt zal bij ministeriële regeling worden uitgewerkt welke beroepen </w:t>
      </w:r>
      <w:r>
        <w:rPr>
          <w:rFonts w:eastAsia="Times New Roman" w:cs="Calibri"/>
        </w:rPr>
        <w:t>dit</w:t>
      </w:r>
      <w:r w:rsidRPr="00A432BF">
        <w:rPr>
          <w:rFonts w:eastAsia="Times New Roman" w:cs="Calibri"/>
        </w:rPr>
        <w:t xml:space="preserve"> betreft. </w:t>
      </w:r>
      <w:r>
        <w:rPr>
          <w:rFonts w:eastAsia="Times New Roman" w:cs="Calibri"/>
        </w:rPr>
        <w:t>Voor het niveau van ministeriële regeling</w:t>
      </w:r>
      <w:r w:rsidRPr="00A432BF">
        <w:rPr>
          <w:rFonts w:eastAsia="Times New Roman" w:cs="Calibri"/>
        </w:rPr>
        <w:t xml:space="preserve"> is gekozen</w:t>
      </w:r>
      <w:r>
        <w:rPr>
          <w:rFonts w:eastAsia="Times New Roman" w:cs="Calibri"/>
        </w:rPr>
        <w:t>,</w:t>
      </w:r>
      <w:r w:rsidRPr="00A432BF">
        <w:rPr>
          <w:rFonts w:eastAsia="Times New Roman" w:cs="Calibri"/>
        </w:rPr>
        <w:t xml:space="preserve"> omdat de lijst van beroepen,</w:t>
      </w:r>
      <w:r>
        <w:rPr>
          <w:rFonts w:eastAsia="Times New Roman" w:cs="Calibri"/>
        </w:rPr>
        <w:t xml:space="preserve"> mede</w:t>
      </w:r>
      <w:r w:rsidRPr="00A432BF">
        <w:rPr>
          <w:rFonts w:eastAsia="Times New Roman" w:cs="Calibri"/>
        </w:rPr>
        <w:t xml:space="preserve"> gelet op de toekomstige uitbreiding van categorieën gezondheidsinformatie die via het </w:t>
      </w:r>
      <w:proofErr w:type="spellStart"/>
      <w:r w:rsidRPr="00A432BF">
        <w:rPr>
          <w:rFonts w:eastAsia="Times New Roman" w:cs="Calibri"/>
        </w:rPr>
        <w:t>NCPeH</w:t>
      </w:r>
      <w:proofErr w:type="spellEnd"/>
      <w:r w:rsidRPr="00A432BF">
        <w:rPr>
          <w:rFonts w:eastAsia="Times New Roman" w:cs="Calibri"/>
        </w:rPr>
        <w:t>-NL zullen worden uitgewisseld</w:t>
      </w:r>
      <w:r>
        <w:rPr>
          <w:rFonts w:eastAsia="Times New Roman" w:cs="Calibri"/>
        </w:rPr>
        <w:t>,</w:t>
      </w:r>
      <w:r w:rsidRPr="00326868">
        <w:rPr>
          <w:rFonts w:eastAsia="Times New Roman" w:cs="Calibri"/>
        </w:rPr>
        <w:t xml:space="preserve"> </w:t>
      </w:r>
      <w:r w:rsidRPr="00A432BF">
        <w:rPr>
          <w:rFonts w:eastAsia="Times New Roman" w:cs="Calibri"/>
        </w:rPr>
        <w:t xml:space="preserve">met enige regelmaat aanpassing behoeft. </w:t>
      </w:r>
      <w:r>
        <w:rPr>
          <w:rFonts w:eastAsia="Times New Roman" w:cs="Calibri"/>
        </w:rPr>
        <w:br/>
      </w:r>
      <w:r>
        <w:rPr>
          <w:rFonts w:eastAsia="Times New Roman" w:cs="Calibri"/>
        </w:rPr>
        <w:br/>
      </w:r>
      <w:r w:rsidRPr="5FBA465D">
        <w:rPr>
          <w:rFonts w:eastAsia="Times New Roman" w:cs="Calibri"/>
          <w:i/>
          <w:iCs/>
        </w:rPr>
        <w:t xml:space="preserve">Artikel 2.2 </w:t>
      </w:r>
      <w:r w:rsidR="00133C13">
        <w:rPr>
          <w:rFonts w:eastAsia="Times New Roman" w:cs="Calibri"/>
          <w:i/>
          <w:iCs/>
        </w:rPr>
        <w:t>Ontzegging toegang</w:t>
      </w:r>
      <w:r>
        <w:rPr>
          <w:rFonts w:eastAsia="Times New Roman" w:cs="Calibri"/>
        </w:rPr>
        <w:br/>
      </w:r>
      <w:r>
        <w:rPr>
          <w:rFonts w:eastAsia="Times New Roman" w:cs="Calibri"/>
        </w:rPr>
        <w:br/>
      </w:r>
      <w:r w:rsidRPr="5FBA465D">
        <w:rPr>
          <w:rFonts w:eastAsia="Times New Roman" w:cs="Calibri"/>
          <w:i/>
          <w:iCs/>
        </w:rPr>
        <w:t>Eerste lid</w:t>
      </w:r>
      <w:r>
        <w:rPr>
          <w:rFonts w:eastAsia="Times New Roman" w:cs="Calibri"/>
          <w:i/>
          <w:iCs/>
        </w:rPr>
        <w:br/>
      </w:r>
      <w:r>
        <w:rPr>
          <w:rFonts w:eastAsia="Times New Roman" w:cs="Calibri"/>
        </w:rPr>
        <w:t>Zoals toegelicht in paragraaf 3.1 mogen</w:t>
      </w:r>
      <w:r w:rsidR="00955748">
        <w:rPr>
          <w:rFonts w:eastAsia="Times New Roman" w:cs="Calibri"/>
        </w:rPr>
        <w:t xml:space="preserve"> </w:t>
      </w:r>
      <w:r w:rsidR="003A2221">
        <w:rPr>
          <w:rFonts w:eastAsia="Times New Roman" w:cs="Calibri"/>
        </w:rPr>
        <w:t xml:space="preserve">zorgaanbieders </w:t>
      </w:r>
      <w:r w:rsidR="00DD36E1">
        <w:rPr>
          <w:rFonts w:eastAsia="Times New Roman" w:cs="Calibri"/>
        </w:rPr>
        <w:t>en</w:t>
      </w:r>
      <w:r w:rsidRPr="00955748" w:rsidR="00955748">
        <w:rPr>
          <w:rFonts w:eastAsia="Times New Roman" w:cs="Calibri"/>
        </w:rPr>
        <w:t xml:space="preserve"> </w:t>
      </w:r>
      <w:r>
        <w:rPr>
          <w:rFonts w:eastAsia="Times New Roman" w:cs="Calibri"/>
        </w:rPr>
        <w:t xml:space="preserve">zorgverleners het </w:t>
      </w:r>
      <w:proofErr w:type="spellStart"/>
      <w:r>
        <w:rPr>
          <w:rFonts w:eastAsia="Times New Roman" w:cs="Calibri"/>
        </w:rPr>
        <w:t>NCPeH</w:t>
      </w:r>
      <w:proofErr w:type="spellEnd"/>
      <w:r>
        <w:rPr>
          <w:rFonts w:eastAsia="Times New Roman" w:cs="Calibri"/>
        </w:rPr>
        <w:t>-NL alleen gebruiken ten behoeve van met het wetsvoorstel nagestreefde doelen, wat erop neerkomt dat zij alleen gegevens mogen opvragen ten behoeve van de behandeling van cliënten met wie zij een behandelrelatie hebben. Dit is in het eerste lid tot uitdrukking gebracht.</w:t>
      </w:r>
      <w:r>
        <w:rPr>
          <w:rFonts w:eastAsia="Times New Roman" w:cs="Calibri"/>
        </w:rPr>
        <w:br/>
      </w:r>
      <w:r>
        <w:rPr>
          <w:rFonts w:eastAsia="Times New Roman" w:cs="Calibri"/>
        </w:rPr>
        <w:br/>
      </w:r>
      <w:r w:rsidRPr="5FBA465D">
        <w:rPr>
          <w:rFonts w:eastAsia="Times New Roman" w:cs="Calibri"/>
          <w:i/>
          <w:iCs/>
        </w:rPr>
        <w:t>Tweede, derde en vierde lid</w:t>
      </w:r>
      <w:r>
        <w:rPr>
          <w:rFonts w:eastAsia="Times New Roman" w:cs="Calibri"/>
          <w:i/>
          <w:iCs/>
        </w:rPr>
        <w:br/>
      </w:r>
      <w:r>
        <w:rPr>
          <w:rFonts w:eastAsia="Times New Roman" w:cs="Calibri"/>
        </w:rPr>
        <w:t xml:space="preserve">Bestaat het vermoeden dat een zorgaanbieder of zorgverlener de diensten van het </w:t>
      </w:r>
      <w:proofErr w:type="spellStart"/>
      <w:r>
        <w:rPr>
          <w:rFonts w:eastAsia="Times New Roman" w:cs="Calibri"/>
        </w:rPr>
        <w:t>NCPeH</w:t>
      </w:r>
      <w:proofErr w:type="spellEnd"/>
      <w:r>
        <w:rPr>
          <w:rFonts w:eastAsia="Times New Roman" w:cs="Calibri"/>
        </w:rPr>
        <w:t xml:space="preserve">-NL voor een ander doel gebruikt, dan kan de toegang ingevolge het tweede lid worden opgeschort. Een dergelijk vermoeden kan bijvoorbeeld ontstaan wanneer een zorgaanbieder of zorgverlener binnen een kort tijdsbestek gegevens over een groot aantal cliënten bij het </w:t>
      </w:r>
      <w:proofErr w:type="spellStart"/>
      <w:r>
        <w:rPr>
          <w:rFonts w:eastAsia="Times New Roman" w:cs="Calibri"/>
        </w:rPr>
        <w:t>NCPeH</w:t>
      </w:r>
      <w:proofErr w:type="spellEnd"/>
      <w:r>
        <w:rPr>
          <w:rFonts w:eastAsia="Times New Roman" w:cs="Calibri"/>
        </w:rPr>
        <w:t xml:space="preserve">-NL opvraagt. Enerzijds zou hiervoor een verklaring kunnen bestaan, bijvoorbeeld omdat zorg wordt verleend in een toeristisch gebied waar een ongeluk met veel betrokkenen heeft plaatsgehad. Anderzijds zou het ook kunnen duiden op misbruik van persoonsgegevens van personen uit andere lidstaten. Om dit uit te kunnen zoeken, heeft de minister voor dit soort situaties de bevoegdheid om de toegang tot het </w:t>
      </w:r>
      <w:proofErr w:type="spellStart"/>
      <w:r>
        <w:rPr>
          <w:rFonts w:eastAsia="Times New Roman" w:cs="Calibri"/>
        </w:rPr>
        <w:t>NCPeH</w:t>
      </w:r>
      <w:proofErr w:type="spellEnd"/>
      <w:r>
        <w:rPr>
          <w:rFonts w:eastAsia="Times New Roman" w:cs="Calibri"/>
        </w:rPr>
        <w:t>-NL tot zes weken op te schorten, deze opschorting betreft een besluit van de minister.</w:t>
      </w:r>
      <w:r w:rsidRPr="00836392">
        <w:rPr>
          <w:rFonts w:eastAsia="Times New Roman" w:cs="Calibri"/>
        </w:rPr>
        <w:t xml:space="preserve"> </w:t>
      </w:r>
      <w:r>
        <w:rPr>
          <w:rFonts w:eastAsia="Times New Roman" w:cs="Calibri"/>
        </w:rPr>
        <w:t>Blijkt uit dit onderzoek dat de zorgaanbieder of de zorgverlener gegevens op de juiste wijze verwerkt, dan wordt de opschorting ongedaan gemaakt.</w:t>
      </w:r>
      <w:r>
        <w:rPr>
          <w:rFonts w:eastAsia="Times New Roman" w:cs="Calibri"/>
        </w:rPr>
        <w:br/>
      </w:r>
      <w:r>
        <w:rPr>
          <w:rFonts w:eastAsia="Times New Roman" w:cs="Calibri"/>
          <w:i/>
          <w:iCs/>
        </w:rPr>
        <w:br/>
      </w:r>
      <w:r>
        <w:rPr>
          <w:rFonts w:eastAsia="Times New Roman" w:cs="Calibri"/>
        </w:rPr>
        <w:t xml:space="preserve">Komt de minister in zijn onderzoek evenwel tot de conclusie dat de zorgaanbieder of zorgverlener gegevens verwerkt voor een ander doel dan de verlening van zorg aan een cliënt uit een andere lidstaat, dan is hij op grond van het derde lid bevoegd deze zorgaanbieder of zorgverlener de toegang tot het </w:t>
      </w:r>
      <w:proofErr w:type="spellStart"/>
      <w:r>
        <w:rPr>
          <w:rFonts w:eastAsia="Times New Roman" w:cs="Calibri"/>
        </w:rPr>
        <w:t>NCPeH</w:t>
      </w:r>
      <w:proofErr w:type="spellEnd"/>
      <w:r>
        <w:rPr>
          <w:rFonts w:eastAsia="Times New Roman" w:cs="Calibri"/>
        </w:rPr>
        <w:t xml:space="preserve">-NL te ontzeggen. Dit betreft eveneens een besluit van de minister. </w:t>
      </w:r>
      <w:r>
        <w:rPr>
          <w:rFonts w:eastAsia="Times New Roman" w:cs="Calibri"/>
        </w:rPr>
        <w:br/>
      </w:r>
      <w:r>
        <w:rPr>
          <w:rFonts w:eastAsia="Times New Roman" w:cs="Calibri"/>
        </w:rPr>
        <w:br/>
        <w:t xml:space="preserve">Zorgaanbieders zijn op grond van het vierde lid gehouden de minister te voorzien van alle informatie die hij nodig heeft voor het uitoefenen van de aan hem in het tweede derde lid toegekende bevoegdheden. </w:t>
      </w:r>
      <w:r>
        <w:rPr>
          <w:rFonts w:eastAsia="Times New Roman" w:cs="Calibri"/>
        </w:rPr>
        <w:br/>
      </w:r>
      <w:r>
        <w:rPr>
          <w:rFonts w:eastAsia="Times New Roman" w:cs="Calibri"/>
        </w:rPr>
        <w:br/>
        <w:t xml:space="preserve">Wanneer een besluit tot opschorting of ontzegging op </w:t>
      </w:r>
      <w:r w:rsidR="007005B1">
        <w:rPr>
          <w:rFonts w:eastAsia="Times New Roman" w:cs="Calibri"/>
        </w:rPr>
        <w:t xml:space="preserve">een onder een zorgaanbieder ressorterende </w:t>
      </w:r>
      <w:r>
        <w:rPr>
          <w:rFonts w:eastAsia="Times New Roman" w:cs="Calibri"/>
        </w:rPr>
        <w:t>zorgverlener ziet, zal dit besluit ook worden bekendgemaakt aan de</w:t>
      </w:r>
      <w:r w:rsidR="007005B1">
        <w:rPr>
          <w:rFonts w:eastAsia="Times New Roman" w:cs="Calibri"/>
        </w:rPr>
        <w:t xml:space="preserve"> desbetreffende</w:t>
      </w:r>
      <w:r>
        <w:rPr>
          <w:rFonts w:eastAsia="Times New Roman" w:cs="Calibri"/>
        </w:rPr>
        <w:t xml:space="preserve"> zorgaanbieder, </w:t>
      </w:r>
      <w:r w:rsidR="007005B1">
        <w:rPr>
          <w:rFonts w:eastAsia="Times New Roman" w:cs="Calibri"/>
        </w:rPr>
        <w:t xml:space="preserve">omdat </w:t>
      </w:r>
      <w:r>
        <w:rPr>
          <w:rFonts w:eastAsia="Times New Roman" w:cs="Calibri"/>
        </w:rPr>
        <w:t>d</w:t>
      </w:r>
      <w:r w:rsidR="007005B1">
        <w:rPr>
          <w:rFonts w:eastAsia="Times New Roman" w:cs="Calibri"/>
        </w:rPr>
        <w:t>ez</w:t>
      </w:r>
      <w:r>
        <w:rPr>
          <w:rFonts w:eastAsia="Times New Roman" w:cs="Calibri"/>
        </w:rPr>
        <w:t>e zorgaanbieder belanghebbende in de zin van artikel 1:2 van de Algemene wet bestuursrecht is.</w:t>
      </w:r>
      <w:r>
        <w:rPr>
          <w:rFonts w:eastAsia="Times New Roman" w:cs="Calibri"/>
        </w:rPr>
        <w:br/>
      </w:r>
      <w:r>
        <w:rPr>
          <w:rFonts w:eastAsia="Times New Roman" w:cs="Calibri"/>
        </w:rPr>
        <w:br/>
        <w:t>Een opschorting en een ontzegging hebben gevolgen voor andere buitenlandse cliënten van de desbetreffende zorgaanbieder of zorgverlener, aangezien deze niet langer</w:t>
      </w:r>
      <w:r w:rsidRPr="00993CAB">
        <w:rPr>
          <w:rFonts w:eastAsia="Times New Roman" w:cs="Calibri"/>
        </w:rPr>
        <w:t xml:space="preserve"> </w:t>
      </w:r>
      <w:r>
        <w:rPr>
          <w:rFonts w:eastAsia="Times New Roman" w:cs="Calibri"/>
        </w:rPr>
        <w:t xml:space="preserve">via het </w:t>
      </w:r>
      <w:proofErr w:type="spellStart"/>
      <w:r>
        <w:rPr>
          <w:rFonts w:eastAsia="Times New Roman" w:cs="Calibri"/>
        </w:rPr>
        <w:t>NCPeH</w:t>
      </w:r>
      <w:proofErr w:type="spellEnd"/>
      <w:r>
        <w:rPr>
          <w:rFonts w:eastAsia="Times New Roman" w:cs="Calibri"/>
        </w:rPr>
        <w:t>-NL informatie over de cliënten in het thuisland kan opvragen. Het belang bij het kunnen opschorten en ontzeggen van de toegang, dat bestaat in het onderzoeken of sprake is van het misbruiken van persoonsgegevens en het beëindigen van dit misbruik, dient in dit geval zwaarder te wegen dan het belang van die andere cliënten. Daarbij weegt mee dat een opschorting of ontzegging niet tot gevolg heeft dat die cliënten geen recht hebben op zorg.</w:t>
      </w:r>
      <w:r w:rsidR="0064568E">
        <w:rPr>
          <w:rFonts w:eastAsia="Times New Roman" w:cs="Calibri"/>
        </w:rPr>
        <w:t xml:space="preserve"> Gaat het om de opschorting of een ontzegging van de toegang van een zorgverlener die werkt voor een instelling, dan zullen binnen die instelling veelal andere zorgverleners zijn die nog wel toegang tot het </w:t>
      </w:r>
      <w:proofErr w:type="spellStart"/>
      <w:r w:rsidR="0064568E">
        <w:rPr>
          <w:rFonts w:eastAsia="Times New Roman" w:cs="Calibri"/>
        </w:rPr>
        <w:t>NCPeH</w:t>
      </w:r>
      <w:proofErr w:type="spellEnd"/>
      <w:r w:rsidR="0064568E">
        <w:rPr>
          <w:rFonts w:eastAsia="Times New Roman" w:cs="Calibri"/>
        </w:rPr>
        <w:t>-NL hebben.</w:t>
      </w:r>
      <w:r>
        <w:rPr>
          <w:rFonts w:eastAsia="Times New Roman" w:cs="Calibri"/>
        </w:rPr>
        <w:br/>
      </w:r>
      <w:r>
        <w:rPr>
          <w:rFonts w:eastAsia="Times New Roman" w:cs="Calibri"/>
        </w:rPr>
        <w:br/>
      </w:r>
      <w:r w:rsidRPr="5FBA465D">
        <w:rPr>
          <w:rFonts w:eastAsia="Times New Roman" w:cs="Calibri"/>
          <w:i/>
          <w:iCs/>
        </w:rPr>
        <w:t>Vijfde lid</w:t>
      </w:r>
      <w:r>
        <w:rPr>
          <w:rFonts w:eastAsia="Times New Roman" w:cs="Calibri"/>
          <w:i/>
          <w:iCs/>
        </w:rPr>
        <w:br/>
      </w:r>
      <w:r>
        <w:rPr>
          <w:rFonts w:eastAsia="Times New Roman" w:cs="Calibri"/>
        </w:rPr>
        <w:t xml:space="preserve">Tot slot heeft de minister de mogelijkheid om te besluiten de ontzegging van de toegang tot het </w:t>
      </w:r>
      <w:proofErr w:type="spellStart"/>
      <w:r>
        <w:rPr>
          <w:rFonts w:eastAsia="Times New Roman" w:cs="Calibri"/>
        </w:rPr>
        <w:t>NCPeH</w:t>
      </w:r>
      <w:proofErr w:type="spellEnd"/>
      <w:r>
        <w:rPr>
          <w:rFonts w:eastAsia="Times New Roman" w:cs="Calibri"/>
        </w:rPr>
        <w:t xml:space="preserve">-NL weer ongedaan te maken. De minister kan hiertoe op aanvraag van de zorgaanbieder overgaan, bijvoorbeeld wanneer is aangetoond dat de zorgaanbieder maatregelen heeft genomen die herhaling in de toekomst voorkomen. </w:t>
      </w:r>
      <w:r>
        <w:rPr>
          <w:rFonts w:eastAsia="Times New Roman" w:cs="Calibri"/>
        </w:rPr>
        <w:br/>
      </w:r>
      <w:r w:rsidRPr="00A432BF">
        <w:rPr>
          <w:rFonts w:eastAsia="Times New Roman" w:cs="Arial"/>
          <w:i/>
          <w:iCs/>
        </w:rPr>
        <w:br/>
      </w:r>
      <w:r w:rsidRPr="5FBA465D">
        <w:rPr>
          <w:rFonts w:eastAsia="Times New Roman" w:cs="Arial"/>
          <w:i/>
          <w:iCs/>
        </w:rPr>
        <w:t>Artikel 3.1</w:t>
      </w:r>
      <w:r w:rsidR="00133C13">
        <w:rPr>
          <w:rFonts w:eastAsia="Times New Roman" w:cs="Arial"/>
          <w:i/>
          <w:iCs/>
        </w:rPr>
        <w:t xml:space="preserve"> Verwerking van identificerende gegevens</w:t>
      </w:r>
      <w:r w:rsidRPr="00A432BF">
        <w:rPr>
          <w:rFonts w:eastAsia="Times New Roman" w:cs="Arial"/>
        </w:rPr>
        <w:br/>
        <w:t xml:space="preserve">Ongeacht de categorie gezondheidsgegevens die via het </w:t>
      </w:r>
      <w:proofErr w:type="spellStart"/>
      <w:r w:rsidRPr="00A432BF">
        <w:rPr>
          <w:rFonts w:eastAsia="Times New Roman" w:cs="Arial"/>
        </w:rPr>
        <w:t>NCPeH</w:t>
      </w:r>
      <w:proofErr w:type="spellEnd"/>
      <w:r w:rsidRPr="00A432BF">
        <w:rPr>
          <w:rFonts w:eastAsia="Times New Roman" w:cs="Arial"/>
        </w:rPr>
        <w:t>-NL wordt uitgewisseld, vindt altijd de verwerking van een bepaalde set identificerende gegevens plaats. In dit artikel wordt uitgewerkt welke gegevens dit zijn.</w:t>
      </w:r>
      <w:r>
        <w:rPr>
          <w:rFonts w:eastAsia="Times New Roman" w:cs="Arial"/>
        </w:rPr>
        <w:t xml:space="preserve"> Zoals beschreven in onderdeel a gaat het bij de</w:t>
      </w:r>
      <w:r w:rsidRPr="5FBA465D">
        <w:rPr>
          <w:rFonts w:eastAsia="Times New Roman" w:cs="Arial"/>
          <w:i/>
          <w:iCs/>
        </w:rPr>
        <w:t xml:space="preserve"> </w:t>
      </w:r>
      <w:r w:rsidRPr="00A432BF">
        <w:rPr>
          <w:rFonts w:eastAsia="Times New Roman" w:cs="Arial"/>
        </w:rPr>
        <w:t>solistisch werkend zorgverlener dan wel de</w:t>
      </w:r>
      <w:r>
        <w:rPr>
          <w:rFonts w:eastAsia="Times New Roman" w:cs="Arial"/>
        </w:rPr>
        <w:t xml:space="preserve"> onder een zorgaanbieder ressorterende zorgverlener</w:t>
      </w:r>
      <w:r w:rsidRPr="00A432BF">
        <w:rPr>
          <w:rFonts w:eastAsia="Times New Roman" w:cs="Arial"/>
        </w:rPr>
        <w:t xml:space="preserve"> </w:t>
      </w:r>
      <w:r>
        <w:rPr>
          <w:rFonts w:eastAsia="Times New Roman" w:cs="Arial"/>
        </w:rPr>
        <w:t xml:space="preserve">om </w:t>
      </w:r>
      <w:r w:rsidRPr="00A432BF">
        <w:t>d</w:t>
      </w:r>
      <w:r w:rsidRPr="00A432BF">
        <w:rPr>
          <w:rFonts w:eastAsia="Times New Roman" w:cs="Arial"/>
        </w:rPr>
        <w:t>e naam, de specialisatie, d</w:t>
      </w:r>
      <w:r>
        <w:rPr>
          <w:rFonts w:eastAsia="Times New Roman" w:cs="Arial"/>
        </w:rPr>
        <w:t>e</w:t>
      </w:r>
      <w:r w:rsidRPr="00A432BF">
        <w:rPr>
          <w:rFonts w:eastAsia="Times New Roman" w:cs="Arial"/>
        </w:rPr>
        <w:t xml:space="preserve"> rol in de</w:t>
      </w:r>
      <w:r>
        <w:rPr>
          <w:rFonts w:eastAsia="Times New Roman" w:cs="Arial"/>
        </w:rPr>
        <w:t xml:space="preserve"> </w:t>
      </w:r>
      <w:r w:rsidRPr="00A432BF">
        <w:rPr>
          <w:rFonts w:eastAsia="Times New Roman" w:cs="Arial"/>
        </w:rPr>
        <w:t>behandeling en het nummer ter identificatie van de zorgverlener. Daarnaast wordt een indicatie van de behandelrelatie verwerkt</w:t>
      </w:r>
      <w:r>
        <w:rPr>
          <w:rFonts w:eastAsia="Times New Roman" w:cs="Arial"/>
        </w:rPr>
        <w:t>,</w:t>
      </w:r>
      <w:r w:rsidR="00F66207">
        <w:rPr>
          <w:rFonts w:eastAsia="Times New Roman" w:cs="Arial"/>
        </w:rPr>
        <w:t xml:space="preserve"> inhoudende dat wordt aangegeven of het geplande zorg dan wel een noodgeval betreft. </w:t>
      </w:r>
      <w:r w:rsidR="00F66207">
        <w:rPr>
          <w:rFonts w:eastAsia="Times New Roman" w:cs="Arial"/>
        </w:rPr>
        <w:br/>
      </w:r>
      <w:r w:rsidRPr="00A432BF">
        <w:rPr>
          <w:rFonts w:eastAsia="Times New Roman" w:cs="Arial"/>
        </w:rPr>
        <w:br/>
      </w:r>
      <w:r>
        <w:rPr>
          <w:rFonts w:eastAsia="Times New Roman" w:cs="Arial"/>
        </w:rPr>
        <w:t xml:space="preserve">In onderdeel b wordt uitgewerkt welke administratieve kenmerken van de </w:t>
      </w:r>
      <w:r w:rsidRPr="00A432BF">
        <w:rPr>
          <w:rFonts w:eastAsia="Times New Roman" w:cs="Arial"/>
        </w:rPr>
        <w:t xml:space="preserve">rechtspersoon van de zorgaanbieder worden </w:t>
      </w:r>
      <w:r>
        <w:rPr>
          <w:rFonts w:eastAsia="Times New Roman" w:cs="Arial"/>
        </w:rPr>
        <w:t xml:space="preserve">verwerkt. Dit zijn de </w:t>
      </w:r>
      <w:r w:rsidRPr="00A432BF">
        <w:rPr>
          <w:rFonts w:eastAsia="Times New Roman" w:cs="Arial"/>
        </w:rPr>
        <w:t>naam, het adres, de vestigingsplaats en het nummer ter identificatie van de zorgaanbieder.</w:t>
      </w:r>
      <w:r>
        <w:rPr>
          <w:rFonts w:eastAsia="Times New Roman" w:cs="Arial"/>
        </w:rPr>
        <w:br/>
      </w:r>
      <w:r>
        <w:rPr>
          <w:rFonts w:eastAsia="Times New Roman" w:cs="Arial"/>
        </w:rPr>
        <w:br/>
        <w:t xml:space="preserve">Welke </w:t>
      </w:r>
      <w:r w:rsidRPr="00A432BF">
        <w:rPr>
          <w:rFonts w:eastAsia="Times New Roman" w:cs="Arial"/>
        </w:rPr>
        <w:t>identificerende gegevens van de cliënt</w:t>
      </w:r>
      <w:r>
        <w:rPr>
          <w:rFonts w:eastAsia="Times New Roman" w:cs="Arial"/>
        </w:rPr>
        <w:t>,</w:t>
      </w:r>
      <w:r w:rsidRPr="00A432BF">
        <w:rPr>
          <w:rFonts w:eastAsia="Times New Roman" w:cs="Arial"/>
        </w:rPr>
        <w:t xml:space="preserve"> op wie het verzoek betrekking</w:t>
      </w:r>
      <w:r>
        <w:rPr>
          <w:rFonts w:eastAsia="Times New Roman" w:cs="Arial"/>
        </w:rPr>
        <w:t xml:space="preserve"> heeft,</w:t>
      </w:r>
      <w:r w:rsidRPr="00A432BF">
        <w:rPr>
          <w:rFonts w:eastAsia="Times New Roman" w:cs="Arial"/>
        </w:rPr>
        <w:t xml:space="preserve"> </w:t>
      </w:r>
      <w:r>
        <w:rPr>
          <w:rFonts w:eastAsia="Times New Roman" w:cs="Arial"/>
        </w:rPr>
        <w:t xml:space="preserve">verwerkt moeten worden, wordt </w:t>
      </w:r>
      <w:r w:rsidRPr="00A432BF">
        <w:rPr>
          <w:rFonts w:eastAsia="Times New Roman" w:cs="Arial"/>
        </w:rPr>
        <w:t>bepaald door de betreffende lidstaat</w:t>
      </w:r>
      <w:r>
        <w:rPr>
          <w:rFonts w:eastAsia="Times New Roman" w:cs="Arial"/>
        </w:rPr>
        <w:t>. Ingevolge onderdeel c kan het gaan om</w:t>
      </w:r>
      <w:r w:rsidRPr="00A432BF">
        <w:rPr>
          <w:rFonts w:eastAsia="Times New Roman" w:cs="Arial"/>
        </w:rPr>
        <w:t xml:space="preserve"> </w:t>
      </w:r>
      <w:r w:rsidRPr="00A432BF">
        <w:t>de naam, de geboortedatum, het geslacht, de nationaliteit en een nummer dat ter identificatie van de persoon kan worden gebruikt</w:t>
      </w:r>
      <w:r>
        <w:t xml:space="preserve">. Waar het de identificerende gegevens van een cliënt uit Nederland betreft, is ervoor gekozen de nationaliteit niet te verwerken. </w:t>
      </w:r>
      <w:r w:rsidR="00F66207">
        <w:br/>
      </w:r>
      <w:r w:rsidR="00F66207">
        <w:br/>
        <w:t>Hoewel het om identificerende gegevens gaat, geven zij</w:t>
      </w:r>
      <w:r w:rsidR="00934F8B">
        <w:t>,</w:t>
      </w:r>
      <w:r w:rsidR="00F66207">
        <w:t xml:space="preserve"> wanneer zij in samenhang worden bezien</w:t>
      </w:r>
      <w:r w:rsidR="00934F8B">
        <w:t>,</w:t>
      </w:r>
      <w:r w:rsidR="00F66207">
        <w:t xml:space="preserve"> mogelijk informatie prijs over de gezondheid van de cliënt</w:t>
      </w:r>
      <w:r w:rsidRPr="5FBA465D" w:rsidR="00F66207">
        <w:t xml:space="preserve">, </w:t>
      </w:r>
      <w:r w:rsidR="00964950">
        <w:t>in welk geval</w:t>
      </w:r>
      <w:r w:rsidR="00F66207">
        <w:t xml:space="preserve"> zij kwalificeren als gezondheidsgegevens. In het artikel is </w:t>
      </w:r>
      <w:r w:rsidR="00964950">
        <w:t xml:space="preserve">dit </w:t>
      </w:r>
      <w:r w:rsidR="00F66207">
        <w:t>daarom</w:t>
      </w:r>
      <w:r w:rsidR="00964950">
        <w:t xml:space="preserve"> tot uitdrukking gebracht.</w:t>
      </w:r>
      <w:r w:rsidRPr="00A432BF">
        <w:rPr>
          <w:rFonts w:cs="Arial"/>
        </w:rPr>
        <w:br/>
      </w:r>
    </w:p>
    <w:p w:rsidRPr="0003660E" w:rsidR="001456BE" w:rsidRDefault="001456BE" w14:paraId="4557B8D9" w14:textId="77777777">
      <w:pPr>
        <w:rPr>
          <w:rFonts w:eastAsia="Times New Roman" w:cs="Arial"/>
          <w:i/>
          <w:color w:val="auto"/>
        </w:rPr>
      </w:pPr>
      <w:r w:rsidRPr="0003660E">
        <w:rPr>
          <w:rFonts w:eastAsia="Times New Roman" w:cs="Arial"/>
          <w:i/>
          <w:color w:val="auto"/>
        </w:rPr>
        <w:t>Artikel 3.2 Patiëntsamenvatting cliënt uit andere lidstaat</w:t>
      </w:r>
    </w:p>
    <w:p w:rsidRPr="0003660E" w:rsidR="001456BE" w:rsidP="0003660E" w:rsidRDefault="001456BE" w14:paraId="515B4641" w14:textId="1DD6235F">
      <w:pPr>
        <w:spacing w:line="276" w:lineRule="auto"/>
        <w:rPr>
          <w:rFonts w:eastAsia="Times New Roman" w:cs="Arial"/>
          <w:i/>
          <w:color w:val="auto"/>
        </w:rPr>
      </w:pPr>
      <w:r w:rsidRPr="0003660E">
        <w:rPr>
          <w:rFonts w:eastAsia="Times New Roman" w:cs="Arial"/>
          <w:color w:val="auto"/>
        </w:rPr>
        <w:t xml:space="preserve">Zoals toegelicht in paragraaf 4.3 van het algemene deel van deze nota van toelichting, is op Europees niveau in de </w:t>
      </w:r>
      <w:proofErr w:type="spellStart"/>
      <w:r w:rsidRPr="0003660E">
        <w:rPr>
          <w:rFonts w:eastAsia="Times New Roman" w:cs="Arial"/>
          <w:color w:val="auto"/>
        </w:rPr>
        <w:t>Patient</w:t>
      </w:r>
      <w:proofErr w:type="spellEnd"/>
      <w:r w:rsidRPr="0003660E">
        <w:rPr>
          <w:rFonts w:eastAsia="Times New Roman" w:cs="Arial"/>
          <w:color w:val="auto"/>
        </w:rPr>
        <w:t xml:space="preserve"> Summary </w:t>
      </w:r>
      <w:proofErr w:type="spellStart"/>
      <w:r w:rsidRPr="0003660E">
        <w:rPr>
          <w:rFonts w:eastAsia="Times New Roman" w:cs="Arial"/>
          <w:color w:val="auto"/>
        </w:rPr>
        <w:t>Guidelines</w:t>
      </w:r>
      <w:proofErr w:type="spellEnd"/>
      <w:r w:rsidRPr="0003660E">
        <w:rPr>
          <w:rFonts w:eastAsia="Times New Roman" w:cs="Arial"/>
          <w:color w:val="auto"/>
        </w:rPr>
        <w:t xml:space="preserve"> (hierna: </w:t>
      </w:r>
      <w:proofErr w:type="spellStart"/>
      <w:r w:rsidRPr="0003660E">
        <w:rPr>
          <w:rFonts w:eastAsia="Times New Roman" w:cs="Arial"/>
          <w:color w:val="auto"/>
        </w:rPr>
        <w:t>guidelines</w:t>
      </w:r>
      <w:proofErr w:type="spellEnd"/>
      <w:r w:rsidRPr="0003660E">
        <w:rPr>
          <w:rFonts w:eastAsia="Times New Roman" w:cs="Arial"/>
          <w:color w:val="auto"/>
        </w:rPr>
        <w:t xml:space="preserve">) vastgelegd welke gegevens een patiëntsamenvatting kan bevatten. Lidstaten zijn vrij om te bepalen welke gegevens uit de </w:t>
      </w:r>
      <w:proofErr w:type="spellStart"/>
      <w:r w:rsidRPr="0003660E">
        <w:rPr>
          <w:rFonts w:eastAsia="Times New Roman" w:cs="Arial"/>
          <w:color w:val="auto"/>
        </w:rPr>
        <w:t>guidelines</w:t>
      </w:r>
      <w:proofErr w:type="spellEnd"/>
      <w:r w:rsidRPr="0003660E">
        <w:rPr>
          <w:rFonts w:eastAsia="Times New Roman" w:cs="Arial"/>
          <w:color w:val="auto"/>
        </w:rPr>
        <w:t xml:space="preserve"> zij opnemen in hun patiëntsamenvatting. Welke gegevens worden verwerkt is dus afhankelijk van de lidstaat waar de patiëntsamenvatting wordt opgevraagd. Aangezien het in ieder geval niet meer of andere gegevens betreft dan vastgelegd in de </w:t>
      </w:r>
      <w:proofErr w:type="spellStart"/>
      <w:r w:rsidRPr="0003660E">
        <w:rPr>
          <w:rFonts w:eastAsia="Times New Roman" w:cs="Arial"/>
          <w:color w:val="auto"/>
        </w:rPr>
        <w:t>guidelines</w:t>
      </w:r>
      <w:proofErr w:type="spellEnd"/>
      <w:r w:rsidRPr="0003660E">
        <w:rPr>
          <w:rFonts w:eastAsia="Times New Roman" w:cs="Arial"/>
          <w:color w:val="auto"/>
        </w:rPr>
        <w:t xml:space="preserve">, bepaalt dit artikel dat het </w:t>
      </w:r>
      <w:proofErr w:type="spellStart"/>
      <w:r w:rsidRPr="0003660E">
        <w:rPr>
          <w:rFonts w:eastAsia="Times New Roman" w:cs="Arial"/>
          <w:color w:val="auto"/>
        </w:rPr>
        <w:t>NCPeH</w:t>
      </w:r>
      <w:proofErr w:type="spellEnd"/>
      <w:r w:rsidRPr="0003660E">
        <w:rPr>
          <w:rFonts w:eastAsia="Times New Roman" w:cs="Arial"/>
          <w:color w:val="auto"/>
        </w:rPr>
        <w:t>-NL bij het ontvangen en omzetten van een patiëntsamenvatting uit een andere lidstaat en het verstrekken ervan aan een zorgaanbieder in Nederland, bevoegd is alle daarin opgesomde gegevens te verwerken.</w:t>
      </w:r>
      <w:r w:rsidRPr="0003660E">
        <w:rPr>
          <w:rFonts w:eastAsia="Times New Roman" w:cs="Arial"/>
          <w:color w:val="auto"/>
        </w:rPr>
        <w:br/>
      </w:r>
      <w:r w:rsidRPr="0003660E">
        <w:rPr>
          <w:rFonts w:eastAsia="Times New Roman" w:cs="Arial"/>
          <w:color w:val="auto"/>
        </w:rPr>
        <w:br/>
        <w:t xml:space="preserve">In het artikel zelf wordt niet rechtstreeks verwezen naar de </w:t>
      </w:r>
      <w:proofErr w:type="spellStart"/>
      <w:r w:rsidRPr="0003660E">
        <w:rPr>
          <w:rFonts w:eastAsia="Times New Roman" w:cs="Arial"/>
          <w:color w:val="auto"/>
        </w:rPr>
        <w:t>guidelines</w:t>
      </w:r>
      <w:proofErr w:type="spellEnd"/>
      <w:r w:rsidRPr="0003660E">
        <w:rPr>
          <w:rFonts w:eastAsia="Times New Roman" w:cs="Arial"/>
          <w:color w:val="auto"/>
        </w:rPr>
        <w:t xml:space="preserve">, maar naar bij ministeriële regeling aangewezen categorieën van gegevens. Reden hiervoor is dat de </w:t>
      </w:r>
      <w:proofErr w:type="spellStart"/>
      <w:r w:rsidRPr="0003660E">
        <w:rPr>
          <w:rFonts w:eastAsia="Times New Roman" w:cs="Arial"/>
          <w:color w:val="auto"/>
        </w:rPr>
        <w:t>guidelines</w:t>
      </w:r>
      <w:proofErr w:type="spellEnd"/>
      <w:r w:rsidRPr="0003660E">
        <w:rPr>
          <w:rFonts w:eastAsia="Times New Roman" w:cs="Arial"/>
          <w:color w:val="auto"/>
        </w:rPr>
        <w:t xml:space="preserve"> niet worden gepubliceerd in het Publicatieblad van de Europese Unie, maar (vooralsnog) op de website van de Europese Commissie. Om in dit besluit te kunnen verwijzen naar die website is ingevolge aanwijzing 3.50, tweede lid, onderdeel b, van de Aanwijzingen voor de regelgeving vereist dat het informatieobject door de verwijzing rechtstreeks en in de vorm van een volledig uitgeschreven internetadres wordt aangewezen. Bij publicatie van nieuwe versies van de </w:t>
      </w:r>
      <w:proofErr w:type="spellStart"/>
      <w:r w:rsidRPr="0003660E">
        <w:rPr>
          <w:rFonts w:eastAsia="Times New Roman" w:cs="Arial"/>
          <w:color w:val="auto"/>
        </w:rPr>
        <w:t>guidelines</w:t>
      </w:r>
      <w:proofErr w:type="spellEnd"/>
      <w:r w:rsidRPr="0003660E">
        <w:rPr>
          <w:rFonts w:eastAsia="Times New Roman" w:cs="Arial"/>
          <w:color w:val="auto"/>
        </w:rPr>
        <w:t xml:space="preserve"> is in het verleden niet steeds hetzelfde internetadres gebruikt. De kans is daarom groot dat een verwijzing in dit besluit niet meer zal kloppen zodra een nieuwe versie wordt gepubliceerd. Daarom is ervoor gekozen de verwijzing naar de </w:t>
      </w:r>
      <w:proofErr w:type="spellStart"/>
      <w:r w:rsidRPr="0003660E">
        <w:rPr>
          <w:rFonts w:eastAsia="Times New Roman" w:cs="Arial"/>
          <w:color w:val="auto"/>
        </w:rPr>
        <w:t>guidelines</w:t>
      </w:r>
      <w:proofErr w:type="spellEnd"/>
      <w:r w:rsidRPr="0003660E">
        <w:rPr>
          <w:rFonts w:eastAsia="Times New Roman" w:cs="Arial"/>
          <w:color w:val="auto"/>
        </w:rPr>
        <w:t xml:space="preserve"> in een – eenvoudiger te wijzigen – ministeriële regeling neer te leggen.</w:t>
      </w:r>
      <w:r w:rsidRPr="0003660E">
        <w:rPr>
          <w:rFonts w:eastAsia="Times New Roman" w:cs="Arial"/>
          <w:color w:val="auto"/>
        </w:rPr>
        <w:br/>
      </w:r>
    </w:p>
    <w:p w:rsidRPr="0003660E" w:rsidR="001456BE" w:rsidP="0003660E" w:rsidRDefault="001456BE" w14:paraId="35A31B42" w14:textId="77777777">
      <w:pPr>
        <w:spacing w:line="276" w:lineRule="auto"/>
        <w:rPr>
          <w:i/>
          <w:color w:val="auto"/>
        </w:rPr>
      </w:pPr>
      <w:r w:rsidRPr="0003660E">
        <w:rPr>
          <w:rFonts w:eastAsia="Times New Roman" w:cs="Arial"/>
          <w:i/>
          <w:color w:val="auto"/>
        </w:rPr>
        <w:t>Artikel 3.3 Patiëntsamenvatting cliënt uit Nederland</w:t>
      </w:r>
      <w:r w:rsidRPr="0003660E">
        <w:rPr>
          <w:rFonts w:eastAsia="Times New Roman" w:cs="Arial"/>
          <w:color w:val="auto"/>
        </w:rPr>
        <w:br/>
        <w:t xml:space="preserve">Deze bepaling zet uiteen welke (bijzondere) persoonsgegevens worden verwerkt wanneer een patiëntsamenvatting van een cliënt uit Nederland wordt verstrekt aan een nationaal contactpunt in een andere lidstaat. Zoals toegelicht in hoofdstuk 4 van het algemene deel van deze nota van toelichting bevat een patiëntsamenvatting in Nederland de gegevens die door partijen uit het zorgveld zijn vastgelegd in de Informatiestandaard Acute Zorg.  </w:t>
      </w:r>
    </w:p>
    <w:p w:rsidR="007B5078" w:rsidP="001456BE" w:rsidRDefault="001456BE" w14:paraId="473C5F60" w14:textId="0B71D093">
      <w:pPr>
        <w:spacing w:line="276" w:lineRule="auto"/>
        <w:rPr>
          <w:rFonts w:cs="Arial"/>
        </w:rPr>
      </w:pPr>
      <w:r w:rsidRPr="0003660E">
        <w:rPr>
          <w:rFonts w:eastAsia="Times New Roman" w:cs="Arial"/>
          <w:color w:val="auto"/>
        </w:rPr>
        <w:br/>
      </w:r>
      <w:r w:rsidRPr="0003660E">
        <w:rPr>
          <w:rFonts w:eastAsia="Times New Roman" w:cs="Arial"/>
          <w:i/>
          <w:color w:val="auto"/>
        </w:rPr>
        <w:t>Artikel 4.1 Bewaartermijn</w:t>
      </w:r>
      <w:r w:rsidRPr="0003660E">
        <w:rPr>
          <w:rFonts w:eastAsia="Times New Roman" w:cs="Arial"/>
          <w:color w:val="auto"/>
        </w:rPr>
        <w:br/>
        <w:t xml:space="preserve">Het wetsvoorstel schrijft voor dat de persoonsgegevens die via het </w:t>
      </w:r>
      <w:proofErr w:type="spellStart"/>
      <w:r w:rsidRPr="0003660E">
        <w:rPr>
          <w:rFonts w:eastAsia="Times New Roman" w:cs="Arial"/>
          <w:color w:val="auto"/>
        </w:rPr>
        <w:t>NCPeH</w:t>
      </w:r>
      <w:proofErr w:type="spellEnd"/>
      <w:r w:rsidRPr="0003660E">
        <w:rPr>
          <w:rFonts w:eastAsia="Times New Roman" w:cs="Arial"/>
          <w:color w:val="auto"/>
        </w:rPr>
        <w:t>-NL worden uitgewisseld niet langer worden bewaard dan de duur van de sessie waarin het verzoek om en de verwerking en verstrekking van gegevens plaatsvindt. Dat is alleen anders waar het loggegevens betreft, die al dan niet in onderlinge samenhang bezien als persoonsgegevens kwalificeren. Deze loggegevens zullen mi</w:t>
      </w:r>
      <w:r w:rsidRPr="0003660E" w:rsidR="1BE483AC">
        <w:rPr>
          <w:rFonts w:eastAsia="Times New Roman" w:cs="Arial"/>
          <w:color w:val="auto"/>
        </w:rPr>
        <w:t>ni</w:t>
      </w:r>
      <w:r w:rsidRPr="0003660E">
        <w:rPr>
          <w:rFonts w:eastAsia="Times New Roman" w:cs="Arial"/>
          <w:color w:val="auto"/>
        </w:rPr>
        <w:t>maal vijf jaar worden bewaard.</w:t>
      </w:r>
      <w:r w:rsidRPr="0003660E" w:rsidR="1BE483AC">
        <w:rPr>
          <w:rFonts w:eastAsia="Times New Roman" w:cs="Arial"/>
          <w:color w:val="auto"/>
        </w:rPr>
        <w:t xml:space="preserve"> Daarmee is aangesloten bij de termijn</w:t>
      </w:r>
      <w:r w:rsidRPr="0003660E" w:rsidR="2A9A7FB8">
        <w:rPr>
          <w:rFonts w:eastAsia="Times New Roman" w:cs="Arial"/>
          <w:color w:val="auto"/>
        </w:rPr>
        <w:t xml:space="preserve"> </w:t>
      </w:r>
      <w:r w:rsidRPr="0003660E" w:rsidR="67AA0171">
        <w:rPr>
          <w:rFonts w:eastAsia="Times New Roman" w:cs="Arial"/>
          <w:color w:val="auto"/>
        </w:rPr>
        <w:t xml:space="preserve">in het Besluit </w:t>
      </w:r>
      <w:r w:rsidRPr="0003660E" w:rsidR="66FA8585">
        <w:rPr>
          <w:rFonts w:eastAsia="Times New Roman" w:cs="Arial"/>
          <w:color w:val="auto"/>
        </w:rPr>
        <w:t xml:space="preserve">vaststelling bewaartermijn </w:t>
      </w:r>
      <w:proofErr w:type="spellStart"/>
      <w:r w:rsidRPr="0003660E" w:rsidR="66FA8585">
        <w:rPr>
          <w:rFonts w:eastAsia="Times New Roman" w:cs="Arial"/>
          <w:color w:val="auto"/>
        </w:rPr>
        <w:t>logging</w:t>
      </w:r>
      <w:proofErr w:type="spellEnd"/>
      <w:r w:rsidRPr="0003660E" w:rsidR="107FE837">
        <w:rPr>
          <w:rFonts w:eastAsia="Times New Roman" w:cs="Arial"/>
          <w:color w:val="auto"/>
        </w:rPr>
        <w:t>,</w:t>
      </w:r>
      <w:r w:rsidRPr="0003660E" w:rsidR="54B30623">
        <w:rPr>
          <w:rFonts w:eastAsia="Times New Roman" w:cs="Arial"/>
          <w:color w:val="auto"/>
        </w:rPr>
        <w:t xml:space="preserve"> d</w:t>
      </w:r>
      <w:r w:rsidRPr="0003660E" w:rsidR="70DF86BE">
        <w:rPr>
          <w:rFonts w:eastAsia="Times New Roman" w:cs="Arial"/>
          <w:color w:val="auto"/>
        </w:rPr>
        <w:t>ie geldt voor zorgaanbieders als verantwoordelijke v</w:t>
      </w:r>
      <w:r w:rsidRPr="0003660E" w:rsidR="2849D696">
        <w:rPr>
          <w:rFonts w:eastAsia="Times New Roman" w:cs="Arial"/>
          <w:color w:val="auto"/>
        </w:rPr>
        <w:t>oor een zorginformatiesysteem</w:t>
      </w:r>
      <w:r w:rsidRPr="0003660E" w:rsidR="54B30623">
        <w:rPr>
          <w:rFonts w:eastAsia="Times New Roman" w:cs="Arial"/>
          <w:color w:val="auto"/>
        </w:rPr>
        <w:t xml:space="preserve"> </w:t>
      </w:r>
      <w:r w:rsidRPr="0003660E" w:rsidR="79902FC1">
        <w:rPr>
          <w:rFonts w:eastAsia="Times New Roman" w:cs="Arial"/>
          <w:color w:val="auto"/>
        </w:rPr>
        <w:t>en de verantwoordelijke voor een elektronisch uitwisselingssysteem</w:t>
      </w:r>
      <w:r w:rsidRPr="0003660E" w:rsidR="52EDED55">
        <w:rPr>
          <w:rFonts w:eastAsia="Times New Roman" w:cs="Arial"/>
          <w:color w:val="auto"/>
        </w:rPr>
        <w:t xml:space="preserve">, alsook bij </w:t>
      </w:r>
      <w:r w:rsidRPr="0003660E" w:rsidR="6E19946E">
        <w:rPr>
          <w:rFonts w:eastAsia="Times New Roman" w:cs="Arial"/>
          <w:color w:val="auto"/>
        </w:rPr>
        <w:t xml:space="preserve">proces 10.40 van de </w:t>
      </w:r>
      <w:proofErr w:type="spellStart"/>
      <w:r w:rsidRPr="0003660E" w:rsidR="6E19946E">
        <w:rPr>
          <w:rFonts w:eastAsia="Times New Roman" w:cs="Arial"/>
          <w:color w:val="auto"/>
        </w:rPr>
        <w:t>Concernbrede</w:t>
      </w:r>
      <w:proofErr w:type="spellEnd"/>
      <w:r w:rsidRPr="0003660E" w:rsidR="6E19946E">
        <w:rPr>
          <w:rFonts w:eastAsia="Times New Roman" w:cs="Arial"/>
          <w:color w:val="auto"/>
        </w:rPr>
        <w:t xml:space="preserve"> selectielijst van het ministerie van V</w:t>
      </w:r>
      <w:r w:rsidRPr="0003660E" w:rsidR="35268008">
        <w:rPr>
          <w:rFonts w:eastAsia="Times New Roman" w:cs="Arial"/>
          <w:color w:val="auto"/>
        </w:rPr>
        <w:t>WS</w:t>
      </w:r>
      <w:r w:rsidRPr="0003660E" w:rsidR="79902FC1">
        <w:rPr>
          <w:rFonts w:eastAsia="Times New Roman" w:cs="Arial"/>
          <w:color w:val="auto"/>
        </w:rPr>
        <w:t>.</w:t>
      </w:r>
      <w:r w:rsidR="003D759B">
        <w:rPr>
          <w:rStyle w:val="Voetnootmarkering"/>
          <w:rFonts w:eastAsia="Times New Roman" w:cs="Arial"/>
          <w:color w:val="auto"/>
        </w:rPr>
        <w:footnoteReference w:id="24"/>
      </w:r>
      <w:r w:rsidRPr="0003660E" w:rsidR="73317836">
        <w:rPr>
          <w:rFonts w:eastAsia="Times New Roman" w:cs="Arial"/>
          <w:color w:val="auto"/>
        </w:rPr>
        <w:t xml:space="preserve"> </w:t>
      </w:r>
      <w:r w:rsidR="0064568E">
        <w:rPr>
          <w:rFonts w:eastAsia="Times New Roman" w:cs="Arial"/>
          <w:color w:val="auto"/>
        </w:rPr>
        <w:t>In de praktijk betekent dit dat de loggegevens na vijf jaar automatisch worden verwijderd.</w:t>
      </w:r>
      <w:r w:rsidRPr="0003660E">
        <w:rPr>
          <w:rFonts w:eastAsia="Times New Roman" w:cs="Arial"/>
          <w:color w:val="auto"/>
        </w:rPr>
        <w:br/>
      </w:r>
      <w:r w:rsidRPr="0003660E">
        <w:rPr>
          <w:rFonts w:eastAsia="Times New Roman" w:cs="Arial"/>
          <w:color w:val="auto"/>
        </w:rPr>
        <w:br/>
      </w:r>
      <w:r w:rsidRPr="0003660E">
        <w:rPr>
          <w:rFonts w:cs="Arial"/>
          <w:color w:val="auto"/>
        </w:rPr>
        <w:t xml:space="preserve">In de bepaling wordt aangewezen welke loggegevens </w:t>
      </w:r>
      <w:r w:rsidRPr="0003660E" w:rsidR="006F1297">
        <w:rPr>
          <w:rFonts w:cs="Arial"/>
          <w:color w:val="auto"/>
        </w:rPr>
        <w:t>worden bewaard</w:t>
      </w:r>
      <w:r w:rsidRPr="0003660E">
        <w:rPr>
          <w:rFonts w:cs="Arial"/>
          <w:color w:val="auto"/>
        </w:rPr>
        <w:t>. De in de onderdelen a tot en met d genoemde gegevens spreken voor zich en behoeven daarom geen toelichting. Onder uitwisselingsgebeurtenis (onderdeel </w:t>
      </w:r>
      <w:r w:rsidRPr="0003660E" w:rsidR="009F39A7">
        <w:rPr>
          <w:rFonts w:cs="Arial"/>
          <w:color w:val="auto"/>
        </w:rPr>
        <w:t>f</w:t>
      </w:r>
      <w:r w:rsidRPr="0003660E">
        <w:rPr>
          <w:rFonts w:cs="Arial"/>
          <w:color w:val="auto"/>
        </w:rPr>
        <w:t xml:space="preserve">) wordt het type opvraging begrepen, bijvoorbeeld een patiëntsamenvatting. De technische verkeersgegevens (onderdeel </w:t>
      </w:r>
      <w:r w:rsidRPr="0003660E" w:rsidR="009F39A7">
        <w:rPr>
          <w:rFonts w:cs="Arial"/>
          <w:color w:val="auto"/>
        </w:rPr>
        <w:t>h</w:t>
      </w:r>
      <w:r w:rsidRPr="0003660E">
        <w:rPr>
          <w:rFonts w:cs="Arial"/>
          <w:color w:val="auto"/>
        </w:rPr>
        <w:t xml:space="preserve">) betreffen de verslaglegging (audit </w:t>
      </w:r>
      <w:proofErr w:type="spellStart"/>
      <w:r w:rsidRPr="0003660E">
        <w:rPr>
          <w:rFonts w:cs="Arial"/>
          <w:color w:val="auto"/>
        </w:rPr>
        <w:t>trail</w:t>
      </w:r>
      <w:proofErr w:type="spellEnd"/>
      <w:r w:rsidRPr="0003660E">
        <w:rPr>
          <w:rFonts w:cs="Arial"/>
          <w:color w:val="auto"/>
        </w:rPr>
        <w:t>) van alle technisch uitgevoerde stappen die nodig zijn om tot een uitwisseling van gegevens te komen.</w:t>
      </w:r>
    </w:p>
    <w:p w:rsidR="001456BE" w:rsidP="001456BE" w:rsidRDefault="001456BE" w14:paraId="4D597F2E" w14:textId="53039803">
      <w:pPr>
        <w:spacing w:line="276" w:lineRule="auto"/>
        <w:rPr>
          <w:rFonts w:eastAsia="Times New Roman" w:cs="Arial"/>
        </w:rPr>
      </w:pPr>
      <w:r w:rsidRPr="00A432BF">
        <w:rPr>
          <w:b/>
          <w:bCs/>
        </w:rPr>
        <w:br/>
      </w:r>
      <w:r w:rsidRPr="5FBA465D">
        <w:rPr>
          <w:rFonts w:eastAsia="Times New Roman" w:cs="Arial"/>
          <w:i/>
          <w:iCs/>
        </w:rPr>
        <w:t>Artikel 5.1 Inwerkingtreding</w:t>
      </w:r>
      <w:r>
        <w:rPr>
          <w:rFonts w:eastAsia="Times New Roman" w:cs="Arial"/>
          <w:i/>
          <w:iCs/>
        </w:rPr>
        <w:br/>
      </w:r>
      <w:r w:rsidR="007E50F2">
        <w:rPr>
          <w:rFonts w:eastAsia="Times New Roman" w:cs="Arial"/>
        </w:rPr>
        <w:t>Dit besluit treedt in werking op hetzelfde moment als het wetsvoorstel in werking treedt, aangezien dit besluit de noodzakelijke invulling geeft aan het bepaalde in het wetsvoorstel.</w:t>
      </w:r>
    </w:p>
    <w:p w:rsidRPr="00A432BF" w:rsidR="002F551A" w:rsidP="001456BE" w:rsidRDefault="002F551A" w14:paraId="4A91CAFE" w14:textId="77777777">
      <w:pPr>
        <w:spacing w:line="276" w:lineRule="auto"/>
        <w:rPr>
          <w:rFonts w:ascii="Calibri" w:hAnsi="Calibri" w:eastAsia="Aptos" w:cs="Calibri"/>
        </w:rPr>
      </w:pPr>
    </w:p>
    <w:p w:rsidRPr="00A432BF" w:rsidR="001456BE" w:rsidP="001456BE" w:rsidRDefault="002F551A" w14:paraId="7D70D722" w14:textId="249F7869">
      <w:pPr>
        <w:spacing w:before="240"/>
      </w:pPr>
      <w:r>
        <w:t>D</w:t>
      </w:r>
      <w:r w:rsidRPr="00A432BF" w:rsidR="001456BE">
        <w:t xml:space="preserve">e </w:t>
      </w:r>
      <w:r>
        <w:t>M</w:t>
      </w:r>
      <w:r w:rsidRPr="00A432BF" w:rsidR="001456BE">
        <w:t xml:space="preserve">inister van </w:t>
      </w:r>
      <w:r w:rsidR="00D511BE">
        <w:t>Langdurige zorg, Jeugd</w:t>
      </w:r>
      <w:r w:rsidRPr="00D053DF" w:rsidR="00D511BE">
        <w:t xml:space="preserve"> en Sport</w:t>
      </w:r>
      <w:r w:rsidR="00D511BE">
        <w:t>,</w:t>
      </w:r>
      <w:r w:rsidRPr="5FBA465D" w:rsidR="00D511BE">
        <w:t xml:space="preserve"> </w:t>
      </w:r>
    </w:p>
    <w:p w:rsidRPr="00A432BF" w:rsidR="001456BE" w:rsidP="001456BE" w:rsidRDefault="001456BE" w14:paraId="6CFA21DE" w14:textId="77777777"/>
    <w:p w:rsidRPr="00A432BF" w:rsidR="001456BE" w:rsidP="001456BE" w:rsidRDefault="001456BE" w14:paraId="52F23EDA" w14:textId="77777777"/>
    <w:p w:rsidRPr="00A432BF" w:rsidR="001456BE" w:rsidP="001456BE" w:rsidRDefault="001456BE" w14:paraId="32621F1E" w14:textId="77777777"/>
    <w:p w:rsidRPr="00A432BF" w:rsidR="001456BE" w:rsidP="001456BE" w:rsidRDefault="001456BE" w14:paraId="79508747" w14:textId="77777777"/>
    <w:p w:rsidRPr="00A432BF" w:rsidR="00630B39" w:rsidP="00630B39" w:rsidRDefault="00630B39" w14:paraId="443CECD1" w14:textId="2ED30873"/>
    <w:p w:rsidRPr="001201D1" w:rsidR="00C02574" w:rsidP="00C02574" w:rsidRDefault="00C02574" w14:paraId="70337401" w14:textId="77777777"/>
    <w:p w:rsidRPr="001201D1" w:rsidR="00C02574" w:rsidP="00C02574" w:rsidRDefault="00C02574" w14:paraId="00F64BEB" w14:textId="77777777"/>
    <w:p w:rsidR="00662E65" w:rsidRDefault="00662E65" w14:paraId="0CF3D3CB" w14:textId="77777777"/>
    <w:sectPr w:rsidR="00662E65" w:rsidSect="0036490B">
      <w:headerReference w:type="default" r:id="rId8"/>
      <w:headerReference w:type="first" r:id="rId9"/>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26A9D" w14:textId="77777777" w:rsidR="00824519" w:rsidRDefault="00824519" w:rsidP="00C02574">
      <w:pPr>
        <w:spacing w:line="240" w:lineRule="auto"/>
      </w:pPr>
      <w:r>
        <w:separator/>
      </w:r>
    </w:p>
  </w:endnote>
  <w:endnote w:type="continuationSeparator" w:id="0">
    <w:p w14:paraId="3A88BF60" w14:textId="77777777" w:rsidR="00824519" w:rsidRDefault="00824519" w:rsidP="00C02574">
      <w:pPr>
        <w:spacing w:line="240" w:lineRule="auto"/>
      </w:pPr>
      <w:r>
        <w:continuationSeparator/>
      </w:r>
    </w:p>
  </w:endnote>
  <w:endnote w:type="continuationNotice" w:id="1">
    <w:p w14:paraId="69E30653" w14:textId="77777777" w:rsidR="00824519" w:rsidRDefault="008245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98FE8" w14:textId="77777777" w:rsidR="00824519" w:rsidRDefault="00824519" w:rsidP="00C02574">
      <w:pPr>
        <w:spacing w:line="240" w:lineRule="auto"/>
      </w:pPr>
      <w:r>
        <w:separator/>
      </w:r>
    </w:p>
  </w:footnote>
  <w:footnote w:type="continuationSeparator" w:id="0">
    <w:p w14:paraId="16C76950" w14:textId="77777777" w:rsidR="00824519" w:rsidRDefault="00824519" w:rsidP="00C02574">
      <w:pPr>
        <w:spacing w:line="240" w:lineRule="auto"/>
      </w:pPr>
      <w:r>
        <w:continuationSeparator/>
      </w:r>
    </w:p>
  </w:footnote>
  <w:footnote w:type="continuationNotice" w:id="1">
    <w:p w14:paraId="0F80BE9C" w14:textId="77777777" w:rsidR="00824519" w:rsidRDefault="00824519">
      <w:pPr>
        <w:spacing w:line="240" w:lineRule="auto"/>
      </w:pPr>
    </w:p>
  </w:footnote>
  <w:footnote w:id="2">
    <w:p w14:paraId="5AFCA60A" w14:textId="105D4BED" w:rsidR="00C02574" w:rsidRPr="0003660E" w:rsidRDefault="00C02574" w:rsidP="00C02574">
      <w:pPr>
        <w:rPr>
          <w:sz w:val="14"/>
          <w:szCs w:val="14"/>
        </w:rPr>
      </w:pPr>
      <w:r w:rsidRPr="0003660E">
        <w:rPr>
          <w:rStyle w:val="Voetnootmarkering"/>
          <w:sz w:val="14"/>
          <w:szCs w:val="14"/>
        </w:rPr>
        <w:footnoteRef/>
      </w:r>
      <w:r w:rsidRPr="0003660E">
        <w:rPr>
          <w:sz w:val="14"/>
          <w:szCs w:val="14"/>
        </w:rPr>
        <w:t xml:space="preserve"> In 2022 werkten ruim 600.000 Nederlanders (3,6%) in een ander</w:t>
      </w:r>
      <w:r w:rsidR="007706B9" w:rsidRPr="0003660E">
        <w:rPr>
          <w:sz w:val="14"/>
          <w:szCs w:val="14"/>
        </w:rPr>
        <w:t>e</w:t>
      </w:r>
      <w:r w:rsidRPr="0003660E">
        <w:rPr>
          <w:sz w:val="14"/>
          <w:szCs w:val="14"/>
        </w:rPr>
        <w:t xml:space="preserve"> EU-l</w:t>
      </w:r>
      <w:r w:rsidR="007706B9" w:rsidRPr="0003660E">
        <w:rPr>
          <w:sz w:val="14"/>
          <w:szCs w:val="14"/>
        </w:rPr>
        <w:t>idstaat</w:t>
      </w:r>
      <w:r w:rsidRPr="0003660E">
        <w:rPr>
          <w:sz w:val="14"/>
          <w:szCs w:val="14"/>
        </w:rPr>
        <w:t>.</w:t>
      </w:r>
    </w:p>
  </w:footnote>
  <w:footnote w:id="3">
    <w:p w14:paraId="572211BE" w14:textId="77777777" w:rsidR="00C327DB" w:rsidRPr="00AD4A80" w:rsidRDefault="00C327DB" w:rsidP="00C327DB">
      <w:pPr>
        <w:pStyle w:val="Voetnoottekst"/>
        <w:rPr>
          <w:sz w:val="14"/>
          <w:szCs w:val="14"/>
        </w:rPr>
      </w:pPr>
      <w:r w:rsidRPr="00AD4A80">
        <w:rPr>
          <w:rStyle w:val="Voetnootmarkering"/>
          <w:sz w:val="14"/>
          <w:szCs w:val="14"/>
        </w:rPr>
        <w:footnoteRef/>
      </w:r>
      <w:r w:rsidRPr="00AD4A80">
        <w:rPr>
          <w:sz w:val="14"/>
          <w:szCs w:val="14"/>
        </w:rPr>
        <w:t xml:space="preserve"> Kamerstukken II 2025/26, 36825, nr. 2</w:t>
      </w:r>
    </w:p>
  </w:footnote>
  <w:footnote w:id="4">
    <w:p w14:paraId="0F514920" w14:textId="4563E840" w:rsidR="00FE3987" w:rsidRPr="0003660E" w:rsidRDefault="00FE3987">
      <w:pPr>
        <w:pStyle w:val="Voetnoottekst"/>
        <w:rPr>
          <w:sz w:val="14"/>
          <w:szCs w:val="14"/>
        </w:rPr>
      </w:pPr>
      <w:r w:rsidRPr="0003660E">
        <w:rPr>
          <w:rStyle w:val="Voetnootmarkering"/>
          <w:sz w:val="14"/>
          <w:szCs w:val="14"/>
        </w:rPr>
        <w:footnoteRef/>
      </w:r>
      <w:r w:rsidRPr="0003660E">
        <w:rPr>
          <w:sz w:val="14"/>
          <w:szCs w:val="14"/>
        </w:rPr>
        <w:t xml:space="preserve"> </w:t>
      </w:r>
      <w:r w:rsidRPr="00E45E44">
        <w:rPr>
          <w:sz w:val="14"/>
          <w:szCs w:val="14"/>
        </w:rPr>
        <w:t xml:space="preserve">Europese afspraken over de beveiligde digitale infrastructuur voor grensoverschrijdende uitwisseling  </w:t>
      </w:r>
      <w:proofErr w:type="spellStart"/>
      <w:r w:rsidRPr="00E45E44">
        <w:rPr>
          <w:sz w:val="14"/>
          <w:szCs w:val="14"/>
        </w:rPr>
        <w:t>MyHealth</w:t>
      </w:r>
      <w:r w:rsidR="00C264A7">
        <w:rPr>
          <w:sz w:val="14"/>
          <w:szCs w:val="14"/>
        </w:rPr>
        <w:t>@</w:t>
      </w:r>
      <w:r w:rsidRPr="00E45E44">
        <w:rPr>
          <w:sz w:val="14"/>
          <w:szCs w:val="14"/>
        </w:rPr>
        <w:t>EU</w:t>
      </w:r>
      <w:proofErr w:type="spellEnd"/>
      <w:r w:rsidRPr="00E45E44">
        <w:rPr>
          <w:sz w:val="14"/>
          <w:szCs w:val="14"/>
        </w:rPr>
        <w:t xml:space="preserve">. </w:t>
      </w:r>
    </w:p>
  </w:footnote>
  <w:footnote w:id="5">
    <w:p w14:paraId="0C9601BA" w14:textId="6E674BF9" w:rsidR="00273BD7" w:rsidRPr="0003660E" w:rsidRDefault="00273BD7">
      <w:pPr>
        <w:pStyle w:val="Voetnoottekst"/>
        <w:rPr>
          <w:sz w:val="14"/>
          <w:szCs w:val="14"/>
        </w:rPr>
      </w:pPr>
      <w:r w:rsidRPr="0003660E">
        <w:rPr>
          <w:rStyle w:val="Voetnootmarkering"/>
          <w:sz w:val="14"/>
          <w:szCs w:val="14"/>
        </w:rPr>
        <w:footnoteRef/>
      </w:r>
      <w:r w:rsidRPr="0003660E">
        <w:rPr>
          <w:sz w:val="14"/>
          <w:szCs w:val="14"/>
        </w:rPr>
        <w:t xml:space="preserve"> Verordening (EU) nr. 910/2014 van het Europees Parlement en de Raad van 23 juli 2014 betreffende elektronische identificatie en vertrouwensdiensten voor elektronische transacties in de interne markt en tot intrekking van Richtlijn 1999/93/EG.</w:t>
      </w:r>
    </w:p>
  </w:footnote>
  <w:footnote w:id="6">
    <w:p w14:paraId="633FFBE5" w14:textId="56D6BB0B" w:rsidR="004C238C" w:rsidRPr="0003660E" w:rsidRDefault="004C238C" w:rsidP="1B98464B">
      <w:pPr>
        <w:pStyle w:val="Voetnoottekst"/>
        <w:rPr>
          <w:sz w:val="14"/>
          <w:szCs w:val="14"/>
        </w:rPr>
      </w:pPr>
      <w:r w:rsidRPr="0003660E">
        <w:rPr>
          <w:rStyle w:val="Voetnootmarkering"/>
          <w:sz w:val="14"/>
          <w:szCs w:val="14"/>
        </w:rPr>
        <w:footnoteRef/>
      </w:r>
      <w:r w:rsidRPr="0003660E">
        <w:rPr>
          <w:sz w:val="14"/>
          <w:szCs w:val="14"/>
        </w:rPr>
        <w:t xml:space="preserve"> </w:t>
      </w:r>
      <w:r w:rsidR="0000733E" w:rsidRPr="00E45E44">
        <w:rPr>
          <w:sz w:val="14"/>
          <w:szCs w:val="14"/>
        </w:rPr>
        <w:t xml:space="preserve">Autoriteit Persoonsgegevens (2018, 4 oktober) </w:t>
      </w:r>
      <w:r w:rsidR="00604831" w:rsidRPr="00E45E44">
        <w:rPr>
          <w:i/>
          <w:iCs/>
          <w:sz w:val="14"/>
          <w:szCs w:val="14"/>
        </w:rPr>
        <w:t xml:space="preserve">Brief aan minister over patiëntidentificatie </w:t>
      </w:r>
      <w:r w:rsidR="00604831" w:rsidRPr="00E45E44">
        <w:rPr>
          <w:sz w:val="14"/>
          <w:szCs w:val="14"/>
        </w:rPr>
        <w:t xml:space="preserve">(z2018-17577). Den Haag: Autoriteit Persoonsgegevens. </w:t>
      </w:r>
      <w:hyperlink r:id="rId1" w:history="1"/>
    </w:p>
  </w:footnote>
  <w:footnote w:id="7">
    <w:p w14:paraId="70FA9FBF" w14:textId="06D26E77" w:rsidR="004C238C" w:rsidRPr="0003660E" w:rsidRDefault="004C238C" w:rsidP="004C238C">
      <w:pPr>
        <w:pStyle w:val="Voetnoottekst"/>
        <w:rPr>
          <w:sz w:val="14"/>
          <w:szCs w:val="14"/>
        </w:rPr>
      </w:pPr>
      <w:r w:rsidRPr="0003660E">
        <w:rPr>
          <w:rStyle w:val="Voetnootmarkering"/>
          <w:sz w:val="14"/>
          <w:szCs w:val="14"/>
        </w:rPr>
        <w:footnoteRef/>
      </w:r>
      <w:r w:rsidRPr="0003660E">
        <w:rPr>
          <w:sz w:val="14"/>
          <w:szCs w:val="14"/>
        </w:rPr>
        <w:t xml:space="preserve"> </w:t>
      </w:r>
      <w:r w:rsidR="00553A24" w:rsidRPr="0003660E">
        <w:rPr>
          <w:sz w:val="14"/>
          <w:szCs w:val="14"/>
        </w:rPr>
        <w:t>Autoriteit Persoonsgegevens (</w:t>
      </w:r>
      <w:r w:rsidR="00553A24" w:rsidRPr="00E45E44">
        <w:rPr>
          <w:sz w:val="14"/>
          <w:szCs w:val="14"/>
        </w:rPr>
        <w:t xml:space="preserve">2023, 14 juli) </w:t>
      </w:r>
      <w:r w:rsidR="00553A24" w:rsidRPr="00E45E44">
        <w:rPr>
          <w:i/>
          <w:iCs/>
          <w:sz w:val="14"/>
          <w:szCs w:val="14"/>
        </w:rPr>
        <w:t xml:space="preserve">Brief aan minister over advies over het concept wetsvoorstel DIAZ </w:t>
      </w:r>
      <w:r w:rsidR="00553A24" w:rsidRPr="0003660E">
        <w:rPr>
          <w:sz w:val="14"/>
          <w:szCs w:val="14"/>
        </w:rPr>
        <w:t>(z2023-02938).</w:t>
      </w:r>
      <w:r w:rsidR="00553A24" w:rsidRPr="00E45E44">
        <w:rPr>
          <w:sz w:val="14"/>
          <w:szCs w:val="14"/>
        </w:rPr>
        <w:t xml:space="preserve"> Den Haag: Autoriteit Persoonsgegevens. </w:t>
      </w:r>
    </w:p>
  </w:footnote>
  <w:footnote w:id="8">
    <w:p w14:paraId="765B755C" w14:textId="51E47A0F" w:rsidR="004C238C" w:rsidRPr="0003660E" w:rsidRDefault="004C238C" w:rsidP="00553A24">
      <w:pPr>
        <w:pStyle w:val="Voetnoottekst"/>
        <w:rPr>
          <w:sz w:val="14"/>
          <w:szCs w:val="14"/>
        </w:rPr>
      </w:pPr>
      <w:r w:rsidRPr="0003660E">
        <w:rPr>
          <w:rStyle w:val="Voetnootmarkering"/>
          <w:sz w:val="14"/>
          <w:szCs w:val="14"/>
        </w:rPr>
        <w:footnoteRef/>
      </w:r>
      <w:r w:rsidRPr="0003660E">
        <w:rPr>
          <w:sz w:val="14"/>
          <w:szCs w:val="14"/>
        </w:rPr>
        <w:t xml:space="preserve"> </w:t>
      </w:r>
      <w:r w:rsidR="00553A24" w:rsidRPr="0003660E">
        <w:rPr>
          <w:sz w:val="14"/>
          <w:szCs w:val="14"/>
        </w:rPr>
        <w:t xml:space="preserve">Raad van State (2024, 29 juli). </w:t>
      </w:r>
      <w:r w:rsidR="00553A24" w:rsidRPr="00E45E44">
        <w:rPr>
          <w:i/>
          <w:iCs/>
          <w:sz w:val="14"/>
          <w:szCs w:val="14"/>
        </w:rPr>
        <w:t xml:space="preserve">Advies Wijziging van de Wet aanvullende bepalingen verwerking persoonsgegevens in de zorg en de Jeugdwet </w:t>
      </w:r>
      <w:r w:rsidR="00553A24" w:rsidRPr="00E45E44">
        <w:rPr>
          <w:sz w:val="14"/>
          <w:szCs w:val="14"/>
        </w:rPr>
        <w:t xml:space="preserve">(W13.24.00112/III). Den Haag: Raad van State. </w:t>
      </w:r>
    </w:p>
  </w:footnote>
  <w:footnote w:id="9">
    <w:p w14:paraId="783A4897" w14:textId="3D041DA7" w:rsidR="006237C1" w:rsidRPr="0003660E" w:rsidRDefault="006237C1">
      <w:pPr>
        <w:pStyle w:val="Voetnoottekst"/>
        <w:rPr>
          <w:sz w:val="14"/>
          <w:szCs w:val="14"/>
        </w:rPr>
      </w:pPr>
      <w:r w:rsidRPr="0003660E">
        <w:rPr>
          <w:rStyle w:val="Voetnootmarkering"/>
          <w:sz w:val="14"/>
          <w:szCs w:val="14"/>
        </w:rPr>
        <w:footnoteRef/>
      </w:r>
      <w:r w:rsidR="00C02EE8">
        <w:rPr>
          <w:sz w:val="14"/>
          <w:szCs w:val="14"/>
        </w:rPr>
        <w:t xml:space="preserve"> </w:t>
      </w:r>
      <w:r w:rsidRPr="0003660E">
        <w:rPr>
          <w:sz w:val="14"/>
          <w:szCs w:val="14"/>
        </w:rPr>
        <w:t>Een uniek kenmerk of gegeven van een natuurlijke persoon, onderneming of rechtspersoon.</w:t>
      </w:r>
    </w:p>
  </w:footnote>
  <w:footnote w:id="10">
    <w:p w14:paraId="65DB245F" w14:textId="452B7F72" w:rsidR="008131BD" w:rsidRPr="00AD4A80" w:rsidRDefault="008131BD">
      <w:pPr>
        <w:pStyle w:val="Voetnoottekst"/>
        <w:rPr>
          <w:sz w:val="14"/>
          <w:szCs w:val="14"/>
          <w:lang w:val="en-GB"/>
        </w:rPr>
      </w:pPr>
      <w:r w:rsidRPr="00E45E44">
        <w:rPr>
          <w:rStyle w:val="Voetnootmarkering"/>
          <w:sz w:val="14"/>
          <w:szCs w:val="14"/>
        </w:rPr>
        <w:footnoteRef/>
      </w:r>
      <w:r w:rsidRPr="00E45E44">
        <w:rPr>
          <w:sz w:val="14"/>
          <w:szCs w:val="14"/>
          <w:lang w:val="en-GB"/>
        </w:rPr>
        <w:t xml:space="preserve"> </w:t>
      </w:r>
      <w:proofErr w:type="spellStart"/>
      <w:r w:rsidRPr="00E45E44">
        <w:rPr>
          <w:sz w:val="14"/>
          <w:szCs w:val="14"/>
          <w:lang w:val="en-GB"/>
        </w:rPr>
        <w:t>Kamerstukken</w:t>
      </w:r>
      <w:proofErr w:type="spellEnd"/>
      <w:r w:rsidRPr="00E45E44">
        <w:rPr>
          <w:sz w:val="14"/>
          <w:szCs w:val="14"/>
          <w:lang w:val="en-GB"/>
        </w:rPr>
        <w:t> II 2024/25, 36702</w:t>
      </w:r>
      <w:r w:rsidR="008B5A1C" w:rsidRPr="00E45E44">
        <w:rPr>
          <w:sz w:val="14"/>
          <w:szCs w:val="14"/>
          <w:lang w:val="en-GB"/>
        </w:rPr>
        <w:t>, nr. 2.</w:t>
      </w:r>
    </w:p>
  </w:footnote>
  <w:footnote w:id="11">
    <w:p w14:paraId="0FDC7857" w14:textId="30C504C4" w:rsidR="00151020" w:rsidRPr="00AD4A80" w:rsidRDefault="00151020" w:rsidP="00151020">
      <w:pPr>
        <w:pStyle w:val="Voetnoottekst"/>
        <w:rPr>
          <w:sz w:val="14"/>
          <w:szCs w:val="14"/>
          <w:lang w:val="en-GB"/>
        </w:rPr>
      </w:pPr>
      <w:r w:rsidRPr="00AD4A80">
        <w:rPr>
          <w:rStyle w:val="Voetnootmarkering"/>
          <w:sz w:val="14"/>
          <w:szCs w:val="14"/>
        </w:rPr>
        <w:footnoteRef/>
      </w:r>
      <w:r w:rsidRPr="00AD4A80">
        <w:rPr>
          <w:sz w:val="14"/>
          <w:szCs w:val="14"/>
          <w:lang w:val="en-GB"/>
        </w:rPr>
        <w:t xml:space="preserve"> De </w:t>
      </w:r>
      <w:proofErr w:type="spellStart"/>
      <w:r w:rsidRPr="00AD4A80">
        <w:rPr>
          <w:sz w:val="14"/>
          <w:szCs w:val="14"/>
          <w:lang w:val="en-GB"/>
        </w:rPr>
        <w:t>toegestane</w:t>
      </w:r>
      <w:proofErr w:type="spellEnd"/>
      <w:r w:rsidRPr="00AD4A80">
        <w:rPr>
          <w:sz w:val="14"/>
          <w:szCs w:val="14"/>
          <w:lang w:val="en-GB"/>
        </w:rPr>
        <w:t xml:space="preserve"> </w:t>
      </w:r>
      <w:proofErr w:type="spellStart"/>
      <w:r w:rsidR="009E4605">
        <w:rPr>
          <w:sz w:val="14"/>
          <w:szCs w:val="14"/>
          <w:lang w:val="en-GB"/>
        </w:rPr>
        <w:t>categorieën</w:t>
      </w:r>
      <w:proofErr w:type="spellEnd"/>
      <w:r w:rsidRPr="00AD4A80">
        <w:rPr>
          <w:sz w:val="14"/>
          <w:szCs w:val="14"/>
          <w:lang w:val="en-GB"/>
        </w:rPr>
        <w:t xml:space="preserve"> </w:t>
      </w:r>
      <w:proofErr w:type="spellStart"/>
      <w:r w:rsidRPr="00AD4A80">
        <w:rPr>
          <w:sz w:val="14"/>
          <w:szCs w:val="14"/>
          <w:lang w:val="en-GB"/>
        </w:rPr>
        <w:t>zijn</w:t>
      </w:r>
      <w:proofErr w:type="spellEnd"/>
      <w:r w:rsidRPr="00AD4A80">
        <w:rPr>
          <w:sz w:val="14"/>
          <w:szCs w:val="14"/>
          <w:lang w:val="en-GB"/>
        </w:rPr>
        <w:t>: Medical doctors, Nursing professionals, Midwifery professionals, Pharmacists, Pharmaceutical technicians and assistants, Dentists, Physiotherapists, Dieticians and nutritionists, Audiologists and speech therapists, Optometrists and ophthalmic opticians, Medical imaging and therapeutic equipment technicians, Health professionals not elsewhere classified.</w:t>
      </w:r>
    </w:p>
  </w:footnote>
  <w:footnote w:id="12">
    <w:p w14:paraId="0DEA122B" w14:textId="77777777" w:rsidR="00F040F2" w:rsidRPr="00774708" w:rsidRDefault="00F040F2" w:rsidP="00F040F2">
      <w:pPr>
        <w:pStyle w:val="Voetnoottekst"/>
        <w:rPr>
          <w:sz w:val="14"/>
          <w:szCs w:val="14"/>
          <w:lang w:val="en-GB"/>
        </w:rPr>
      </w:pPr>
      <w:r w:rsidRPr="0003660E">
        <w:rPr>
          <w:rStyle w:val="Voetnootmarkering"/>
          <w:sz w:val="14"/>
          <w:szCs w:val="14"/>
        </w:rPr>
        <w:footnoteRef/>
      </w:r>
      <w:r w:rsidRPr="00774708">
        <w:rPr>
          <w:sz w:val="14"/>
          <w:szCs w:val="14"/>
          <w:lang w:val="en-GB"/>
        </w:rPr>
        <w:t xml:space="preserve"> </w:t>
      </w:r>
      <w:proofErr w:type="spellStart"/>
      <w:r w:rsidRPr="00774708">
        <w:rPr>
          <w:sz w:val="14"/>
          <w:szCs w:val="14"/>
          <w:lang w:val="en-GB"/>
        </w:rPr>
        <w:t>Kamerstukken</w:t>
      </w:r>
      <w:proofErr w:type="spellEnd"/>
      <w:r w:rsidRPr="00774708">
        <w:rPr>
          <w:sz w:val="14"/>
          <w:szCs w:val="14"/>
          <w:lang w:val="en-GB"/>
        </w:rPr>
        <w:t xml:space="preserve"> II 2025/26, 36825, nr. 3</w:t>
      </w:r>
    </w:p>
  </w:footnote>
  <w:footnote w:id="13">
    <w:p w14:paraId="5F6D1C5F" w14:textId="4DD41560" w:rsidR="00DC648C" w:rsidRPr="00774708" w:rsidRDefault="00DC648C" w:rsidP="00DC648C">
      <w:pPr>
        <w:pStyle w:val="Geenafstand"/>
        <w:rPr>
          <w:sz w:val="14"/>
          <w:szCs w:val="14"/>
          <w:lang w:val="en-GB"/>
        </w:rPr>
      </w:pPr>
      <w:r w:rsidRPr="007A3792">
        <w:rPr>
          <w:rStyle w:val="Voetnootmarkering"/>
          <w:color w:val="auto"/>
          <w:sz w:val="14"/>
          <w:szCs w:val="14"/>
        </w:rPr>
        <w:footnoteRef/>
      </w:r>
      <w:r w:rsidRPr="00774708">
        <w:rPr>
          <w:color w:val="auto"/>
          <w:sz w:val="14"/>
          <w:szCs w:val="14"/>
          <w:lang w:val="en-GB"/>
        </w:rPr>
        <w:t xml:space="preserve"> </w:t>
      </w:r>
      <w:r w:rsidR="004533D2" w:rsidRPr="00774708">
        <w:rPr>
          <w:color w:val="auto"/>
          <w:sz w:val="14"/>
          <w:szCs w:val="14"/>
          <w:lang w:val="en-GB"/>
        </w:rPr>
        <w:t xml:space="preserve">eHealth </w:t>
      </w:r>
      <w:r w:rsidR="004533D2">
        <w:rPr>
          <w:color w:val="auto"/>
          <w:sz w:val="14"/>
          <w:szCs w:val="14"/>
          <w:lang w:val="en-GB"/>
        </w:rPr>
        <w:t xml:space="preserve">Network (2024). </w:t>
      </w:r>
      <w:r w:rsidR="004533D2" w:rsidRPr="00774708">
        <w:rPr>
          <w:i/>
          <w:iCs/>
          <w:color w:val="auto"/>
          <w:sz w:val="14"/>
          <w:szCs w:val="14"/>
          <w:lang w:val="en-GB"/>
        </w:rPr>
        <w:t>Guidelines on Patient Summary, Release 3.4, November 2024</w:t>
      </w:r>
      <w:r w:rsidR="004533D2">
        <w:rPr>
          <w:i/>
          <w:iCs/>
          <w:color w:val="auto"/>
          <w:sz w:val="14"/>
          <w:szCs w:val="14"/>
          <w:lang w:val="en-GB"/>
        </w:rPr>
        <w:t xml:space="preserve">. </w:t>
      </w:r>
      <w:r w:rsidRPr="00774708">
        <w:rPr>
          <w:color w:val="auto"/>
          <w:sz w:val="14"/>
          <w:szCs w:val="14"/>
          <w:lang w:val="en-GB"/>
        </w:rPr>
        <w:t>https://health.ec.europa.eu/document/download/e020f311-c35b-45ae-ba3d-03212b57fa65_en?filename=ehn_guidelines_patientsummary_en.pdf</w:t>
      </w:r>
    </w:p>
  </w:footnote>
  <w:footnote w:id="14">
    <w:p w14:paraId="4D1FD730" w14:textId="77777777" w:rsidR="00DC648C" w:rsidRPr="007A3792" w:rsidRDefault="00DC648C" w:rsidP="00DC648C">
      <w:pPr>
        <w:pStyle w:val="Voetnoottekst"/>
        <w:rPr>
          <w:sz w:val="14"/>
          <w:szCs w:val="14"/>
        </w:rPr>
      </w:pPr>
      <w:r w:rsidRPr="007A3792">
        <w:rPr>
          <w:rStyle w:val="Voetnootmarkering"/>
          <w:sz w:val="14"/>
          <w:szCs w:val="14"/>
        </w:rPr>
        <w:footnoteRef/>
      </w:r>
      <w:r w:rsidRPr="00DC648C" w:rsidDel="00DC648C">
        <w:rPr>
          <w:sz w:val="14"/>
          <w:szCs w:val="14"/>
        </w:rPr>
        <w:t xml:space="preserve"> </w:t>
      </w:r>
      <w:r w:rsidRPr="00DC648C">
        <w:rPr>
          <w:sz w:val="14"/>
          <w:szCs w:val="14"/>
        </w:rPr>
        <w:t>Nederlands Huisartsen Genootschap. (2022</w:t>
      </w:r>
      <w:r w:rsidRPr="5DD4849A">
        <w:rPr>
          <w:i/>
          <w:iCs/>
          <w:sz w:val="14"/>
          <w:szCs w:val="14"/>
        </w:rPr>
        <w:t>). Richtlijn Gegevensuitwisseling acute zorg (versie 4)</w:t>
      </w:r>
      <w:r w:rsidRPr="00DC648C">
        <w:rPr>
          <w:sz w:val="14"/>
          <w:szCs w:val="14"/>
        </w:rPr>
        <w:t>. Geraadpleegd van https://www.nhg.org/praktijkvoering/gegevensuitwisseling/richtlijn-gegevensuitwisseling-acute-zorg</w:t>
      </w:r>
    </w:p>
  </w:footnote>
  <w:footnote w:id="15">
    <w:p w14:paraId="76642DAF" w14:textId="1EAA127F" w:rsidR="001D21F6" w:rsidRPr="00AD4A80" w:rsidRDefault="001D21F6">
      <w:pPr>
        <w:pStyle w:val="Voetnoottekst"/>
        <w:rPr>
          <w:sz w:val="14"/>
          <w:szCs w:val="14"/>
        </w:rPr>
      </w:pPr>
      <w:r w:rsidRPr="00AD4A80">
        <w:rPr>
          <w:rStyle w:val="Voetnootmarkering"/>
          <w:sz w:val="14"/>
          <w:szCs w:val="14"/>
        </w:rPr>
        <w:footnoteRef/>
      </w:r>
      <w:r w:rsidRPr="00AD4A80">
        <w:rPr>
          <w:sz w:val="14"/>
          <w:szCs w:val="14"/>
        </w:rPr>
        <w:t xml:space="preserve"> https://nictiz.nl/informatiestandaarden/acute-zorg/</w:t>
      </w:r>
    </w:p>
  </w:footnote>
  <w:footnote w:id="16">
    <w:p w14:paraId="0DA14C7D" w14:textId="79066A96" w:rsidR="00F2676F" w:rsidRDefault="00F2676F" w:rsidP="00F2676F">
      <w:pPr>
        <w:pStyle w:val="Voetnoottekst"/>
      </w:pPr>
      <w:r w:rsidRPr="00697A62">
        <w:rPr>
          <w:rStyle w:val="Voetnootmarkering"/>
          <w:sz w:val="14"/>
          <w:szCs w:val="14"/>
        </w:rPr>
        <w:footnoteRef/>
      </w:r>
      <w:r w:rsidRPr="00697A62">
        <w:rPr>
          <w:sz w:val="14"/>
          <w:szCs w:val="14"/>
        </w:rPr>
        <w:t xml:space="preserve"> </w:t>
      </w:r>
      <w:proofErr w:type="spellStart"/>
      <w:r w:rsidRPr="00697A62">
        <w:rPr>
          <w:sz w:val="14"/>
          <w:szCs w:val="14"/>
        </w:rPr>
        <w:t>Concernbrede</w:t>
      </w:r>
      <w:proofErr w:type="spellEnd"/>
      <w:r w:rsidRPr="00697A62">
        <w:rPr>
          <w:sz w:val="14"/>
          <w:szCs w:val="14"/>
        </w:rPr>
        <w:t xml:space="preserve"> selectielijst van het ministerie van Volksgezondheid, Welzijn en Sport</w:t>
      </w:r>
      <w:r w:rsidR="003D759B">
        <w:rPr>
          <w:sz w:val="14"/>
          <w:szCs w:val="14"/>
        </w:rPr>
        <w:t xml:space="preserve">, </w:t>
      </w:r>
      <w:proofErr w:type="spellStart"/>
      <w:r w:rsidR="003D759B">
        <w:rPr>
          <w:sz w:val="14"/>
          <w:szCs w:val="14"/>
        </w:rPr>
        <w:t>Stcrt</w:t>
      </w:r>
      <w:proofErr w:type="spellEnd"/>
      <w:r w:rsidR="003D759B">
        <w:rPr>
          <w:sz w:val="14"/>
          <w:szCs w:val="14"/>
        </w:rPr>
        <w:t>.</w:t>
      </w:r>
      <w:r w:rsidRPr="00697A62">
        <w:rPr>
          <w:sz w:val="14"/>
          <w:szCs w:val="14"/>
        </w:rPr>
        <w:t xml:space="preserve"> 2024, 3945.</w:t>
      </w:r>
    </w:p>
  </w:footnote>
  <w:footnote w:id="17">
    <w:p w14:paraId="4A61D8ED" w14:textId="58AD38E8" w:rsidR="00A65201" w:rsidRPr="00010BA5" w:rsidRDefault="00A65201" w:rsidP="00A65201">
      <w:pPr>
        <w:pStyle w:val="Voetnoottekst"/>
        <w:rPr>
          <w:sz w:val="14"/>
          <w:szCs w:val="14"/>
        </w:rPr>
      </w:pPr>
      <w:r w:rsidRPr="00010BA5">
        <w:rPr>
          <w:rStyle w:val="Voetnootmarkering"/>
          <w:sz w:val="14"/>
          <w:szCs w:val="14"/>
        </w:rPr>
        <w:footnoteRef/>
      </w:r>
      <w:r w:rsidRPr="00010BA5">
        <w:rPr>
          <w:sz w:val="14"/>
          <w:szCs w:val="14"/>
        </w:rPr>
        <w:t xml:space="preserve"> Kamerstukken II 2025/26, 27529, nr. 356</w:t>
      </w:r>
      <w:r w:rsidR="00DD22A9">
        <w:rPr>
          <w:sz w:val="14"/>
          <w:szCs w:val="14"/>
        </w:rPr>
        <w:t>.</w:t>
      </w:r>
    </w:p>
  </w:footnote>
  <w:footnote w:id="18">
    <w:p w14:paraId="31644018" w14:textId="66219C4D" w:rsidR="00B53C40" w:rsidRPr="00010BA5" w:rsidRDefault="00B53C40" w:rsidP="00B53C40">
      <w:pPr>
        <w:pStyle w:val="Voetnoottekst"/>
        <w:rPr>
          <w:sz w:val="14"/>
          <w:szCs w:val="14"/>
        </w:rPr>
      </w:pPr>
      <w:r w:rsidRPr="00010BA5">
        <w:rPr>
          <w:rStyle w:val="Voetnootmarkering"/>
          <w:sz w:val="14"/>
          <w:szCs w:val="14"/>
        </w:rPr>
        <w:footnoteRef/>
      </w:r>
      <w:r w:rsidRPr="00010BA5">
        <w:rPr>
          <w:sz w:val="14"/>
          <w:szCs w:val="14"/>
        </w:rPr>
        <w:t xml:space="preserve"> Kamerstukken II 2025/26, 27529, nr. 356</w:t>
      </w:r>
      <w:r w:rsidR="00DD22A9">
        <w:rPr>
          <w:sz w:val="14"/>
          <w:szCs w:val="14"/>
        </w:rPr>
        <w:t>.</w:t>
      </w:r>
    </w:p>
  </w:footnote>
  <w:footnote w:id="19">
    <w:p w14:paraId="69EA6957" w14:textId="3C364808" w:rsidR="00B53C40" w:rsidRPr="00010BA5" w:rsidRDefault="00B53C40" w:rsidP="00B53C40">
      <w:pPr>
        <w:pStyle w:val="Voetnoottekst"/>
        <w:rPr>
          <w:sz w:val="14"/>
          <w:szCs w:val="14"/>
        </w:rPr>
      </w:pPr>
      <w:r w:rsidRPr="00010BA5">
        <w:rPr>
          <w:rStyle w:val="Voetnootmarkering"/>
          <w:sz w:val="14"/>
          <w:szCs w:val="14"/>
        </w:rPr>
        <w:footnoteRef/>
      </w:r>
      <w:r w:rsidRPr="00010BA5">
        <w:rPr>
          <w:sz w:val="14"/>
          <w:szCs w:val="14"/>
        </w:rPr>
        <w:t xml:space="preserve"> Kamerstuk</w:t>
      </w:r>
      <w:r w:rsidR="00DD22A9">
        <w:rPr>
          <w:sz w:val="14"/>
          <w:szCs w:val="14"/>
        </w:rPr>
        <w:t>ken</w:t>
      </w:r>
      <w:r w:rsidRPr="00010BA5">
        <w:rPr>
          <w:sz w:val="14"/>
          <w:szCs w:val="14"/>
        </w:rPr>
        <w:t xml:space="preserve"> II 2024/25, 27529 nr. AJ</w:t>
      </w:r>
      <w:r w:rsidR="00DD22A9">
        <w:rPr>
          <w:sz w:val="14"/>
          <w:szCs w:val="14"/>
        </w:rPr>
        <w:t>.</w:t>
      </w:r>
    </w:p>
  </w:footnote>
  <w:footnote w:id="20">
    <w:p w14:paraId="1491AA87" w14:textId="77777777" w:rsidR="0036490B" w:rsidRPr="0003660E" w:rsidRDefault="0036490B" w:rsidP="0036490B">
      <w:pPr>
        <w:pStyle w:val="Voetnoottekst"/>
        <w:rPr>
          <w:sz w:val="14"/>
          <w:szCs w:val="14"/>
        </w:rPr>
      </w:pPr>
      <w:r w:rsidRPr="007A3792">
        <w:rPr>
          <w:rStyle w:val="Voetnootmarkering"/>
          <w:sz w:val="14"/>
          <w:szCs w:val="14"/>
        </w:rPr>
        <w:footnoteRef/>
      </w:r>
      <w:r w:rsidRPr="0003660E">
        <w:rPr>
          <w:sz w:val="14"/>
          <w:szCs w:val="14"/>
        </w:rPr>
        <w:t xml:space="preserve"> CIBG. (2025, 11 november). </w:t>
      </w:r>
      <w:proofErr w:type="spellStart"/>
      <w:r w:rsidRPr="007A3792">
        <w:rPr>
          <w:i/>
          <w:iCs/>
          <w:sz w:val="14"/>
          <w:szCs w:val="14"/>
        </w:rPr>
        <w:t>Certification</w:t>
      </w:r>
      <w:proofErr w:type="spellEnd"/>
      <w:r w:rsidRPr="007A3792">
        <w:rPr>
          <w:i/>
          <w:iCs/>
          <w:sz w:val="14"/>
          <w:szCs w:val="14"/>
        </w:rPr>
        <w:t xml:space="preserve"> </w:t>
      </w:r>
      <w:proofErr w:type="spellStart"/>
      <w:r w:rsidRPr="007A3792">
        <w:rPr>
          <w:i/>
          <w:iCs/>
          <w:sz w:val="14"/>
          <w:szCs w:val="14"/>
        </w:rPr>
        <w:t>Practice</w:t>
      </w:r>
      <w:proofErr w:type="spellEnd"/>
      <w:r w:rsidRPr="007A3792">
        <w:rPr>
          <w:i/>
          <w:iCs/>
          <w:sz w:val="14"/>
          <w:szCs w:val="14"/>
        </w:rPr>
        <w:t xml:space="preserve"> Statement (CPS</w:t>
      </w:r>
      <w:r w:rsidRPr="5FBA465D">
        <w:rPr>
          <w:i/>
          <w:iCs/>
          <w:sz w:val="14"/>
          <w:szCs w:val="14"/>
        </w:rPr>
        <w:t xml:space="preserve">) UZI-register </w:t>
      </w:r>
      <w:r>
        <w:rPr>
          <w:sz w:val="14"/>
          <w:szCs w:val="14"/>
        </w:rPr>
        <w:t xml:space="preserve">(Versie 12.1) Den Haag: CIBG. </w:t>
      </w:r>
    </w:p>
  </w:footnote>
  <w:footnote w:id="21">
    <w:p w14:paraId="697C05A0" w14:textId="55658964" w:rsidR="00213ABD" w:rsidRPr="000438C6" w:rsidRDefault="00213ABD" w:rsidP="00213ABD">
      <w:pPr>
        <w:pStyle w:val="Voetnoottekst"/>
        <w:rPr>
          <w:sz w:val="14"/>
          <w:szCs w:val="14"/>
        </w:rPr>
      </w:pPr>
      <w:r w:rsidRPr="000438C6">
        <w:rPr>
          <w:rStyle w:val="Voetnootmarkering"/>
          <w:sz w:val="14"/>
          <w:szCs w:val="14"/>
        </w:rPr>
        <w:footnoteRef/>
      </w:r>
      <w:r w:rsidRPr="000438C6">
        <w:rPr>
          <w:sz w:val="14"/>
          <w:szCs w:val="14"/>
        </w:rPr>
        <w:t xml:space="preserve"> Kamerstukken II 2025/2026, 36825, nr. 2</w:t>
      </w:r>
      <w:r w:rsidR="00DD22A9">
        <w:rPr>
          <w:sz w:val="14"/>
          <w:szCs w:val="14"/>
        </w:rPr>
        <w:t>.</w:t>
      </w:r>
    </w:p>
  </w:footnote>
  <w:footnote w:id="22">
    <w:p w14:paraId="4FE0C244" w14:textId="77777777" w:rsidR="00721256" w:rsidRPr="009840A5" w:rsidRDefault="00721256" w:rsidP="00721256">
      <w:pPr>
        <w:pStyle w:val="Voetnoottekst"/>
        <w:tabs>
          <w:tab w:val="left" w:pos="971"/>
        </w:tabs>
        <w:rPr>
          <w:sz w:val="14"/>
          <w:szCs w:val="14"/>
        </w:rPr>
      </w:pPr>
      <w:r w:rsidRPr="009840A5">
        <w:rPr>
          <w:rStyle w:val="Voetnootmarkering"/>
          <w:sz w:val="14"/>
          <w:szCs w:val="14"/>
        </w:rPr>
        <w:footnoteRef/>
      </w:r>
      <w:r w:rsidRPr="009840A5">
        <w:rPr>
          <w:sz w:val="14"/>
          <w:szCs w:val="14"/>
        </w:rPr>
        <w:t xml:space="preserve"> </w:t>
      </w:r>
      <w:proofErr w:type="spellStart"/>
      <w:r w:rsidRPr="009840A5">
        <w:rPr>
          <w:rFonts w:eastAsia="Aptos" w:cs="Times New Roman"/>
          <w:i/>
          <w:iCs/>
          <w:sz w:val="14"/>
          <w:szCs w:val="14"/>
          <w14:ligatures w14:val="none"/>
        </w:rPr>
        <w:t>Concernbrede</w:t>
      </w:r>
      <w:proofErr w:type="spellEnd"/>
      <w:r w:rsidRPr="009840A5">
        <w:rPr>
          <w:rFonts w:eastAsia="Aptos" w:cs="Times New Roman"/>
          <w:i/>
          <w:iCs/>
          <w:sz w:val="14"/>
          <w:szCs w:val="14"/>
          <w14:ligatures w14:val="none"/>
        </w:rPr>
        <w:t xml:space="preserve"> selectielijst van het ministerie van Volksgezondheid, Welzijn en Sport (VWS).</w:t>
      </w:r>
      <w:r w:rsidRPr="009840A5">
        <w:rPr>
          <w:rFonts w:eastAsia="Aptos" w:cs="Times New Roman"/>
          <w:sz w:val="14"/>
          <w:szCs w:val="14"/>
          <w14:ligatures w14:val="none"/>
        </w:rPr>
        <w:t xml:space="preserve"> Vastgesteld: Staatscourant 9 februari 2024, nr. 3945.</w:t>
      </w:r>
    </w:p>
  </w:footnote>
  <w:footnote w:id="23">
    <w:p w14:paraId="4DECBAE7" w14:textId="0633FA60" w:rsidR="001456BE" w:rsidRPr="00010BA5" w:rsidRDefault="001456BE" w:rsidP="001456BE">
      <w:pPr>
        <w:pStyle w:val="Voetnoottekst"/>
        <w:rPr>
          <w:sz w:val="14"/>
          <w:szCs w:val="14"/>
        </w:rPr>
      </w:pPr>
      <w:r w:rsidRPr="00010BA5">
        <w:rPr>
          <w:rStyle w:val="Voetnootmarkering"/>
          <w:sz w:val="14"/>
          <w:szCs w:val="14"/>
        </w:rPr>
        <w:footnoteRef/>
      </w:r>
      <w:r w:rsidRPr="00010BA5">
        <w:rPr>
          <w:sz w:val="14"/>
          <w:szCs w:val="14"/>
        </w:rPr>
        <w:t xml:space="preserve"> Kamerstukken II 2024/</w:t>
      </w:r>
      <w:r w:rsidR="00FD24E3" w:rsidRPr="00010BA5">
        <w:rPr>
          <w:sz w:val="14"/>
          <w:szCs w:val="14"/>
        </w:rPr>
        <w:t>20</w:t>
      </w:r>
      <w:r w:rsidRPr="00010BA5">
        <w:rPr>
          <w:sz w:val="14"/>
          <w:szCs w:val="14"/>
        </w:rPr>
        <w:t xml:space="preserve">25, </w:t>
      </w:r>
      <w:r w:rsidR="009962A6">
        <w:rPr>
          <w:sz w:val="14"/>
          <w:szCs w:val="14"/>
        </w:rPr>
        <w:t>3</w:t>
      </w:r>
      <w:r w:rsidRPr="0003660E">
        <w:rPr>
          <w:sz w:val="14"/>
          <w:szCs w:val="14"/>
        </w:rPr>
        <w:t>6 702, nr.</w:t>
      </w:r>
      <w:r w:rsidR="00DD22A9">
        <w:rPr>
          <w:sz w:val="14"/>
          <w:szCs w:val="14"/>
        </w:rPr>
        <w:t xml:space="preserve"> </w:t>
      </w:r>
      <w:r w:rsidRPr="00010BA5">
        <w:rPr>
          <w:sz w:val="14"/>
          <w:szCs w:val="14"/>
        </w:rPr>
        <w:t>2</w:t>
      </w:r>
      <w:r w:rsidR="00DD22A9">
        <w:rPr>
          <w:sz w:val="14"/>
          <w:szCs w:val="14"/>
        </w:rPr>
        <w:t>.</w:t>
      </w:r>
    </w:p>
  </w:footnote>
  <w:footnote w:id="24">
    <w:p w14:paraId="16645991" w14:textId="2D831979" w:rsidR="003D759B" w:rsidRPr="0003660E" w:rsidRDefault="003D759B">
      <w:pPr>
        <w:pStyle w:val="Voetnoottekst"/>
        <w:rPr>
          <w:sz w:val="14"/>
          <w:szCs w:val="14"/>
        </w:rPr>
      </w:pPr>
      <w:r w:rsidRPr="0003660E">
        <w:rPr>
          <w:rStyle w:val="Voetnootmarkering"/>
          <w:sz w:val="14"/>
          <w:szCs w:val="14"/>
        </w:rPr>
        <w:footnoteRef/>
      </w:r>
      <w:r w:rsidR="000516B7">
        <w:rPr>
          <w:sz w:val="14"/>
          <w:szCs w:val="14"/>
        </w:rPr>
        <w:t xml:space="preserve"> </w:t>
      </w:r>
      <w:proofErr w:type="spellStart"/>
      <w:r w:rsidRPr="000516B7">
        <w:rPr>
          <w:sz w:val="14"/>
          <w:szCs w:val="14"/>
        </w:rPr>
        <w:t>Concernbrede</w:t>
      </w:r>
      <w:proofErr w:type="spellEnd"/>
      <w:r w:rsidRPr="000516B7">
        <w:rPr>
          <w:sz w:val="14"/>
          <w:szCs w:val="14"/>
        </w:rPr>
        <w:t xml:space="preserve"> selectielijst van het ministerie van Volksgezondheid, Welzijn en Sport, </w:t>
      </w:r>
      <w:proofErr w:type="spellStart"/>
      <w:r w:rsidRPr="000516B7">
        <w:rPr>
          <w:sz w:val="14"/>
          <w:szCs w:val="14"/>
        </w:rPr>
        <w:t>Stcrt</w:t>
      </w:r>
      <w:proofErr w:type="spellEnd"/>
      <w:r w:rsidRPr="000516B7">
        <w:rPr>
          <w:sz w:val="14"/>
          <w:szCs w:val="14"/>
        </w:rPr>
        <w:t>. 2024, 3945.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6BA1" w14:textId="13D824BE" w:rsidR="00761591" w:rsidRDefault="009C075B">
    <w:r>
      <w:rPr>
        <w:noProof/>
      </w:rPr>
      <mc:AlternateContent>
        <mc:Choice Requires="wps">
          <w:drawing>
            <wp:anchor distT="0" distB="0" distL="0" distR="0" simplePos="0" relativeHeight="251658240" behindDoc="0" locked="1" layoutInCell="1" allowOverlap="1" wp14:anchorId="0692FD1F" wp14:editId="50053BBE">
              <wp:simplePos x="0" y="0"/>
              <wp:positionH relativeFrom="page">
                <wp:posOffset>5903595</wp:posOffset>
              </wp:positionH>
              <wp:positionV relativeFrom="page">
                <wp:posOffset>1907539</wp:posOffset>
              </wp:positionV>
              <wp:extent cx="1259840" cy="8009890"/>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B7743E4" w14:textId="77777777" w:rsidR="00761591" w:rsidRDefault="00761591"/>
                      </w:txbxContent>
                    </wps:txbx>
                    <wps:bodyPr vert="horz" wrap="square" lIns="0" tIns="0" rIns="0" bIns="0" anchor="t" anchorCtr="0"/>
                  </wps:wsp>
                </a:graphicData>
              </a:graphic>
            </wp:anchor>
          </w:drawing>
        </mc:Choice>
        <mc:Fallback>
          <w:pict>
            <v:shapetype w14:anchorId="0692FD1F"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" filled="f" stroked="f">
              <v:textbox inset="0,0,0,0">
                <w:txbxContent>
                  <w:p w14:paraId="0B7743E4" w14:textId="77777777" w:rsidR="00761591" w:rsidRDefault="00761591"/>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3D1CBAD" wp14:editId="527F9C04">
              <wp:simplePos x="0" y="0"/>
              <wp:positionH relativeFrom="page">
                <wp:posOffset>5903595</wp:posOffset>
              </wp:positionH>
              <wp:positionV relativeFrom="page">
                <wp:posOffset>10223500</wp:posOffset>
              </wp:positionV>
              <wp:extent cx="1259840" cy="17970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B5015F1" w14:textId="77777777" w:rsidR="00761591" w:rsidRDefault="009C075B">
                          <w:pPr>
                            <w:pStyle w:val="Standaard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73D1CBAD" id="7268d871-823c-11ee-8554-0242ac120003" o:spid="_x0000_s1027" type="#_x0000_t202" style="position:absolute;margin-left:464.8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" filled="f" stroked="f">
              <v:textbox inset="0,0,0,0">
                <w:txbxContent>
                  <w:p w14:paraId="7B5015F1" w14:textId="77777777" w:rsidR="00761591" w:rsidRDefault="009C075B">
                    <w:pPr>
                      <w:pStyle w:val="Standaard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A6F1" w14:textId="31986D70" w:rsidR="00761591" w:rsidRDefault="009C075B">
    <w:pPr>
      <w:spacing w:after="6746" w:line="14" w:lineRule="exact"/>
    </w:pPr>
    <w:r>
      <w:rPr>
        <w:noProof/>
      </w:rPr>
      <mc:AlternateContent>
        <mc:Choice Requires="wps">
          <w:drawing>
            <wp:anchor distT="0" distB="0" distL="0" distR="0" simplePos="0" relativeHeight="251658242" behindDoc="0" locked="1" layoutInCell="1" allowOverlap="1" wp14:anchorId="04911C26" wp14:editId="4DF19759">
              <wp:simplePos x="0" y="0"/>
              <wp:positionH relativeFrom="page">
                <wp:posOffset>3527425</wp:posOffset>
              </wp:positionH>
              <wp:positionV relativeFrom="page">
                <wp:posOffset>0</wp:posOffset>
              </wp:positionV>
              <wp:extent cx="467995" cy="1583690"/>
              <wp:effectExtent l="0" t="0" r="0" b="0"/>
              <wp:wrapNone/>
              <wp:docPr id="3" name="7269531c-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37FBA8C" w14:textId="77777777" w:rsidR="00761591" w:rsidRDefault="00761591"/>
                      </w:txbxContent>
                    </wps:txbx>
                    <wps:bodyPr vert="horz" wrap="square" lIns="0" tIns="0" rIns="0" bIns="0" anchor="t" anchorCtr="0"/>
                  </wps:wsp>
                </a:graphicData>
              </a:graphic>
            </wp:anchor>
          </w:drawing>
        </mc:Choice>
        <mc:Fallback>
          <w:pict>
            <v:shapetype w14:anchorId="04911C26" id="_x0000_t202" coordsize="21600,21600" o:spt="202" path="m,l,21600r21600,l21600,xe">
              <v:stroke joinstyle="miter"/>
              <v:path gradientshapeok="t" o:connecttype="rect"/>
            </v:shapetype>
            <v:shape id="7269531c-823c-11ee-8554-0242ac120003" o:spid="_x0000_s1028" type="#_x0000_t202" style="position:absolute;margin-left:277.75pt;margin-top:0;width:36.85pt;height:124.7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" filled="f" stroked="f">
              <v:textbox inset="0,0,0,0">
                <w:txbxContent>
                  <w:p w14:paraId="637FBA8C" w14:textId="77777777" w:rsidR="00761591" w:rsidRDefault="00761591"/>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48481E5A" wp14:editId="11C1478D">
              <wp:simplePos x="0" y="0"/>
              <wp:positionH relativeFrom="page">
                <wp:posOffset>3995420</wp:posOffset>
              </wp:positionH>
              <wp:positionV relativeFrom="page">
                <wp:posOffset>0</wp:posOffset>
              </wp:positionV>
              <wp:extent cx="2339975" cy="1778000"/>
              <wp:effectExtent l="0" t="0" r="0" b="0"/>
              <wp:wrapNone/>
              <wp:docPr id="4" name="7268d778-823c-11ee-8554-0242ac120003"/>
              <wp:cNvGraphicFramePr/>
              <a:graphic xmlns:a="http://schemas.openxmlformats.org/drawingml/2006/main">
                <a:graphicData uri="http://schemas.microsoft.com/office/word/2010/wordprocessingShape">
                  <wps:wsp>
                    <wps:cNvSpPr txBox="1"/>
                    <wps:spPr>
                      <a:xfrm>
                        <a:off x="0" y="0"/>
                        <a:ext cx="2339975" cy="1778000"/>
                      </a:xfrm>
                      <a:prstGeom prst="rect">
                        <a:avLst/>
                      </a:prstGeom>
                      <a:noFill/>
                    </wps:spPr>
                    <wps:txbx>
                      <w:txbxContent>
                        <w:p w14:paraId="3005B5DC" w14:textId="77777777" w:rsidR="00761591" w:rsidRDefault="009C075B">
                          <w:pPr>
                            <w:spacing w:line="240" w:lineRule="auto"/>
                          </w:pPr>
                          <w:r>
                            <w:rPr>
                              <w:noProof/>
                            </w:rPr>
                            <w:drawing>
                              <wp:inline distT="0" distB="0" distL="0" distR="0" wp14:anchorId="3E21F250" wp14:editId="3759C71F">
                                <wp:extent cx="2339975" cy="1582834"/>
                                <wp:effectExtent l="0" t="0" r="0" b="0"/>
                                <wp:docPr id="5" name="VWS_Standaard"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5"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8481E5A" id="7268d778-823c-11ee-8554-0242ac120003" o:spid="_x0000_s1029" type="#_x0000_t202" style="position:absolute;margin-left:314.6pt;margin-top:0;width:184.25pt;height:140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" filled="f" stroked="f">
              <v:textbox inset="0,0,0,0">
                <w:txbxContent>
                  <w:p w14:paraId="3005B5DC" w14:textId="77777777" w:rsidR="00761591" w:rsidRDefault="009C075B">
                    <w:pPr>
                      <w:spacing w:line="240" w:lineRule="auto"/>
                    </w:pPr>
                    <w:r>
                      <w:rPr>
                        <w:noProof/>
                      </w:rPr>
                      <w:drawing>
                        <wp:inline distT="0" distB="0" distL="0" distR="0" wp14:anchorId="3E21F250" wp14:editId="3759C71F">
                          <wp:extent cx="2339975" cy="1582834"/>
                          <wp:effectExtent l="0" t="0" r="0" b="0"/>
                          <wp:docPr id="5" name="VWS_Standaard"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5"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EE2B26E" wp14:editId="19E4075F">
              <wp:simplePos x="0" y="0"/>
              <wp:positionH relativeFrom="page">
                <wp:posOffset>1007744</wp:posOffset>
              </wp:positionH>
              <wp:positionV relativeFrom="page">
                <wp:posOffset>1691639</wp:posOffset>
              </wp:positionV>
              <wp:extent cx="3561715" cy="142875"/>
              <wp:effectExtent l="0" t="0" r="0" b="0"/>
              <wp:wrapNone/>
              <wp:docPr id="6" name="7268d797-823c-11ee-8554-0242ac120003"/>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A38C4DC" w14:textId="77777777" w:rsidR="00761591" w:rsidRDefault="00761591"/>
                      </w:txbxContent>
                    </wps:txbx>
                    <wps:bodyPr vert="horz" wrap="square" lIns="0" tIns="0" rIns="0" bIns="0" anchor="t" anchorCtr="0"/>
                  </wps:wsp>
                </a:graphicData>
              </a:graphic>
            </wp:anchor>
          </w:drawing>
        </mc:Choice>
        <mc:Fallback>
          <w:pict>
            <v:shape w14:anchorId="3EE2B26E" id="7268d797-823c-11ee-8554-0242ac120003" o:spid="_x0000_s1030" type="#_x0000_t202" style="position:absolute;margin-left:79.35pt;margin-top:133.2pt;width:280.45pt;height:11.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ScgID5QBAAAUAwAA&#10;DgAAAAAAAAAAAAAAAAAuAgAAZHJzL2Uyb0RvYy54bWxQSwECLQAUAAYACAAAACEAprh/WuAAAAAL&#10;AQAADwAAAAAAAAAAAAAAAADuAwAAZHJzL2Rvd25yZXYueG1sUEsFBgAAAAAEAAQA8wAAAPsEAAAA&#10;AA==&#10;" filled="f" stroked="f">
              <v:textbox inset="0,0,0,0">
                <w:txbxContent>
                  <w:p w14:paraId="0A38C4DC" w14:textId="77777777" w:rsidR="00761591" w:rsidRDefault="00761591"/>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68C0716" wp14:editId="34F89855">
              <wp:simplePos x="0" y="0"/>
              <wp:positionH relativeFrom="page">
                <wp:posOffset>5921375</wp:posOffset>
              </wp:positionH>
              <wp:positionV relativeFrom="page">
                <wp:posOffset>1943735</wp:posOffset>
              </wp:positionV>
              <wp:extent cx="1259840" cy="8009890"/>
              <wp:effectExtent l="0" t="0" r="0" b="0"/>
              <wp:wrapNone/>
              <wp:docPr id="8"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246E03F" w14:textId="77777777" w:rsidR="00761591" w:rsidRDefault="00761591"/>
                      </w:txbxContent>
                    </wps:txbx>
                    <wps:bodyPr vert="horz" wrap="square" lIns="0" tIns="0" rIns="0" bIns="0" anchor="t" anchorCtr="0"/>
                  </wps:wsp>
                </a:graphicData>
              </a:graphic>
            </wp:anchor>
          </w:drawing>
        </mc:Choice>
        <mc:Fallback>
          <w:pict>
            <v:shape w14:anchorId="368C0716" id="7268d739-823c-11ee-8554-0242ac120003" o:spid="_x0000_s1031"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JM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y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OgsUkyTAQAAFQMA&#10;AA4AAAAAAAAAAAAAAAAALgIAAGRycy9lMm9Eb2MueG1sUEsBAi0AFAAGAAgAAAAhACO2nRviAAAA&#10;DQEAAA8AAAAAAAAAAAAAAAAA7QMAAGRycy9kb3ducmV2LnhtbFBLBQYAAAAABAAEAPMAAAD8BAAA&#10;AAA=&#10;" filled="f" stroked="f">
              <v:textbox inset="0,0,0,0">
                <w:txbxContent>
                  <w:p w14:paraId="4246E03F" w14:textId="77777777" w:rsidR="00761591" w:rsidRDefault="00761591"/>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3FF8B757" wp14:editId="439E62DE">
              <wp:simplePos x="0" y="0"/>
              <wp:positionH relativeFrom="page">
                <wp:posOffset>1007744</wp:posOffset>
              </wp:positionH>
              <wp:positionV relativeFrom="page">
                <wp:posOffset>3635375</wp:posOffset>
              </wp:positionV>
              <wp:extent cx="4105275" cy="629920"/>
              <wp:effectExtent l="0" t="0" r="0" b="0"/>
              <wp:wrapNone/>
              <wp:docPr id="9"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p w14:paraId="3BF62DC1" w14:textId="77777777" w:rsidR="00761591" w:rsidRDefault="00761591"/>
                      </w:txbxContent>
                    </wps:txbx>
                    <wps:bodyPr vert="horz" wrap="square" lIns="0" tIns="0" rIns="0" bIns="0" anchor="t" anchorCtr="0"/>
                  </wps:wsp>
                </a:graphicData>
              </a:graphic>
            </wp:anchor>
          </w:drawing>
        </mc:Choice>
        <mc:Fallback>
          <w:pict>
            <v:shape w14:anchorId="3FF8B757" id="7266255e-823c-11ee-8554-0242ac120003" o:spid="_x0000_s1032" type="#_x0000_t202" style="position:absolute;margin-left:79.35pt;margin-top:286.25pt;width:323.25pt;height:49.6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" filled="f" stroked="f">
              <v:textbox inset="0,0,0,0">
                <w:txbxContent>
                  <w:p w14:paraId="3BF62DC1" w14:textId="77777777" w:rsidR="00761591" w:rsidRDefault="00761591"/>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2E43A575" wp14:editId="742F45EE">
              <wp:simplePos x="0" y="0"/>
              <wp:positionH relativeFrom="page">
                <wp:posOffset>1007744</wp:posOffset>
              </wp:positionH>
              <wp:positionV relativeFrom="page">
                <wp:posOffset>10223500</wp:posOffset>
              </wp:positionV>
              <wp:extent cx="1799589" cy="179705"/>
              <wp:effectExtent l="0" t="0" r="0" b="0"/>
              <wp:wrapNone/>
              <wp:docPr id="10" name="726221f1-823c-11ee-8554-0242ac120003"/>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132CA7AB" w14:textId="77777777" w:rsidR="00761591" w:rsidRDefault="00761591"/>
                      </w:txbxContent>
                    </wps:txbx>
                    <wps:bodyPr vert="horz" wrap="square" lIns="0" tIns="0" rIns="0" bIns="0" anchor="t" anchorCtr="0"/>
                  </wps:wsp>
                </a:graphicData>
              </a:graphic>
            </wp:anchor>
          </w:drawing>
        </mc:Choice>
        <mc:Fallback>
          <w:pict>
            <v:shape w14:anchorId="2E43A575" id="726221f1-823c-11ee-8554-0242ac120003" o:spid="_x0000_s1033" type="#_x0000_t202" style="position:absolute;margin-left:79.35pt;margin-top:805pt;width:141.7pt;height:14.1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Psd9VkgEAABQDAAAO&#10;AAAAAAAAAAAAAAAAAC4CAABkcnMvZTJvRG9jLnhtbFBLAQItABQABgAIAAAAIQBZ7g9Q4QAAAA0B&#10;AAAPAAAAAAAAAAAAAAAAAOwDAABkcnMvZG93bnJldi54bWxQSwUGAAAAAAQABADzAAAA+gQAAAAA&#10;" filled="f" stroked="f">
              <v:textbox inset="0,0,0,0">
                <w:txbxContent>
                  <w:p w14:paraId="132CA7AB" w14:textId="77777777" w:rsidR="00761591" w:rsidRDefault="00761591"/>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49A9FCA" wp14:editId="4AF0EA9D">
              <wp:simplePos x="0" y="0"/>
              <wp:positionH relativeFrom="page">
                <wp:posOffset>5921375</wp:posOffset>
              </wp:positionH>
              <wp:positionV relativeFrom="page">
                <wp:posOffset>10223500</wp:posOffset>
              </wp:positionV>
              <wp:extent cx="1259840" cy="179705"/>
              <wp:effectExtent l="0" t="0" r="0" b="0"/>
              <wp:wrapNone/>
              <wp:docPr id="11" name="7268d813-823c-11ee-8554-0242ac12000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956E740" w14:textId="77777777" w:rsidR="00761591" w:rsidRDefault="009C075B">
                          <w:pPr>
                            <w:pStyle w:val="Standaard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549A9FCA" id="7268d813-823c-11ee-8554-0242ac120003" o:spid="_x0000_s1034" type="#_x0000_t202" style="position:absolute;margin-left:466.25pt;margin-top:805pt;width:99.2pt;height:14.1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956E740" w14:textId="77777777" w:rsidR="00761591" w:rsidRDefault="009C075B">
                    <w:pPr>
                      <w:pStyle w:val="Standaard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1ED8"/>
    <w:multiLevelType w:val="multilevel"/>
    <w:tmpl w:val="1BF84ED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8072AC9"/>
    <w:multiLevelType w:val="multilevel"/>
    <w:tmpl w:val="2F148976"/>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1B773B"/>
    <w:multiLevelType w:val="hybridMultilevel"/>
    <w:tmpl w:val="AD562CD8"/>
    <w:lvl w:ilvl="0" w:tplc="77E06A0E">
      <w:start w:val="6"/>
      <w:numFmt w:val="bullet"/>
      <w:lvlText w:val="-"/>
      <w:lvlJc w:val="left"/>
      <w:pPr>
        <w:ind w:left="1440" w:hanging="360"/>
      </w:pPr>
      <w:rPr>
        <w:rFonts w:ascii="Arial" w:eastAsiaTheme="minorHAnsi"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0BA43E51"/>
    <w:multiLevelType w:val="hybridMultilevel"/>
    <w:tmpl w:val="4516DB1A"/>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FE778C"/>
    <w:multiLevelType w:val="hybridMultilevel"/>
    <w:tmpl w:val="A03CB488"/>
    <w:lvl w:ilvl="0" w:tplc="35206386">
      <w:start w:val="7"/>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A54F16"/>
    <w:multiLevelType w:val="hybridMultilevel"/>
    <w:tmpl w:val="55AC204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63512D1"/>
    <w:multiLevelType w:val="multilevel"/>
    <w:tmpl w:val="216EE9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E48BC14"/>
    <w:multiLevelType w:val="multilevel"/>
    <w:tmpl w:val="3CBC0E91"/>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076D4D"/>
    <w:multiLevelType w:val="multilevel"/>
    <w:tmpl w:val="DB7CD4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6F53DD6"/>
    <w:multiLevelType w:val="hybridMultilevel"/>
    <w:tmpl w:val="17D004C6"/>
    <w:lvl w:ilvl="0" w:tplc="77E06A0E">
      <w:start w:val="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9363686"/>
    <w:multiLevelType w:val="hybridMultilevel"/>
    <w:tmpl w:val="C03A0748"/>
    <w:lvl w:ilvl="0" w:tplc="8D4C3D0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116537B"/>
    <w:multiLevelType w:val="hybridMultilevel"/>
    <w:tmpl w:val="A3C89CB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7A2125E"/>
    <w:multiLevelType w:val="multilevel"/>
    <w:tmpl w:val="DC34328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BEC6669"/>
    <w:multiLevelType w:val="hybridMultilevel"/>
    <w:tmpl w:val="65329752"/>
    <w:lvl w:ilvl="0" w:tplc="DDD6D734">
      <w:start w:val="7"/>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E9A0211"/>
    <w:multiLevelType w:val="hybridMultilevel"/>
    <w:tmpl w:val="F4564046"/>
    <w:lvl w:ilvl="0" w:tplc="FA009E3E">
      <w:start w:val="1"/>
      <w:numFmt w:val="bullet"/>
      <w:lvlText w:val="-"/>
      <w:lvlJc w:val="left"/>
      <w:pPr>
        <w:ind w:left="720" w:hanging="360"/>
      </w:pPr>
      <w:rPr>
        <w:rFonts w:ascii="Verdana" w:eastAsia="Verdana" w:hAnsi="Verdana" w:cs="Verdan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1F67314"/>
    <w:multiLevelType w:val="hybridMultilevel"/>
    <w:tmpl w:val="54407540"/>
    <w:lvl w:ilvl="0" w:tplc="515CAC1C">
      <w:start w:val="7"/>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37412C2"/>
    <w:multiLevelType w:val="hybridMultilevel"/>
    <w:tmpl w:val="DB2CE756"/>
    <w:lvl w:ilvl="0" w:tplc="8EA608B8">
      <w:start w:val="7"/>
      <w:numFmt w:val="decimal"/>
      <w:lvlText w:val="%1."/>
      <w:lvlJc w:val="left"/>
      <w:pPr>
        <w:ind w:left="360" w:firstLine="0"/>
      </w:pPr>
      <w:rPr>
        <w:rFonts w:eastAsiaTheme="majorEastAsia"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38668BB"/>
    <w:multiLevelType w:val="hybridMultilevel"/>
    <w:tmpl w:val="3B78E964"/>
    <w:lvl w:ilvl="0" w:tplc="41D03500">
      <w:start w:val="1"/>
      <w:numFmt w:val="upperLetter"/>
      <w:lvlText w:val="%1."/>
      <w:lvlJc w:val="left"/>
      <w:pPr>
        <w:ind w:left="10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9E6C12C0">
      <w:start w:val="1"/>
      <w:numFmt w:val="lowerLetter"/>
      <w:lvlText w:val="%2"/>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94F4E6CA">
      <w:start w:val="1"/>
      <w:numFmt w:val="lowerRoman"/>
      <w:lvlText w:val="%3"/>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5B6E14E2">
      <w:start w:val="1"/>
      <w:numFmt w:val="decimal"/>
      <w:lvlText w:val="%4"/>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75F6F390">
      <w:start w:val="1"/>
      <w:numFmt w:val="lowerLetter"/>
      <w:lvlText w:val="%5"/>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73CCCF3C">
      <w:start w:val="1"/>
      <w:numFmt w:val="lowerRoman"/>
      <w:lvlText w:val="%6"/>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E0C20F5E">
      <w:start w:val="1"/>
      <w:numFmt w:val="decimal"/>
      <w:lvlText w:val="%7"/>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080AF62">
      <w:start w:val="1"/>
      <w:numFmt w:val="lowerLetter"/>
      <w:lvlText w:val="%8"/>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F8A2FF08">
      <w:start w:val="1"/>
      <w:numFmt w:val="lowerRoman"/>
      <w:lvlText w:val="%9"/>
      <w:lvlJc w:val="left"/>
      <w:pPr>
        <w:ind w:left="64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73555B18"/>
    <w:multiLevelType w:val="hybridMultilevel"/>
    <w:tmpl w:val="DE0AE540"/>
    <w:lvl w:ilvl="0" w:tplc="880A4B80">
      <w:start w:val="1"/>
      <w:numFmt w:val="upperLetter"/>
      <w:lvlText w:val="%1."/>
      <w:lvlJc w:val="left"/>
      <w:pPr>
        <w:ind w:left="720" w:hanging="360"/>
      </w:pPr>
      <w:rPr>
        <w:rFonts w:eastAsiaTheme="minorHAnsi" w:cstheme="minorBidi"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63907090">
    <w:abstractNumId w:val="10"/>
  </w:num>
  <w:num w:numId="2" w16cid:durableId="1830512018">
    <w:abstractNumId w:val="17"/>
  </w:num>
  <w:num w:numId="3" w16cid:durableId="1463766999">
    <w:abstractNumId w:val="3"/>
  </w:num>
  <w:num w:numId="4" w16cid:durableId="948199170">
    <w:abstractNumId w:val="15"/>
  </w:num>
  <w:num w:numId="5" w16cid:durableId="1247956213">
    <w:abstractNumId w:val="8"/>
  </w:num>
  <w:num w:numId="6" w16cid:durableId="196691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30832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4595149">
    <w:abstractNumId w:val="12"/>
  </w:num>
  <w:num w:numId="9" w16cid:durableId="1168250651">
    <w:abstractNumId w:val="5"/>
  </w:num>
  <w:num w:numId="10" w16cid:durableId="40638593">
    <w:abstractNumId w:val="18"/>
  </w:num>
  <w:num w:numId="11" w16cid:durableId="232083636">
    <w:abstractNumId w:val="11"/>
  </w:num>
  <w:num w:numId="12" w16cid:durableId="1137189848">
    <w:abstractNumId w:val="16"/>
  </w:num>
  <w:num w:numId="13" w16cid:durableId="997731583">
    <w:abstractNumId w:val="14"/>
  </w:num>
  <w:num w:numId="14" w16cid:durableId="423579339">
    <w:abstractNumId w:val="7"/>
  </w:num>
  <w:num w:numId="15" w16cid:durableId="645203344">
    <w:abstractNumId w:val="2"/>
  </w:num>
  <w:num w:numId="16" w16cid:durableId="428046428">
    <w:abstractNumId w:val="9"/>
  </w:num>
  <w:num w:numId="17" w16cid:durableId="250697573">
    <w:abstractNumId w:val="6"/>
  </w:num>
  <w:num w:numId="18" w16cid:durableId="1492217876">
    <w:abstractNumId w:val="13"/>
  </w:num>
  <w:num w:numId="19" w16cid:durableId="1100027818">
    <w:abstractNumId w:val="4"/>
  </w:num>
  <w:num w:numId="20" w16cid:durableId="50230687">
    <w:abstractNumId w:val="1"/>
  </w:num>
  <w:num w:numId="21" w16cid:durableId="617296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trackRevisions/>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574"/>
    <w:rsid w:val="00000ED9"/>
    <w:rsid w:val="00001320"/>
    <w:rsid w:val="000028FE"/>
    <w:rsid w:val="00005887"/>
    <w:rsid w:val="0000665F"/>
    <w:rsid w:val="0000733E"/>
    <w:rsid w:val="00010BA5"/>
    <w:rsid w:val="00011E5A"/>
    <w:rsid w:val="00012431"/>
    <w:rsid w:val="0001433D"/>
    <w:rsid w:val="00014F8D"/>
    <w:rsid w:val="000159C4"/>
    <w:rsid w:val="00025374"/>
    <w:rsid w:val="0002702B"/>
    <w:rsid w:val="00027601"/>
    <w:rsid w:val="00032EA3"/>
    <w:rsid w:val="0003660E"/>
    <w:rsid w:val="000374C5"/>
    <w:rsid w:val="00040383"/>
    <w:rsid w:val="0004252C"/>
    <w:rsid w:val="0004315D"/>
    <w:rsid w:val="000437C1"/>
    <w:rsid w:val="000438C6"/>
    <w:rsid w:val="000461C5"/>
    <w:rsid w:val="00046426"/>
    <w:rsid w:val="00050DD0"/>
    <w:rsid w:val="000516B7"/>
    <w:rsid w:val="000602BA"/>
    <w:rsid w:val="00061B41"/>
    <w:rsid w:val="000621AC"/>
    <w:rsid w:val="00062321"/>
    <w:rsid w:val="0006234D"/>
    <w:rsid w:val="00063B5E"/>
    <w:rsid w:val="00065501"/>
    <w:rsid w:val="000739E5"/>
    <w:rsid w:val="000743B2"/>
    <w:rsid w:val="000764A9"/>
    <w:rsid w:val="000768E5"/>
    <w:rsid w:val="00077DD6"/>
    <w:rsid w:val="00080C5E"/>
    <w:rsid w:val="00084DDC"/>
    <w:rsid w:val="00094319"/>
    <w:rsid w:val="000944BB"/>
    <w:rsid w:val="00095953"/>
    <w:rsid w:val="00096821"/>
    <w:rsid w:val="000978B5"/>
    <w:rsid w:val="000A0C6F"/>
    <w:rsid w:val="000A6029"/>
    <w:rsid w:val="000B0B53"/>
    <w:rsid w:val="000B0F68"/>
    <w:rsid w:val="000B324D"/>
    <w:rsid w:val="000B5642"/>
    <w:rsid w:val="000B6877"/>
    <w:rsid w:val="000B6928"/>
    <w:rsid w:val="000C0C76"/>
    <w:rsid w:val="000C6DAB"/>
    <w:rsid w:val="000D7809"/>
    <w:rsid w:val="000E6B10"/>
    <w:rsid w:val="000F376A"/>
    <w:rsid w:val="000F4B07"/>
    <w:rsid w:val="00100029"/>
    <w:rsid w:val="00102FAA"/>
    <w:rsid w:val="00104C36"/>
    <w:rsid w:val="00105691"/>
    <w:rsid w:val="0011084F"/>
    <w:rsid w:val="00110EE6"/>
    <w:rsid w:val="0011266B"/>
    <w:rsid w:val="00113D6A"/>
    <w:rsid w:val="001178D6"/>
    <w:rsid w:val="00121E80"/>
    <w:rsid w:val="00125FBE"/>
    <w:rsid w:val="00126940"/>
    <w:rsid w:val="00126E59"/>
    <w:rsid w:val="00130F9E"/>
    <w:rsid w:val="00131893"/>
    <w:rsid w:val="00133C13"/>
    <w:rsid w:val="00133DAC"/>
    <w:rsid w:val="00134024"/>
    <w:rsid w:val="00135F7F"/>
    <w:rsid w:val="0014241E"/>
    <w:rsid w:val="001442B3"/>
    <w:rsid w:val="00145626"/>
    <w:rsid w:val="001456BE"/>
    <w:rsid w:val="00151020"/>
    <w:rsid w:val="00151FA9"/>
    <w:rsid w:val="00152032"/>
    <w:rsid w:val="001529FC"/>
    <w:rsid w:val="00155222"/>
    <w:rsid w:val="00157C2E"/>
    <w:rsid w:val="00164337"/>
    <w:rsid w:val="00166A58"/>
    <w:rsid w:val="0016752E"/>
    <w:rsid w:val="00170292"/>
    <w:rsid w:val="00171212"/>
    <w:rsid w:val="00171284"/>
    <w:rsid w:val="0017161F"/>
    <w:rsid w:val="00172C6F"/>
    <w:rsid w:val="00175E86"/>
    <w:rsid w:val="001767F7"/>
    <w:rsid w:val="001776FD"/>
    <w:rsid w:val="00180EED"/>
    <w:rsid w:val="0018760F"/>
    <w:rsid w:val="0019160F"/>
    <w:rsid w:val="00191CA1"/>
    <w:rsid w:val="00191DEB"/>
    <w:rsid w:val="00192367"/>
    <w:rsid w:val="00194FD0"/>
    <w:rsid w:val="00196796"/>
    <w:rsid w:val="00197F40"/>
    <w:rsid w:val="001A2512"/>
    <w:rsid w:val="001A276E"/>
    <w:rsid w:val="001A3121"/>
    <w:rsid w:val="001A37CE"/>
    <w:rsid w:val="001A4717"/>
    <w:rsid w:val="001A77E4"/>
    <w:rsid w:val="001B0741"/>
    <w:rsid w:val="001B1408"/>
    <w:rsid w:val="001B1D12"/>
    <w:rsid w:val="001B20CA"/>
    <w:rsid w:val="001B2BD0"/>
    <w:rsid w:val="001B45EF"/>
    <w:rsid w:val="001C24A2"/>
    <w:rsid w:val="001C264B"/>
    <w:rsid w:val="001C268E"/>
    <w:rsid w:val="001C2C6D"/>
    <w:rsid w:val="001C4DF0"/>
    <w:rsid w:val="001C577F"/>
    <w:rsid w:val="001C70F5"/>
    <w:rsid w:val="001C748A"/>
    <w:rsid w:val="001C7C8D"/>
    <w:rsid w:val="001D1BBB"/>
    <w:rsid w:val="001D21F6"/>
    <w:rsid w:val="001D32D1"/>
    <w:rsid w:val="001D491B"/>
    <w:rsid w:val="001D57C2"/>
    <w:rsid w:val="001E1EA8"/>
    <w:rsid w:val="001E335F"/>
    <w:rsid w:val="001E4321"/>
    <w:rsid w:val="001E4BC9"/>
    <w:rsid w:val="001E4D2F"/>
    <w:rsid w:val="001F07B0"/>
    <w:rsid w:val="001F16C4"/>
    <w:rsid w:val="001F3C99"/>
    <w:rsid w:val="001F4901"/>
    <w:rsid w:val="001F6F83"/>
    <w:rsid w:val="00201584"/>
    <w:rsid w:val="002032B0"/>
    <w:rsid w:val="0020612F"/>
    <w:rsid w:val="00206394"/>
    <w:rsid w:val="0021172A"/>
    <w:rsid w:val="00212E8B"/>
    <w:rsid w:val="00213ABD"/>
    <w:rsid w:val="00214800"/>
    <w:rsid w:val="00214A72"/>
    <w:rsid w:val="00215CBE"/>
    <w:rsid w:val="002162F5"/>
    <w:rsid w:val="0021711C"/>
    <w:rsid w:val="0022274C"/>
    <w:rsid w:val="00225ED4"/>
    <w:rsid w:val="0022605F"/>
    <w:rsid w:val="00231C26"/>
    <w:rsid w:val="00231C2D"/>
    <w:rsid w:val="00232E95"/>
    <w:rsid w:val="00236F4C"/>
    <w:rsid w:val="00237BBE"/>
    <w:rsid w:val="00240144"/>
    <w:rsid w:val="00240793"/>
    <w:rsid w:val="002443B9"/>
    <w:rsid w:val="00245759"/>
    <w:rsid w:val="00251368"/>
    <w:rsid w:val="00253F45"/>
    <w:rsid w:val="002549C7"/>
    <w:rsid w:val="00255444"/>
    <w:rsid w:val="002556EC"/>
    <w:rsid w:val="002604EB"/>
    <w:rsid w:val="00260CBB"/>
    <w:rsid w:val="00264E43"/>
    <w:rsid w:val="00267930"/>
    <w:rsid w:val="00270D62"/>
    <w:rsid w:val="0027304F"/>
    <w:rsid w:val="00273BD7"/>
    <w:rsid w:val="002766DD"/>
    <w:rsid w:val="00277A1C"/>
    <w:rsid w:val="00280A04"/>
    <w:rsid w:val="00282426"/>
    <w:rsid w:val="00291CBA"/>
    <w:rsid w:val="00292A2B"/>
    <w:rsid w:val="00292DAA"/>
    <w:rsid w:val="00293ABA"/>
    <w:rsid w:val="0029582F"/>
    <w:rsid w:val="00297666"/>
    <w:rsid w:val="00297752"/>
    <w:rsid w:val="00297E51"/>
    <w:rsid w:val="002A0E0C"/>
    <w:rsid w:val="002A18AD"/>
    <w:rsid w:val="002A4470"/>
    <w:rsid w:val="002A75EA"/>
    <w:rsid w:val="002B2E01"/>
    <w:rsid w:val="002B3D9D"/>
    <w:rsid w:val="002B6B40"/>
    <w:rsid w:val="002C038F"/>
    <w:rsid w:val="002C6767"/>
    <w:rsid w:val="002D291D"/>
    <w:rsid w:val="002D6202"/>
    <w:rsid w:val="002D6D3D"/>
    <w:rsid w:val="002E15CE"/>
    <w:rsid w:val="002F2991"/>
    <w:rsid w:val="002F3160"/>
    <w:rsid w:val="002F4120"/>
    <w:rsid w:val="002F5016"/>
    <w:rsid w:val="002F551A"/>
    <w:rsid w:val="002F732B"/>
    <w:rsid w:val="00302793"/>
    <w:rsid w:val="00305F9B"/>
    <w:rsid w:val="00310C92"/>
    <w:rsid w:val="003142DC"/>
    <w:rsid w:val="00315120"/>
    <w:rsid w:val="00315E37"/>
    <w:rsid w:val="00321979"/>
    <w:rsid w:val="00322885"/>
    <w:rsid w:val="003311AA"/>
    <w:rsid w:val="003327C5"/>
    <w:rsid w:val="00335DAA"/>
    <w:rsid w:val="00337963"/>
    <w:rsid w:val="003413D8"/>
    <w:rsid w:val="00342FCC"/>
    <w:rsid w:val="00346799"/>
    <w:rsid w:val="0035056B"/>
    <w:rsid w:val="0035345F"/>
    <w:rsid w:val="00355D41"/>
    <w:rsid w:val="00356043"/>
    <w:rsid w:val="00362B06"/>
    <w:rsid w:val="003630C8"/>
    <w:rsid w:val="00364455"/>
    <w:rsid w:val="0036490B"/>
    <w:rsid w:val="00372BEA"/>
    <w:rsid w:val="00374612"/>
    <w:rsid w:val="00376C61"/>
    <w:rsid w:val="00377E7E"/>
    <w:rsid w:val="00377EB2"/>
    <w:rsid w:val="00382527"/>
    <w:rsid w:val="003827D6"/>
    <w:rsid w:val="003828CF"/>
    <w:rsid w:val="003846B3"/>
    <w:rsid w:val="00390232"/>
    <w:rsid w:val="00390EFC"/>
    <w:rsid w:val="00391577"/>
    <w:rsid w:val="0039371D"/>
    <w:rsid w:val="003A2221"/>
    <w:rsid w:val="003A3768"/>
    <w:rsid w:val="003A3C15"/>
    <w:rsid w:val="003A3ED7"/>
    <w:rsid w:val="003B0CB8"/>
    <w:rsid w:val="003B12D1"/>
    <w:rsid w:val="003B2F55"/>
    <w:rsid w:val="003C09A1"/>
    <w:rsid w:val="003C1E30"/>
    <w:rsid w:val="003C25FB"/>
    <w:rsid w:val="003C438D"/>
    <w:rsid w:val="003C7CCB"/>
    <w:rsid w:val="003D05C9"/>
    <w:rsid w:val="003D0FE8"/>
    <w:rsid w:val="003D19AE"/>
    <w:rsid w:val="003D759B"/>
    <w:rsid w:val="003E415C"/>
    <w:rsid w:val="003E48D8"/>
    <w:rsid w:val="003F089E"/>
    <w:rsid w:val="003F19F9"/>
    <w:rsid w:val="003F6A7B"/>
    <w:rsid w:val="003F6C44"/>
    <w:rsid w:val="004049A4"/>
    <w:rsid w:val="0040558C"/>
    <w:rsid w:val="00405657"/>
    <w:rsid w:val="00414A99"/>
    <w:rsid w:val="00416038"/>
    <w:rsid w:val="004174C5"/>
    <w:rsid w:val="00421B4D"/>
    <w:rsid w:val="004224CA"/>
    <w:rsid w:val="00423E8C"/>
    <w:rsid w:val="0042517E"/>
    <w:rsid w:val="0043052F"/>
    <w:rsid w:val="004315B6"/>
    <w:rsid w:val="0043272C"/>
    <w:rsid w:val="00433BD2"/>
    <w:rsid w:val="00434F30"/>
    <w:rsid w:val="00436C7A"/>
    <w:rsid w:val="00445A8B"/>
    <w:rsid w:val="004533D2"/>
    <w:rsid w:val="00455A29"/>
    <w:rsid w:val="00456DF5"/>
    <w:rsid w:val="0045749E"/>
    <w:rsid w:val="00460829"/>
    <w:rsid w:val="00463D30"/>
    <w:rsid w:val="00466145"/>
    <w:rsid w:val="00467043"/>
    <w:rsid w:val="004679AD"/>
    <w:rsid w:val="00467FDA"/>
    <w:rsid w:val="004730CE"/>
    <w:rsid w:val="00474477"/>
    <w:rsid w:val="0047618D"/>
    <w:rsid w:val="00477BE6"/>
    <w:rsid w:val="004822AC"/>
    <w:rsid w:val="004904C5"/>
    <w:rsid w:val="004A6D5F"/>
    <w:rsid w:val="004B0E62"/>
    <w:rsid w:val="004B3C9A"/>
    <w:rsid w:val="004B4CA3"/>
    <w:rsid w:val="004C238C"/>
    <w:rsid w:val="004C3F27"/>
    <w:rsid w:val="004C48C2"/>
    <w:rsid w:val="004D2F70"/>
    <w:rsid w:val="004D69E0"/>
    <w:rsid w:val="004D7A06"/>
    <w:rsid w:val="004E0A90"/>
    <w:rsid w:val="004E3D6E"/>
    <w:rsid w:val="004E4C7A"/>
    <w:rsid w:val="004E5027"/>
    <w:rsid w:val="004E6D9A"/>
    <w:rsid w:val="004F0066"/>
    <w:rsid w:val="004F0105"/>
    <w:rsid w:val="004F05A6"/>
    <w:rsid w:val="004F2B50"/>
    <w:rsid w:val="004F39AA"/>
    <w:rsid w:val="004F440A"/>
    <w:rsid w:val="004F68E0"/>
    <w:rsid w:val="005018FC"/>
    <w:rsid w:val="00510538"/>
    <w:rsid w:val="00514768"/>
    <w:rsid w:val="00514A55"/>
    <w:rsid w:val="005153CE"/>
    <w:rsid w:val="0051562E"/>
    <w:rsid w:val="00515D0C"/>
    <w:rsid w:val="00516699"/>
    <w:rsid w:val="00520415"/>
    <w:rsid w:val="00520865"/>
    <w:rsid w:val="0052166E"/>
    <w:rsid w:val="005235B9"/>
    <w:rsid w:val="0052366C"/>
    <w:rsid w:val="0052640E"/>
    <w:rsid w:val="00530E37"/>
    <w:rsid w:val="00530F57"/>
    <w:rsid w:val="0053159F"/>
    <w:rsid w:val="00531678"/>
    <w:rsid w:val="005336C7"/>
    <w:rsid w:val="00535291"/>
    <w:rsid w:val="00540D47"/>
    <w:rsid w:val="005424AF"/>
    <w:rsid w:val="005433FD"/>
    <w:rsid w:val="0054472C"/>
    <w:rsid w:val="005505C3"/>
    <w:rsid w:val="00551BAE"/>
    <w:rsid w:val="00552355"/>
    <w:rsid w:val="00552674"/>
    <w:rsid w:val="00553A24"/>
    <w:rsid w:val="0055409E"/>
    <w:rsid w:val="005562E8"/>
    <w:rsid w:val="00561182"/>
    <w:rsid w:val="00561EE8"/>
    <w:rsid w:val="005622D4"/>
    <w:rsid w:val="0056509E"/>
    <w:rsid w:val="0056715E"/>
    <w:rsid w:val="005721A8"/>
    <w:rsid w:val="00573DE5"/>
    <w:rsid w:val="00575A23"/>
    <w:rsid w:val="00582588"/>
    <w:rsid w:val="00582C32"/>
    <w:rsid w:val="005833F1"/>
    <w:rsid w:val="00583D27"/>
    <w:rsid w:val="00584CC9"/>
    <w:rsid w:val="00585116"/>
    <w:rsid w:val="00585E05"/>
    <w:rsid w:val="00586884"/>
    <w:rsid w:val="00595FA6"/>
    <w:rsid w:val="005972E5"/>
    <w:rsid w:val="00597C1B"/>
    <w:rsid w:val="005B3235"/>
    <w:rsid w:val="005C5B8F"/>
    <w:rsid w:val="005D324A"/>
    <w:rsid w:val="005D4A1E"/>
    <w:rsid w:val="005E16B5"/>
    <w:rsid w:val="005E2079"/>
    <w:rsid w:val="005E3041"/>
    <w:rsid w:val="005E3E75"/>
    <w:rsid w:val="005E3F94"/>
    <w:rsid w:val="005E5251"/>
    <w:rsid w:val="005F3678"/>
    <w:rsid w:val="005F3795"/>
    <w:rsid w:val="005F614B"/>
    <w:rsid w:val="00601948"/>
    <w:rsid w:val="00602FA0"/>
    <w:rsid w:val="00603790"/>
    <w:rsid w:val="00604831"/>
    <w:rsid w:val="00605F35"/>
    <w:rsid w:val="006074C7"/>
    <w:rsid w:val="0061484D"/>
    <w:rsid w:val="00614D73"/>
    <w:rsid w:val="0061576C"/>
    <w:rsid w:val="00615CDC"/>
    <w:rsid w:val="00615F5E"/>
    <w:rsid w:val="006169D1"/>
    <w:rsid w:val="00622177"/>
    <w:rsid w:val="006237C1"/>
    <w:rsid w:val="00624096"/>
    <w:rsid w:val="006245DA"/>
    <w:rsid w:val="006278FF"/>
    <w:rsid w:val="00630B39"/>
    <w:rsid w:val="00632FB3"/>
    <w:rsid w:val="00642B4F"/>
    <w:rsid w:val="0064568E"/>
    <w:rsid w:val="00650132"/>
    <w:rsid w:val="006528EA"/>
    <w:rsid w:val="00653121"/>
    <w:rsid w:val="00653568"/>
    <w:rsid w:val="00662E65"/>
    <w:rsid w:val="0067097D"/>
    <w:rsid w:val="00670DAC"/>
    <w:rsid w:val="00675E3C"/>
    <w:rsid w:val="00676726"/>
    <w:rsid w:val="006767A8"/>
    <w:rsid w:val="00676D4A"/>
    <w:rsid w:val="00682246"/>
    <w:rsid w:val="006838C5"/>
    <w:rsid w:val="006840E0"/>
    <w:rsid w:val="006858C2"/>
    <w:rsid w:val="006866DF"/>
    <w:rsid w:val="00686A5A"/>
    <w:rsid w:val="00692900"/>
    <w:rsid w:val="00694632"/>
    <w:rsid w:val="00695BAF"/>
    <w:rsid w:val="0069640E"/>
    <w:rsid w:val="006A2B23"/>
    <w:rsid w:val="006A3DC0"/>
    <w:rsid w:val="006A3F11"/>
    <w:rsid w:val="006A6E22"/>
    <w:rsid w:val="006B19AB"/>
    <w:rsid w:val="006B53EA"/>
    <w:rsid w:val="006B66FD"/>
    <w:rsid w:val="006B77B0"/>
    <w:rsid w:val="006C011E"/>
    <w:rsid w:val="006C14EB"/>
    <w:rsid w:val="006C46C9"/>
    <w:rsid w:val="006C6551"/>
    <w:rsid w:val="006D0CAF"/>
    <w:rsid w:val="006D151C"/>
    <w:rsid w:val="006D3194"/>
    <w:rsid w:val="006D4388"/>
    <w:rsid w:val="006D5B4D"/>
    <w:rsid w:val="006D6E5B"/>
    <w:rsid w:val="006D784C"/>
    <w:rsid w:val="006D7F6E"/>
    <w:rsid w:val="006E0FDC"/>
    <w:rsid w:val="006E5517"/>
    <w:rsid w:val="006E689A"/>
    <w:rsid w:val="006F1297"/>
    <w:rsid w:val="006F283E"/>
    <w:rsid w:val="006F567B"/>
    <w:rsid w:val="006F78A4"/>
    <w:rsid w:val="007005B1"/>
    <w:rsid w:val="00700BCC"/>
    <w:rsid w:val="007028D5"/>
    <w:rsid w:val="00705D98"/>
    <w:rsid w:val="00705DFA"/>
    <w:rsid w:val="00710DA3"/>
    <w:rsid w:val="0071376E"/>
    <w:rsid w:val="00714298"/>
    <w:rsid w:val="00714AEE"/>
    <w:rsid w:val="0071660F"/>
    <w:rsid w:val="00720DCD"/>
    <w:rsid w:val="00721256"/>
    <w:rsid w:val="00723129"/>
    <w:rsid w:val="00724775"/>
    <w:rsid w:val="00740E19"/>
    <w:rsid w:val="007466DE"/>
    <w:rsid w:val="00752A12"/>
    <w:rsid w:val="00754170"/>
    <w:rsid w:val="0076121C"/>
    <w:rsid w:val="00761591"/>
    <w:rsid w:val="00762884"/>
    <w:rsid w:val="00764FA4"/>
    <w:rsid w:val="007706B9"/>
    <w:rsid w:val="00770A7F"/>
    <w:rsid w:val="00774708"/>
    <w:rsid w:val="00774C6F"/>
    <w:rsid w:val="00777F19"/>
    <w:rsid w:val="0078252E"/>
    <w:rsid w:val="00785513"/>
    <w:rsid w:val="00787225"/>
    <w:rsid w:val="00787A29"/>
    <w:rsid w:val="00790A12"/>
    <w:rsid w:val="00795A1C"/>
    <w:rsid w:val="00797F54"/>
    <w:rsid w:val="007A14FE"/>
    <w:rsid w:val="007A34EF"/>
    <w:rsid w:val="007B1DF5"/>
    <w:rsid w:val="007B2FF5"/>
    <w:rsid w:val="007B3F7D"/>
    <w:rsid w:val="007B5078"/>
    <w:rsid w:val="007B597B"/>
    <w:rsid w:val="007B71C6"/>
    <w:rsid w:val="007B7CAD"/>
    <w:rsid w:val="007C47D3"/>
    <w:rsid w:val="007C4919"/>
    <w:rsid w:val="007C5178"/>
    <w:rsid w:val="007C5391"/>
    <w:rsid w:val="007C5A8B"/>
    <w:rsid w:val="007C747A"/>
    <w:rsid w:val="007C75DF"/>
    <w:rsid w:val="007D07BF"/>
    <w:rsid w:val="007D1AF5"/>
    <w:rsid w:val="007D1D7A"/>
    <w:rsid w:val="007D2BC8"/>
    <w:rsid w:val="007D41BB"/>
    <w:rsid w:val="007D798E"/>
    <w:rsid w:val="007E13E6"/>
    <w:rsid w:val="007E50F2"/>
    <w:rsid w:val="007F0D26"/>
    <w:rsid w:val="007F29A5"/>
    <w:rsid w:val="007F556C"/>
    <w:rsid w:val="007F7100"/>
    <w:rsid w:val="00806997"/>
    <w:rsid w:val="00806B5C"/>
    <w:rsid w:val="008131BD"/>
    <w:rsid w:val="0081662A"/>
    <w:rsid w:val="0081693F"/>
    <w:rsid w:val="00820AE2"/>
    <w:rsid w:val="00820C0A"/>
    <w:rsid w:val="008215C7"/>
    <w:rsid w:val="00823EBD"/>
    <w:rsid w:val="00823FF4"/>
    <w:rsid w:val="00824519"/>
    <w:rsid w:val="00824C66"/>
    <w:rsid w:val="00830AF4"/>
    <w:rsid w:val="0083104C"/>
    <w:rsid w:val="00831975"/>
    <w:rsid w:val="008343BD"/>
    <w:rsid w:val="00840CE1"/>
    <w:rsid w:val="00841B92"/>
    <w:rsid w:val="00842023"/>
    <w:rsid w:val="008422F9"/>
    <w:rsid w:val="00844575"/>
    <w:rsid w:val="0084726D"/>
    <w:rsid w:val="008502D8"/>
    <w:rsid w:val="00851314"/>
    <w:rsid w:val="00855922"/>
    <w:rsid w:val="008571E3"/>
    <w:rsid w:val="0085755D"/>
    <w:rsid w:val="008613F6"/>
    <w:rsid w:val="00864628"/>
    <w:rsid w:val="00867CA9"/>
    <w:rsid w:val="00874DC2"/>
    <w:rsid w:val="00875FCA"/>
    <w:rsid w:val="008838C2"/>
    <w:rsid w:val="00885A7B"/>
    <w:rsid w:val="00892635"/>
    <w:rsid w:val="00892E1B"/>
    <w:rsid w:val="008A0B17"/>
    <w:rsid w:val="008A3A37"/>
    <w:rsid w:val="008A65FB"/>
    <w:rsid w:val="008B5A1C"/>
    <w:rsid w:val="008B6B63"/>
    <w:rsid w:val="008B7329"/>
    <w:rsid w:val="008C01DE"/>
    <w:rsid w:val="008C3A73"/>
    <w:rsid w:val="008C3D38"/>
    <w:rsid w:val="008C53BE"/>
    <w:rsid w:val="008C5BCE"/>
    <w:rsid w:val="008D02FD"/>
    <w:rsid w:val="008D0676"/>
    <w:rsid w:val="008D095E"/>
    <w:rsid w:val="008D27DB"/>
    <w:rsid w:val="008D4BCF"/>
    <w:rsid w:val="008D4E07"/>
    <w:rsid w:val="008D5F33"/>
    <w:rsid w:val="008D7600"/>
    <w:rsid w:val="008E006D"/>
    <w:rsid w:val="008E2AD8"/>
    <w:rsid w:val="008E3659"/>
    <w:rsid w:val="008E7399"/>
    <w:rsid w:val="008F02F4"/>
    <w:rsid w:val="008F31A8"/>
    <w:rsid w:val="008F3F4F"/>
    <w:rsid w:val="008F6091"/>
    <w:rsid w:val="008F7634"/>
    <w:rsid w:val="00900174"/>
    <w:rsid w:val="00906FA4"/>
    <w:rsid w:val="009105C5"/>
    <w:rsid w:val="00913497"/>
    <w:rsid w:val="00917C0B"/>
    <w:rsid w:val="00920F7B"/>
    <w:rsid w:val="0092101C"/>
    <w:rsid w:val="0092394F"/>
    <w:rsid w:val="00923D9F"/>
    <w:rsid w:val="00924FE4"/>
    <w:rsid w:val="0092527A"/>
    <w:rsid w:val="00926549"/>
    <w:rsid w:val="00926768"/>
    <w:rsid w:val="0093155C"/>
    <w:rsid w:val="00933C67"/>
    <w:rsid w:val="00934F8B"/>
    <w:rsid w:val="009360AB"/>
    <w:rsid w:val="0094200E"/>
    <w:rsid w:val="00942A0A"/>
    <w:rsid w:val="009433E5"/>
    <w:rsid w:val="00943434"/>
    <w:rsid w:val="009447C9"/>
    <w:rsid w:val="00944EF6"/>
    <w:rsid w:val="00950AA7"/>
    <w:rsid w:val="009526D2"/>
    <w:rsid w:val="00955748"/>
    <w:rsid w:val="00956E5F"/>
    <w:rsid w:val="00960DD1"/>
    <w:rsid w:val="00962C48"/>
    <w:rsid w:val="0096311D"/>
    <w:rsid w:val="00964950"/>
    <w:rsid w:val="0096590A"/>
    <w:rsid w:val="00967244"/>
    <w:rsid w:val="00967C52"/>
    <w:rsid w:val="0097096A"/>
    <w:rsid w:val="00974540"/>
    <w:rsid w:val="00976991"/>
    <w:rsid w:val="00980A82"/>
    <w:rsid w:val="00981E9F"/>
    <w:rsid w:val="009832F7"/>
    <w:rsid w:val="00983F8E"/>
    <w:rsid w:val="00984190"/>
    <w:rsid w:val="00984531"/>
    <w:rsid w:val="00986D19"/>
    <w:rsid w:val="0099142A"/>
    <w:rsid w:val="0099236E"/>
    <w:rsid w:val="00992D2E"/>
    <w:rsid w:val="00992F01"/>
    <w:rsid w:val="009930CA"/>
    <w:rsid w:val="009962A6"/>
    <w:rsid w:val="009962AD"/>
    <w:rsid w:val="00996BAB"/>
    <w:rsid w:val="009A1574"/>
    <w:rsid w:val="009A22F7"/>
    <w:rsid w:val="009A73DE"/>
    <w:rsid w:val="009C075B"/>
    <w:rsid w:val="009C6986"/>
    <w:rsid w:val="009D373F"/>
    <w:rsid w:val="009D42CE"/>
    <w:rsid w:val="009D6575"/>
    <w:rsid w:val="009D6A27"/>
    <w:rsid w:val="009E07DE"/>
    <w:rsid w:val="009E1A57"/>
    <w:rsid w:val="009E269E"/>
    <w:rsid w:val="009E3837"/>
    <w:rsid w:val="009E4605"/>
    <w:rsid w:val="009F39A7"/>
    <w:rsid w:val="009F3F65"/>
    <w:rsid w:val="009F6895"/>
    <w:rsid w:val="009F6E72"/>
    <w:rsid w:val="00A037FC"/>
    <w:rsid w:val="00A03827"/>
    <w:rsid w:val="00A06EF5"/>
    <w:rsid w:val="00A13BC1"/>
    <w:rsid w:val="00A15036"/>
    <w:rsid w:val="00A15B3A"/>
    <w:rsid w:val="00A215EB"/>
    <w:rsid w:val="00A32E4C"/>
    <w:rsid w:val="00A4208A"/>
    <w:rsid w:val="00A432BF"/>
    <w:rsid w:val="00A45E82"/>
    <w:rsid w:val="00A4650D"/>
    <w:rsid w:val="00A465B2"/>
    <w:rsid w:val="00A475AD"/>
    <w:rsid w:val="00A47BC9"/>
    <w:rsid w:val="00A518B0"/>
    <w:rsid w:val="00A5700B"/>
    <w:rsid w:val="00A65201"/>
    <w:rsid w:val="00A73559"/>
    <w:rsid w:val="00A74802"/>
    <w:rsid w:val="00A75809"/>
    <w:rsid w:val="00A75A43"/>
    <w:rsid w:val="00A82A4C"/>
    <w:rsid w:val="00A84545"/>
    <w:rsid w:val="00A90905"/>
    <w:rsid w:val="00A93F9B"/>
    <w:rsid w:val="00A9512F"/>
    <w:rsid w:val="00AA262F"/>
    <w:rsid w:val="00AA4815"/>
    <w:rsid w:val="00AA744D"/>
    <w:rsid w:val="00AB3088"/>
    <w:rsid w:val="00AB41B6"/>
    <w:rsid w:val="00AB56BA"/>
    <w:rsid w:val="00AC1F42"/>
    <w:rsid w:val="00AC46DE"/>
    <w:rsid w:val="00AD0AA5"/>
    <w:rsid w:val="00AD2323"/>
    <w:rsid w:val="00AD46BA"/>
    <w:rsid w:val="00AD4A80"/>
    <w:rsid w:val="00AD791D"/>
    <w:rsid w:val="00AD7CE9"/>
    <w:rsid w:val="00AE237D"/>
    <w:rsid w:val="00AE3547"/>
    <w:rsid w:val="00AE375C"/>
    <w:rsid w:val="00AE6918"/>
    <w:rsid w:val="00AF01A4"/>
    <w:rsid w:val="00AF24F4"/>
    <w:rsid w:val="00AF3A4B"/>
    <w:rsid w:val="00AF4363"/>
    <w:rsid w:val="00AF60B0"/>
    <w:rsid w:val="00AF6F04"/>
    <w:rsid w:val="00B01ED2"/>
    <w:rsid w:val="00B124DD"/>
    <w:rsid w:val="00B12813"/>
    <w:rsid w:val="00B12A4E"/>
    <w:rsid w:val="00B20252"/>
    <w:rsid w:val="00B23B1A"/>
    <w:rsid w:val="00B24146"/>
    <w:rsid w:val="00B278A8"/>
    <w:rsid w:val="00B309FD"/>
    <w:rsid w:val="00B34207"/>
    <w:rsid w:val="00B34BAB"/>
    <w:rsid w:val="00B34C18"/>
    <w:rsid w:val="00B36918"/>
    <w:rsid w:val="00B37D65"/>
    <w:rsid w:val="00B40B24"/>
    <w:rsid w:val="00B44BE2"/>
    <w:rsid w:val="00B45410"/>
    <w:rsid w:val="00B4581C"/>
    <w:rsid w:val="00B52D07"/>
    <w:rsid w:val="00B53C40"/>
    <w:rsid w:val="00B559A5"/>
    <w:rsid w:val="00B56240"/>
    <w:rsid w:val="00B56A5A"/>
    <w:rsid w:val="00B570EC"/>
    <w:rsid w:val="00B6080A"/>
    <w:rsid w:val="00B639F8"/>
    <w:rsid w:val="00B65288"/>
    <w:rsid w:val="00B73056"/>
    <w:rsid w:val="00B737C6"/>
    <w:rsid w:val="00B83AFB"/>
    <w:rsid w:val="00B84FDF"/>
    <w:rsid w:val="00B86A14"/>
    <w:rsid w:val="00B87221"/>
    <w:rsid w:val="00B90230"/>
    <w:rsid w:val="00B937A4"/>
    <w:rsid w:val="00B94475"/>
    <w:rsid w:val="00B94CD4"/>
    <w:rsid w:val="00BA018C"/>
    <w:rsid w:val="00BA1912"/>
    <w:rsid w:val="00BA2468"/>
    <w:rsid w:val="00BA76D1"/>
    <w:rsid w:val="00BA7921"/>
    <w:rsid w:val="00BA7958"/>
    <w:rsid w:val="00BB1B67"/>
    <w:rsid w:val="00BB6EEF"/>
    <w:rsid w:val="00BB7F89"/>
    <w:rsid w:val="00BC099F"/>
    <w:rsid w:val="00BC3EC5"/>
    <w:rsid w:val="00BC48E4"/>
    <w:rsid w:val="00BD0C17"/>
    <w:rsid w:val="00BD1356"/>
    <w:rsid w:val="00BD3F3E"/>
    <w:rsid w:val="00BD49B5"/>
    <w:rsid w:val="00BD6381"/>
    <w:rsid w:val="00BE16B7"/>
    <w:rsid w:val="00BE249B"/>
    <w:rsid w:val="00BE4C5F"/>
    <w:rsid w:val="00BF010A"/>
    <w:rsid w:val="00BF1682"/>
    <w:rsid w:val="00BF19E2"/>
    <w:rsid w:val="00BF205D"/>
    <w:rsid w:val="00BF2704"/>
    <w:rsid w:val="00BF35D7"/>
    <w:rsid w:val="00BF46AB"/>
    <w:rsid w:val="00C00FE5"/>
    <w:rsid w:val="00C02574"/>
    <w:rsid w:val="00C02EE8"/>
    <w:rsid w:val="00C04B03"/>
    <w:rsid w:val="00C04C1D"/>
    <w:rsid w:val="00C0581A"/>
    <w:rsid w:val="00C05BC2"/>
    <w:rsid w:val="00C128E1"/>
    <w:rsid w:val="00C144E0"/>
    <w:rsid w:val="00C15271"/>
    <w:rsid w:val="00C16A3F"/>
    <w:rsid w:val="00C257BA"/>
    <w:rsid w:val="00C264A7"/>
    <w:rsid w:val="00C327DB"/>
    <w:rsid w:val="00C32B78"/>
    <w:rsid w:val="00C34259"/>
    <w:rsid w:val="00C356AB"/>
    <w:rsid w:val="00C35FBD"/>
    <w:rsid w:val="00C401C3"/>
    <w:rsid w:val="00C4498D"/>
    <w:rsid w:val="00C45E2A"/>
    <w:rsid w:val="00C46AB5"/>
    <w:rsid w:val="00C50632"/>
    <w:rsid w:val="00C50BD5"/>
    <w:rsid w:val="00C51887"/>
    <w:rsid w:val="00C5313C"/>
    <w:rsid w:val="00C53EC6"/>
    <w:rsid w:val="00C566D2"/>
    <w:rsid w:val="00C57DFB"/>
    <w:rsid w:val="00C616C8"/>
    <w:rsid w:val="00C63D0A"/>
    <w:rsid w:val="00C672CF"/>
    <w:rsid w:val="00C73836"/>
    <w:rsid w:val="00C74694"/>
    <w:rsid w:val="00C80D66"/>
    <w:rsid w:val="00C81157"/>
    <w:rsid w:val="00C8394F"/>
    <w:rsid w:val="00C849AE"/>
    <w:rsid w:val="00C855E3"/>
    <w:rsid w:val="00C87059"/>
    <w:rsid w:val="00C92481"/>
    <w:rsid w:val="00C92538"/>
    <w:rsid w:val="00C92E0B"/>
    <w:rsid w:val="00C9305C"/>
    <w:rsid w:val="00C94187"/>
    <w:rsid w:val="00C94E04"/>
    <w:rsid w:val="00C95867"/>
    <w:rsid w:val="00C97EF7"/>
    <w:rsid w:val="00CA53E0"/>
    <w:rsid w:val="00CB0109"/>
    <w:rsid w:val="00CB0222"/>
    <w:rsid w:val="00CB0631"/>
    <w:rsid w:val="00CB62AB"/>
    <w:rsid w:val="00CC099A"/>
    <w:rsid w:val="00CC10A8"/>
    <w:rsid w:val="00CC3531"/>
    <w:rsid w:val="00CC5F36"/>
    <w:rsid w:val="00CD03CE"/>
    <w:rsid w:val="00CD3778"/>
    <w:rsid w:val="00CD40EA"/>
    <w:rsid w:val="00CD5FF1"/>
    <w:rsid w:val="00CD794D"/>
    <w:rsid w:val="00CE1C14"/>
    <w:rsid w:val="00CF037A"/>
    <w:rsid w:val="00CF245D"/>
    <w:rsid w:val="00CF3275"/>
    <w:rsid w:val="00CF59EF"/>
    <w:rsid w:val="00CF7788"/>
    <w:rsid w:val="00D006F3"/>
    <w:rsid w:val="00D0463F"/>
    <w:rsid w:val="00D053DF"/>
    <w:rsid w:val="00D06B78"/>
    <w:rsid w:val="00D152FE"/>
    <w:rsid w:val="00D2025A"/>
    <w:rsid w:val="00D20BD8"/>
    <w:rsid w:val="00D20C9B"/>
    <w:rsid w:val="00D23553"/>
    <w:rsid w:val="00D25F36"/>
    <w:rsid w:val="00D27258"/>
    <w:rsid w:val="00D30106"/>
    <w:rsid w:val="00D31416"/>
    <w:rsid w:val="00D34334"/>
    <w:rsid w:val="00D34C57"/>
    <w:rsid w:val="00D34E5B"/>
    <w:rsid w:val="00D409C1"/>
    <w:rsid w:val="00D412EC"/>
    <w:rsid w:val="00D417D9"/>
    <w:rsid w:val="00D42543"/>
    <w:rsid w:val="00D471FA"/>
    <w:rsid w:val="00D47821"/>
    <w:rsid w:val="00D511BE"/>
    <w:rsid w:val="00D5413A"/>
    <w:rsid w:val="00D609BF"/>
    <w:rsid w:val="00D610F4"/>
    <w:rsid w:val="00D61B39"/>
    <w:rsid w:val="00D63B34"/>
    <w:rsid w:val="00D647A3"/>
    <w:rsid w:val="00D64CD2"/>
    <w:rsid w:val="00D66945"/>
    <w:rsid w:val="00D72C35"/>
    <w:rsid w:val="00D72D07"/>
    <w:rsid w:val="00D81294"/>
    <w:rsid w:val="00D82526"/>
    <w:rsid w:val="00D85A69"/>
    <w:rsid w:val="00D92381"/>
    <w:rsid w:val="00D9498A"/>
    <w:rsid w:val="00DA06B5"/>
    <w:rsid w:val="00DA1551"/>
    <w:rsid w:val="00DA33E0"/>
    <w:rsid w:val="00DB0D73"/>
    <w:rsid w:val="00DB5430"/>
    <w:rsid w:val="00DB5D8D"/>
    <w:rsid w:val="00DC344A"/>
    <w:rsid w:val="00DC3FC6"/>
    <w:rsid w:val="00DC648C"/>
    <w:rsid w:val="00DD085E"/>
    <w:rsid w:val="00DD22A9"/>
    <w:rsid w:val="00DD36E1"/>
    <w:rsid w:val="00DD4D29"/>
    <w:rsid w:val="00DD56D1"/>
    <w:rsid w:val="00DD5A2B"/>
    <w:rsid w:val="00DD5AAA"/>
    <w:rsid w:val="00DD7634"/>
    <w:rsid w:val="00DE0DDB"/>
    <w:rsid w:val="00DE23D2"/>
    <w:rsid w:val="00DE2EE8"/>
    <w:rsid w:val="00DE47CC"/>
    <w:rsid w:val="00DF196C"/>
    <w:rsid w:val="00DF49A6"/>
    <w:rsid w:val="00DF4A8D"/>
    <w:rsid w:val="00E02E86"/>
    <w:rsid w:val="00E06DFE"/>
    <w:rsid w:val="00E0748B"/>
    <w:rsid w:val="00E11B3C"/>
    <w:rsid w:val="00E147AD"/>
    <w:rsid w:val="00E159DD"/>
    <w:rsid w:val="00E20FB2"/>
    <w:rsid w:val="00E211D7"/>
    <w:rsid w:val="00E217D6"/>
    <w:rsid w:val="00E26E78"/>
    <w:rsid w:val="00E30358"/>
    <w:rsid w:val="00E30F98"/>
    <w:rsid w:val="00E3329E"/>
    <w:rsid w:val="00E45E44"/>
    <w:rsid w:val="00E46893"/>
    <w:rsid w:val="00E47674"/>
    <w:rsid w:val="00E51F45"/>
    <w:rsid w:val="00E52F62"/>
    <w:rsid w:val="00E57436"/>
    <w:rsid w:val="00E62508"/>
    <w:rsid w:val="00E65620"/>
    <w:rsid w:val="00E66046"/>
    <w:rsid w:val="00E664FB"/>
    <w:rsid w:val="00E73997"/>
    <w:rsid w:val="00E74148"/>
    <w:rsid w:val="00E751D5"/>
    <w:rsid w:val="00E77E34"/>
    <w:rsid w:val="00E81AF6"/>
    <w:rsid w:val="00E85DF8"/>
    <w:rsid w:val="00E9032D"/>
    <w:rsid w:val="00E921CC"/>
    <w:rsid w:val="00E94000"/>
    <w:rsid w:val="00E94872"/>
    <w:rsid w:val="00EA26FD"/>
    <w:rsid w:val="00EA30A6"/>
    <w:rsid w:val="00EA3A4B"/>
    <w:rsid w:val="00EA42CF"/>
    <w:rsid w:val="00EA5E78"/>
    <w:rsid w:val="00EA79AF"/>
    <w:rsid w:val="00EA7BA0"/>
    <w:rsid w:val="00EB300E"/>
    <w:rsid w:val="00EB3471"/>
    <w:rsid w:val="00EC0287"/>
    <w:rsid w:val="00EC2166"/>
    <w:rsid w:val="00EC6C71"/>
    <w:rsid w:val="00EC7972"/>
    <w:rsid w:val="00ED3E14"/>
    <w:rsid w:val="00ED6CBF"/>
    <w:rsid w:val="00EE2191"/>
    <w:rsid w:val="00EE2C6F"/>
    <w:rsid w:val="00EE5354"/>
    <w:rsid w:val="00EE60EB"/>
    <w:rsid w:val="00EE659A"/>
    <w:rsid w:val="00EF1CD4"/>
    <w:rsid w:val="00EF4BDC"/>
    <w:rsid w:val="00F0112A"/>
    <w:rsid w:val="00F03855"/>
    <w:rsid w:val="00F040F2"/>
    <w:rsid w:val="00F0649B"/>
    <w:rsid w:val="00F12FF4"/>
    <w:rsid w:val="00F14196"/>
    <w:rsid w:val="00F14200"/>
    <w:rsid w:val="00F23BF4"/>
    <w:rsid w:val="00F23CB5"/>
    <w:rsid w:val="00F24189"/>
    <w:rsid w:val="00F2676F"/>
    <w:rsid w:val="00F31338"/>
    <w:rsid w:val="00F33E08"/>
    <w:rsid w:val="00F42787"/>
    <w:rsid w:val="00F4304B"/>
    <w:rsid w:val="00F43D00"/>
    <w:rsid w:val="00F53B85"/>
    <w:rsid w:val="00F55818"/>
    <w:rsid w:val="00F570EA"/>
    <w:rsid w:val="00F613E2"/>
    <w:rsid w:val="00F63977"/>
    <w:rsid w:val="00F65F45"/>
    <w:rsid w:val="00F66207"/>
    <w:rsid w:val="00F66D47"/>
    <w:rsid w:val="00F7517D"/>
    <w:rsid w:val="00F778B3"/>
    <w:rsid w:val="00F80090"/>
    <w:rsid w:val="00F801E6"/>
    <w:rsid w:val="00F80CC1"/>
    <w:rsid w:val="00F81113"/>
    <w:rsid w:val="00F812AA"/>
    <w:rsid w:val="00F835C3"/>
    <w:rsid w:val="00F85233"/>
    <w:rsid w:val="00F85B9D"/>
    <w:rsid w:val="00F86254"/>
    <w:rsid w:val="00F86276"/>
    <w:rsid w:val="00F87BE2"/>
    <w:rsid w:val="00F91D60"/>
    <w:rsid w:val="00F920DB"/>
    <w:rsid w:val="00F92801"/>
    <w:rsid w:val="00F93143"/>
    <w:rsid w:val="00F954EF"/>
    <w:rsid w:val="00F971B4"/>
    <w:rsid w:val="00FA2BA4"/>
    <w:rsid w:val="00FA30F4"/>
    <w:rsid w:val="00FA3261"/>
    <w:rsid w:val="00FA3311"/>
    <w:rsid w:val="00FA4805"/>
    <w:rsid w:val="00FA6DCA"/>
    <w:rsid w:val="00FA772C"/>
    <w:rsid w:val="00FB07C9"/>
    <w:rsid w:val="00FB25AA"/>
    <w:rsid w:val="00FB3C35"/>
    <w:rsid w:val="00FB6745"/>
    <w:rsid w:val="00FB734A"/>
    <w:rsid w:val="00FC0384"/>
    <w:rsid w:val="00FC0883"/>
    <w:rsid w:val="00FC2C78"/>
    <w:rsid w:val="00FC5C88"/>
    <w:rsid w:val="00FC60A8"/>
    <w:rsid w:val="00FD1832"/>
    <w:rsid w:val="00FD24E3"/>
    <w:rsid w:val="00FD40DF"/>
    <w:rsid w:val="00FD4289"/>
    <w:rsid w:val="00FD6665"/>
    <w:rsid w:val="00FD66A3"/>
    <w:rsid w:val="00FD7258"/>
    <w:rsid w:val="00FD742D"/>
    <w:rsid w:val="00FE14CA"/>
    <w:rsid w:val="00FE3987"/>
    <w:rsid w:val="00FE6722"/>
    <w:rsid w:val="00FE7CD4"/>
    <w:rsid w:val="00FF10BE"/>
    <w:rsid w:val="00FF1382"/>
    <w:rsid w:val="027B1514"/>
    <w:rsid w:val="03B039A9"/>
    <w:rsid w:val="055431E3"/>
    <w:rsid w:val="05E94CB3"/>
    <w:rsid w:val="067F0175"/>
    <w:rsid w:val="06D9B6CF"/>
    <w:rsid w:val="088B184F"/>
    <w:rsid w:val="0894669B"/>
    <w:rsid w:val="08C5AFA3"/>
    <w:rsid w:val="09970685"/>
    <w:rsid w:val="0A274E52"/>
    <w:rsid w:val="0A40F4BC"/>
    <w:rsid w:val="0AE8C4C1"/>
    <w:rsid w:val="0AEC56CE"/>
    <w:rsid w:val="0C00E272"/>
    <w:rsid w:val="107FE837"/>
    <w:rsid w:val="118F66A2"/>
    <w:rsid w:val="12D23E56"/>
    <w:rsid w:val="12E14E1E"/>
    <w:rsid w:val="136EFF02"/>
    <w:rsid w:val="158F10F5"/>
    <w:rsid w:val="159B90B0"/>
    <w:rsid w:val="180A0F49"/>
    <w:rsid w:val="1AC8CB2E"/>
    <w:rsid w:val="1B98464B"/>
    <w:rsid w:val="1BE483AC"/>
    <w:rsid w:val="2172D1A6"/>
    <w:rsid w:val="23695DDC"/>
    <w:rsid w:val="24465ECF"/>
    <w:rsid w:val="27A8E1F7"/>
    <w:rsid w:val="2849D696"/>
    <w:rsid w:val="2A549B4B"/>
    <w:rsid w:val="2A9A7FB8"/>
    <w:rsid w:val="2AF4C1B6"/>
    <w:rsid w:val="2E5FD15E"/>
    <w:rsid w:val="2E8244C7"/>
    <w:rsid w:val="2FA815B0"/>
    <w:rsid w:val="304D708A"/>
    <w:rsid w:val="30AC0CED"/>
    <w:rsid w:val="35268008"/>
    <w:rsid w:val="360F2D6A"/>
    <w:rsid w:val="36BBFFDE"/>
    <w:rsid w:val="36FF4B1D"/>
    <w:rsid w:val="3A2C08DC"/>
    <w:rsid w:val="3B261B4B"/>
    <w:rsid w:val="4158EADE"/>
    <w:rsid w:val="438EF4B2"/>
    <w:rsid w:val="44ABCDF1"/>
    <w:rsid w:val="44E315DE"/>
    <w:rsid w:val="4534A797"/>
    <w:rsid w:val="45CB4A9D"/>
    <w:rsid w:val="4632405B"/>
    <w:rsid w:val="47F02196"/>
    <w:rsid w:val="484740DA"/>
    <w:rsid w:val="4CF35D87"/>
    <w:rsid w:val="4DC408BC"/>
    <w:rsid w:val="4E259B97"/>
    <w:rsid w:val="4EBECB13"/>
    <w:rsid w:val="4F7A7BD0"/>
    <w:rsid w:val="51596200"/>
    <w:rsid w:val="52EDED55"/>
    <w:rsid w:val="53BDF162"/>
    <w:rsid w:val="54B30623"/>
    <w:rsid w:val="55179C29"/>
    <w:rsid w:val="55D19211"/>
    <w:rsid w:val="571B2223"/>
    <w:rsid w:val="579C7B10"/>
    <w:rsid w:val="57C760B6"/>
    <w:rsid w:val="584B6F77"/>
    <w:rsid w:val="5AB95519"/>
    <w:rsid w:val="5BF6B2A2"/>
    <w:rsid w:val="5DD4849A"/>
    <w:rsid w:val="5E3385A4"/>
    <w:rsid w:val="5F37B8CE"/>
    <w:rsid w:val="5FBA465D"/>
    <w:rsid w:val="601D8FAD"/>
    <w:rsid w:val="60E9FE2A"/>
    <w:rsid w:val="65890DEA"/>
    <w:rsid w:val="661AC450"/>
    <w:rsid w:val="66CA403C"/>
    <w:rsid w:val="66FA8585"/>
    <w:rsid w:val="67AA0171"/>
    <w:rsid w:val="68146486"/>
    <w:rsid w:val="6B176581"/>
    <w:rsid w:val="6B25938B"/>
    <w:rsid w:val="6BE3BA98"/>
    <w:rsid w:val="6BE58A73"/>
    <w:rsid w:val="6C06D68C"/>
    <w:rsid w:val="6C8E6DE7"/>
    <w:rsid w:val="6E19946E"/>
    <w:rsid w:val="70DF86BE"/>
    <w:rsid w:val="71674015"/>
    <w:rsid w:val="717244D6"/>
    <w:rsid w:val="718D971A"/>
    <w:rsid w:val="73317836"/>
    <w:rsid w:val="762B337B"/>
    <w:rsid w:val="76CA9363"/>
    <w:rsid w:val="79902FC1"/>
    <w:rsid w:val="7D5A06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7EE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C0257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E30F98"/>
    <w:pPr>
      <w:keepNext/>
      <w:keepLines/>
      <w:spacing w:before="360" w:after="80"/>
      <w:outlineLvl w:val="0"/>
    </w:pPr>
    <w:rPr>
      <w:rFonts w:eastAsiaTheme="majorEastAsia" w:cstheme="majorBidi"/>
      <w:b/>
      <w:color w:val="auto"/>
      <w:szCs w:val="40"/>
    </w:rPr>
  </w:style>
  <w:style w:type="paragraph" w:styleId="Kop2">
    <w:name w:val="heading 2"/>
    <w:basedOn w:val="Standaard"/>
    <w:next w:val="Standaard"/>
    <w:link w:val="Kop2Char"/>
    <w:uiPriority w:val="9"/>
    <w:unhideWhenUsed/>
    <w:qFormat/>
    <w:rsid w:val="001F16C4"/>
    <w:pPr>
      <w:keepNext/>
      <w:keepLines/>
      <w:spacing w:before="160" w:after="80"/>
      <w:outlineLvl w:val="1"/>
    </w:pPr>
    <w:rPr>
      <w:rFonts w:eastAsiaTheme="majorEastAsia" w:cstheme="majorBidi"/>
      <w:b/>
      <w:color w:val="auto"/>
      <w:szCs w:val="32"/>
    </w:rPr>
  </w:style>
  <w:style w:type="paragraph" w:styleId="Kop3">
    <w:name w:val="heading 3"/>
    <w:basedOn w:val="Standaard"/>
    <w:next w:val="Standaard"/>
    <w:link w:val="Kop3Char"/>
    <w:uiPriority w:val="9"/>
    <w:unhideWhenUsed/>
    <w:qFormat/>
    <w:rsid w:val="000F4B07"/>
    <w:pPr>
      <w:keepNext/>
      <w:keepLines/>
      <w:spacing w:before="160" w:after="80"/>
      <w:outlineLvl w:val="2"/>
    </w:pPr>
    <w:rPr>
      <w:rFonts w:eastAsiaTheme="majorEastAsia" w:cstheme="majorBidi"/>
      <w:i/>
      <w:color w:val="auto"/>
      <w:szCs w:val="28"/>
    </w:rPr>
  </w:style>
  <w:style w:type="paragraph" w:styleId="Kop4">
    <w:name w:val="heading 4"/>
    <w:basedOn w:val="Standaard"/>
    <w:next w:val="Standaard"/>
    <w:link w:val="Kop4Char"/>
    <w:uiPriority w:val="9"/>
    <w:semiHidden/>
    <w:unhideWhenUsed/>
    <w:qFormat/>
    <w:rsid w:val="00C0257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0257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0257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257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257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257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0F98"/>
    <w:rPr>
      <w:rFonts w:ascii="Verdana" w:eastAsiaTheme="majorEastAsia" w:hAnsi="Verdana" w:cstheme="majorBidi"/>
      <w:b/>
      <w:kern w:val="0"/>
      <w:sz w:val="18"/>
      <w:szCs w:val="40"/>
      <w:lang w:eastAsia="nl-NL"/>
      <w14:ligatures w14:val="none"/>
    </w:rPr>
  </w:style>
  <w:style w:type="character" w:customStyle="1" w:styleId="Kop2Char">
    <w:name w:val="Kop 2 Char"/>
    <w:basedOn w:val="Standaardalinea-lettertype"/>
    <w:link w:val="Kop2"/>
    <w:uiPriority w:val="9"/>
    <w:rsid w:val="001F16C4"/>
    <w:rPr>
      <w:rFonts w:ascii="Verdana" w:eastAsiaTheme="majorEastAsia" w:hAnsi="Verdana" w:cstheme="majorBidi"/>
      <w:b/>
      <w:kern w:val="0"/>
      <w:sz w:val="18"/>
      <w:szCs w:val="32"/>
      <w:lang w:eastAsia="nl-NL"/>
      <w14:ligatures w14:val="none"/>
    </w:rPr>
  </w:style>
  <w:style w:type="character" w:customStyle="1" w:styleId="Kop3Char">
    <w:name w:val="Kop 3 Char"/>
    <w:basedOn w:val="Standaardalinea-lettertype"/>
    <w:link w:val="Kop3"/>
    <w:uiPriority w:val="9"/>
    <w:rsid w:val="000F4B07"/>
    <w:rPr>
      <w:rFonts w:ascii="Verdana" w:eastAsiaTheme="majorEastAsia" w:hAnsi="Verdana" w:cstheme="majorBidi"/>
      <w:i/>
      <w:kern w:val="0"/>
      <w:sz w:val="18"/>
      <w:szCs w:val="28"/>
      <w:lang w:eastAsia="nl-NL"/>
      <w14:ligatures w14:val="none"/>
    </w:rPr>
  </w:style>
  <w:style w:type="character" w:customStyle="1" w:styleId="Kop4Char">
    <w:name w:val="Kop 4 Char"/>
    <w:basedOn w:val="Standaardalinea-lettertype"/>
    <w:link w:val="Kop4"/>
    <w:uiPriority w:val="9"/>
    <w:semiHidden/>
    <w:rsid w:val="00C0257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0257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025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25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25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2574"/>
    <w:rPr>
      <w:rFonts w:eastAsiaTheme="majorEastAsia" w:cstheme="majorBidi"/>
      <w:color w:val="272727" w:themeColor="text1" w:themeTint="D8"/>
    </w:rPr>
  </w:style>
  <w:style w:type="paragraph" w:styleId="Titel">
    <w:name w:val="Title"/>
    <w:basedOn w:val="Standaard"/>
    <w:next w:val="Standaard"/>
    <w:link w:val="TitelChar"/>
    <w:uiPriority w:val="10"/>
    <w:qFormat/>
    <w:rsid w:val="00C02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25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25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25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25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2574"/>
    <w:rPr>
      <w:i/>
      <w:iCs/>
      <w:color w:val="404040" w:themeColor="text1" w:themeTint="BF"/>
    </w:rPr>
  </w:style>
  <w:style w:type="paragraph" w:styleId="Lijstalinea">
    <w:name w:val="List Paragraph"/>
    <w:basedOn w:val="Standaard"/>
    <w:uiPriority w:val="34"/>
    <w:qFormat/>
    <w:rsid w:val="00C02574"/>
    <w:pPr>
      <w:ind w:left="720"/>
      <w:contextualSpacing/>
    </w:pPr>
  </w:style>
  <w:style w:type="character" w:styleId="Intensievebenadrukking">
    <w:name w:val="Intense Emphasis"/>
    <w:basedOn w:val="Standaardalinea-lettertype"/>
    <w:uiPriority w:val="21"/>
    <w:qFormat/>
    <w:rsid w:val="00C02574"/>
    <w:rPr>
      <w:i/>
      <w:iCs/>
      <w:color w:val="2F5496" w:themeColor="accent1" w:themeShade="BF"/>
    </w:rPr>
  </w:style>
  <w:style w:type="paragraph" w:styleId="Duidelijkcitaat">
    <w:name w:val="Intense Quote"/>
    <w:basedOn w:val="Standaard"/>
    <w:next w:val="Standaard"/>
    <w:link w:val="DuidelijkcitaatChar"/>
    <w:uiPriority w:val="30"/>
    <w:qFormat/>
    <w:rsid w:val="00C025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02574"/>
    <w:rPr>
      <w:i/>
      <w:iCs/>
      <w:color w:val="2F5496" w:themeColor="accent1" w:themeShade="BF"/>
    </w:rPr>
  </w:style>
  <w:style w:type="character" w:styleId="Intensieveverwijzing">
    <w:name w:val="Intense Reference"/>
    <w:basedOn w:val="Standaardalinea-lettertype"/>
    <w:uiPriority w:val="32"/>
    <w:qFormat/>
    <w:rsid w:val="00C02574"/>
    <w:rPr>
      <w:b/>
      <w:bCs/>
      <w:smallCaps/>
      <w:color w:val="2F5496" w:themeColor="accent1" w:themeShade="BF"/>
      <w:spacing w:val="5"/>
    </w:rPr>
  </w:style>
  <w:style w:type="character" w:styleId="Hyperlink">
    <w:name w:val="Hyperlink"/>
    <w:basedOn w:val="Standaardalinea-lettertype"/>
    <w:uiPriority w:val="99"/>
    <w:unhideWhenUsed/>
    <w:rsid w:val="00C02574"/>
    <w:rPr>
      <w:color w:val="0563C1" w:themeColor="hyperlink"/>
      <w:u w:val="single"/>
    </w:rPr>
  </w:style>
  <w:style w:type="paragraph" w:customStyle="1" w:styleId="OndertekeningArea1">
    <w:name w:val="Ondertekening_Area1"/>
    <w:basedOn w:val="Standaard"/>
    <w:next w:val="Standaard"/>
    <w:rsid w:val="00C02574"/>
    <w:pPr>
      <w:spacing w:before="240"/>
    </w:pPr>
  </w:style>
  <w:style w:type="paragraph" w:customStyle="1" w:styleId="StandaardReferentiegegevens">
    <w:name w:val="Standaard_Referentiegegevens"/>
    <w:basedOn w:val="Standaard"/>
    <w:next w:val="Standaard"/>
    <w:rsid w:val="00C02574"/>
    <w:pPr>
      <w:spacing w:line="180" w:lineRule="exact"/>
    </w:pPr>
    <w:rPr>
      <w:sz w:val="13"/>
      <w:szCs w:val="13"/>
    </w:rPr>
  </w:style>
  <w:style w:type="character" w:styleId="Verwijzingopmerking">
    <w:name w:val="annotation reference"/>
    <w:basedOn w:val="Standaardalinea-lettertype"/>
    <w:uiPriority w:val="99"/>
    <w:unhideWhenUsed/>
    <w:rsid w:val="00C02574"/>
    <w:rPr>
      <w:sz w:val="16"/>
      <w:szCs w:val="16"/>
    </w:rPr>
  </w:style>
  <w:style w:type="paragraph" w:styleId="Tekstopmerking">
    <w:name w:val="annotation text"/>
    <w:basedOn w:val="Standaard"/>
    <w:link w:val="TekstopmerkingChar"/>
    <w:uiPriority w:val="99"/>
    <w:unhideWhenUsed/>
    <w:rsid w:val="00C02574"/>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C02574"/>
    <w:rPr>
      <w:sz w:val="20"/>
      <w:szCs w:val="20"/>
    </w:rPr>
  </w:style>
  <w:style w:type="character" w:styleId="Voetnootmarkering">
    <w:name w:val="footnote reference"/>
    <w:aliases w:val="Voetnootmarkering MedMij,Kop 4 Char1,FR,FR1,FR11,FR2,FR21,FR3,FR4,FR5,Footnotemark,Footnotemark1,Footnotemark11,Footnotemark2,Footnotemark21,Footnotemark3,Footnotemark31,Footnotemark4,Footnotemark5,Footnotemark6,Footnotemark7,Ref"/>
    <w:basedOn w:val="Standaardalinea-lettertype"/>
    <w:link w:val="FootnoteReferenceCharChar1"/>
    <w:uiPriority w:val="99"/>
    <w:unhideWhenUsed/>
    <w:qFormat/>
    <w:rsid w:val="00C02574"/>
    <w:rPr>
      <w:vertAlign w:val="superscript"/>
    </w:rPr>
  </w:style>
  <w:style w:type="paragraph" w:styleId="Voetnoottekst">
    <w:name w:val="footnote text"/>
    <w:aliases w:val="Voetnoottekst MedMij"/>
    <w:basedOn w:val="Standaard"/>
    <w:link w:val="VoetnoottekstChar"/>
    <w:uiPriority w:val="99"/>
    <w:unhideWhenUsed/>
    <w:qFormat/>
    <w:rsid w:val="00C02574"/>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VoetnoottekstChar">
    <w:name w:val="Voetnoottekst Char"/>
    <w:aliases w:val="Voetnoottekst MedMij Char"/>
    <w:basedOn w:val="Standaardalinea-lettertype"/>
    <w:link w:val="Voetnoottekst"/>
    <w:uiPriority w:val="99"/>
    <w:rsid w:val="00C02574"/>
    <w:rPr>
      <w:rFonts w:ascii="Verdana" w:hAnsi="Verdana"/>
      <w:sz w:val="20"/>
      <w:szCs w:val="20"/>
    </w:rPr>
  </w:style>
  <w:style w:type="paragraph" w:styleId="Revisie">
    <w:name w:val="Revision"/>
    <w:hidden/>
    <w:uiPriority w:val="99"/>
    <w:semiHidden/>
    <w:rsid w:val="00C02574"/>
    <w:pPr>
      <w:spacing w:after="0" w:line="240" w:lineRule="auto"/>
    </w:pPr>
    <w:rPr>
      <w:rFonts w:ascii="Verdana" w:eastAsia="DejaVu Sans" w:hAnsi="Verdana" w:cs="Lohit Hindi"/>
      <w:color w:val="000000"/>
      <w:kern w:val="0"/>
      <w:sz w:val="18"/>
      <w:szCs w:val="18"/>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BF1682"/>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BF1682"/>
    <w:rPr>
      <w:rFonts w:ascii="Verdana" w:eastAsia="DejaVu Sans" w:hAnsi="Verdana" w:cs="Lohit Hindi"/>
      <w:b/>
      <w:bCs/>
      <w:color w:val="000000"/>
      <w:kern w:val="0"/>
      <w:sz w:val="20"/>
      <w:szCs w:val="20"/>
      <w:lang w:eastAsia="nl-NL"/>
      <w14:ligatures w14:val="none"/>
    </w:rPr>
  </w:style>
  <w:style w:type="character" w:styleId="Onopgelostemelding">
    <w:name w:val="Unresolved Mention"/>
    <w:basedOn w:val="Standaardalinea-lettertype"/>
    <w:uiPriority w:val="99"/>
    <w:semiHidden/>
    <w:unhideWhenUsed/>
    <w:rsid w:val="0039371D"/>
    <w:rPr>
      <w:color w:val="605E5C"/>
      <w:shd w:val="clear" w:color="auto" w:fill="E1DFDD"/>
    </w:rPr>
  </w:style>
  <w:style w:type="paragraph" w:styleId="Koptekst">
    <w:name w:val="header"/>
    <w:basedOn w:val="Standaard"/>
    <w:link w:val="KoptekstChar"/>
    <w:uiPriority w:val="99"/>
    <w:unhideWhenUsed/>
    <w:rsid w:val="001F16C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F16C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F16C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F16C4"/>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830AF4"/>
    <w:p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paragraph" w:customStyle="1" w:styleId="Stijl1">
    <w:name w:val="Stijl 1"/>
    <w:basedOn w:val="Standaard"/>
    <w:link w:val="Stijl1Char"/>
    <w:qFormat/>
    <w:rsid w:val="005505C3"/>
  </w:style>
  <w:style w:type="character" w:customStyle="1" w:styleId="Stijl1Char">
    <w:name w:val="Stijl 1 Char"/>
    <w:basedOn w:val="Standaardalinea-lettertype"/>
    <w:link w:val="Stijl1"/>
    <w:rsid w:val="005505C3"/>
    <w:rPr>
      <w:rFonts w:ascii="Verdana" w:eastAsia="DejaVu Sans" w:hAnsi="Verdana" w:cs="Lohit Hindi"/>
      <w:color w:val="000000"/>
      <w:kern w:val="0"/>
      <w:sz w:val="18"/>
      <w:szCs w:val="18"/>
      <w:lang w:eastAsia="nl-NL"/>
      <w14:ligatures w14:val="none"/>
    </w:rPr>
  </w:style>
  <w:style w:type="character" w:styleId="GevolgdeHyperlink">
    <w:name w:val="FollowedHyperlink"/>
    <w:basedOn w:val="Standaardalinea-lettertype"/>
    <w:uiPriority w:val="99"/>
    <w:semiHidden/>
    <w:unhideWhenUsed/>
    <w:rsid w:val="00D20C9B"/>
    <w:rPr>
      <w:color w:val="954F72" w:themeColor="followedHyperlink"/>
      <w:u w:val="single"/>
    </w:rPr>
  </w:style>
  <w:style w:type="paragraph" w:customStyle="1" w:styleId="footnotedescription">
    <w:name w:val="footnote description"/>
    <w:next w:val="Standaard"/>
    <w:link w:val="footnotedescriptionChar"/>
    <w:hidden/>
    <w:rsid w:val="0092527A"/>
    <w:pPr>
      <w:spacing w:after="0"/>
    </w:pPr>
    <w:rPr>
      <w:rFonts w:ascii="Verdana" w:eastAsia="Verdana" w:hAnsi="Verdana" w:cs="Verdana"/>
      <w:color w:val="000000"/>
      <w:sz w:val="14"/>
      <w:lang w:eastAsia="nl-NL"/>
    </w:rPr>
  </w:style>
  <w:style w:type="character" w:customStyle="1" w:styleId="footnotedescriptionChar">
    <w:name w:val="footnote description Char"/>
    <w:link w:val="footnotedescription"/>
    <w:rsid w:val="0092527A"/>
    <w:rPr>
      <w:rFonts w:ascii="Verdana" w:eastAsia="Verdana" w:hAnsi="Verdana" w:cs="Verdana"/>
      <w:color w:val="000000"/>
      <w:sz w:val="14"/>
      <w:lang w:eastAsia="nl-NL"/>
    </w:rPr>
  </w:style>
  <w:style w:type="paragraph" w:customStyle="1" w:styleId="CIBGAdviesaanvraagLijstKop1">
    <w:name w:val="CIBG Adviesaanvraag Lijst Kop 1"/>
    <w:basedOn w:val="Standaard"/>
    <w:next w:val="Standaard"/>
    <w:rsid w:val="0011266B"/>
    <w:pPr>
      <w:numPr>
        <w:numId w:val="14"/>
      </w:numPr>
      <w:spacing w:after="60"/>
    </w:pPr>
    <w:rPr>
      <w:b/>
    </w:rPr>
  </w:style>
  <w:style w:type="paragraph" w:customStyle="1" w:styleId="CIBGAdviesaanvraagLijstKop2">
    <w:name w:val="CIBG Adviesaanvraag Lijst Kop 2"/>
    <w:basedOn w:val="Standaard"/>
    <w:next w:val="Standaard"/>
    <w:rsid w:val="0011266B"/>
    <w:pPr>
      <w:numPr>
        <w:ilvl w:val="1"/>
        <w:numId w:val="14"/>
      </w:numPr>
      <w:spacing w:after="60"/>
    </w:pPr>
    <w:rPr>
      <w:b/>
    </w:rPr>
  </w:style>
  <w:style w:type="paragraph" w:customStyle="1" w:styleId="Huisstijl-Extrasubtitel">
    <w:name w:val="Huisstijl - Extra subtitel"/>
    <w:basedOn w:val="Standaard"/>
    <w:next w:val="Standaard"/>
    <w:rsid w:val="0011266B"/>
    <w:pPr>
      <w:spacing w:before="60" w:after="300"/>
    </w:pPr>
    <w:rPr>
      <w:sz w:val="24"/>
      <w:szCs w:val="24"/>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B53C40"/>
    <w:pPr>
      <w:autoSpaceDE w:val="0"/>
      <w:spacing w:after="160"/>
      <w:jc w:val="both"/>
      <w:textAlignment w:val="auto"/>
    </w:pPr>
    <w:rPr>
      <w:rFonts w:asciiTheme="minorHAnsi" w:eastAsiaTheme="minorHAnsi" w:hAnsiTheme="minorHAnsi" w:cstheme="minorBidi"/>
      <w:color w:val="auto"/>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530184">
      <w:bodyDiv w:val="1"/>
      <w:marLeft w:val="0"/>
      <w:marRight w:val="0"/>
      <w:marTop w:val="0"/>
      <w:marBottom w:val="0"/>
      <w:divBdr>
        <w:top w:val="none" w:sz="0" w:space="0" w:color="auto"/>
        <w:left w:val="none" w:sz="0" w:space="0" w:color="auto"/>
        <w:bottom w:val="none" w:sz="0" w:space="0" w:color="auto"/>
        <w:right w:val="none" w:sz="0" w:space="0" w:color="auto"/>
      </w:divBdr>
    </w:div>
    <w:div w:id="550657613">
      <w:bodyDiv w:val="1"/>
      <w:marLeft w:val="0"/>
      <w:marRight w:val="0"/>
      <w:marTop w:val="0"/>
      <w:marBottom w:val="0"/>
      <w:divBdr>
        <w:top w:val="none" w:sz="0" w:space="0" w:color="auto"/>
        <w:left w:val="none" w:sz="0" w:space="0" w:color="auto"/>
        <w:bottom w:val="none" w:sz="0" w:space="0" w:color="auto"/>
        <w:right w:val="none" w:sz="0" w:space="0" w:color="auto"/>
      </w:divBdr>
    </w:div>
    <w:div w:id="607739843">
      <w:bodyDiv w:val="1"/>
      <w:marLeft w:val="0"/>
      <w:marRight w:val="0"/>
      <w:marTop w:val="0"/>
      <w:marBottom w:val="0"/>
      <w:divBdr>
        <w:top w:val="none" w:sz="0" w:space="0" w:color="auto"/>
        <w:left w:val="none" w:sz="0" w:space="0" w:color="auto"/>
        <w:bottom w:val="none" w:sz="0" w:space="0" w:color="auto"/>
        <w:right w:val="none" w:sz="0" w:space="0" w:color="auto"/>
      </w:divBdr>
    </w:div>
    <w:div w:id="653139869">
      <w:bodyDiv w:val="1"/>
      <w:marLeft w:val="0"/>
      <w:marRight w:val="0"/>
      <w:marTop w:val="0"/>
      <w:marBottom w:val="0"/>
      <w:divBdr>
        <w:top w:val="none" w:sz="0" w:space="0" w:color="auto"/>
        <w:left w:val="none" w:sz="0" w:space="0" w:color="auto"/>
        <w:bottom w:val="none" w:sz="0" w:space="0" w:color="auto"/>
        <w:right w:val="none" w:sz="0" w:space="0" w:color="auto"/>
      </w:divBdr>
    </w:div>
    <w:div w:id="855000786">
      <w:bodyDiv w:val="1"/>
      <w:marLeft w:val="0"/>
      <w:marRight w:val="0"/>
      <w:marTop w:val="0"/>
      <w:marBottom w:val="0"/>
      <w:divBdr>
        <w:top w:val="none" w:sz="0" w:space="0" w:color="auto"/>
        <w:left w:val="none" w:sz="0" w:space="0" w:color="auto"/>
        <w:bottom w:val="none" w:sz="0" w:space="0" w:color="auto"/>
        <w:right w:val="none" w:sz="0" w:space="0" w:color="auto"/>
      </w:divBdr>
    </w:div>
    <w:div w:id="895820176">
      <w:bodyDiv w:val="1"/>
      <w:marLeft w:val="0"/>
      <w:marRight w:val="0"/>
      <w:marTop w:val="0"/>
      <w:marBottom w:val="0"/>
      <w:divBdr>
        <w:top w:val="none" w:sz="0" w:space="0" w:color="auto"/>
        <w:left w:val="none" w:sz="0" w:space="0" w:color="auto"/>
        <w:bottom w:val="none" w:sz="0" w:space="0" w:color="auto"/>
        <w:right w:val="none" w:sz="0" w:space="0" w:color="auto"/>
      </w:divBdr>
    </w:div>
    <w:div w:id="914054760">
      <w:bodyDiv w:val="1"/>
      <w:marLeft w:val="0"/>
      <w:marRight w:val="0"/>
      <w:marTop w:val="0"/>
      <w:marBottom w:val="0"/>
      <w:divBdr>
        <w:top w:val="none" w:sz="0" w:space="0" w:color="auto"/>
        <w:left w:val="none" w:sz="0" w:space="0" w:color="auto"/>
        <w:bottom w:val="none" w:sz="0" w:space="0" w:color="auto"/>
        <w:right w:val="none" w:sz="0" w:space="0" w:color="auto"/>
      </w:divBdr>
    </w:div>
    <w:div w:id="984627485">
      <w:bodyDiv w:val="1"/>
      <w:marLeft w:val="0"/>
      <w:marRight w:val="0"/>
      <w:marTop w:val="0"/>
      <w:marBottom w:val="0"/>
      <w:divBdr>
        <w:top w:val="none" w:sz="0" w:space="0" w:color="auto"/>
        <w:left w:val="none" w:sz="0" w:space="0" w:color="auto"/>
        <w:bottom w:val="none" w:sz="0" w:space="0" w:color="auto"/>
        <w:right w:val="none" w:sz="0" w:space="0" w:color="auto"/>
      </w:divBdr>
    </w:div>
    <w:div w:id="1194080317">
      <w:bodyDiv w:val="1"/>
      <w:marLeft w:val="0"/>
      <w:marRight w:val="0"/>
      <w:marTop w:val="0"/>
      <w:marBottom w:val="0"/>
      <w:divBdr>
        <w:top w:val="none" w:sz="0" w:space="0" w:color="auto"/>
        <w:left w:val="none" w:sz="0" w:space="0" w:color="auto"/>
        <w:bottom w:val="none" w:sz="0" w:space="0" w:color="auto"/>
        <w:right w:val="none" w:sz="0" w:space="0" w:color="auto"/>
      </w:divBdr>
    </w:div>
    <w:div w:id="1286884963">
      <w:bodyDiv w:val="1"/>
      <w:marLeft w:val="0"/>
      <w:marRight w:val="0"/>
      <w:marTop w:val="0"/>
      <w:marBottom w:val="0"/>
      <w:divBdr>
        <w:top w:val="none" w:sz="0" w:space="0" w:color="auto"/>
        <w:left w:val="none" w:sz="0" w:space="0" w:color="auto"/>
        <w:bottom w:val="none" w:sz="0" w:space="0" w:color="auto"/>
        <w:right w:val="none" w:sz="0" w:space="0" w:color="auto"/>
      </w:divBdr>
    </w:div>
    <w:div w:id="1288050622">
      <w:bodyDiv w:val="1"/>
      <w:marLeft w:val="0"/>
      <w:marRight w:val="0"/>
      <w:marTop w:val="0"/>
      <w:marBottom w:val="0"/>
      <w:divBdr>
        <w:top w:val="none" w:sz="0" w:space="0" w:color="auto"/>
        <w:left w:val="none" w:sz="0" w:space="0" w:color="auto"/>
        <w:bottom w:val="none" w:sz="0" w:space="0" w:color="auto"/>
        <w:right w:val="none" w:sz="0" w:space="0" w:color="auto"/>
      </w:divBdr>
    </w:div>
    <w:div w:id="1420368735">
      <w:bodyDiv w:val="1"/>
      <w:marLeft w:val="0"/>
      <w:marRight w:val="0"/>
      <w:marTop w:val="0"/>
      <w:marBottom w:val="0"/>
      <w:divBdr>
        <w:top w:val="none" w:sz="0" w:space="0" w:color="auto"/>
        <w:left w:val="none" w:sz="0" w:space="0" w:color="auto"/>
        <w:bottom w:val="none" w:sz="0" w:space="0" w:color="auto"/>
        <w:right w:val="none" w:sz="0" w:space="0" w:color="auto"/>
      </w:divBdr>
    </w:div>
    <w:div w:id="1606691182">
      <w:bodyDiv w:val="1"/>
      <w:marLeft w:val="0"/>
      <w:marRight w:val="0"/>
      <w:marTop w:val="0"/>
      <w:marBottom w:val="0"/>
      <w:divBdr>
        <w:top w:val="none" w:sz="0" w:space="0" w:color="auto"/>
        <w:left w:val="none" w:sz="0" w:space="0" w:color="auto"/>
        <w:bottom w:val="none" w:sz="0" w:space="0" w:color="auto"/>
        <w:right w:val="none" w:sz="0" w:space="0" w:color="auto"/>
      </w:divBdr>
    </w:div>
    <w:div w:id="1863013634">
      <w:bodyDiv w:val="1"/>
      <w:marLeft w:val="0"/>
      <w:marRight w:val="0"/>
      <w:marTop w:val="0"/>
      <w:marBottom w:val="0"/>
      <w:divBdr>
        <w:top w:val="none" w:sz="0" w:space="0" w:color="auto"/>
        <w:left w:val="none" w:sz="0" w:space="0" w:color="auto"/>
        <w:bottom w:val="none" w:sz="0" w:space="0" w:color="auto"/>
        <w:right w:val="none" w:sz="0" w:space="0" w:color="auto"/>
      </w:divBdr>
    </w:div>
    <w:div w:id="1901012923">
      <w:bodyDiv w:val="1"/>
      <w:marLeft w:val="0"/>
      <w:marRight w:val="0"/>
      <w:marTop w:val="0"/>
      <w:marBottom w:val="0"/>
      <w:divBdr>
        <w:top w:val="none" w:sz="0" w:space="0" w:color="auto"/>
        <w:left w:val="none" w:sz="0" w:space="0" w:color="auto"/>
        <w:bottom w:val="none" w:sz="0" w:space="0" w:color="auto"/>
        <w:right w:val="none" w:sz="0" w:space="0" w:color="auto"/>
      </w:divBdr>
    </w:div>
    <w:div w:id="1956254792">
      <w:bodyDiv w:val="1"/>
      <w:marLeft w:val="0"/>
      <w:marRight w:val="0"/>
      <w:marTop w:val="0"/>
      <w:marBottom w:val="0"/>
      <w:divBdr>
        <w:top w:val="none" w:sz="0" w:space="0" w:color="auto"/>
        <w:left w:val="none" w:sz="0" w:space="0" w:color="auto"/>
        <w:bottom w:val="none" w:sz="0" w:space="0" w:color="auto"/>
        <w:right w:val="none" w:sz="0" w:space="0" w:color="auto"/>
      </w:divBdr>
    </w:div>
    <w:div w:id="2122530917">
      <w:bodyDiv w:val="1"/>
      <w:marLeft w:val="0"/>
      <w:marRight w:val="0"/>
      <w:marTop w:val="0"/>
      <w:marBottom w:val="0"/>
      <w:divBdr>
        <w:top w:val="none" w:sz="0" w:space="0" w:color="auto"/>
        <w:left w:val="none" w:sz="0" w:space="0" w:color="auto"/>
        <w:bottom w:val="none" w:sz="0" w:space="0" w:color="auto"/>
        <w:right w:val="none" w:sz="0" w:space="0" w:color="auto"/>
      </w:divBdr>
    </w:div>
    <w:div w:id="214152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autoriteitpersoonsgegevens.nl/uploads/imported/2018-10-04_brief_aan_minister_over_patientauthenticati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7824</ap:Words>
  <ap:Characters>43038</ap:Characters>
  <ap:DocSecurity>0</ap:DocSecurity>
  <ap:Lines>358</ap:Lines>
  <ap:Paragraphs>101</ap:Paragraphs>
  <ap:ScaleCrop>false</ap:ScaleCrop>
  <ap:LinksUpToDate>false</ap:LinksUpToDate>
  <ap:CharactersWithSpaces>50761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2026-06-26T13:36:00.0000000Z</dcterms:created>
  <dcterms:modified xsi:type="dcterms:W3CDTF">2026-06-26T13:36:00.0000000Z</dcterms:modified>
  <version/>
  <category/>
</coreProperties>
</file>