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2706" w:rsidR="00B25D21" w:rsidRDefault="00B25D21" w14:paraId="08C5C729" w14:textId="14226B9A">
      <w:pPr>
        <w:rPr>
          <w:rFonts w:ascii="Verdana" w:hAnsi="Verdana"/>
          <w:sz w:val="44"/>
          <w:szCs w:val="44"/>
        </w:rPr>
      </w:pPr>
    </w:p>
    <w:p w:rsidR="3A3E4175" w:rsidP="3A3E4175" w:rsidRDefault="3A3E4175" w14:paraId="71054B12" w14:textId="55B0932F">
      <w:pPr>
        <w:spacing w:line="257" w:lineRule="auto"/>
        <w:rPr>
          <w:rFonts w:ascii="Verdana" w:hAnsi="Verdana" w:eastAsia="Verdana" w:cs="Verdana"/>
          <w:sz w:val="44"/>
          <w:szCs w:val="44"/>
        </w:rPr>
      </w:pPr>
    </w:p>
    <w:p w:rsidR="08CE7D5C" w:rsidP="3A3E4175" w:rsidRDefault="08CE7D5C" w14:paraId="2D49AEE6" w14:textId="0F8920F7">
      <w:pPr>
        <w:spacing w:line="257" w:lineRule="auto"/>
      </w:pPr>
      <w:r w:rsidRPr="3A3E4175">
        <w:rPr>
          <w:rFonts w:ascii="Verdana" w:hAnsi="Verdana" w:eastAsia="Verdana" w:cs="Verdana"/>
          <w:sz w:val="44"/>
          <w:szCs w:val="44"/>
        </w:rPr>
        <w:t xml:space="preserve"> </w:t>
      </w:r>
    </w:p>
    <w:p w:rsidR="08CE7D5C" w:rsidP="3A3E4175" w:rsidRDefault="08CE7D5C" w14:paraId="5CC5B1E8" w14:textId="448A0691">
      <w:pPr>
        <w:spacing w:line="257" w:lineRule="auto"/>
      </w:pPr>
      <w:r w:rsidRPr="3A3E4175">
        <w:rPr>
          <w:rFonts w:ascii="Verdana" w:hAnsi="Verdana" w:eastAsia="Verdana" w:cs="Verdana"/>
          <w:sz w:val="44"/>
          <w:szCs w:val="44"/>
        </w:rPr>
        <w:t xml:space="preserve"> </w:t>
      </w:r>
    </w:p>
    <w:p w:rsidR="08CE7D5C" w:rsidP="3A3E4175" w:rsidRDefault="08CE7D5C" w14:paraId="168CB8BA" w14:textId="2AA47B9D">
      <w:pPr>
        <w:spacing w:line="257" w:lineRule="auto"/>
      </w:pPr>
      <w:r w:rsidRPr="3A3E4175">
        <w:rPr>
          <w:rFonts w:ascii="Verdana" w:hAnsi="Verdana" w:eastAsia="Verdana" w:cs="Verdana"/>
          <w:sz w:val="56"/>
          <w:szCs w:val="56"/>
        </w:rPr>
        <w:t>Uitvoeringsrapportage</w:t>
      </w:r>
    </w:p>
    <w:p w:rsidR="08CE7D5C" w:rsidP="3A3E4175" w:rsidRDefault="08CE7D5C" w14:paraId="6589A261" w14:textId="64CF325D">
      <w:pPr>
        <w:spacing w:line="257" w:lineRule="auto"/>
      </w:pPr>
      <w:r w:rsidRPr="3A3E4175">
        <w:rPr>
          <w:rFonts w:ascii="Verdana" w:hAnsi="Verdana" w:eastAsia="Verdana" w:cs="Verdana"/>
          <w:sz w:val="56"/>
          <w:szCs w:val="56"/>
        </w:rPr>
        <w:t>Maatregelen stikstofreductie</w:t>
      </w:r>
    </w:p>
    <w:p w:rsidR="08CE7D5C" w:rsidP="3A3E4175" w:rsidRDefault="08CE7D5C" w14:paraId="4EDB043C" w14:textId="782D692C">
      <w:pPr>
        <w:spacing w:line="257" w:lineRule="auto"/>
      </w:pPr>
      <w:r w:rsidRPr="3A3E4175">
        <w:rPr>
          <w:rFonts w:ascii="Verdana" w:hAnsi="Verdana" w:eastAsia="Verdana" w:cs="Verdana"/>
          <w:sz w:val="44"/>
          <w:szCs w:val="44"/>
        </w:rPr>
        <w:t xml:space="preserve"> </w:t>
      </w:r>
    </w:p>
    <w:p w:rsidR="08CE7D5C" w:rsidP="3A3E4175" w:rsidRDefault="08CE7D5C" w14:paraId="39F19DB3" w14:textId="74CCFD7D">
      <w:pPr>
        <w:spacing w:line="257" w:lineRule="auto"/>
      </w:pPr>
      <w:r w:rsidRPr="3A3E4175">
        <w:rPr>
          <w:rFonts w:ascii="Verdana" w:hAnsi="Verdana" w:eastAsia="Verdana" w:cs="Verdana"/>
          <w:sz w:val="18"/>
          <w:szCs w:val="18"/>
        </w:rPr>
        <w:t>Rapportage 2026, 1</w:t>
      </w:r>
    </w:p>
    <w:p w:rsidR="08CE7D5C" w:rsidP="3A3E4175" w:rsidRDefault="08CE7D5C" w14:paraId="1B668548" w14:textId="44F3FAF0">
      <w:pPr>
        <w:spacing w:line="257" w:lineRule="auto"/>
      </w:pPr>
      <w:r w:rsidRPr="3A3E4175">
        <w:rPr>
          <w:rFonts w:ascii="Verdana" w:hAnsi="Verdana" w:eastAsia="Verdana" w:cs="Verdana"/>
          <w:sz w:val="20"/>
          <w:szCs w:val="20"/>
        </w:rPr>
        <w:t xml:space="preserve"> </w:t>
      </w:r>
    </w:p>
    <w:p w:rsidR="08CE7D5C" w:rsidP="3A3E4175" w:rsidRDefault="08CE7D5C" w14:paraId="243DAA1B" w14:textId="0F617D34">
      <w:pPr>
        <w:spacing w:line="257" w:lineRule="auto"/>
      </w:pPr>
      <w:r w:rsidRPr="3A3E4175">
        <w:rPr>
          <w:rFonts w:ascii="Verdana" w:hAnsi="Verdana" w:eastAsia="Verdana" w:cs="Verdana"/>
          <w:sz w:val="20"/>
          <w:szCs w:val="20"/>
        </w:rPr>
        <w:t xml:space="preserve"> </w:t>
      </w:r>
    </w:p>
    <w:p w:rsidR="08CE7D5C" w:rsidP="3A3E4175" w:rsidRDefault="08CE7D5C" w14:paraId="0BA8D0C5" w14:textId="0AEE3693">
      <w:pPr>
        <w:spacing w:line="257" w:lineRule="auto"/>
      </w:pPr>
      <w:r w:rsidRPr="3A3E4175">
        <w:rPr>
          <w:rFonts w:ascii="Verdana" w:hAnsi="Verdana" w:eastAsia="Verdana" w:cs="Verdana"/>
          <w:sz w:val="20"/>
          <w:szCs w:val="20"/>
        </w:rPr>
        <w:t xml:space="preserve"> </w:t>
      </w:r>
    </w:p>
    <w:p w:rsidR="08CE7D5C" w:rsidP="3A3E4175" w:rsidRDefault="08CE7D5C" w14:paraId="7C65BE36" w14:textId="49332B79">
      <w:pPr>
        <w:spacing w:line="257" w:lineRule="auto"/>
      </w:pPr>
      <w:r w:rsidRPr="3A3E4175">
        <w:rPr>
          <w:rFonts w:ascii="Verdana" w:hAnsi="Verdana" w:eastAsia="Verdana" w:cs="Verdana"/>
          <w:sz w:val="20"/>
          <w:szCs w:val="20"/>
        </w:rPr>
        <w:t xml:space="preserve"> </w:t>
      </w:r>
    </w:p>
    <w:p w:rsidR="08CE7D5C" w:rsidP="3A3E4175" w:rsidRDefault="08CE7D5C" w14:paraId="2AB02371" w14:textId="1A5A4677">
      <w:pPr>
        <w:spacing w:line="257" w:lineRule="auto"/>
      </w:pPr>
      <w:r w:rsidRPr="3A3E4175">
        <w:rPr>
          <w:rFonts w:ascii="Verdana" w:hAnsi="Verdana" w:eastAsia="Verdana" w:cs="Verdana"/>
          <w:sz w:val="20"/>
          <w:szCs w:val="20"/>
        </w:rPr>
        <w:t xml:space="preserve"> </w:t>
      </w:r>
    </w:p>
    <w:p w:rsidR="08CE7D5C" w:rsidP="3A3E4175" w:rsidRDefault="08CE7D5C" w14:paraId="2E92CE19" w14:textId="07099886">
      <w:pPr>
        <w:spacing w:line="257" w:lineRule="auto"/>
      </w:pPr>
      <w:r w:rsidRPr="3A3E4175">
        <w:rPr>
          <w:rFonts w:ascii="Verdana" w:hAnsi="Verdana" w:eastAsia="Verdana" w:cs="Verdana"/>
          <w:sz w:val="20"/>
          <w:szCs w:val="20"/>
        </w:rPr>
        <w:t xml:space="preserve"> </w:t>
      </w:r>
    </w:p>
    <w:p w:rsidR="08CE7D5C" w:rsidP="3A3E4175" w:rsidRDefault="08CE7D5C" w14:paraId="115EBE12" w14:textId="552294C2">
      <w:pPr>
        <w:spacing w:line="257" w:lineRule="auto"/>
      </w:pPr>
      <w:r w:rsidRPr="3A3E4175">
        <w:rPr>
          <w:rFonts w:ascii="Verdana" w:hAnsi="Verdana" w:eastAsia="Verdana" w:cs="Verdana"/>
          <w:sz w:val="20"/>
          <w:szCs w:val="20"/>
        </w:rPr>
        <w:t xml:space="preserve"> </w:t>
      </w:r>
    </w:p>
    <w:p w:rsidR="08CE7D5C" w:rsidP="3A3E4175" w:rsidRDefault="08CE7D5C" w14:paraId="1B7871F0" w14:textId="6BED791A">
      <w:pPr>
        <w:spacing w:line="257" w:lineRule="auto"/>
      </w:pPr>
      <w:r w:rsidRPr="3A3E4175">
        <w:rPr>
          <w:rFonts w:ascii="Verdana" w:hAnsi="Verdana" w:eastAsia="Verdana" w:cs="Verdana"/>
          <w:sz w:val="20"/>
          <w:szCs w:val="20"/>
        </w:rPr>
        <w:t xml:space="preserve"> </w:t>
      </w:r>
    </w:p>
    <w:p w:rsidR="08CE7D5C" w:rsidP="3A3E4175" w:rsidRDefault="08CE7D5C" w14:paraId="0307CAA8" w14:textId="2E0E2DC1">
      <w:pPr>
        <w:spacing w:line="257" w:lineRule="auto"/>
      </w:pPr>
      <w:r w:rsidRPr="3A3E4175">
        <w:rPr>
          <w:rFonts w:ascii="Verdana" w:hAnsi="Verdana" w:eastAsia="Verdana" w:cs="Verdana"/>
          <w:sz w:val="20"/>
          <w:szCs w:val="20"/>
        </w:rPr>
        <w:t xml:space="preserve"> </w:t>
      </w:r>
    </w:p>
    <w:p w:rsidR="08CE7D5C" w:rsidP="3A3E4175" w:rsidRDefault="08CE7D5C" w14:paraId="4A3CBE51" w14:textId="0D4F4746">
      <w:pPr>
        <w:spacing w:line="257" w:lineRule="auto"/>
      </w:pPr>
      <w:r w:rsidRPr="3A3E4175">
        <w:rPr>
          <w:rFonts w:ascii="Verdana" w:hAnsi="Verdana" w:eastAsia="Verdana" w:cs="Verdana"/>
          <w:sz w:val="20"/>
          <w:szCs w:val="20"/>
        </w:rPr>
        <w:t xml:space="preserve"> </w:t>
      </w:r>
    </w:p>
    <w:p w:rsidR="08CE7D5C" w:rsidP="3A3E4175" w:rsidRDefault="08CE7D5C" w14:paraId="651AA103" w14:textId="551C76D1">
      <w:pPr>
        <w:spacing w:line="257" w:lineRule="auto"/>
      </w:pPr>
      <w:r w:rsidRPr="3A3E4175">
        <w:rPr>
          <w:rFonts w:ascii="Verdana" w:hAnsi="Verdana" w:eastAsia="Verdana" w:cs="Verdana"/>
          <w:sz w:val="20"/>
          <w:szCs w:val="20"/>
        </w:rPr>
        <w:t xml:space="preserve"> </w:t>
      </w:r>
    </w:p>
    <w:p w:rsidR="08CE7D5C" w:rsidP="3A3E4175" w:rsidRDefault="08CE7D5C" w14:paraId="79D1CDE6" w14:textId="152601BB">
      <w:pPr>
        <w:spacing w:line="257" w:lineRule="auto"/>
      </w:pPr>
      <w:r w:rsidRPr="3A3E4175">
        <w:rPr>
          <w:rFonts w:ascii="Verdana" w:hAnsi="Verdana" w:eastAsia="Verdana" w:cs="Verdana"/>
          <w:sz w:val="20"/>
          <w:szCs w:val="20"/>
        </w:rPr>
        <w:t xml:space="preserve"> </w:t>
      </w:r>
    </w:p>
    <w:p w:rsidR="08CE7D5C" w:rsidP="3A3E4175" w:rsidRDefault="08CE7D5C" w14:paraId="332D893B" w14:textId="544C3042">
      <w:pPr>
        <w:spacing w:line="257" w:lineRule="auto"/>
      </w:pPr>
      <w:r w:rsidRPr="3A3E4175">
        <w:rPr>
          <w:rFonts w:ascii="Verdana" w:hAnsi="Verdana" w:eastAsia="Verdana" w:cs="Verdana"/>
          <w:sz w:val="20"/>
          <w:szCs w:val="20"/>
        </w:rPr>
        <w:t xml:space="preserve"> </w:t>
      </w:r>
    </w:p>
    <w:p w:rsidR="08CE7D5C" w:rsidP="3A3E4175" w:rsidRDefault="08CE7D5C" w14:paraId="59BAFAAA" w14:textId="2E495BF5">
      <w:pPr>
        <w:spacing w:line="257" w:lineRule="auto"/>
      </w:pPr>
      <w:r w:rsidRPr="3A3E4175">
        <w:rPr>
          <w:rFonts w:ascii="Verdana" w:hAnsi="Verdana" w:eastAsia="Verdana" w:cs="Verdana"/>
          <w:sz w:val="18"/>
          <w:szCs w:val="18"/>
        </w:rPr>
        <w:t xml:space="preserve"> </w:t>
      </w:r>
    </w:p>
    <w:p w:rsidR="08CE7D5C" w:rsidP="3A3E4175" w:rsidRDefault="08CE7D5C" w14:paraId="08CBBB83" w14:textId="00F8872C">
      <w:pPr>
        <w:spacing w:line="257" w:lineRule="auto"/>
      </w:pPr>
      <w:r w:rsidRPr="1F5EE2CA">
        <w:rPr>
          <w:rFonts w:ascii="Verdana" w:hAnsi="Verdana" w:eastAsia="Verdana" w:cs="Verdana"/>
          <w:sz w:val="18"/>
          <w:szCs w:val="18"/>
        </w:rPr>
        <w:t xml:space="preserve"> </w:t>
      </w:r>
    </w:p>
    <w:p w:rsidR="08CE7D5C" w:rsidP="3A3E4175" w:rsidRDefault="08CE7D5C" w14:paraId="6D2514B8" w14:textId="35153630">
      <w:pPr>
        <w:spacing w:line="257" w:lineRule="auto"/>
      </w:pPr>
      <w:r w:rsidRPr="3A3E4175">
        <w:rPr>
          <w:rFonts w:ascii="Verdana" w:hAnsi="Verdana" w:eastAsia="Verdana" w:cs="Verdana"/>
          <w:sz w:val="18"/>
          <w:szCs w:val="18"/>
        </w:rPr>
        <w:t xml:space="preserve"> </w:t>
      </w:r>
    </w:p>
    <w:p w:rsidR="08CE7D5C" w:rsidP="3A3E4175" w:rsidRDefault="08CE7D5C" w14:paraId="341A394F" w14:textId="2FB92EA5">
      <w:pPr>
        <w:spacing w:line="257" w:lineRule="auto"/>
      </w:pPr>
      <w:r w:rsidRPr="3A3E4175">
        <w:rPr>
          <w:rFonts w:ascii="Verdana" w:hAnsi="Verdana" w:eastAsia="Verdana" w:cs="Verdana"/>
        </w:rPr>
        <w:t xml:space="preserve"> </w:t>
      </w:r>
    </w:p>
    <w:p w:rsidR="08CE7D5C" w:rsidP="3A3E4175" w:rsidRDefault="08CE7D5C" w14:paraId="6F9DFB7F" w14:textId="3C599AFE">
      <w:pPr>
        <w:spacing w:line="257" w:lineRule="auto"/>
      </w:pPr>
      <w:r w:rsidRPr="3A3E4175">
        <w:rPr>
          <w:rFonts w:ascii="Verdana" w:hAnsi="Verdana" w:eastAsia="Verdana" w:cs="Verdana"/>
        </w:rPr>
        <w:t xml:space="preserve"> </w:t>
      </w:r>
    </w:p>
    <w:p w:rsidR="08CE7D5C" w:rsidP="3A3E4175" w:rsidRDefault="08CE7D5C" w14:paraId="75ED86B0" w14:textId="4F38B531">
      <w:pPr>
        <w:spacing w:line="257" w:lineRule="auto"/>
      </w:pPr>
      <w:r w:rsidRPr="3A3E4175">
        <w:rPr>
          <w:rFonts w:ascii="Verdana" w:hAnsi="Verdana" w:eastAsia="Verdana" w:cs="Verdana"/>
        </w:rPr>
        <w:t xml:space="preserve"> </w:t>
      </w:r>
    </w:p>
    <w:bookmarkStart w:name="_Toc1296910188" w:displacedByCustomXml="next" w:id="0"/>
    <w:sdt>
      <w:sdtPr>
        <w:rPr>
          <w:rFonts w:asciiTheme="minorHAnsi" w:hAnsiTheme="minorHAnsi" w:eastAsiaTheme="minorEastAsia" w:cstheme="minorBidi"/>
          <w:color w:val="auto"/>
          <w:sz w:val="22"/>
          <w:szCs w:val="22"/>
          <w:lang w:eastAsia="en-US"/>
        </w:rPr>
        <w:id w:val="2038227365"/>
        <w:docPartObj>
          <w:docPartGallery w:val="Table of Contents"/>
          <w:docPartUnique/>
        </w:docPartObj>
      </w:sdtPr>
      <w:sdtEndPr>
        <w:rPr>
          <w:b/>
          <w:bCs/>
        </w:rPr>
      </w:sdtEndPr>
      <w:sdtContent>
        <w:p w:rsidR="0033380F" w:rsidRDefault="6E1BF0A2" w14:paraId="20F3F216" w14:textId="3598A9FF">
          <w:pPr>
            <w:pStyle w:val="Kopvaninhoudsopgave"/>
          </w:pPr>
          <w:r>
            <w:t>Inhoud</w:t>
          </w:r>
          <w:bookmarkEnd w:id="0"/>
        </w:p>
        <w:p w:rsidR="0033380F" w:rsidP="3C462CC1" w:rsidRDefault="0033380F" w14:paraId="7992058D" w14:textId="038B3772">
          <w:pPr>
            <w:pStyle w:val="Inhopg1"/>
            <w:tabs>
              <w:tab w:val="right" w:leader="dot" w:pos="9060"/>
            </w:tabs>
            <w:rPr>
              <w:rFonts w:eastAsiaTheme="minorEastAsia"/>
              <w:noProof/>
              <w:sz w:val="24"/>
              <w:szCs w:val="24"/>
              <w:lang w:eastAsia="nl-NL"/>
            </w:rPr>
          </w:pPr>
          <w:r>
            <w:fldChar w:fldCharType="begin"/>
          </w:r>
          <w:r>
            <w:instrText>TOC \o "1-3" \z \u \h</w:instrText>
          </w:r>
          <w:r>
            <w:fldChar w:fldCharType="separate"/>
          </w:r>
          <w:hyperlink w:anchor="_Toc1296910188">
            <w:r w:rsidRPr="3C462CC1" w:rsidR="3C462CC1">
              <w:rPr>
                <w:rStyle w:val="Hyperlink"/>
              </w:rPr>
              <w:t>Inhoud</w:t>
            </w:r>
            <w:r>
              <w:tab/>
            </w:r>
            <w:r>
              <w:fldChar w:fldCharType="begin"/>
            </w:r>
            <w:r>
              <w:instrText>PAGEREF _Toc1296910188 \h</w:instrText>
            </w:r>
            <w:r>
              <w:fldChar w:fldCharType="separate"/>
            </w:r>
            <w:r w:rsidRPr="3C462CC1" w:rsidR="3C462CC1">
              <w:rPr>
                <w:rStyle w:val="Hyperlink"/>
              </w:rPr>
              <w:t>1</w:t>
            </w:r>
            <w:r>
              <w:fldChar w:fldCharType="end"/>
            </w:r>
          </w:hyperlink>
        </w:p>
        <w:p w:rsidR="0033380F" w:rsidP="3C462CC1" w:rsidRDefault="3C462CC1" w14:paraId="71EBE1F0" w14:textId="08806EED">
          <w:pPr>
            <w:pStyle w:val="Inhopg1"/>
            <w:tabs>
              <w:tab w:val="right" w:leader="dot" w:pos="9060"/>
            </w:tabs>
            <w:rPr>
              <w:rFonts w:eastAsiaTheme="minorEastAsia"/>
              <w:noProof/>
              <w:sz w:val="24"/>
              <w:szCs w:val="24"/>
              <w:lang w:eastAsia="nl-NL"/>
            </w:rPr>
          </w:pPr>
          <w:hyperlink w:anchor="_Toc1938063131">
            <w:r w:rsidRPr="3C462CC1">
              <w:rPr>
                <w:rStyle w:val="Hyperlink"/>
              </w:rPr>
              <w:t>Inleiding</w:t>
            </w:r>
            <w:r w:rsidR="0033380F">
              <w:tab/>
            </w:r>
            <w:r w:rsidR="0033380F">
              <w:fldChar w:fldCharType="begin"/>
            </w:r>
            <w:r w:rsidR="0033380F">
              <w:instrText>PAGEREF _Toc1938063131 \h</w:instrText>
            </w:r>
            <w:r w:rsidR="0033380F">
              <w:fldChar w:fldCharType="separate"/>
            </w:r>
            <w:r w:rsidRPr="3C462CC1">
              <w:rPr>
                <w:rStyle w:val="Hyperlink"/>
              </w:rPr>
              <w:t>2</w:t>
            </w:r>
            <w:r w:rsidR="0033380F">
              <w:fldChar w:fldCharType="end"/>
            </w:r>
          </w:hyperlink>
        </w:p>
        <w:p w:rsidR="0033380F" w:rsidP="3C462CC1" w:rsidRDefault="3C462CC1" w14:paraId="0147ADCD" w14:textId="1EBD9C21">
          <w:pPr>
            <w:pStyle w:val="Inhopg1"/>
            <w:tabs>
              <w:tab w:val="right" w:leader="dot" w:pos="9060"/>
            </w:tabs>
            <w:rPr>
              <w:rFonts w:eastAsiaTheme="minorEastAsia"/>
              <w:noProof/>
              <w:sz w:val="24"/>
              <w:szCs w:val="24"/>
              <w:lang w:eastAsia="nl-NL"/>
            </w:rPr>
          </w:pPr>
          <w:hyperlink w:anchor="_Toc1161290590">
            <w:r w:rsidRPr="3C462CC1">
              <w:rPr>
                <w:rStyle w:val="Hyperlink"/>
              </w:rPr>
              <w:t>Dashboard</w:t>
            </w:r>
            <w:r w:rsidR="0033380F">
              <w:tab/>
            </w:r>
            <w:r w:rsidR="0033380F">
              <w:fldChar w:fldCharType="begin"/>
            </w:r>
            <w:r w:rsidR="0033380F">
              <w:instrText>PAGEREF _Toc1161290590 \h</w:instrText>
            </w:r>
            <w:r w:rsidR="0033380F">
              <w:fldChar w:fldCharType="separate"/>
            </w:r>
            <w:r w:rsidRPr="3C462CC1">
              <w:rPr>
                <w:rStyle w:val="Hyperlink"/>
              </w:rPr>
              <w:t>3</w:t>
            </w:r>
            <w:r w:rsidR="0033380F">
              <w:fldChar w:fldCharType="end"/>
            </w:r>
          </w:hyperlink>
        </w:p>
        <w:p w:rsidR="0033380F" w:rsidP="3C462CC1" w:rsidRDefault="3C462CC1" w14:paraId="35E33D75" w14:textId="224CF617">
          <w:pPr>
            <w:pStyle w:val="Inhopg1"/>
            <w:tabs>
              <w:tab w:val="right" w:leader="dot" w:pos="9060"/>
            </w:tabs>
            <w:rPr>
              <w:rFonts w:eastAsiaTheme="minorEastAsia"/>
              <w:noProof/>
              <w:sz w:val="24"/>
              <w:szCs w:val="24"/>
              <w:lang w:eastAsia="nl-NL"/>
            </w:rPr>
          </w:pPr>
          <w:hyperlink w:anchor="_Toc786956795">
            <w:r w:rsidRPr="3C462CC1">
              <w:rPr>
                <w:rStyle w:val="Hyperlink"/>
              </w:rPr>
              <w:t>Voortgang</w:t>
            </w:r>
            <w:r w:rsidR="0033380F">
              <w:tab/>
            </w:r>
            <w:r w:rsidR="0033380F">
              <w:fldChar w:fldCharType="begin"/>
            </w:r>
            <w:r w:rsidR="0033380F">
              <w:instrText>PAGEREF _Toc786956795 \h</w:instrText>
            </w:r>
            <w:r w:rsidR="0033380F">
              <w:fldChar w:fldCharType="separate"/>
            </w:r>
            <w:r w:rsidRPr="3C462CC1">
              <w:rPr>
                <w:rStyle w:val="Hyperlink"/>
              </w:rPr>
              <w:t>11</w:t>
            </w:r>
            <w:r w:rsidR="0033380F">
              <w:fldChar w:fldCharType="end"/>
            </w:r>
          </w:hyperlink>
        </w:p>
        <w:p w:rsidR="0033380F" w:rsidP="3C462CC1" w:rsidRDefault="3C462CC1" w14:paraId="69B97CE1" w14:textId="32985F42">
          <w:pPr>
            <w:pStyle w:val="Inhopg1"/>
            <w:tabs>
              <w:tab w:val="right" w:leader="dot" w:pos="9060"/>
            </w:tabs>
            <w:rPr>
              <w:rFonts w:eastAsiaTheme="minorEastAsia"/>
              <w:noProof/>
              <w:sz w:val="24"/>
              <w:szCs w:val="24"/>
              <w:lang w:eastAsia="nl-NL"/>
            </w:rPr>
          </w:pPr>
          <w:hyperlink w:anchor="_Toc1859889373">
            <w:r w:rsidRPr="3C462CC1">
              <w:rPr>
                <w:rStyle w:val="Hyperlink"/>
              </w:rPr>
              <w:t>Bijlage</w:t>
            </w:r>
            <w:r w:rsidR="0033380F">
              <w:tab/>
            </w:r>
            <w:r w:rsidR="0033380F">
              <w:fldChar w:fldCharType="begin"/>
            </w:r>
            <w:r w:rsidR="0033380F">
              <w:instrText>PAGEREF _Toc1859889373 \h</w:instrText>
            </w:r>
            <w:r w:rsidR="0033380F">
              <w:fldChar w:fldCharType="separate"/>
            </w:r>
            <w:r w:rsidRPr="3C462CC1">
              <w:rPr>
                <w:rStyle w:val="Hyperlink"/>
              </w:rPr>
              <w:t>15</w:t>
            </w:r>
            <w:r w:rsidR="0033380F">
              <w:fldChar w:fldCharType="end"/>
            </w:r>
          </w:hyperlink>
        </w:p>
        <w:p w:rsidR="0033380F" w:rsidP="3C462CC1" w:rsidRDefault="3C462CC1" w14:paraId="0BF8C511" w14:textId="18545464">
          <w:pPr>
            <w:pStyle w:val="Inhopg2"/>
            <w:tabs>
              <w:tab w:val="right" w:leader="dot" w:pos="9060"/>
            </w:tabs>
            <w:rPr>
              <w:rFonts w:eastAsiaTheme="minorEastAsia"/>
              <w:noProof/>
              <w:sz w:val="24"/>
              <w:szCs w:val="24"/>
              <w:lang w:eastAsia="nl-NL"/>
            </w:rPr>
          </w:pPr>
          <w:hyperlink w:anchor="_Toc2126453485">
            <w:r w:rsidRPr="3C462CC1">
              <w:rPr>
                <w:rStyle w:val="Hyperlink"/>
              </w:rPr>
              <w:t>Omschrijving maatregelen</w:t>
            </w:r>
            <w:r w:rsidR="0033380F">
              <w:tab/>
            </w:r>
            <w:r w:rsidR="0033380F">
              <w:fldChar w:fldCharType="begin"/>
            </w:r>
            <w:r w:rsidR="0033380F">
              <w:instrText>PAGEREF _Toc2126453485 \h</w:instrText>
            </w:r>
            <w:r w:rsidR="0033380F">
              <w:fldChar w:fldCharType="separate"/>
            </w:r>
            <w:r w:rsidRPr="3C462CC1">
              <w:rPr>
                <w:rStyle w:val="Hyperlink"/>
              </w:rPr>
              <w:t>16</w:t>
            </w:r>
            <w:r w:rsidR="0033380F">
              <w:fldChar w:fldCharType="end"/>
            </w:r>
          </w:hyperlink>
        </w:p>
        <w:p w:rsidR="0033380F" w:rsidRDefault="0033380F" w14:paraId="499AEDAA" w14:textId="0E10CD17">
          <w:r>
            <w:rPr>
              <w:b/>
              <w:bCs/>
            </w:rPr>
            <w:fldChar w:fldCharType="end"/>
          </w:r>
        </w:p>
      </w:sdtContent>
    </w:sdt>
    <w:p w:rsidR="08CE7D5C" w:rsidP="3A3E4175" w:rsidRDefault="08CE7D5C" w14:paraId="1A88467A" w14:textId="7A8CAD5A">
      <w:pPr>
        <w:spacing w:line="257" w:lineRule="auto"/>
      </w:pPr>
    </w:p>
    <w:p w:rsidR="08CE7D5C" w:rsidP="3A3E4175" w:rsidRDefault="08CE7D5C" w14:paraId="1E66BE56" w14:textId="7D2C16E4">
      <w:pPr>
        <w:spacing w:line="257" w:lineRule="auto"/>
      </w:pPr>
      <w:r w:rsidRPr="3A3E4175">
        <w:rPr>
          <w:rFonts w:ascii="Verdana" w:hAnsi="Verdana" w:eastAsia="Verdana" w:cs="Verdana"/>
        </w:rPr>
        <w:t xml:space="preserve"> </w:t>
      </w:r>
    </w:p>
    <w:p w:rsidR="08CE7D5C" w:rsidP="3A3E4175" w:rsidRDefault="08CE7D5C" w14:paraId="4B4A966B" w14:textId="1BBB33B7">
      <w:pPr>
        <w:spacing w:line="257" w:lineRule="auto"/>
      </w:pPr>
      <w:r w:rsidRPr="3A3E4175">
        <w:rPr>
          <w:rFonts w:ascii="Verdana" w:hAnsi="Verdana" w:eastAsia="Verdana" w:cs="Verdana"/>
        </w:rPr>
        <w:t xml:space="preserve"> </w:t>
      </w:r>
    </w:p>
    <w:p w:rsidR="08CE7D5C" w:rsidP="3A3E4175" w:rsidRDefault="08CE7D5C" w14:paraId="12506FE1" w14:textId="0F71E809">
      <w:pPr>
        <w:spacing w:line="257" w:lineRule="auto"/>
      </w:pPr>
      <w:r w:rsidRPr="3A3E4175">
        <w:rPr>
          <w:rFonts w:ascii="Verdana" w:hAnsi="Verdana" w:eastAsia="Verdana" w:cs="Verdana"/>
        </w:rPr>
        <w:t xml:space="preserve"> </w:t>
      </w:r>
    </w:p>
    <w:p w:rsidR="08CE7D5C" w:rsidP="3A3E4175" w:rsidRDefault="08CE7D5C" w14:paraId="2AD64866" w14:textId="1F1EDBCF">
      <w:pPr>
        <w:spacing w:line="257" w:lineRule="auto"/>
      </w:pPr>
      <w:r w:rsidRPr="3A3E4175">
        <w:rPr>
          <w:rFonts w:ascii="Verdana" w:hAnsi="Verdana" w:eastAsia="Verdana" w:cs="Verdana"/>
        </w:rPr>
        <w:t xml:space="preserve"> </w:t>
      </w:r>
    </w:p>
    <w:p w:rsidR="08CE7D5C" w:rsidP="3A3E4175" w:rsidRDefault="08CE7D5C" w14:paraId="37795607" w14:textId="2903111F">
      <w:pPr>
        <w:spacing w:line="257" w:lineRule="auto"/>
      </w:pPr>
      <w:r w:rsidRPr="3A3E4175">
        <w:rPr>
          <w:rFonts w:ascii="Verdana" w:hAnsi="Verdana" w:eastAsia="Verdana" w:cs="Verdana"/>
        </w:rPr>
        <w:t xml:space="preserve"> </w:t>
      </w:r>
    </w:p>
    <w:p w:rsidR="08CE7D5C" w:rsidP="3A3E4175" w:rsidRDefault="08CE7D5C" w14:paraId="6CC5C0B1" w14:textId="5EFF03C7">
      <w:pPr>
        <w:spacing w:line="257" w:lineRule="auto"/>
      </w:pPr>
      <w:r w:rsidRPr="3A3E4175">
        <w:rPr>
          <w:rFonts w:ascii="Verdana" w:hAnsi="Verdana" w:eastAsia="Verdana" w:cs="Verdana"/>
        </w:rPr>
        <w:t xml:space="preserve"> </w:t>
      </w:r>
    </w:p>
    <w:p w:rsidR="08CE7D5C" w:rsidP="3A3E4175" w:rsidRDefault="08CE7D5C" w14:paraId="112CCCB4" w14:textId="71922672">
      <w:pPr>
        <w:spacing w:line="257" w:lineRule="auto"/>
      </w:pPr>
      <w:r w:rsidRPr="3A3E4175">
        <w:rPr>
          <w:rFonts w:ascii="Verdana" w:hAnsi="Verdana" w:eastAsia="Verdana" w:cs="Verdana"/>
        </w:rPr>
        <w:t xml:space="preserve"> </w:t>
      </w:r>
    </w:p>
    <w:p w:rsidR="08CE7D5C" w:rsidP="3A3E4175" w:rsidRDefault="08CE7D5C" w14:paraId="533B9FC6" w14:textId="35C1E9C2">
      <w:pPr>
        <w:spacing w:line="257" w:lineRule="auto"/>
      </w:pPr>
      <w:r w:rsidRPr="3A3E4175">
        <w:rPr>
          <w:rFonts w:ascii="Verdana" w:hAnsi="Verdana" w:eastAsia="Verdana" w:cs="Verdana"/>
        </w:rPr>
        <w:t xml:space="preserve"> </w:t>
      </w:r>
    </w:p>
    <w:p w:rsidR="08CE7D5C" w:rsidP="3A3E4175" w:rsidRDefault="08CE7D5C" w14:paraId="008C42CC" w14:textId="60216264">
      <w:pPr>
        <w:spacing w:line="257" w:lineRule="auto"/>
      </w:pPr>
      <w:r w:rsidRPr="3A3E4175">
        <w:rPr>
          <w:rFonts w:ascii="Verdana" w:hAnsi="Verdana" w:eastAsia="Verdana" w:cs="Verdana"/>
        </w:rPr>
        <w:t xml:space="preserve"> </w:t>
      </w:r>
    </w:p>
    <w:p w:rsidR="08CE7D5C" w:rsidP="3A3E4175" w:rsidRDefault="08CE7D5C" w14:paraId="5F98D815" w14:textId="2ED2F521">
      <w:pPr>
        <w:spacing w:line="257" w:lineRule="auto"/>
      </w:pPr>
      <w:r w:rsidRPr="3A3E4175">
        <w:rPr>
          <w:rFonts w:ascii="Verdana" w:hAnsi="Verdana" w:eastAsia="Verdana" w:cs="Verdana"/>
        </w:rPr>
        <w:t xml:space="preserve"> </w:t>
      </w:r>
    </w:p>
    <w:p w:rsidR="08CE7D5C" w:rsidP="3A3E4175" w:rsidRDefault="08CE7D5C" w14:paraId="699E61A3" w14:textId="13A491A4">
      <w:pPr>
        <w:spacing w:line="257" w:lineRule="auto"/>
      </w:pPr>
      <w:r w:rsidRPr="3A3E4175">
        <w:rPr>
          <w:rFonts w:ascii="Verdana" w:hAnsi="Verdana" w:eastAsia="Verdana" w:cs="Verdana"/>
        </w:rPr>
        <w:t xml:space="preserve"> </w:t>
      </w:r>
    </w:p>
    <w:p w:rsidR="08CE7D5C" w:rsidP="3A3E4175" w:rsidRDefault="08CE7D5C" w14:paraId="01A59246" w14:textId="16AC084A">
      <w:pPr>
        <w:spacing w:line="257" w:lineRule="auto"/>
      </w:pPr>
      <w:r w:rsidRPr="3A3E4175">
        <w:rPr>
          <w:rFonts w:ascii="Verdana" w:hAnsi="Verdana" w:eastAsia="Verdana" w:cs="Verdana"/>
        </w:rPr>
        <w:t xml:space="preserve"> </w:t>
      </w:r>
    </w:p>
    <w:p w:rsidR="08CE7D5C" w:rsidP="3A3E4175" w:rsidRDefault="08CE7D5C" w14:paraId="0ABFDD3D" w14:textId="77C166AA">
      <w:pPr>
        <w:spacing w:line="257" w:lineRule="auto"/>
      </w:pPr>
      <w:r w:rsidRPr="3A3E4175">
        <w:rPr>
          <w:rFonts w:ascii="Verdana" w:hAnsi="Verdana" w:eastAsia="Verdana" w:cs="Verdana"/>
        </w:rPr>
        <w:t xml:space="preserve"> </w:t>
      </w:r>
    </w:p>
    <w:p w:rsidR="08CE7D5C" w:rsidP="3A3E4175" w:rsidRDefault="08CE7D5C" w14:paraId="5F6AD269" w14:textId="51EE7690">
      <w:pPr>
        <w:spacing w:line="257" w:lineRule="auto"/>
      </w:pPr>
      <w:r w:rsidRPr="3A3E4175">
        <w:rPr>
          <w:rFonts w:ascii="Verdana" w:hAnsi="Verdana" w:eastAsia="Verdana" w:cs="Verdana"/>
        </w:rPr>
        <w:t xml:space="preserve"> </w:t>
      </w:r>
    </w:p>
    <w:p w:rsidR="08CE7D5C" w:rsidP="3A3E4175" w:rsidRDefault="08CE7D5C" w14:paraId="3074F29D" w14:textId="173E0CDA">
      <w:pPr>
        <w:spacing w:line="257" w:lineRule="auto"/>
      </w:pPr>
      <w:r w:rsidRPr="3A3E4175">
        <w:rPr>
          <w:rFonts w:ascii="Verdana" w:hAnsi="Verdana" w:eastAsia="Verdana" w:cs="Verdana"/>
        </w:rPr>
        <w:t xml:space="preserve"> </w:t>
      </w:r>
    </w:p>
    <w:p w:rsidR="08CE7D5C" w:rsidP="3A3E4175" w:rsidRDefault="08CE7D5C" w14:paraId="04286326" w14:textId="4691AF48">
      <w:pPr>
        <w:spacing w:line="257" w:lineRule="auto"/>
      </w:pPr>
      <w:r w:rsidRPr="3A3E4175">
        <w:rPr>
          <w:rFonts w:ascii="Verdana" w:hAnsi="Verdana" w:eastAsia="Verdana" w:cs="Verdana"/>
        </w:rPr>
        <w:t xml:space="preserve"> </w:t>
      </w:r>
    </w:p>
    <w:p w:rsidR="0033380F" w:rsidP="3A3E4175" w:rsidRDefault="0033380F" w14:paraId="629307A5" w14:textId="77777777">
      <w:pPr>
        <w:spacing w:line="257" w:lineRule="auto"/>
        <w:rPr>
          <w:rFonts w:ascii="Verdana" w:hAnsi="Verdana" w:eastAsia="Verdana" w:cs="Verdana"/>
        </w:rPr>
      </w:pPr>
    </w:p>
    <w:p w:rsidR="08CE7D5C" w:rsidP="3A3E4175" w:rsidRDefault="08CE7D5C" w14:paraId="13269636" w14:textId="0DD24D99">
      <w:pPr>
        <w:spacing w:line="257" w:lineRule="auto"/>
      </w:pPr>
      <w:r w:rsidRPr="3A3E4175">
        <w:rPr>
          <w:rFonts w:ascii="Verdana" w:hAnsi="Verdana" w:eastAsia="Verdana" w:cs="Verdana"/>
        </w:rPr>
        <w:t xml:space="preserve"> </w:t>
      </w:r>
    </w:p>
    <w:p w:rsidR="08CE7D5C" w:rsidP="3A3E4175" w:rsidRDefault="08CE7D5C" w14:paraId="209C7C7A" w14:textId="2CC102C3">
      <w:pPr>
        <w:spacing w:line="257" w:lineRule="auto"/>
      </w:pPr>
      <w:r w:rsidRPr="3A3E4175">
        <w:rPr>
          <w:rFonts w:ascii="Verdana" w:hAnsi="Verdana" w:eastAsia="Verdana" w:cs="Verdana"/>
        </w:rPr>
        <w:t xml:space="preserve"> </w:t>
      </w:r>
    </w:p>
    <w:p w:rsidR="08CE7D5C" w:rsidP="3A3E4175" w:rsidRDefault="08CE7D5C" w14:paraId="3345FB4C" w14:textId="62785E7F">
      <w:pPr>
        <w:spacing w:line="257" w:lineRule="auto"/>
      </w:pPr>
      <w:r w:rsidRPr="3A3E4175">
        <w:rPr>
          <w:rFonts w:ascii="Verdana" w:hAnsi="Verdana" w:eastAsia="Verdana" w:cs="Verdana"/>
        </w:rPr>
        <w:t xml:space="preserve"> </w:t>
      </w:r>
    </w:p>
    <w:p w:rsidR="08CE7D5C" w:rsidP="3A3E4175" w:rsidRDefault="08CE7D5C" w14:paraId="692B1E88" w14:textId="61F32006">
      <w:pPr>
        <w:spacing w:line="257" w:lineRule="auto"/>
      </w:pPr>
      <w:r w:rsidRPr="3A3E4175">
        <w:rPr>
          <w:rFonts w:ascii="Verdana" w:hAnsi="Verdana" w:eastAsia="Verdana" w:cs="Verdana"/>
        </w:rPr>
        <w:t xml:space="preserve"> </w:t>
      </w:r>
    </w:p>
    <w:p w:rsidR="08CE7D5C" w:rsidP="3A3E4175" w:rsidRDefault="08CE7D5C" w14:paraId="33EF1C3F" w14:textId="4659EAC6">
      <w:pPr>
        <w:spacing w:line="257" w:lineRule="auto"/>
      </w:pPr>
      <w:r w:rsidRPr="3A3E4175">
        <w:rPr>
          <w:rFonts w:ascii="Verdana" w:hAnsi="Verdana" w:eastAsia="Verdana" w:cs="Verdana"/>
        </w:rPr>
        <w:t xml:space="preserve"> </w:t>
      </w:r>
    </w:p>
    <w:p w:rsidR="08CE7D5C" w:rsidP="3A3E4175" w:rsidRDefault="2AA670F7" w14:paraId="55061BD3" w14:textId="660D7E4C">
      <w:pPr>
        <w:pStyle w:val="Kop1"/>
        <w:spacing w:before="0" w:after="160" w:line="257" w:lineRule="auto"/>
        <w:rPr>
          <w:rFonts w:eastAsia="Verdana" w:cs="Verdana"/>
          <w:sz w:val="22"/>
          <w:szCs w:val="22"/>
        </w:rPr>
      </w:pPr>
      <w:bookmarkStart w:name="_Toc1938063131" w:id="1"/>
      <w:r w:rsidRPr="3C462CC1">
        <w:rPr>
          <w:rFonts w:eastAsia="Verdana" w:cs="Verdana"/>
        </w:rPr>
        <w:lastRenderedPageBreak/>
        <w:t>Inleiding</w:t>
      </w:r>
      <w:bookmarkEnd w:id="1"/>
    </w:p>
    <w:p w:rsidR="08CE7D5C" w:rsidP="3A3E4175" w:rsidRDefault="08CE7D5C" w14:paraId="0B33442D" w14:textId="6036A666">
      <w:pPr>
        <w:spacing w:line="257" w:lineRule="auto"/>
      </w:pPr>
      <w:r w:rsidRPr="3A3E4175">
        <w:rPr>
          <w:rFonts w:ascii="Verdana" w:hAnsi="Verdana" w:eastAsia="Verdana" w:cs="Verdana"/>
          <w:sz w:val="18"/>
          <w:szCs w:val="18"/>
        </w:rPr>
        <w:t xml:space="preserve">Rijk en medeoverheden hebben maatregelen genomen en aangekondigd om stikstofdepositie en stikstofemissie te reduceren. De uitvoeringsrapportage geeft een overzicht van deze maatregelen. </w:t>
      </w:r>
    </w:p>
    <w:p w:rsidR="08CE7D5C" w:rsidP="3A3E4175" w:rsidRDefault="08CE7D5C" w14:paraId="7BEFE9FA" w14:textId="0827A378">
      <w:pPr>
        <w:spacing w:line="257" w:lineRule="auto"/>
      </w:pPr>
      <w:r w:rsidRPr="3A3E4175">
        <w:rPr>
          <w:rFonts w:ascii="Verdana" w:hAnsi="Verdana" w:eastAsia="Verdana" w:cs="Verdana"/>
          <w:sz w:val="18"/>
          <w:szCs w:val="18"/>
        </w:rPr>
        <w:t>In de uitvoeringsrapportage worden de procesmatige ontwikkelingen ten opzichte van de vastgelegde politieke-, bestuurlijke- en samenwerkingsafspraken toegelicht, als ook de inhoudelijke ontwikkelingen van de stikstofreductiemaatregelen binnen de sectoren landbouw, mobiliteit, bouw en industrie. Verder worden de belangrijkste ontwikkelingen van de maatregelpakketten behandeld.</w:t>
      </w:r>
    </w:p>
    <w:p w:rsidR="08CE7D5C" w:rsidP="7C493882" w:rsidRDefault="2AA670F7" w14:paraId="206DE1E5" w14:textId="595E58F2">
      <w:pPr>
        <w:spacing w:line="257" w:lineRule="auto"/>
        <w:rPr>
          <w:rFonts w:ascii="Verdana" w:hAnsi="Verdana" w:eastAsia="Verdana" w:cs="Verdana"/>
          <w:sz w:val="18"/>
          <w:szCs w:val="18"/>
        </w:rPr>
      </w:pPr>
      <w:r w:rsidRPr="7C493882">
        <w:rPr>
          <w:rFonts w:ascii="Verdana" w:hAnsi="Verdana" w:eastAsia="Verdana" w:cs="Verdana"/>
          <w:sz w:val="18"/>
          <w:szCs w:val="18"/>
        </w:rPr>
        <w:t>Deze rapportage bevat enkel de oorspronkelijke bedragen die een maatregel heeft gekregen en geen financiële voortgangscijfers, die informatie is onderdeel van de reguliere begrotingscyclus van het Rijk. Meer informatie over het doelbereik van de maatregelen is te vinden in</w:t>
      </w:r>
      <w:r w:rsidRPr="7C493882" w:rsidR="28B4FC6E">
        <w:rPr>
          <w:rFonts w:ascii="Verdana" w:hAnsi="Verdana" w:eastAsia="Verdana" w:cs="Verdana"/>
          <w:sz w:val="18"/>
          <w:szCs w:val="18"/>
        </w:rPr>
        <w:t xml:space="preserve"> monitoringsrapp</w:t>
      </w:r>
      <w:r w:rsidRPr="7C493882" w:rsidR="33729D10">
        <w:rPr>
          <w:rFonts w:ascii="Verdana" w:hAnsi="Verdana" w:eastAsia="Verdana" w:cs="Verdana"/>
          <w:sz w:val="18"/>
          <w:szCs w:val="18"/>
        </w:rPr>
        <w:t>or</w:t>
      </w:r>
      <w:r w:rsidRPr="7C493882" w:rsidR="28B4FC6E">
        <w:rPr>
          <w:rFonts w:ascii="Verdana" w:hAnsi="Verdana" w:eastAsia="Verdana" w:cs="Verdana"/>
          <w:sz w:val="18"/>
          <w:szCs w:val="18"/>
        </w:rPr>
        <w:t>tages</w:t>
      </w:r>
      <w:r w:rsidRPr="7C493882">
        <w:rPr>
          <w:rFonts w:ascii="Verdana" w:hAnsi="Verdana" w:eastAsia="Verdana" w:cs="Verdana"/>
          <w:sz w:val="18"/>
          <w:szCs w:val="18"/>
        </w:rPr>
        <w:t xml:space="preserve"> van </w:t>
      </w:r>
      <w:r w:rsidRPr="7C493882" w:rsidR="1DDB36E6">
        <w:rPr>
          <w:rFonts w:ascii="Verdana" w:hAnsi="Verdana" w:eastAsia="Verdana" w:cs="Verdana"/>
          <w:sz w:val="18"/>
          <w:szCs w:val="18"/>
        </w:rPr>
        <w:t>het kennisconsortium</w:t>
      </w:r>
      <w:r w:rsidRPr="7C493882">
        <w:rPr>
          <w:rFonts w:ascii="Verdana" w:hAnsi="Verdana" w:eastAsia="Verdana" w:cs="Verdana"/>
          <w:sz w:val="18"/>
          <w:szCs w:val="18"/>
        </w:rPr>
        <w:t>. Indien relevant wordt er in deze rapportage verwezen naar gepubliceerde onderzoeken.</w:t>
      </w:r>
      <w:r w:rsidRPr="7C493882" w:rsidR="3BEF013D">
        <w:rPr>
          <w:rFonts w:ascii="Verdana" w:hAnsi="Verdana" w:eastAsia="Verdana" w:cs="Verdana"/>
          <w:sz w:val="18"/>
          <w:szCs w:val="18"/>
        </w:rPr>
        <w:t xml:space="preserve"> </w:t>
      </w:r>
      <w:r w:rsidRPr="7C493882">
        <w:rPr>
          <w:rFonts w:ascii="Verdana" w:hAnsi="Verdana" w:eastAsia="Verdana" w:cs="Verdana"/>
          <w:sz w:val="18"/>
          <w:szCs w:val="18"/>
        </w:rPr>
        <w:t>De rapportage wordt in 2026 twee keer gepubliceerd.</w:t>
      </w:r>
    </w:p>
    <w:p w:rsidR="08CE7D5C" w:rsidP="3A3E4175" w:rsidRDefault="08CE7D5C" w14:paraId="5D0D6B7A" w14:textId="301A0DEE">
      <w:pPr>
        <w:spacing w:line="257" w:lineRule="auto"/>
      </w:pPr>
      <w:r w:rsidRPr="3A3E4175">
        <w:rPr>
          <w:rFonts w:ascii="Verdana" w:hAnsi="Verdana" w:eastAsia="Verdana" w:cs="Verdana"/>
          <w:sz w:val="18"/>
          <w:szCs w:val="18"/>
        </w:rPr>
        <w:t xml:space="preserve"> </w:t>
      </w:r>
    </w:p>
    <w:p w:rsidR="08CE7D5C" w:rsidP="3A3E4175" w:rsidRDefault="08CE7D5C" w14:paraId="26C96F5B" w14:textId="2B93153D">
      <w:pPr>
        <w:spacing w:line="257" w:lineRule="auto"/>
      </w:pPr>
      <w:r w:rsidRPr="3A3E4175">
        <w:rPr>
          <w:rFonts w:ascii="Verdana" w:hAnsi="Verdana" w:eastAsia="Verdana" w:cs="Verdana"/>
        </w:rPr>
        <w:t xml:space="preserve"> </w:t>
      </w:r>
    </w:p>
    <w:p w:rsidR="08CE7D5C" w:rsidP="3A3E4175" w:rsidRDefault="08CE7D5C" w14:paraId="24601278" w14:textId="317A0BED">
      <w:pPr>
        <w:spacing w:line="257" w:lineRule="auto"/>
      </w:pPr>
      <w:r w:rsidRPr="3A3E4175">
        <w:rPr>
          <w:rFonts w:ascii="Verdana" w:hAnsi="Verdana" w:eastAsia="Verdana" w:cs="Verdana"/>
        </w:rPr>
        <w:t xml:space="preserve"> </w:t>
      </w:r>
    </w:p>
    <w:p w:rsidR="08CE7D5C" w:rsidP="3A3E4175" w:rsidRDefault="08CE7D5C" w14:paraId="5E077577" w14:textId="6EEEAE5B">
      <w:pPr>
        <w:spacing w:line="257" w:lineRule="auto"/>
      </w:pPr>
      <w:r w:rsidRPr="3A3E4175">
        <w:rPr>
          <w:rFonts w:ascii="Verdana" w:hAnsi="Verdana" w:eastAsia="Verdana" w:cs="Verdana"/>
        </w:rPr>
        <w:t xml:space="preserve"> </w:t>
      </w:r>
    </w:p>
    <w:p w:rsidR="08CE7D5C" w:rsidP="3A3E4175" w:rsidRDefault="08CE7D5C" w14:paraId="5A6B025D" w14:textId="29086DCA">
      <w:pPr>
        <w:spacing w:line="257" w:lineRule="auto"/>
      </w:pPr>
      <w:r w:rsidRPr="3A3E4175">
        <w:rPr>
          <w:rFonts w:ascii="Verdana" w:hAnsi="Verdana" w:eastAsia="Verdana" w:cs="Verdana"/>
        </w:rPr>
        <w:t xml:space="preserve"> </w:t>
      </w:r>
    </w:p>
    <w:p w:rsidR="08CE7D5C" w:rsidP="3A3E4175" w:rsidRDefault="08CE7D5C" w14:paraId="6C74B4E0" w14:textId="2ED2EC7F">
      <w:pPr>
        <w:spacing w:line="257" w:lineRule="auto"/>
      </w:pPr>
      <w:r w:rsidRPr="3A3E4175">
        <w:rPr>
          <w:rFonts w:ascii="Verdana" w:hAnsi="Verdana" w:eastAsia="Verdana" w:cs="Verdana"/>
        </w:rPr>
        <w:t xml:space="preserve"> </w:t>
      </w:r>
    </w:p>
    <w:p w:rsidR="08CE7D5C" w:rsidP="3A3E4175" w:rsidRDefault="08CE7D5C" w14:paraId="3465519C" w14:textId="0F3557DD">
      <w:pPr>
        <w:spacing w:line="257" w:lineRule="auto"/>
      </w:pPr>
      <w:r w:rsidRPr="3A3E4175">
        <w:rPr>
          <w:rFonts w:ascii="Verdana" w:hAnsi="Verdana" w:eastAsia="Verdana" w:cs="Verdana"/>
        </w:rPr>
        <w:t xml:space="preserve"> </w:t>
      </w:r>
    </w:p>
    <w:p w:rsidR="08CE7D5C" w:rsidP="3A3E4175" w:rsidRDefault="08CE7D5C" w14:paraId="422D8020" w14:textId="585FF1C7">
      <w:pPr>
        <w:spacing w:line="257" w:lineRule="auto"/>
      </w:pPr>
      <w:r w:rsidRPr="3A3E4175">
        <w:rPr>
          <w:rFonts w:ascii="Verdana" w:hAnsi="Verdana" w:eastAsia="Verdana" w:cs="Verdana"/>
        </w:rPr>
        <w:t xml:space="preserve"> </w:t>
      </w:r>
    </w:p>
    <w:p w:rsidR="08CE7D5C" w:rsidP="3A3E4175" w:rsidRDefault="08CE7D5C" w14:paraId="0D4B0230" w14:textId="4F377690">
      <w:pPr>
        <w:spacing w:line="257" w:lineRule="auto"/>
      </w:pPr>
      <w:r w:rsidRPr="3A3E4175">
        <w:rPr>
          <w:rFonts w:ascii="Verdana" w:hAnsi="Verdana" w:eastAsia="Verdana" w:cs="Verdana"/>
        </w:rPr>
        <w:t xml:space="preserve"> </w:t>
      </w:r>
    </w:p>
    <w:p w:rsidR="08CE7D5C" w:rsidP="3A3E4175" w:rsidRDefault="08CE7D5C" w14:paraId="3AD94CFF" w14:textId="4F69BD45">
      <w:pPr>
        <w:spacing w:line="257" w:lineRule="auto"/>
      </w:pPr>
      <w:r w:rsidRPr="3A3E4175">
        <w:rPr>
          <w:rFonts w:ascii="Verdana" w:hAnsi="Verdana" w:eastAsia="Verdana" w:cs="Verdana"/>
        </w:rPr>
        <w:t xml:space="preserve"> </w:t>
      </w:r>
    </w:p>
    <w:p w:rsidR="08CE7D5C" w:rsidP="3A3E4175" w:rsidRDefault="08CE7D5C" w14:paraId="2198136C" w14:textId="313CBC80">
      <w:pPr>
        <w:spacing w:line="257" w:lineRule="auto"/>
      </w:pPr>
      <w:r w:rsidRPr="3A3E4175">
        <w:rPr>
          <w:rFonts w:ascii="Verdana" w:hAnsi="Verdana" w:eastAsia="Verdana" w:cs="Verdana"/>
        </w:rPr>
        <w:t xml:space="preserve"> </w:t>
      </w:r>
    </w:p>
    <w:p w:rsidR="08CE7D5C" w:rsidP="3A3E4175" w:rsidRDefault="08CE7D5C" w14:paraId="40AED584" w14:textId="7718DB90">
      <w:pPr>
        <w:spacing w:line="257" w:lineRule="auto"/>
      </w:pPr>
      <w:r w:rsidRPr="3A3E4175">
        <w:rPr>
          <w:rFonts w:ascii="Verdana" w:hAnsi="Verdana" w:eastAsia="Verdana" w:cs="Verdana"/>
        </w:rPr>
        <w:t xml:space="preserve"> </w:t>
      </w:r>
    </w:p>
    <w:p w:rsidR="08CE7D5C" w:rsidP="3A3E4175" w:rsidRDefault="08CE7D5C" w14:paraId="0A59C974" w14:textId="2EFC1922">
      <w:pPr>
        <w:spacing w:line="257" w:lineRule="auto"/>
      </w:pPr>
      <w:r w:rsidRPr="3A3E4175">
        <w:rPr>
          <w:rFonts w:ascii="Verdana" w:hAnsi="Verdana" w:eastAsia="Verdana" w:cs="Verdana"/>
        </w:rPr>
        <w:t xml:space="preserve"> </w:t>
      </w:r>
    </w:p>
    <w:p w:rsidR="08CE7D5C" w:rsidP="3A3E4175" w:rsidRDefault="08CE7D5C" w14:paraId="6EFEAC3E" w14:textId="33F1BC18">
      <w:pPr>
        <w:spacing w:line="257" w:lineRule="auto"/>
      </w:pPr>
      <w:r w:rsidRPr="3A3E4175">
        <w:rPr>
          <w:rFonts w:ascii="Verdana" w:hAnsi="Verdana" w:eastAsia="Verdana" w:cs="Verdana"/>
        </w:rPr>
        <w:t xml:space="preserve"> </w:t>
      </w:r>
    </w:p>
    <w:p w:rsidR="08CE7D5C" w:rsidP="3A3E4175" w:rsidRDefault="08CE7D5C" w14:paraId="37A11CD8" w14:textId="68F9A57E">
      <w:pPr>
        <w:spacing w:line="257" w:lineRule="auto"/>
      </w:pPr>
      <w:r w:rsidRPr="3A3E4175">
        <w:rPr>
          <w:rFonts w:ascii="Verdana" w:hAnsi="Verdana" w:eastAsia="Verdana" w:cs="Verdana"/>
        </w:rPr>
        <w:t xml:space="preserve"> </w:t>
      </w:r>
    </w:p>
    <w:p w:rsidR="3A3E4175" w:rsidP="3A3E4175" w:rsidRDefault="3A3E4175" w14:paraId="29B7A569" w14:textId="012ADF87">
      <w:pPr>
        <w:spacing w:line="257" w:lineRule="auto"/>
      </w:pPr>
    </w:p>
    <w:p w:rsidR="3A3E4175" w:rsidP="3A3E4175" w:rsidRDefault="3A3E4175" w14:paraId="42710EA7" w14:textId="65E79EA6">
      <w:pPr>
        <w:spacing w:line="257" w:lineRule="auto"/>
      </w:pPr>
    </w:p>
    <w:p w:rsidR="3A3E4175" w:rsidP="3A3E4175" w:rsidRDefault="3A3E4175" w14:paraId="4FE1187D" w14:textId="63F98F8F">
      <w:pPr>
        <w:spacing w:line="257" w:lineRule="auto"/>
      </w:pPr>
    </w:p>
    <w:p w:rsidR="3A3E4175" w:rsidP="3A3E4175" w:rsidRDefault="3A3E4175" w14:paraId="6E95ADF5" w14:textId="590109E2">
      <w:pPr>
        <w:spacing w:line="257" w:lineRule="auto"/>
      </w:pPr>
    </w:p>
    <w:p w:rsidR="0033380F" w:rsidP="3A3E4175" w:rsidRDefault="0033380F" w14:paraId="7DF195EC" w14:textId="77777777">
      <w:pPr>
        <w:pStyle w:val="Kop1"/>
        <w:spacing w:line="257" w:lineRule="auto"/>
        <w:rPr>
          <w:rFonts w:eastAsia="Verdana" w:cs="Verdana"/>
        </w:rPr>
        <w:sectPr w:rsidR="0033380F">
          <w:footerReference w:type="even" r:id="rId11"/>
          <w:footerReference w:type="default" r:id="rId12"/>
          <w:footerReference w:type="first" r:id="rId13"/>
          <w:pgSz w:w="11906" w:h="16838"/>
          <w:pgMar w:top="1417" w:right="1417" w:bottom="1417" w:left="1417" w:header="708" w:footer="708" w:gutter="0"/>
          <w:cols w:space="708"/>
          <w:docGrid w:linePitch="360"/>
        </w:sectPr>
      </w:pPr>
    </w:p>
    <w:p w:rsidR="08CE7D5C" w:rsidP="1F5EE2CA" w:rsidRDefault="2AA670F7" w14:paraId="37B60977" w14:textId="25FC6477">
      <w:pPr>
        <w:pStyle w:val="Kop1"/>
        <w:spacing w:line="257" w:lineRule="auto"/>
        <w:rPr>
          <w:rFonts w:eastAsia="Verdana" w:cs="Verdana"/>
        </w:rPr>
      </w:pPr>
      <w:bookmarkStart w:name="_Toc1161290590" w:id="2"/>
      <w:r w:rsidRPr="3C462CC1">
        <w:rPr>
          <w:rFonts w:eastAsia="Verdana" w:cs="Verdana"/>
        </w:rPr>
        <w:lastRenderedPageBreak/>
        <w:t>Dashboard</w:t>
      </w:r>
      <w:bookmarkEnd w:id="2"/>
    </w:p>
    <w:p w:rsidR="08CE7D5C" w:rsidP="3A3E4175" w:rsidRDefault="08CE7D5C" w14:paraId="74CF1797" w14:textId="61FF39D6">
      <w:pPr>
        <w:spacing w:line="257" w:lineRule="auto"/>
      </w:pPr>
      <w:r w:rsidRPr="3A3E4175">
        <w:rPr>
          <w:rFonts w:ascii="Verdana" w:hAnsi="Verdana" w:eastAsia="Verdana" w:cs="Verdana"/>
          <w:sz w:val="18"/>
          <w:szCs w:val="18"/>
        </w:rPr>
        <w:t xml:space="preserve">Onderstaande tabel geeft inzicht in de mijlpalen van de verschillende maatregelen. </w:t>
      </w:r>
    </w:p>
    <w:tbl>
      <w:tblPr>
        <w:tblStyle w:val="Tabelraster"/>
        <w:tblW w:w="0" w:type="auto"/>
        <w:tblLook w:val="04A0" w:firstRow="1" w:lastRow="0" w:firstColumn="1" w:lastColumn="0" w:noHBand="0" w:noVBand="1"/>
      </w:tblPr>
      <w:tblGrid>
        <w:gridCol w:w="1769"/>
        <w:gridCol w:w="1378"/>
        <w:gridCol w:w="1332"/>
        <w:gridCol w:w="1769"/>
        <w:gridCol w:w="1401"/>
        <w:gridCol w:w="1769"/>
        <w:gridCol w:w="1405"/>
        <w:gridCol w:w="1390"/>
        <w:gridCol w:w="1769"/>
      </w:tblGrid>
      <w:tr w:rsidR="006214F4" w:rsidTr="7C493882" w14:paraId="6E394738" w14:textId="77777777">
        <w:trPr>
          <w:trHeight w:val="300"/>
        </w:trPr>
        <w:tc>
          <w:tcPr>
            <w:tcW w:w="1213"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3A3E4175" w:rsidP="3A3E4175" w:rsidRDefault="3A3E4175" w14:paraId="287E5EB7" w14:textId="1C1B6EE4">
            <w:pPr>
              <w:jc w:val="center"/>
            </w:pPr>
            <w:r w:rsidRPr="3A3E4175">
              <w:rPr>
                <w:rFonts w:ascii="Verdana" w:hAnsi="Verdana" w:eastAsia="Verdana" w:cs="Verdana"/>
                <w:b/>
                <w:bCs/>
                <w:color w:val="000000" w:themeColor="text1"/>
                <w:sz w:val="16"/>
                <w:szCs w:val="16"/>
              </w:rPr>
              <w:t>Maatregel</w:t>
            </w:r>
          </w:p>
        </w:tc>
        <w:tc>
          <w:tcPr>
            <w:tcW w:w="943"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3A3E4175" w:rsidP="3A3E4175" w:rsidRDefault="3A3E4175" w14:paraId="3476DE8E" w14:textId="3123023D">
            <w:pPr>
              <w:jc w:val="center"/>
            </w:pPr>
            <w:r w:rsidRPr="3A3E4175">
              <w:rPr>
                <w:rFonts w:ascii="Verdana" w:hAnsi="Verdana" w:eastAsia="Verdana" w:cs="Verdana"/>
                <w:b/>
                <w:bCs/>
                <w:color w:val="000000" w:themeColor="text1"/>
                <w:sz w:val="16"/>
                <w:szCs w:val="16"/>
              </w:rPr>
              <w:t>Fase</w:t>
            </w:r>
          </w:p>
        </w:tc>
        <w:tc>
          <w:tcPr>
            <w:tcW w:w="6906" w:type="dxa"/>
            <w:gridSpan w:val="7"/>
            <w:tcBorders>
              <w:top w:val="single" w:color="000000" w:themeColor="text1" w:sz="8" w:space="0"/>
              <w:left w:val="single" w:color="000000" w:themeColor="text1" w:sz="8" w:space="0"/>
              <w:bottom w:val="nil"/>
              <w:right w:val="single" w:color="000000" w:themeColor="text1" w:sz="8" w:space="0"/>
            </w:tcBorders>
            <w:shd w:val="clear" w:color="auto" w:fill="D9D9D9" w:themeFill="background1" w:themeFillShade="D9"/>
            <w:tcMar>
              <w:left w:w="108" w:type="dxa"/>
              <w:right w:w="108" w:type="dxa"/>
            </w:tcMar>
          </w:tcPr>
          <w:p w:rsidR="3A3E4175" w:rsidP="3A3E4175" w:rsidRDefault="3A3E4175" w14:paraId="4ECC44C4" w14:textId="31F62741">
            <w:pPr>
              <w:ind w:right="1170"/>
              <w:jc w:val="center"/>
            </w:pPr>
            <w:r w:rsidRPr="3A3E4175">
              <w:rPr>
                <w:rFonts w:ascii="Verdana" w:hAnsi="Verdana" w:eastAsia="Verdana" w:cs="Verdana"/>
                <w:b/>
                <w:bCs/>
                <w:color w:val="000000" w:themeColor="text1"/>
                <w:sz w:val="16"/>
                <w:szCs w:val="16"/>
              </w:rPr>
              <w:t>Mijlpalen</w:t>
            </w:r>
          </w:p>
        </w:tc>
      </w:tr>
      <w:tr w:rsidR="0057154F" w:rsidTr="7C493882" w14:paraId="67AD5940" w14:textId="77777777">
        <w:trPr>
          <w:trHeight w:val="300"/>
        </w:trPr>
        <w:tc>
          <w:tcPr>
            <w:tcW w:w="1213" w:type="dxa"/>
            <w:vMerge/>
            <w:vAlign w:val="center"/>
          </w:tcPr>
          <w:p w:rsidR="00B57A87" w:rsidRDefault="00B57A87" w14:paraId="021F6C97" w14:textId="77777777"/>
        </w:tc>
        <w:tc>
          <w:tcPr>
            <w:tcW w:w="943" w:type="dxa"/>
            <w:vMerge/>
            <w:vAlign w:val="center"/>
          </w:tcPr>
          <w:p w:rsidR="00B57A87" w:rsidRDefault="00B57A87" w14:paraId="73CAC7E7" w14:textId="77777777"/>
        </w:tc>
        <w:tc>
          <w:tcPr>
            <w:tcW w:w="912" w:type="dxa"/>
            <w:tcBorders>
              <w:top w:val="nil"/>
              <w:left w:val="nil"/>
              <w:bottom w:val="single" w:color="000000" w:themeColor="text1" w:sz="8" w:space="0"/>
              <w:right w:val="nil"/>
            </w:tcBorders>
            <w:shd w:val="clear" w:color="auto" w:fill="D9D9D9" w:themeFill="background1" w:themeFillShade="D9"/>
            <w:tcMar>
              <w:left w:w="108" w:type="dxa"/>
              <w:right w:w="108" w:type="dxa"/>
            </w:tcMar>
          </w:tcPr>
          <w:p w:rsidR="3A3E4175" w:rsidP="3A3E4175" w:rsidRDefault="3A3E4175" w14:paraId="16A8FB51" w14:textId="491FAA15">
            <w:r w:rsidRPr="3A3E4175">
              <w:rPr>
                <w:rFonts w:ascii="Verdana" w:hAnsi="Verdana" w:eastAsia="Verdana" w:cs="Verdana"/>
                <w:color w:val="000000" w:themeColor="text1"/>
                <w:sz w:val="16"/>
                <w:szCs w:val="16"/>
              </w:rPr>
              <w:t>Q4 2025</w:t>
            </w:r>
          </w:p>
        </w:tc>
        <w:tc>
          <w:tcPr>
            <w:tcW w:w="1189" w:type="dxa"/>
            <w:tcBorders>
              <w:top w:val="nil"/>
              <w:left w:val="nil"/>
              <w:bottom w:val="single" w:color="000000" w:themeColor="text1" w:sz="8" w:space="0"/>
              <w:right w:val="nil"/>
            </w:tcBorders>
            <w:shd w:val="clear" w:color="auto" w:fill="D9D9D9" w:themeFill="background1" w:themeFillShade="D9"/>
            <w:tcMar>
              <w:left w:w="108" w:type="dxa"/>
              <w:right w:w="108" w:type="dxa"/>
            </w:tcMar>
          </w:tcPr>
          <w:p w:rsidR="3A3E4175" w:rsidP="3A3E4175" w:rsidRDefault="3A3E4175" w14:paraId="2229A1E7" w14:textId="106388BC">
            <w:r w:rsidRPr="3A3E4175">
              <w:rPr>
                <w:rFonts w:ascii="Verdana" w:hAnsi="Verdana" w:eastAsia="Verdana" w:cs="Verdana"/>
                <w:color w:val="000000" w:themeColor="text1"/>
                <w:sz w:val="16"/>
                <w:szCs w:val="16"/>
              </w:rPr>
              <w:t>Q1 2026</w:t>
            </w:r>
          </w:p>
        </w:tc>
        <w:tc>
          <w:tcPr>
            <w:tcW w:w="959" w:type="dxa"/>
            <w:tcBorders>
              <w:top w:val="nil"/>
              <w:left w:val="nil"/>
              <w:bottom w:val="single" w:color="000000" w:themeColor="text1" w:sz="8" w:space="0"/>
              <w:right w:val="nil"/>
            </w:tcBorders>
            <w:shd w:val="clear" w:color="auto" w:fill="D9D9D9" w:themeFill="background1" w:themeFillShade="D9"/>
            <w:tcMar>
              <w:left w:w="108" w:type="dxa"/>
              <w:right w:w="108" w:type="dxa"/>
            </w:tcMar>
          </w:tcPr>
          <w:p w:rsidR="3A3E4175" w:rsidP="3A3E4175" w:rsidRDefault="3A3E4175" w14:paraId="5130322A" w14:textId="026183DB">
            <w:r w:rsidRPr="3A3E4175">
              <w:rPr>
                <w:rFonts w:ascii="Verdana" w:hAnsi="Verdana" w:eastAsia="Verdana" w:cs="Verdana"/>
                <w:color w:val="000000" w:themeColor="text1"/>
                <w:sz w:val="16"/>
                <w:szCs w:val="16"/>
              </w:rPr>
              <w:t>Q2 2026</w:t>
            </w:r>
          </w:p>
        </w:tc>
        <w:tc>
          <w:tcPr>
            <w:tcW w:w="885" w:type="dxa"/>
            <w:tcBorders>
              <w:top w:val="nil"/>
              <w:left w:val="nil"/>
              <w:bottom w:val="single" w:color="000000" w:themeColor="text1" w:sz="8" w:space="0"/>
              <w:right w:val="nil"/>
            </w:tcBorders>
            <w:shd w:val="clear" w:color="auto" w:fill="D9D9D9" w:themeFill="background1" w:themeFillShade="D9"/>
            <w:tcMar>
              <w:left w:w="108" w:type="dxa"/>
              <w:right w:w="108" w:type="dxa"/>
            </w:tcMar>
          </w:tcPr>
          <w:p w:rsidR="3A3E4175" w:rsidP="3A3E4175" w:rsidRDefault="3A3E4175" w14:paraId="512B0ECD" w14:textId="41177997">
            <w:r w:rsidRPr="3A3E4175">
              <w:rPr>
                <w:rFonts w:ascii="Verdana" w:hAnsi="Verdana" w:eastAsia="Verdana" w:cs="Verdana"/>
                <w:color w:val="000000" w:themeColor="text1"/>
                <w:sz w:val="16"/>
                <w:szCs w:val="16"/>
              </w:rPr>
              <w:t>Q3 2026</w:t>
            </w:r>
          </w:p>
        </w:tc>
        <w:tc>
          <w:tcPr>
            <w:tcW w:w="963" w:type="dxa"/>
            <w:tcBorders>
              <w:top w:val="nil"/>
              <w:left w:val="nil"/>
              <w:bottom w:val="single" w:color="000000" w:themeColor="text1" w:sz="8" w:space="0"/>
              <w:right w:val="nil"/>
            </w:tcBorders>
            <w:shd w:val="clear" w:color="auto" w:fill="D9D9D9" w:themeFill="background1" w:themeFillShade="D9"/>
            <w:tcMar>
              <w:left w:w="108" w:type="dxa"/>
              <w:right w:w="108" w:type="dxa"/>
            </w:tcMar>
          </w:tcPr>
          <w:p w:rsidR="3A3E4175" w:rsidP="3A3E4175" w:rsidRDefault="3A3E4175" w14:paraId="72776ABA" w14:textId="40C7653A">
            <w:r w:rsidRPr="3A3E4175">
              <w:rPr>
                <w:rFonts w:ascii="Verdana" w:hAnsi="Verdana" w:eastAsia="Verdana" w:cs="Verdana"/>
                <w:color w:val="000000" w:themeColor="text1"/>
                <w:sz w:val="16"/>
                <w:szCs w:val="16"/>
              </w:rPr>
              <w:t>Q4 2026</w:t>
            </w:r>
          </w:p>
        </w:tc>
        <w:tc>
          <w:tcPr>
            <w:tcW w:w="952" w:type="dxa"/>
            <w:tcBorders>
              <w:top w:val="nil"/>
              <w:left w:val="nil"/>
              <w:bottom w:val="single" w:color="000000" w:themeColor="text1" w:sz="8" w:space="0"/>
              <w:right w:val="nil"/>
            </w:tcBorders>
            <w:shd w:val="clear" w:color="auto" w:fill="D9D9D9" w:themeFill="background1" w:themeFillShade="D9"/>
            <w:tcMar>
              <w:left w:w="108" w:type="dxa"/>
              <w:right w:w="108" w:type="dxa"/>
            </w:tcMar>
          </w:tcPr>
          <w:p w:rsidR="3A3E4175" w:rsidP="3A3E4175" w:rsidRDefault="3A3E4175" w14:paraId="635A103C" w14:textId="20047A24">
            <w:r w:rsidRPr="3A3E4175">
              <w:rPr>
                <w:rFonts w:ascii="Verdana" w:hAnsi="Verdana" w:eastAsia="Verdana" w:cs="Verdana"/>
                <w:color w:val="000000" w:themeColor="text1"/>
                <w:sz w:val="16"/>
                <w:szCs w:val="16"/>
              </w:rPr>
              <w:t>Q1 2027</w:t>
            </w:r>
          </w:p>
        </w:tc>
        <w:tc>
          <w:tcPr>
            <w:tcW w:w="1046" w:type="dxa"/>
            <w:tcBorders>
              <w:top w:val="nil"/>
              <w:left w:val="nil"/>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3A3E4175" w:rsidP="3A3E4175" w:rsidRDefault="3A3E4175" w14:paraId="46032BAE" w14:textId="679D0B04">
            <w:r w:rsidRPr="3A3E4175">
              <w:rPr>
                <w:rFonts w:ascii="Verdana" w:hAnsi="Verdana" w:eastAsia="Verdana" w:cs="Verdana"/>
                <w:color w:val="000000" w:themeColor="text1"/>
                <w:sz w:val="16"/>
                <w:szCs w:val="16"/>
              </w:rPr>
              <w:t>Q2 2027 en verder</w:t>
            </w:r>
          </w:p>
        </w:tc>
      </w:tr>
      <w:tr w:rsidR="3A3E4175" w:rsidTr="7C493882" w14:paraId="67506023" w14:textId="77777777">
        <w:trPr>
          <w:trHeight w:val="300"/>
        </w:trPr>
        <w:tc>
          <w:tcPr>
            <w:tcW w:w="9062" w:type="dxa"/>
            <w:gridSpan w:val="9"/>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69B858AE" w14:textId="3D66FF41">
            <w:r w:rsidRPr="3A3E4175">
              <w:rPr>
                <w:rFonts w:ascii="Verdana" w:hAnsi="Verdana" w:eastAsia="Verdana" w:cs="Verdana"/>
                <w:b/>
                <w:bCs/>
                <w:color w:val="000000" w:themeColor="text1"/>
                <w:sz w:val="16"/>
                <w:szCs w:val="16"/>
              </w:rPr>
              <w:t>Landbouw</w:t>
            </w:r>
          </w:p>
        </w:tc>
      </w:tr>
      <w:tr w:rsidR="3A3E4175" w:rsidTr="7C493882" w14:paraId="0E126F66"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43D801A5" w14:textId="1CBAE58E">
            <w:r w:rsidRPr="3A3E4175">
              <w:rPr>
                <w:rFonts w:ascii="Verdana" w:hAnsi="Verdana" w:eastAsia="Verdana" w:cs="Verdana"/>
                <w:i/>
                <w:iCs/>
                <w:color w:val="000000" w:themeColor="text1"/>
                <w:sz w:val="16"/>
                <w:szCs w:val="16"/>
              </w:rPr>
              <w:t>Beëindigings-, verplaatsings- en extensiveringsmaatregelen</w:t>
            </w:r>
          </w:p>
        </w:tc>
      </w:tr>
      <w:tr w:rsidR="0057154F" w:rsidTr="7C493882" w14:paraId="096F6EC3" w14:textId="77777777">
        <w:trPr>
          <w:trHeight w:val="1425"/>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6858D38" w14:textId="3CFD962F">
            <w:r w:rsidRPr="3A3E4175">
              <w:rPr>
                <w:rFonts w:ascii="Verdana" w:hAnsi="Verdana" w:eastAsia="Verdana" w:cs="Verdana"/>
                <w:sz w:val="16"/>
                <w:szCs w:val="16"/>
              </w:rPr>
              <w:t xml:space="preserve">Maatregel Gerichte Aankoop en Maatregel Gerichte Beëindiging  </w:t>
            </w:r>
          </w:p>
        </w:tc>
        <w:tc>
          <w:tcPr>
            <w:tcW w:w="94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D24F63F" w14:textId="5EE1F89C">
            <w:r w:rsidRPr="3A3E4175">
              <w:rPr>
                <w:rFonts w:ascii="Verdana" w:hAnsi="Verdana" w:eastAsia="Verdana" w:cs="Verdana"/>
                <w:sz w:val="16"/>
                <w:szCs w:val="16"/>
              </w:rPr>
              <w:t>Uitvoering</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AE43E3B" w14:textId="67EC7BC1">
            <w:r w:rsidRPr="3A3E4175">
              <w:rPr>
                <w:rFonts w:ascii="Verdana" w:hAnsi="Verdana" w:eastAsia="Verdana" w:cs="Verdana"/>
                <w:color w:val="000000" w:themeColor="text1"/>
                <w:sz w:val="16"/>
                <w:szCs w:val="16"/>
              </w:rPr>
              <w:t xml:space="preserve"> </w:t>
            </w:r>
          </w:p>
          <w:p w:rsidR="3A3E4175" w:rsidP="3A3E4175" w:rsidRDefault="3A3E4175" w14:paraId="4D5ED17B" w14:textId="3B5337C1">
            <w:r w:rsidRPr="3A3E4175">
              <w:rPr>
                <w:rFonts w:ascii="Verdana" w:hAnsi="Verdana" w:eastAsia="Verdana" w:cs="Verdana"/>
                <w:sz w:val="16"/>
                <w:szCs w:val="16"/>
              </w:rPr>
              <w:t xml:space="preserve"> </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A2976A6" w14:textId="60DB91DF">
            <w:pPr>
              <w:spacing w:after="160"/>
            </w:pPr>
            <w:r w:rsidRPr="3A3E4175">
              <w:rPr>
                <w:rFonts w:ascii="Verdana" w:hAnsi="Verdana" w:eastAsia="Verdana" w:cs="Verdana"/>
                <w:color w:val="000000" w:themeColor="text1"/>
                <w:sz w:val="16"/>
                <w:szCs w:val="16"/>
              </w:rPr>
              <w:t xml:space="preserve"> </w:t>
            </w:r>
          </w:p>
          <w:p w:rsidR="3A3E4175" w:rsidP="3A3E4175" w:rsidRDefault="3A3E4175" w14:paraId="795A5336" w14:textId="11F70F7F">
            <w:r w:rsidRPr="3A3E4175">
              <w:rPr>
                <w:rFonts w:ascii="Verdana" w:hAnsi="Verdana" w:eastAsia="Verdana" w:cs="Verdana"/>
                <w:sz w:val="16"/>
                <w:szCs w:val="16"/>
              </w:rPr>
              <w:t xml:space="preserve"> </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378DA64" w14:textId="79FD3647">
            <w:r w:rsidRPr="3A3E4175">
              <w:rPr>
                <w:rFonts w:ascii="Verdana" w:hAnsi="Verdana" w:eastAsia="Verdana" w:cs="Verdana"/>
                <w:sz w:val="16"/>
                <w:szCs w:val="16"/>
              </w:rPr>
              <w:t xml:space="preserve"> </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66B99F2" w14:textId="12834930">
            <w:r w:rsidRPr="3A3E4175">
              <w:rPr>
                <w:rFonts w:ascii="Verdana" w:hAnsi="Verdana" w:eastAsia="Verdana" w:cs="Verdana"/>
                <w:sz w:val="16"/>
                <w:szCs w:val="16"/>
              </w:rPr>
              <w:t xml:space="preserve"> </w:t>
            </w:r>
          </w:p>
          <w:p w:rsidR="3A3E4175" w:rsidP="3A3E4175" w:rsidRDefault="3A3E4175" w14:paraId="0076CDB2" w14:textId="65E0A673">
            <w:r w:rsidRPr="3A3E4175">
              <w:rPr>
                <w:rFonts w:ascii="Verdana" w:hAnsi="Verdana" w:eastAsia="Verdana" w:cs="Verdana"/>
                <w:sz w:val="16"/>
                <w:szCs w:val="16"/>
              </w:rPr>
              <w:t xml:space="preserve"> </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7DD9A2C" w14:textId="44C98019">
            <w:r w:rsidRPr="3A3E4175">
              <w:rPr>
                <w:rFonts w:ascii="Verdana" w:hAnsi="Verdana" w:eastAsia="Verdana" w:cs="Verdana"/>
                <w:sz w:val="16"/>
                <w:szCs w:val="16"/>
              </w:rPr>
              <w:t xml:space="preserve"> </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D8D764A" w14:textId="168263B1">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9A1B8D4" w14:textId="78903B62">
            <w:pPr>
              <w:ind w:right="298"/>
            </w:pPr>
            <w:r w:rsidRPr="3A3E4175">
              <w:rPr>
                <w:rFonts w:ascii="Verdana" w:hAnsi="Verdana" w:eastAsia="Verdana" w:cs="Verdana"/>
                <w:color w:val="000000" w:themeColor="text1"/>
                <w:sz w:val="16"/>
                <w:szCs w:val="16"/>
              </w:rPr>
              <w:t>Veehouders krijgen tot uiterlijk 31 december 2027 subsidie om hun veehouderijlocatie (geheel of gedeeltelijk) te beëindigen. De provincie geeft de specifieke uitkering uiterlijk 31 december 2031 helemaal uit.</w:t>
            </w:r>
          </w:p>
        </w:tc>
      </w:tr>
      <w:tr w:rsidR="0057154F" w:rsidTr="7C493882" w14:paraId="0449FA0B" w14:textId="77777777">
        <w:trPr>
          <w:trHeight w:val="405"/>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311C902" w14:textId="6A78B193">
            <w:r w:rsidRPr="3A3E4175">
              <w:rPr>
                <w:rFonts w:ascii="Verdana" w:hAnsi="Verdana" w:eastAsia="Verdana" w:cs="Verdana"/>
                <w:sz w:val="16"/>
                <w:szCs w:val="16"/>
              </w:rPr>
              <w:t>Landelijke beëindigingsregeling veehouderijlocaties (Lbv)</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3468EA8" w14:textId="427829EA">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5206FF1" w14:textId="3BF55BC2">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EB3E4AB" w14:textId="4206CCB9">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000694C" w14:textId="76563164">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439CA2B" w14:textId="49F43A92">
            <w:r w:rsidRPr="3A3E4175">
              <w:rPr>
                <w:rFonts w:ascii="Verdana" w:hAnsi="Verdana" w:eastAsia="Verdana" w:cs="Verdana"/>
                <w:sz w:val="16"/>
                <w:szCs w:val="16"/>
              </w:rPr>
              <w:t>Start met uitvoering van het door de EC goedgekeurde Evaluatieplan.</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5AC0543" w14:textId="24FF9AF5">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2330911" w14:textId="2464B35D">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5763A04" w14:textId="7A12B498">
            <w:r w:rsidRPr="3A3E4175">
              <w:rPr>
                <w:rFonts w:ascii="Verdana" w:hAnsi="Verdana" w:eastAsia="Verdana" w:cs="Verdana"/>
                <w:sz w:val="16"/>
                <w:szCs w:val="16"/>
              </w:rPr>
              <w:t xml:space="preserve"> </w:t>
            </w:r>
          </w:p>
        </w:tc>
      </w:tr>
      <w:tr w:rsidR="0057154F" w:rsidTr="7C493882" w14:paraId="3EF01669" w14:textId="77777777">
        <w:trPr>
          <w:trHeight w:val="6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875A1C7" w14:textId="725463AD">
            <w:r w:rsidRPr="3A3E4175">
              <w:rPr>
                <w:rFonts w:ascii="Verdana" w:hAnsi="Verdana" w:eastAsia="Verdana" w:cs="Verdana"/>
                <w:sz w:val="16"/>
                <w:szCs w:val="16"/>
              </w:rPr>
              <w:t>Lbv plus</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155DEEE" w14:textId="359C2EE7">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71463EA" w14:textId="3681C37D">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05A9922" w14:textId="71A47CD7">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CBDA872" w14:textId="224BA9AC">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9C1FBA1" w14:textId="07DA6CAD">
            <w:r w:rsidRPr="3A3E4175">
              <w:rPr>
                <w:rFonts w:ascii="Verdana" w:hAnsi="Verdana" w:eastAsia="Verdana" w:cs="Verdana"/>
                <w:sz w:val="16"/>
                <w:szCs w:val="16"/>
              </w:rPr>
              <w:t>Start met uitvoering van het door de EC goedgekeurde Evaluatieplan.</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E00723B" w14:textId="298C5C83">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DAD7A03" w14:textId="3C24ABA4">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94D958A" w14:textId="57F99726">
            <w:r w:rsidRPr="3A3E4175">
              <w:rPr>
                <w:rFonts w:ascii="Verdana" w:hAnsi="Verdana" w:eastAsia="Verdana" w:cs="Verdana"/>
                <w:sz w:val="16"/>
                <w:szCs w:val="16"/>
              </w:rPr>
              <w:t xml:space="preserve"> </w:t>
            </w:r>
          </w:p>
        </w:tc>
      </w:tr>
      <w:tr w:rsidR="0057154F" w:rsidTr="7C493882" w14:paraId="3B9B9802"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8F53B68" w14:textId="0986143D">
            <w:r w:rsidRPr="3A3E4175">
              <w:rPr>
                <w:rFonts w:ascii="Verdana" w:hAnsi="Verdana" w:eastAsia="Verdana" w:cs="Verdana"/>
                <w:sz w:val="16"/>
                <w:szCs w:val="16"/>
              </w:rPr>
              <w:t>Lbv kleinere sectoren</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B0206F1" w14:textId="4E6DB158">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A6AF1CD" w14:textId="75C1DDF2">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94EDF49" w14:textId="4CCC335C">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C9A7C81" w14:textId="1DCA56F3">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62B43AE" w14:textId="17F675CC">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D773264" w14:textId="0C04F9F4">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8D52B43" w14:textId="5AFD06D0">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44EC9AB" w14:textId="51B140BF">
            <w:r w:rsidRPr="3A3E4175">
              <w:rPr>
                <w:rFonts w:ascii="Verdana" w:hAnsi="Verdana" w:eastAsia="Verdana" w:cs="Verdana"/>
                <w:sz w:val="16"/>
                <w:szCs w:val="16"/>
              </w:rPr>
              <w:t xml:space="preserve"> </w:t>
            </w:r>
          </w:p>
        </w:tc>
      </w:tr>
      <w:tr w:rsidR="0057154F" w:rsidTr="7C493882" w14:paraId="0CC608E1"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121EB28" w14:textId="5D18CD0A">
            <w:r w:rsidRPr="3A3E4175">
              <w:rPr>
                <w:rFonts w:ascii="Verdana" w:hAnsi="Verdana" w:eastAsia="Verdana" w:cs="Verdana"/>
                <w:sz w:val="16"/>
                <w:szCs w:val="16"/>
              </w:rPr>
              <w:t>Landelijke verplaatsingsregeling veehouderijlocaties met piekbelasting</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F6F43A4" w14:textId="2BD836D2">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4A835C2" w14:textId="1B2E3A5A">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F2C1338" w14:textId="7E9807F4">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82DAF93" w14:textId="0D95768E">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D15C076" w14:textId="52ACC747">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B28E420" w14:textId="1DC5252E">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DF4A52B" w14:textId="131177F4">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E50F6E9" w14:textId="39ADD072">
            <w:r w:rsidRPr="3A3E4175">
              <w:rPr>
                <w:rFonts w:ascii="Verdana" w:hAnsi="Verdana" w:eastAsia="Verdana" w:cs="Verdana"/>
                <w:sz w:val="16"/>
                <w:szCs w:val="16"/>
              </w:rPr>
              <w:t xml:space="preserve"> </w:t>
            </w:r>
          </w:p>
        </w:tc>
      </w:tr>
      <w:tr w:rsidR="00D603C3" w:rsidTr="7C493882" w14:paraId="53783BA5"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C499B59" w14:textId="418232A7">
            <w:r w:rsidRPr="3A3E4175">
              <w:rPr>
                <w:rFonts w:ascii="Verdana" w:hAnsi="Verdana" w:eastAsia="Verdana" w:cs="Verdana"/>
                <w:sz w:val="16"/>
                <w:szCs w:val="16"/>
              </w:rPr>
              <w:lastRenderedPageBreak/>
              <w:t>Subsidieregeling sanering varkenshouderijen</w:t>
            </w:r>
          </w:p>
        </w:tc>
        <w:tc>
          <w:tcPr>
            <w:tcW w:w="7849"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4D9BA21" w14:textId="01E7485A">
            <w:r w:rsidRPr="3A3E4175">
              <w:rPr>
                <w:rFonts w:ascii="Verdana" w:hAnsi="Verdana" w:eastAsia="Verdana" w:cs="Verdana"/>
                <w:sz w:val="16"/>
                <w:szCs w:val="16"/>
              </w:rPr>
              <w:t>Afgerond</w:t>
            </w:r>
          </w:p>
        </w:tc>
      </w:tr>
      <w:tr w:rsidR="0057154F" w:rsidTr="7C493882" w14:paraId="43373BF5"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63F6AB9" w14:textId="535740C1">
            <w:r w:rsidRPr="3A3E4175">
              <w:rPr>
                <w:rFonts w:ascii="Verdana" w:hAnsi="Verdana" w:eastAsia="Verdana" w:cs="Verdana"/>
                <w:sz w:val="16"/>
                <w:szCs w:val="16"/>
              </w:rPr>
              <w:t>Vrijwillige beëindigingsregeling veehouderijlocaties</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E08E4E7" w14:textId="46DB13B8">
            <w:r w:rsidRPr="3A3E4175">
              <w:rPr>
                <w:rFonts w:ascii="Verdana" w:hAnsi="Verdana" w:eastAsia="Verdana" w:cs="Verdana"/>
                <w:sz w:val="16"/>
                <w:szCs w:val="16"/>
              </w:rPr>
              <w:t>Ontwerp</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74A7D80" w14:textId="7B7B9773">
            <w:r w:rsidRPr="3A3E4175">
              <w:rPr>
                <w:rFonts w:ascii="Verdana" w:hAnsi="Verdana" w:eastAsia="Verdana" w:cs="Verdana"/>
                <w:sz w:val="16"/>
                <w:szCs w:val="16"/>
              </w:rPr>
              <w:t>Akkoord MR op start internetconsultatie</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40D69EF" w14:textId="2607F90A">
            <w:r w:rsidRPr="3A3E4175">
              <w:rPr>
                <w:rFonts w:ascii="Verdana" w:hAnsi="Verdana" w:eastAsia="Verdana" w:cs="Verdana"/>
                <w:sz w:val="16"/>
                <w:szCs w:val="16"/>
              </w:rPr>
              <w:t>Internetconsultatie van 12 januari t/m 9 februari 2026.</w:t>
            </w:r>
          </w:p>
          <w:p w:rsidR="3A3E4175" w:rsidP="3A3E4175" w:rsidRDefault="3A3E4175" w14:paraId="2603760D" w14:textId="21A99AF7">
            <w:r w:rsidRPr="3A3E4175">
              <w:rPr>
                <w:rFonts w:ascii="Verdana" w:hAnsi="Verdana" w:eastAsia="Verdana" w:cs="Verdana"/>
                <w:sz w:val="16"/>
                <w:szCs w:val="16"/>
              </w:rPr>
              <w:t xml:space="preserve"> </w:t>
            </w:r>
          </w:p>
          <w:p w:rsidR="3A3E4175" w:rsidP="3A3E4175" w:rsidRDefault="3A3E4175" w14:paraId="7091F3DA" w14:textId="7E183F97">
            <w:r w:rsidRPr="3A3E4175">
              <w:rPr>
                <w:rFonts w:ascii="Verdana" w:hAnsi="Verdana" w:eastAsia="Verdana" w:cs="Verdana"/>
                <w:sz w:val="16"/>
                <w:szCs w:val="16"/>
              </w:rPr>
              <w:t>Regeling voor pre-notificatie aangeboden aan de EC.</w:t>
            </w:r>
          </w:p>
          <w:p w:rsidR="3A3E4175" w:rsidP="3A3E4175" w:rsidRDefault="3A3E4175" w14:paraId="367A32CA" w14:textId="4E408460">
            <w:r w:rsidRPr="3A3E4175">
              <w:rPr>
                <w:rFonts w:ascii="Verdana" w:hAnsi="Verdana" w:eastAsia="Verdana" w:cs="Verdana"/>
                <w:sz w:val="16"/>
                <w:szCs w:val="16"/>
              </w:rPr>
              <w:t xml:space="preserve"> </w:t>
            </w:r>
          </w:p>
          <w:p w:rsidR="3A3E4175" w:rsidP="3A3E4175" w:rsidRDefault="3A3E4175" w14:paraId="5508F14F" w14:textId="1D1E8B99">
            <w:r w:rsidRPr="3A3E4175">
              <w:rPr>
                <w:rFonts w:ascii="Verdana" w:hAnsi="Verdana" w:eastAsia="Verdana" w:cs="Verdana"/>
                <w:sz w:val="16"/>
                <w:szCs w:val="16"/>
              </w:rPr>
              <w:t>Adviesaanvraag ingediend bij het Adviescollege Toetsing Regeldruk en ontvangen.</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0166E29" w14:textId="7AC5250A">
            <w:r w:rsidRPr="3A3E4175">
              <w:rPr>
                <w:rFonts w:ascii="Verdana" w:hAnsi="Verdana" w:eastAsia="Verdana" w:cs="Verdana"/>
                <w:sz w:val="16"/>
                <w:szCs w:val="16"/>
              </w:rPr>
              <w:t>Akkoord MR op start notificatieprocedure</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1C74E71" w14:textId="0316E989">
            <w:r w:rsidRPr="3A3E4175">
              <w:rPr>
                <w:rFonts w:ascii="Verdana" w:hAnsi="Verdana" w:eastAsia="Verdana" w:cs="Verdana"/>
                <w:sz w:val="16"/>
                <w:szCs w:val="16"/>
              </w:rPr>
              <w:t xml:space="preserve"> </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45DB6FB" w14:textId="28F2E770">
            <w:r w:rsidRPr="3A3E4175">
              <w:rPr>
                <w:rFonts w:ascii="Verdana" w:hAnsi="Verdana" w:eastAsia="Verdana" w:cs="Verdana"/>
                <w:sz w:val="16"/>
                <w:szCs w:val="16"/>
              </w:rPr>
              <w:t xml:space="preserve"> </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9847D01" w14:textId="09A53AAE">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D63642B" w14:textId="1B276AF2">
            <w:r w:rsidRPr="3A3E4175">
              <w:rPr>
                <w:rFonts w:ascii="Verdana" w:hAnsi="Verdana" w:eastAsia="Verdana" w:cs="Verdana"/>
                <w:sz w:val="16"/>
                <w:szCs w:val="16"/>
              </w:rPr>
              <w:t xml:space="preserve"> </w:t>
            </w:r>
          </w:p>
        </w:tc>
      </w:tr>
      <w:tr w:rsidR="0057154F" w:rsidTr="7C493882" w14:paraId="597B87CB"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7173F62" w14:textId="2EA5C373">
            <w:r w:rsidRPr="3A3E4175">
              <w:rPr>
                <w:rFonts w:ascii="Verdana" w:hAnsi="Verdana" w:eastAsia="Verdana" w:cs="Verdana"/>
                <w:sz w:val="16"/>
                <w:szCs w:val="16"/>
              </w:rPr>
              <w:t>Subsidieregeling extensivering melkveehouderij</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FE6EE34" w14:textId="43E03958">
            <w:r w:rsidRPr="3A3E4175">
              <w:rPr>
                <w:rFonts w:ascii="Verdana" w:hAnsi="Verdana" w:eastAsia="Verdana" w:cs="Verdana"/>
                <w:sz w:val="16"/>
                <w:szCs w:val="16"/>
              </w:rPr>
              <w:t>Ontwerp/uitvoering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88841F4" w14:textId="608A8314">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73BCC38" w14:textId="29881D9E">
            <w:r w:rsidRPr="3A3E4175">
              <w:rPr>
                <w:rFonts w:ascii="Verdana" w:hAnsi="Verdana" w:eastAsia="Verdana" w:cs="Verdana"/>
                <w:sz w:val="16"/>
                <w:szCs w:val="16"/>
              </w:rPr>
              <w:t>Regeling voor notificatie aangeboden aan de Europese Commissie</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B311184" w14:textId="473E1CBE">
            <w:r w:rsidRPr="3A3E4175">
              <w:rPr>
                <w:rFonts w:ascii="Verdana" w:hAnsi="Verdana" w:eastAsia="Verdana" w:cs="Verdana"/>
                <w:sz w:val="16"/>
                <w:szCs w:val="16"/>
              </w:rPr>
              <w:t>Regeling goedgekeurd door de EC. Kamerbrief op 14-04-2026</w:t>
            </w:r>
            <w:r w:rsidR="00A65696">
              <w:rPr>
                <w:rStyle w:val="Voetnootmarkering"/>
                <w:rFonts w:ascii="Verdana" w:hAnsi="Verdana" w:eastAsia="Verdana" w:cs="Verdana"/>
                <w:sz w:val="16"/>
                <w:szCs w:val="16"/>
              </w:rPr>
              <w:footnoteReference w:id="1"/>
            </w:r>
            <w:r w:rsidRPr="3A3E4175">
              <w:rPr>
                <w:rFonts w:ascii="Verdana" w:hAnsi="Verdana" w:eastAsia="Verdana" w:cs="Verdana"/>
                <w:sz w:val="16"/>
                <w:szCs w:val="16"/>
              </w:rPr>
              <w:t>. Start openstelling (vanaf 1 juni).</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DCC44F0" w14:textId="4FFDFC27">
            <w:r w:rsidRPr="3A3E4175">
              <w:rPr>
                <w:rFonts w:ascii="Verdana" w:hAnsi="Verdana" w:eastAsia="Verdana" w:cs="Verdana"/>
                <w:sz w:val="16"/>
                <w:szCs w:val="16"/>
              </w:rPr>
              <w:t>Einde openstelling (tot en met 29 juli)</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57EEB7F" w14:textId="08875005">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096A5C3" w14:textId="4FCBF6BB">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527B889" w14:textId="110B4FDB">
            <w:r w:rsidRPr="3A3E4175">
              <w:rPr>
                <w:rFonts w:ascii="Verdana" w:hAnsi="Verdana" w:eastAsia="Verdana" w:cs="Verdana"/>
                <w:sz w:val="16"/>
                <w:szCs w:val="16"/>
              </w:rPr>
              <w:t xml:space="preserve"> </w:t>
            </w:r>
          </w:p>
        </w:tc>
      </w:tr>
      <w:tr w:rsidR="3A3E4175" w:rsidTr="7C493882" w14:paraId="2065F16A"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65DFA6DC" w14:textId="663D180C">
            <w:r w:rsidRPr="3A3E4175">
              <w:rPr>
                <w:rFonts w:ascii="Verdana" w:hAnsi="Verdana" w:eastAsia="Verdana" w:cs="Verdana"/>
                <w:i/>
                <w:iCs/>
                <w:color w:val="000000" w:themeColor="text1"/>
                <w:sz w:val="16"/>
                <w:szCs w:val="16"/>
              </w:rPr>
              <w:t>Managementmaatregelen</w:t>
            </w:r>
          </w:p>
        </w:tc>
      </w:tr>
      <w:tr w:rsidR="0057154F" w:rsidTr="7C493882" w14:paraId="67B05742"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FEAFA5E" w14:textId="07CA1EC3">
            <w:r w:rsidRPr="3A3E4175">
              <w:rPr>
                <w:rFonts w:ascii="Verdana" w:hAnsi="Verdana" w:eastAsia="Verdana" w:cs="Verdana"/>
                <w:sz w:val="16"/>
                <w:szCs w:val="16"/>
              </w:rPr>
              <w:t>Verlagen ruw eiwitgehalte</w:t>
            </w:r>
          </w:p>
        </w:tc>
        <w:tc>
          <w:tcPr>
            <w:tcW w:w="94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3D5B849" w14:textId="434AD827">
            <w:r w:rsidRPr="3A3E4175">
              <w:rPr>
                <w:rFonts w:ascii="Verdana" w:hAnsi="Verdana" w:eastAsia="Verdana" w:cs="Verdana"/>
                <w:sz w:val="16"/>
                <w:szCs w:val="16"/>
              </w:rPr>
              <w:t>Uitvoering</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3969898" w14:textId="18F48578">
            <w:r w:rsidRPr="3A3E4175">
              <w:rPr>
                <w:rFonts w:ascii="Verdana" w:hAnsi="Verdana" w:eastAsia="Verdana" w:cs="Verdana"/>
                <w:sz w:val="16"/>
                <w:szCs w:val="16"/>
              </w:rPr>
              <w:t xml:space="preserve"> </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13EB2C1" w14:textId="4639E1F8">
            <w:r w:rsidRPr="3A3E4175">
              <w:rPr>
                <w:rFonts w:ascii="Verdana" w:hAnsi="Verdana" w:eastAsia="Verdana" w:cs="Verdana"/>
                <w:sz w:val="16"/>
                <w:szCs w:val="16"/>
              </w:rPr>
              <w:t>Publicatie CBS-monitor</w:t>
            </w:r>
            <w:r w:rsidR="004038AC">
              <w:rPr>
                <w:rStyle w:val="Voetnootmarkering"/>
                <w:rFonts w:ascii="Verdana" w:hAnsi="Verdana" w:eastAsia="Verdana" w:cs="Verdana"/>
                <w:sz w:val="16"/>
                <w:szCs w:val="16"/>
              </w:rPr>
              <w:footnoteReference w:id="2"/>
            </w:r>
            <w:r w:rsidRPr="3A3E4175">
              <w:rPr>
                <w:rFonts w:ascii="Verdana" w:hAnsi="Verdana" w:eastAsia="Verdana" w:cs="Verdana"/>
                <w:sz w:val="16"/>
                <w:szCs w:val="16"/>
              </w:rPr>
              <w:t xml:space="preserve">  </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5E627DB" w14:textId="46659E2D">
            <w:r w:rsidRPr="3A3E4175">
              <w:rPr>
                <w:rFonts w:ascii="Verdana" w:hAnsi="Verdana" w:eastAsia="Verdana" w:cs="Verdana"/>
                <w:sz w:val="16"/>
                <w:szCs w:val="16"/>
              </w:rPr>
              <w:t>Kamerbrief.</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B91AA27" w14:textId="313F8363">
            <w:r w:rsidRPr="3A3E4175">
              <w:rPr>
                <w:rFonts w:ascii="Verdana" w:hAnsi="Verdana" w:eastAsia="Verdana" w:cs="Verdana"/>
                <w:sz w:val="16"/>
                <w:szCs w:val="16"/>
              </w:rPr>
              <w:t xml:space="preserve"> </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ADBE721" w14:textId="156499EE">
            <w:r w:rsidRPr="3A3E4175">
              <w:rPr>
                <w:rFonts w:ascii="Verdana" w:hAnsi="Verdana" w:eastAsia="Verdana" w:cs="Verdana"/>
                <w:sz w:val="16"/>
                <w:szCs w:val="16"/>
              </w:rPr>
              <w:t xml:space="preserve">Overleg met de partners van het convenant voerspoor over reductiedoelen 2027 en eventueel daarna. </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04C745A" w14:textId="169D9A9C">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38FBE69" w14:textId="0C9C3C2B">
            <w:r w:rsidRPr="3A3E4175">
              <w:rPr>
                <w:rFonts w:ascii="Verdana" w:hAnsi="Verdana" w:eastAsia="Verdana" w:cs="Verdana"/>
                <w:sz w:val="16"/>
                <w:szCs w:val="16"/>
              </w:rPr>
              <w:t xml:space="preserve"> </w:t>
            </w:r>
          </w:p>
        </w:tc>
      </w:tr>
      <w:tr w:rsidR="00D603C3" w:rsidTr="7C493882" w14:paraId="65503024"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B59395A" w14:textId="2A3466C6">
            <w:r w:rsidRPr="3A3E4175">
              <w:rPr>
                <w:rFonts w:ascii="Verdana" w:hAnsi="Verdana" w:eastAsia="Verdana" w:cs="Verdana"/>
                <w:sz w:val="16"/>
                <w:szCs w:val="16"/>
              </w:rPr>
              <w:t>Verdunnen mest</w:t>
            </w:r>
          </w:p>
        </w:tc>
        <w:tc>
          <w:tcPr>
            <w:tcW w:w="7849"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18CCAAA" w14:textId="68CCD458">
            <w:r w:rsidRPr="3A3E4175">
              <w:rPr>
                <w:rFonts w:ascii="Verdana" w:hAnsi="Verdana" w:eastAsia="Verdana" w:cs="Verdana"/>
                <w:sz w:val="16"/>
                <w:szCs w:val="16"/>
              </w:rPr>
              <w:t>Afgerond</w:t>
            </w:r>
          </w:p>
        </w:tc>
      </w:tr>
      <w:tr w:rsidR="00D603C3" w:rsidTr="7C493882" w14:paraId="1531904F"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9F44807" w14:textId="008E8F86">
            <w:r w:rsidRPr="3A3E4175">
              <w:rPr>
                <w:rFonts w:ascii="Verdana" w:hAnsi="Verdana" w:eastAsia="Verdana" w:cs="Verdana"/>
                <w:sz w:val="16"/>
                <w:szCs w:val="16"/>
              </w:rPr>
              <w:t>Weidegang</w:t>
            </w:r>
          </w:p>
        </w:tc>
        <w:tc>
          <w:tcPr>
            <w:tcW w:w="7849"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93CC05A" w14:textId="79FCEAB4">
            <w:r w:rsidRPr="3A3E4175">
              <w:rPr>
                <w:rFonts w:ascii="Verdana" w:hAnsi="Verdana" w:eastAsia="Verdana" w:cs="Verdana"/>
                <w:sz w:val="16"/>
                <w:szCs w:val="16"/>
              </w:rPr>
              <w:t>Afgerond</w:t>
            </w:r>
          </w:p>
        </w:tc>
      </w:tr>
      <w:tr w:rsidR="00CB5A32" w:rsidTr="7C493882" w14:paraId="0620B494" w14:textId="77777777">
        <w:trPr>
          <w:trHeight w:val="33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AAF91B6" w14:textId="21123B6E">
            <w:pPr>
              <w:rPr>
                <w:rFonts w:ascii="Verdana" w:hAnsi="Verdana" w:eastAsia="Verdana" w:cs="Verdana"/>
                <w:sz w:val="16"/>
                <w:szCs w:val="16"/>
              </w:rPr>
            </w:pPr>
            <w:r w:rsidRPr="3A3E4175">
              <w:rPr>
                <w:rFonts w:ascii="Verdana" w:hAnsi="Verdana" w:eastAsia="Verdana" w:cs="Verdana"/>
                <w:sz w:val="16"/>
                <w:szCs w:val="16"/>
              </w:rPr>
              <w:lastRenderedPageBreak/>
              <w:t>Ontwikkeling nieuwe doelsturingssystematiek</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06F0525" w14:textId="4D914B83">
            <w:r w:rsidRPr="3A3E4175">
              <w:rPr>
                <w:rFonts w:ascii="Verdana" w:hAnsi="Verdana" w:eastAsia="Verdana" w:cs="Verdana"/>
                <w:sz w:val="16"/>
                <w:szCs w:val="16"/>
              </w:rPr>
              <w:t>Ontwerp</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9B6A4C7" w14:textId="6151030F">
            <w:r w:rsidRPr="3A3E4175">
              <w:rPr>
                <w:rFonts w:ascii="Verdana" w:hAnsi="Verdana" w:eastAsia="Verdana" w:cs="Verdana"/>
                <w:sz w:val="16"/>
                <w:szCs w:val="16"/>
              </w:rPr>
              <w:t xml:space="preserve"> </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65D95D1" w14:textId="537EA1E2">
            <w:r w:rsidRPr="3A3E4175">
              <w:rPr>
                <w:rFonts w:ascii="Verdana" w:hAnsi="Verdana" w:eastAsia="Verdana" w:cs="Verdana"/>
                <w:sz w:val="16"/>
                <w:szCs w:val="16"/>
              </w:rPr>
              <w:t>Oplevering wetenschappelijke onderbouwing KPI-kernset</w:t>
            </w:r>
            <w:r w:rsidR="0063317B">
              <w:rPr>
                <w:rStyle w:val="Voetnootmarkering"/>
                <w:rFonts w:ascii="Verdana" w:hAnsi="Verdana" w:eastAsia="Verdana" w:cs="Verdana"/>
                <w:sz w:val="16"/>
                <w:szCs w:val="16"/>
              </w:rPr>
              <w:footnoteReference w:id="3"/>
            </w:r>
          </w:p>
        </w:tc>
        <w:tc>
          <w:tcPr>
            <w:tcW w:w="4805" w:type="dxa"/>
            <w:gridSpan w:val="5"/>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7706CC4" w14:textId="6EC9B914">
            <w:r w:rsidRPr="3A3E4175">
              <w:rPr>
                <w:rFonts w:ascii="Verdana" w:hAnsi="Verdana" w:eastAsia="Verdana" w:cs="Verdana"/>
                <w:sz w:val="16"/>
                <w:szCs w:val="16"/>
              </w:rPr>
              <w:t>Nadere informatie over de ontwikkeling van de doelsturingssystematiek en over besluitvorming rond bedrijfsspecifieke emissienormen voor stikstof en klimaat volgt voor de zomer in het kader van de Ministeriële Taskforce Landbouw, Natuur en Stikstof. Voor doelsturing waterkwaliteit wordt conform de motie Grinwis de systeemontwikkeling van doelsturing de aankomende tijd voortgezet. De inzet is om te zorgen dat er in het najaar van 2026 kan worden gestart met het grootschalig meten van N-mineraal op landbouwpercelen.</w:t>
            </w:r>
          </w:p>
        </w:tc>
      </w:tr>
      <w:tr w:rsidR="0057154F" w:rsidTr="7C493882" w14:paraId="074ECCDC"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2E446D84" w14:textId="688FD0BE">
            <w:pPr>
              <w:rPr>
                <w:rFonts w:ascii="Verdana" w:hAnsi="Verdana" w:eastAsia="Verdana" w:cs="Verdana"/>
                <w:sz w:val="16"/>
                <w:szCs w:val="16"/>
              </w:rPr>
            </w:pPr>
            <w:r w:rsidRPr="7C493882">
              <w:rPr>
                <w:rFonts w:ascii="Verdana" w:hAnsi="Verdana" w:eastAsia="Verdana" w:cs="Verdana"/>
                <w:sz w:val="16"/>
                <w:szCs w:val="16"/>
              </w:rPr>
              <w:t>Uitbreiding agrarisch natuurbeheer</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1F9DE547" w14:textId="5CF3E1F9">
            <w:pPr>
              <w:rPr>
                <w:rFonts w:ascii="Verdana" w:hAnsi="Verdana" w:eastAsia="Verdana" w:cs="Verdana"/>
                <w:sz w:val="16"/>
                <w:szCs w:val="16"/>
              </w:rPr>
            </w:pPr>
            <w:r w:rsidRPr="7C493882">
              <w:rPr>
                <w:rFonts w:ascii="Verdana" w:hAnsi="Verdana" w:eastAsia="Verdana" w:cs="Verdana"/>
                <w:sz w:val="16"/>
                <w:szCs w:val="16"/>
              </w:rPr>
              <w:t>Ontwerp/uitvoering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220D7902" w14:textId="7A9D840D">
            <w:pPr>
              <w:rPr>
                <w:rFonts w:ascii="Verdana" w:hAnsi="Verdana" w:eastAsia="Verdana" w:cs="Verdana"/>
                <w:sz w:val="16"/>
                <w:szCs w:val="16"/>
              </w:rPr>
            </w:pPr>
            <w:r w:rsidRPr="7C493882">
              <w:rPr>
                <w:rFonts w:ascii="Verdana" w:hAnsi="Verdana" w:eastAsia="Verdana" w:cs="Verdana"/>
                <w:sz w:val="16"/>
                <w:szCs w:val="16"/>
              </w:rPr>
              <w:t>Afspraken met provincies over uitbreiden ANLb</w:t>
            </w:r>
          </w:p>
          <w:p w:rsidR="5783171A" w:rsidP="7C493882" w:rsidRDefault="5243F96C" w14:paraId="6484BF2D" w14:textId="25E09F14">
            <w:pPr>
              <w:rPr>
                <w:rFonts w:ascii="Verdana" w:hAnsi="Verdana" w:eastAsia="Verdana" w:cs="Verdana"/>
                <w:sz w:val="16"/>
                <w:szCs w:val="16"/>
              </w:rPr>
            </w:pPr>
            <w:r w:rsidRPr="7C493882">
              <w:rPr>
                <w:rFonts w:ascii="Verdana" w:hAnsi="Verdana" w:eastAsia="Verdana" w:cs="Verdana"/>
                <w:sz w:val="16"/>
                <w:szCs w:val="16"/>
              </w:rPr>
              <w:t>Afgerond, en openstelling extra ANLb.</w:t>
            </w:r>
          </w:p>
          <w:p w:rsidR="5783171A" w:rsidP="7C493882" w:rsidRDefault="5243F96C" w14:paraId="5D2736E9" w14:textId="073D6099">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104DB2E4" w14:textId="0923ADC6">
            <w:pPr>
              <w:rPr>
                <w:rFonts w:ascii="Verdana" w:hAnsi="Verdana" w:eastAsia="Verdana" w:cs="Verdana"/>
                <w:sz w:val="16"/>
                <w:szCs w:val="16"/>
              </w:rPr>
            </w:pPr>
            <w:r w:rsidRPr="7C493882">
              <w:rPr>
                <w:rFonts w:ascii="Verdana" w:hAnsi="Verdana" w:eastAsia="Verdana" w:cs="Verdana"/>
                <w:sz w:val="16"/>
                <w:szCs w:val="16"/>
              </w:rPr>
              <w:t>Extra middelen voor versterken organisaties beschikt.</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07C2E93F" w14:textId="2049A0B3">
            <w:pPr>
              <w:rPr>
                <w:rFonts w:ascii="Verdana" w:hAnsi="Verdana" w:eastAsia="Verdana" w:cs="Verdana"/>
                <w:sz w:val="16"/>
                <w:szCs w:val="16"/>
              </w:rPr>
            </w:pPr>
            <w:r w:rsidRPr="7C493882">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2AA73C1A" w14:textId="4B26B3B2">
            <w:pPr>
              <w:rPr>
                <w:rFonts w:ascii="Verdana" w:hAnsi="Verdana" w:eastAsia="Verdana" w:cs="Verdana"/>
                <w:sz w:val="16"/>
                <w:szCs w:val="16"/>
              </w:rPr>
            </w:pPr>
            <w:r w:rsidRPr="7C493882">
              <w:rPr>
                <w:rFonts w:ascii="Verdana" w:hAnsi="Verdana" w:eastAsia="Verdana" w:cs="Verdana"/>
                <w:sz w:val="16"/>
                <w:szCs w:val="16"/>
              </w:rPr>
              <w:t>Pilotregeling ANB gesloten, aangevraagd budget €40 mln.</w:t>
            </w:r>
          </w:p>
          <w:p w:rsidR="5783171A" w:rsidP="7C493882" w:rsidRDefault="5243F96C" w14:paraId="139D2595" w14:textId="79DBEEB3">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7D88BA75" w14:textId="01E4562D">
            <w:pPr>
              <w:rPr>
                <w:rFonts w:ascii="Verdana" w:hAnsi="Verdana" w:eastAsia="Verdana" w:cs="Verdana"/>
                <w:sz w:val="16"/>
                <w:szCs w:val="16"/>
              </w:rPr>
            </w:pPr>
            <w:r w:rsidRPr="7C493882">
              <w:rPr>
                <w:rFonts w:ascii="Verdana" w:hAnsi="Verdana" w:eastAsia="Verdana" w:cs="Verdana"/>
                <w:sz w:val="16"/>
                <w:szCs w:val="16"/>
              </w:rPr>
              <w:t>Afspraken met provincies uitbreiding ANLb 2027 afgerond.</w:t>
            </w:r>
          </w:p>
          <w:p w:rsidR="5783171A" w:rsidP="7C493882" w:rsidRDefault="5243F96C" w14:paraId="14636C24" w14:textId="56AFE927">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77BF764E" w14:textId="0183D9F9">
            <w:pPr>
              <w:rPr>
                <w:rFonts w:ascii="Verdana" w:hAnsi="Verdana" w:eastAsia="Verdana" w:cs="Verdana"/>
                <w:sz w:val="16"/>
                <w:szCs w:val="16"/>
              </w:rPr>
            </w:pPr>
            <w:r w:rsidRPr="7C493882">
              <w:rPr>
                <w:rFonts w:ascii="Verdana" w:hAnsi="Verdana" w:eastAsia="Verdana" w:cs="Verdana"/>
                <w:sz w:val="16"/>
                <w:szCs w:val="16"/>
              </w:rPr>
              <w:t>Besluitvorming extra investeringen afgerond.</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6694AFE1" w14:textId="2FAD070D">
            <w:pPr>
              <w:rPr>
                <w:rFonts w:ascii="Verdana" w:hAnsi="Verdana" w:eastAsia="Verdana" w:cs="Verdana"/>
                <w:sz w:val="16"/>
                <w:szCs w:val="16"/>
              </w:rPr>
            </w:pPr>
            <w:r w:rsidRPr="7C493882">
              <w:rPr>
                <w:rFonts w:ascii="Verdana" w:hAnsi="Verdana" w:eastAsia="Verdana" w:cs="Verdana"/>
                <w:sz w:val="16"/>
                <w:szCs w:val="16"/>
              </w:rPr>
              <w:t>Pilotregeling beschikt.</w:t>
            </w:r>
          </w:p>
          <w:p w:rsidR="5783171A" w:rsidP="7C493882" w:rsidRDefault="5243F96C" w14:paraId="725FD6F3" w14:textId="3C293290">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68C4B972" w14:textId="517B5057">
            <w:pPr>
              <w:rPr>
                <w:rFonts w:ascii="Verdana" w:hAnsi="Verdana" w:eastAsia="Verdana" w:cs="Verdana"/>
                <w:sz w:val="16"/>
                <w:szCs w:val="16"/>
              </w:rPr>
            </w:pPr>
            <w:r w:rsidRPr="7C493882">
              <w:rPr>
                <w:rFonts w:ascii="Verdana" w:hAnsi="Verdana" w:eastAsia="Verdana" w:cs="Verdana"/>
                <w:sz w:val="16"/>
                <w:szCs w:val="16"/>
              </w:rPr>
              <w:t>Kamerbrief structurele invulling ANB.</w:t>
            </w:r>
          </w:p>
          <w:p w:rsidR="5783171A" w:rsidP="7C493882" w:rsidRDefault="5243F96C" w14:paraId="62FFA265" w14:textId="689BA3A1">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16841372" w14:textId="1BF4C014">
            <w:pPr>
              <w:rPr>
                <w:rFonts w:ascii="Verdana" w:hAnsi="Verdana" w:eastAsia="Verdana" w:cs="Verdana"/>
                <w:sz w:val="16"/>
                <w:szCs w:val="16"/>
              </w:rPr>
            </w:pPr>
            <w:r w:rsidRPr="7C493882">
              <w:rPr>
                <w:rFonts w:ascii="Verdana" w:hAnsi="Verdana" w:eastAsia="Verdana" w:cs="Verdana"/>
                <w:sz w:val="16"/>
                <w:szCs w:val="16"/>
              </w:rPr>
              <w:t>Aanpassing GLB/NSP extra budget ANLb.</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7F1236FC" w14:textId="612BCE71">
            <w:pPr>
              <w:rPr>
                <w:rFonts w:ascii="Verdana" w:hAnsi="Verdana" w:eastAsia="Verdana" w:cs="Verdana"/>
                <w:sz w:val="16"/>
                <w:szCs w:val="16"/>
              </w:rPr>
            </w:pPr>
            <w:r w:rsidRPr="7C493882">
              <w:rPr>
                <w:rFonts w:ascii="Verdana" w:hAnsi="Verdana" w:eastAsia="Verdana" w:cs="Verdana"/>
                <w:sz w:val="16"/>
                <w:szCs w:val="16"/>
              </w:rPr>
              <w:t>Koersdocument ANB opgesteld, inclusief invulling langjarige contracten, ter besluitvorming BO.</w:t>
            </w:r>
          </w:p>
          <w:p w:rsidR="5783171A" w:rsidP="7C493882" w:rsidRDefault="5243F96C" w14:paraId="2A9F5035" w14:textId="02519A44">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3871FEBA" w14:textId="6D74F77C">
            <w:pPr>
              <w:rPr>
                <w:rFonts w:ascii="Verdana" w:hAnsi="Verdana" w:eastAsia="Verdana" w:cs="Verdana"/>
                <w:sz w:val="16"/>
                <w:szCs w:val="16"/>
              </w:rPr>
            </w:pPr>
            <w:r w:rsidRPr="7C493882">
              <w:rPr>
                <w:rFonts w:ascii="Verdana" w:hAnsi="Verdana" w:eastAsia="Verdana" w:cs="Verdana"/>
                <w:sz w:val="16"/>
                <w:szCs w:val="16"/>
              </w:rPr>
              <w:t>Extra middelen versterken organisaties beschikt.</w:t>
            </w:r>
          </w:p>
          <w:p w:rsidR="5783171A" w:rsidP="7C493882" w:rsidRDefault="5243F96C" w14:paraId="0F38A720" w14:textId="2AC600EB">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6036EE27" w14:textId="342CF919">
            <w:pPr>
              <w:rPr>
                <w:rFonts w:ascii="Verdana" w:hAnsi="Verdana" w:eastAsia="Verdana" w:cs="Verdana"/>
                <w:sz w:val="16"/>
                <w:szCs w:val="16"/>
              </w:rPr>
            </w:pPr>
            <w:r w:rsidRPr="7C493882">
              <w:rPr>
                <w:rFonts w:ascii="Verdana" w:hAnsi="Verdana" w:eastAsia="Verdana" w:cs="Verdana"/>
                <w:sz w:val="16"/>
                <w:szCs w:val="16"/>
              </w:rPr>
              <w:t>Openstelling extra ANLb 2027.</w:t>
            </w:r>
          </w:p>
          <w:p w:rsidR="5783171A" w:rsidP="7C493882" w:rsidRDefault="5243F96C" w14:paraId="00403C16" w14:textId="329AE78E">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715899CF" w14:textId="569A3FFF">
            <w:pPr>
              <w:rPr>
                <w:rFonts w:ascii="Verdana" w:hAnsi="Verdana" w:eastAsia="Verdana" w:cs="Verdana"/>
                <w:sz w:val="16"/>
                <w:szCs w:val="16"/>
              </w:rPr>
            </w:pPr>
            <w:r w:rsidRPr="7C493882">
              <w:rPr>
                <w:rFonts w:ascii="Verdana" w:hAnsi="Verdana" w:eastAsia="Verdana" w:cs="Verdana"/>
                <w:sz w:val="16"/>
                <w:szCs w:val="16"/>
              </w:rPr>
              <w:t>Kamerbrief nadere invulling ANB.</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04F6894D" w14:textId="17DD5B0A">
            <w:pPr>
              <w:rPr>
                <w:rFonts w:ascii="Verdana" w:hAnsi="Verdana" w:eastAsia="Verdana" w:cs="Verdana"/>
                <w:sz w:val="16"/>
                <w:szCs w:val="16"/>
              </w:rPr>
            </w:pPr>
            <w:r w:rsidRPr="7C493882">
              <w:rPr>
                <w:rFonts w:ascii="Verdana" w:hAnsi="Verdana" w:eastAsia="Verdana" w:cs="Verdana"/>
                <w:sz w:val="16"/>
                <w:szCs w:val="16"/>
              </w:rPr>
              <w:t>Start implementatie verbeterd ANB, en verwerking ANB in GLB/NRPP.</w:t>
            </w:r>
          </w:p>
          <w:p w:rsidR="5783171A" w:rsidP="7C493882" w:rsidRDefault="5243F96C" w14:paraId="72E48B09" w14:textId="6D2E2969">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7FC68F5A" w14:textId="1259FA0B">
            <w:pPr>
              <w:rPr>
                <w:rFonts w:ascii="Verdana" w:hAnsi="Verdana" w:eastAsia="Verdana" w:cs="Verdana"/>
                <w:sz w:val="16"/>
                <w:szCs w:val="16"/>
              </w:rPr>
            </w:pPr>
            <w:r w:rsidRPr="7C493882">
              <w:rPr>
                <w:rFonts w:ascii="Verdana" w:hAnsi="Verdana" w:eastAsia="Verdana" w:cs="Verdana"/>
                <w:sz w:val="16"/>
                <w:szCs w:val="16"/>
              </w:rPr>
              <w:t>Plan versterken monitoring afgerond.</w:t>
            </w:r>
          </w:p>
          <w:p w:rsidR="5783171A" w:rsidP="7C493882" w:rsidRDefault="5243F96C" w14:paraId="189E6221" w14:textId="6865A109">
            <w:pPr>
              <w:rPr>
                <w:rFonts w:ascii="Verdana" w:hAnsi="Verdana" w:eastAsia="Verdana" w:cs="Verdana"/>
                <w:sz w:val="16"/>
                <w:szCs w:val="16"/>
              </w:rPr>
            </w:pPr>
            <w:r w:rsidRPr="7C493882">
              <w:rPr>
                <w:rFonts w:ascii="Verdana" w:hAnsi="Verdana" w:eastAsia="Verdana" w:cs="Verdana"/>
                <w:sz w:val="16"/>
                <w:szCs w:val="16"/>
              </w:rPr>
              <w:t xml:space="preserve"> </w:t>
            </w:r>
          </w:p>
          <w:p w:rsidR="5783171A" w:rsidP="7C493882" w:rsidRDefault="5243F96C" w14:paraId="046B6A66" w14:textId="38E7D527">
            <w:pPr>
              <w:rPr>
                <w:rFonts w:ascii="Verdana" w:hAnsi="Verdana" w:eastAsia="Verdana" w:cs="Verdana"/>
                <w:sz w:val="16"/>
                <w:szCs w:val="16"/>
              </w:rPr>
            </w:pPr>
            <w:r w:rsidRPr="7C493882">
              <w:rPr>
                <w:rFonts w:ascii="Verdana" w:hAnsi="Verdana" w:eastAsia="Verdana" w:cs="Verdana"/>
                <w:sz w:val="16"/>
                <w:szCs w:val="16"/>
              </w:rPr>
              <w:t>Plan ANLb in gebiedsprocessen afgerond.</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5783171A" w:rsidP="7C493882" w:rsidRDefault="5243F96C" w14:paraId="0A807E3D" w14:textId="58CD8AC6">
            <w:pPr>
              <w:rPr>
                <w:rFonts w:ascii="Verdana" w:hAnsi="Verdana" w:eastAsia="Verdana" w:cs="Verdana"/>
                <w:i/>
                <w:iCs/>
                <w:sz w:val="16"/>
                <w:szCs w:val="16"/>
              </w:rPr>
            </w:pPr>
            <w:r w:rsidRPr="7C493882">
              <w:rPr>
                <w:rFonts w:ascii="Verdana" w:hAnsi="Verdana" w:eastAsia="Verdana" w:cs="Verdana"/>
                <w:sz w:val="16"/>
                <w:szCs w:val="16"/>
              </w:rPr>
              <w:t>Vaststellen doelenkader ANLb, vanaf 2029, aanpassen regelgeving en natuurbeheerplan aanpassen zodat deze langjarige contracten bevat en de aanpassingen in het doelenkader.</w:t>
            </w:r>
            <w:r w:rsidRPr="7C493882">
              <w:rPr>
                <w:rFonts w:ascii="Verdana" w:hAnsi="Verdana" w:eastAsia="Verdana" w:cs="Verdana"/>
                <w:i/>
                <w:iCs/>
                <w:sz w:val="16"/>
                <w:szCs w:val="16"/>
              </w:rPr>
              <w:t xml:space="preserve"> </w:t>
            </w:r>
          </w:p>
        </w:tc>
      </w:tr>
      <w:tr w:rsidR="3A3E4175" w:rsidTr="7C493882" w14:paraId="392A08B0"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0E47DDB7" w14:textId="657F82FF">
            <w:r w:rsidRPr="5783171A">
              <w:rPr>
                <w:rFonts w:ascii="Verdana" w:hAnsi="Verdana" w:eastAsia="Verdana" w:cs="Verdana"/>
                <w:i/>
                <w:iCs/>
                <w:color w:val="000000" w:themeColor="text1"/>
                <w:sz w:val="16"/>
                <w:szCs w:val="16"/>
              </w:rPr>
              <w:t>Innovatiemaatregelen</w:t>
            </w:r>
          </w:p>
        </w:tc>
      </w:tr>
      <w:tr w:rsidR="0057154F" w:rsidTr="7C493882" w14:paraId="2FA21BFD"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E0CD8F6" w14:textId="3BFD337D">
            <w:r w:rsidRPr="3A3E4175">
              <w:rPr>
                <w:rFonts w:ascii="Verdana" w:hAnsi="Verdana" w:eastAsia="Verdana" w:cs="Verdana"/>
                <w:sz w:val="16"/>
                <w:szCs w:val="16"/>
              </w:rPr>
              <w:t>Stalmaatregelen</w:t>
            </w:r>
          </w:p>
        </w:tc>
        <w:tc>
          <w:tcPr>
            <w:tcW w:w="94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AA56AAC" w14:textId="4FA1AE14">
            <w:r w:rsidRPr="3A3E4175">
              <w:rPr>
                <w:rFonts w:ascii="Verdana" w:hAnsi="Verdana" w:eastAsia="Verdana" w:cs="Verdana"/>
                <w:sz w:val="16"/>
                <w:szCs w:val="16"/>
              </w:rPr>
              <w:t>Ontwikkeling</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A4E1105" w14:textId="2D1FFC0F">
            <w:r w:rsidRPr="3A3E4175">
              <w:rPr>
                <w:rFonts w:ascii="Verdana" w:hAnsi="Verdana" w:eastAsia="Verdana" w:cs="Verdana"/>
                <w:sz w:val="16"/>
                <w:szCs w:val="16"/>
              </w:rPr>
              <w:t xml:space="preserve"> </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96D9B4E" w14:textId="7D057819">
            <w:r w:rsidRPr="3A3E4175">
              <w:rPr>
                <w:rFonts w:ascii="Verdana" w:hAnsi="Verdana" w:eastAsia="Verdana" w:cs="Verdana"/>
                <w:sz w:val="16"/>
                <w:szCs w:val="16"/>
              </w:rPr>
              <w:t xml:space="preserve"> </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C4FD37D" w14:textId="2712DC55">
            <w:r w:rsidRPr="3A3E4175">
              <w:rPr>
                <w:rFonts w:ascii="Verdana" w:hAnsi="Verdana" w:eastAsia="Verdana" w:cs="Verdana"/>
                <w:sz w:val="16"/>
                <w:szCs w:val="16"/>
              </w:rPr>
              <w:t xml:space="preserve"> </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E0456B2" w14:textId="674FA7CA">
            <w:r w:rsidRPr="3A3E4175">
              <w:rPr>
                <w:rFonts w:ascii="Verdana" w:hAnsi="Verdana" w:eastAsia="Verdana" w:cs="Verdana"/>
                <w:sz w:val="16"/>
                <w:szCs w:val="16"/>
              </w:rPr>
              <w:t xml:space="preserve"> </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B6A4A3F" w14:textId="3E51B3FA">
            <w:r w:rsidRPr="3A3E4175">
              <w:rPr>
                <w:rFonts w:ascii="Verdana" w:hAnsi="Verdana" w:eastAsia="Verdana" w:cs="Verdana"/>
                <w:sz w:val="16"/>
                <w:szCs w:val="16"/>
              </w:rPr>
              <w:t xml:space="preserve"> </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72F081C" w14:textId="7DA60311">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A7809C2" w14:textId="0A183EF3">
            <w:r w:rsidRPr="3A3E4175">
              <w:rPr>
                <w:rFonts w:ascii="Verdana" w:hAnsi="Verdana" w:eastAsia="Verdana" w:cs="Verdana"/>
                <w:sz w:val="16"/>
                <w:szCs w:val="16"/>
              </w:rPr>
              <w:t xml:space="preserve"> </w:t>
            </w:r>
          </w:p>
        </w:tc>
      </w:tr>
      <w:tr w:rsidR="0057154F" w:rsidTr="7C493882" w14:paraId="4C3C5414"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6507887" w14:textId="03A47431">
            <w:r w:rsidRPr="3A3E4175">
              <w:rPr>
                <w:rFonts w:ascii="Verdana" w:hAnsi="Verdana" w:eastAsia="Verdana" w:cs="Verdana"/>
                <w:sz w:val="16"/>
                <w:szCs w:val="16"/>
              </w:rPr>
              <w:t>Subsidie voor investeringen in verduurzaming voor veehouderijlocaties met piekbelasting</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C5F5BC9" w14:textId="1D83A293">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E9C5A06" w14:textId="30DE525A">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F39C5A4" w14:textId="5C7F485D">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44E0F48" w14:textId="64608CC5">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7026878" w14:textId="612E9AE3">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90EF1B9" w14:textId="3BBFB75A">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A8275C3" w14:textId="77906149">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85F314C" w14:textId="0D62154A">
            <w:r w:rsidRPr="3A3E4175">
              <w:rPr>
                <w:rFonts w:ascii="Verdana" w:hAnsi="Verdana" w:eastAsia="Verdana" w:cs="Verdana"/>
                <w:sz w:val="16"/>
                <w:szCs w:val="16"/>
              </w:rPr>
              <w:t xml:space="preserve"> </w:t>
            </w:r>
          </w:p>
        </w:tc>
      </w:tr>
      <w:tr w:rsidR="0057154F" w:rsidTr="7C493882" w14:paraId="47EA8A56"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610EB1D" w14:textId="58E5DFFA">
            <w:r w:rsidRPr="3A3E4175">
              <w:rPr>
                <w:rFonts w:ascii="Verdana" w:hAnsi="Verdana" w:eastAsia="Verdana" w:cs="Verdana"/>
                <w:sz w:val="16"/>
                <w:szCs w:val="16"/>
              </w:rPr>
              <w:t>Omschakelprogramma</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40FE85A" w14:textId="0161B1B3">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9D3285A" w14:textId="29463DC0">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51CAC2E" w14:textId="0A10E79F">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712CEDA" w14:textId="7A74A814">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0CB10A2" w14:textId="179668A7">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73FE398" w14:textId="5CACB88D">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EB4CDB6" w14:textId="117E3CBD">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4D5E99E" w14:textId="4EDEA61A">
            <w:r w:rsidRPr="3A3E4175">
              <w:rPr>
                <w:rFonts w:ascii="Verdana" w:hAnsi="Verdana" w:eastAsia="Verdana" w:cs="Verdana"/>
                <w:sz w:val="16"/>
                <w:szCs w:val="16"/>
              </w:rPr>
              <w:t xml:space="preserve"> </w:t>
            </w:r>
          </w:p>
        </w:tc>
      </w:tr>
      <w:tr w:rsidR="0057154F" w:rsidTr="7C493882" w14:paraId="523511B3"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A4AD1C0" w14:textId="084321B7">
            <w:r w:rsidRPr="3A3E4175">
              <w:rPr>
                <w:rFonts w:ascii="Verdana" w:hAnsi="Verdana" w:eastAsia="Verdana" w:cs="Verdana"/>
                <w:sz w:val="16"/>
                <w:szCs w:val="16"/>
              </w:rPr>
              <w:lastRenderedPageBreak/>
              <w:t>Mestverwerking</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D2A86BC" w14:textId="1AF8D1B5">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07990B0" w14:textId="600FDABB">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082D32D" w14:textId="21409604">
            <w:r w:rsidRPr="3A3E4175">
              <w:rPr>
                <w:rFonts w:ascii="Verdana" w:hAnsi="Verdana" w:eastAsia="Verdana" w:cs="Verdana"/>
                <w:sz w:val="16"/>
                <w:szCs w:val="16"/>
              </w:rPr>
              <w:t xml:space="preserve">Beoordeling aanvragen HMV-2025 afgerond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8FC16DA" w14:textId="40E0B401">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67D55D1" w14:textId="787001BD">
            <w:r w:rsidRPr="3A3E4175">
              <w:rPr>
                <w:rFonts w:ascii="Verdana" w:hAnsi="Verdana" w:eastAsia="Verdana" w:cs="Verdana"/>
                <w:sz w:val="16"/>
                <w:szCs w:val="16"/>
              </w:rPr>
              <w:t xml:space="preserve">Openstelling HMV-2026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C0A5C51" w14:textId="6AC4678E">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76DDDD1" w14:textId="52CE2513">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0FE0036" w14:textId="796BF498">
            <w:r w:rsidRPr="3A3E4175">
              <w:rPr>
                <w:rFonts w:ascii="Verdana" w:hAnsi="Verdana" w:eastAsia="Verdana" w:cs="Verdana"/>
                <w:sz w:val="16"/>
                <w:szCs w:val="16"/>
              </w:rPr>
              <w:t xml:space="preserve"> </w:t>
            </w:r>
          </w:p>
        </w:tc>
      </w:tr>
      <w:tr w:rsidR="3A3E4175" w:rsidTr="7C493882" w14:paraId="37526996"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04C01919" w14:textId="2A09F866">
            <w:r w:rsidRPr="3A3E4175">
              <w:rPr>
                <w:rFonts w:ascii="Verdana" w:hAnsi="Verdana" w:eastAsia="Verdana" w:cs="Verdana"/>
                <w:i/>
                <w:iCs/>
                <w:color w:val="000000" w:themeColor="text1"/>
                <w:sz w:val="16"/>
                <w:szCs w:val="16"/>
              </w:rPr>
              <w:t>Natuur</w:t>
            </w:r>
          </w:p>
        </w:tc>
      </w:tr>
      <w:tr w:rsidR="7C493882" w:rsidTr="7C493882" w14:paraId="1A2CAFB3" w14:textId="77777777">
        <w:trPr>
          <w:trHeight w:val="300"/>
        </w:trPr>
        <w:tc>
          <w:tcPr>
            <w:tcW w:w="18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56494436" w14:textId="603A4571">
            <w:r w:rsidRPr="7C493882">
              <w:rPr>
                <w:rFonts w:ascii="Verdana" w:hAnsi="Verdana" w:eastAsia="Verdana" w:cs="Verdana"/>
                <w:sz w:val="16"/>
                <w:szCs w:val="16"/>
              </w:rPr>
              <w:t xml:space="preserve">Natuurherstelverordening </w:t>
            </w:r>
          </w:p>
        </w:tc>
        <w:tc>
          <w:tcPr>
            <w:tcW w:w="145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524F006E" w14:textId="1D8D747D">
            <w:r w:rsidRPr="7C493882">
              <w:rPr>
                <w:rFonts w:ascii="Verdana" w:hAnsi="Verdana" w:eastAsia="Verdana" w:cs="Verdana"/>
                <w:sz w:val="16"/>
                <w:szCs w:val="16"/>
              </w:rPr>
              <w:t xml:space="preserve"> </w:t>
            </w:r>
          </w:p>
        </w:tc>
        <w:tc>
          <w:tcPr>
            <w:tcW w:w="1407"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2F5C7EEE" w14:textId="5E77F26B">
            <w:r w:rsidRPr="7C493882">
              <w:rPr>
                <w:rFonts w:ascii="Verdana" w:hAnsi="Verdana" w:eastAsia="Verdana" w:cs="Verdana"/>
                <w:sz w:val="16"/>
                <w:szCs w:val="16"/>
              </w:rPr>
              <w:t xml:space="preserve"> </w:t>
            </w:r>
          </w:p>
        </w:tc>
        <w:tc>
          <w:tcPr>
            <w:tcW w:w="1834"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46A86B96" w14:textId="406236D5">
            <w:r w:rsidRPr="7C493882">
              <w:rPr>
                <w:rFonts w:ascii="Verdana" w:hAnsi="Verdana" w:eastAsia="Verdana" w:cs="Verdana"/>
                <w:sz w:val="16"/>
                <w:szCs w:val="16"/>
              </w:rPr>
              <w:t xml:space="preserve"> </w:t>
            </w:r>
          </w:p>
        </w:tc>
        <w:tc>
          <w:tcPr>
            <w:tcW w:w="1480"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30507D97" w14:textId="7CB2AB9B">
            <w:r w:rsidRPr="7C493882">
              <w:rPr>
                <w:rFonts w:ascii="Verdana" w:hAnsi="Verdana" w:eastAsia="Verdana" w:cs="Verdana"/>
                <w:sz w:val="16"/>
                <w:szCs w:val="16"/>
              </w:rPr>
              <w:t>Opstellen concept Ontwerp Natuurplan</w:t>
            </w:r>
          </w:p>
        </w:tc>
        <w:tc>
          <w:tcPr>
            <w:tcW w:w="136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7A3EB804" w14:textId="163023F7">
            <w:r w:rsidRPr="7C493882">
              <w:rPr>
                <w:rFonts w:ascii="Verdana" w:hAnsi="Verdana" w:eastAsia="Verdana" w:cs="Verdana"/>
                <w:sz w:val="16"/>
                <w:szCs w:val="16"/>
              </w:rPr>
              <w:t>Indienen Ontwerp Natuurplan bij Europese Commissie</w:t>
            </w:r>
          </w:p>
        </w:tc>
        <w:tc>
          <w:tcPr>
            <w:tcW w:w="1484"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4E56EBA1" w14:textId="46A2F62E">
            <w:pPr>
              <w:rPr>
                <w:rFonts w:ascii="Verdana" w:hAnsi="Verdana" w:eastAsia="Verdana" w:cs="Verdana"/>
                <w:sz w:val="16"/>
                <w:szCs w:val="16"/>
              </w:rPr>
            </w:pPr>
          </w:p>
        </w:tc>
        <w:tc>
          <w:tcPr>
            <w:tcW w:w="146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275A36E4" w14:textId="735BFB6D">
            <w:pPr>
              <w:rPr>
                <w:rFonts w:ascii="Verdana" w:hAnsi="Verdana" w:eastAsia="Verdana" w:cs="Verdana"/>
                <w:sz w:val="16"/>
                <w:szCs w:val="16"/>
              </w:rPr>
            </w:pPr>
          </w:p>
        </w:tc>
        <w:tc>
          <w:tcPr>
            <w:tcW w:w="161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38C12C93" w14:textId="4792771F">
            <w:pPr>
              <w:rPr>
                <w:rFonts w:ascii="Verdana" w:hAnsi="Verdana" w:eastAsia="Verdana" w:cs="Verdana"/>
                <w:sz w:val="16"/>
                <w:szCs w:val="16"/>
              </w:rPr>
            </w:pPr>
          </w:p>
        </w:tc>
      </w:tr>
      <w:tr w:rsidR="0057154F" w:rsidTr="7C493882" w14:paraId="07C0F394"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3B050FFB" w14:textId="6304E84B">
            <w:r w:rsidRPr="7C493882">
              <w:rPr>
                <w:rFonts w:ascii="Verdana" w:hAnsi="Verdana" w:eastAsia="Verdana" w:cs="Verdana"/>
                <w:sz w:val="16"/>
                <w:szCs w:val="16"/>
              </w:rPr>
              <w:t>Extra natuurherstelmaatregelen</w:t>
            </w:r>
          </w:p>
        </w:tc>
        <w:tc>
          <w:tcPr>
            <w:tcW w:w="94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06784D2A" w14:textId="11EC0991">
            <w:r w:rsidRPr="7C493882">
              <w:rPr>
                <w:rFonts w:ascii="Verdana" w:hAnsi="Verdana" w:eastAsia="Verdana" w:cs="Verdana"/>
                <w:sz w:val="16"/>
                <w:szCs w:val="16"/>
              </w:rPr>
              <w:t>Ontwerp</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64A194CA" w14:textId="48914607">
            <w:r w:rsidRPr="7C493882">
              <w:rPr>
                <w:rFonts w:ascii="Verdana" w:hAnsi="Verdana" w:eastAsia="Verdana" w:cs="Verdana"/>
                <w:sz w:val="16"/>
                <w:szCs w:val="16"/>
              </w:rPr>
              <w:t xml:space="preserve"> </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4213CF63" w14:textId="16385992">
            <w:r w:rsidRPr="7C493882">
              <w:rPr>
                <w:rFonts w:ascii="Verdana" w:hAnsi="Verdana" w:eastAsia="Verdana" w:cs="Verdana"/>
                <w:sz w:val="16"/>
                <w:szCs w:val="16"/>
              </w:rPr>
              <w:t>Middelen natuurpakket TF 2026 beschikbaar gesteld tbv revitalisatie, bestrijding exoten, extra beheer en natuurherstelmaatregelen</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7E56A74E" w14:textId="5D14E971">
            <w:r w:rsidRPr="7C493882">
              <w:rPr>
                <w:rFonts w:ascii="Verdana" w:hAnsi="Verdana" w:eastAsia="Verdana" w:cs="Verdana"/>
                <w:sz w:val="16"/>
                <w:szCs w:val="16"/>
              </w:rPr>
              <w:t xml:space="preserve"> </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6A93D5AE" w14:textId="3556FF97">
            <w:r w:rsidRPr="7C493882">
              <w:rPr>
                <w:rFonts w:ascii="Verdana" w:hAnsi="Verdana" w:eastAsia="Verdana" w:cs="Verdana"/>
                <w:sz w:val="16"/>
                <w:szCs w:val="16"/>
              </w:rPr>
              <w:t>Uitwerking natuurherstelmaatregelen tbv zonering</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747634D3" w14:textId="70E5F54B">
            <w:r w:rsidRPr="7C493882">
              <w:rPr>
                <w:rFonts w:ascii="Verdana" w:hAnsi="Verdana" w:eastAsia="Verdana" w:cs="Verdana"/>
                <w:sz w:val="16"/>
                <w:szCs w:val="16"/>
              </w:rPr>
              <w:t xml:space="preserve"> </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7EB58DEB" w14:textId="48AEF62B">
            <w:r w:rsidRPr="7C493882">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7C493882" w:rsidP="7C493882" w:rsidRDefault="7C493882" w14:paraId="41814534" w14:textId="727CAC6A">
            <w:r w:rsidRPr="7C493882">
              <w:rPr>
                <w:rFonts w:ascii="Verdana" w:hAnsi="Verdana" w:eastAsia="Verdana" w:cs="Verdana"/>
                <w:sz w:val="16"/>
                <w:szCs w:val="16"/>
              </w:rPr>
              <w:t>Nieuwe regeling tbv natuurherstelmaatregelen</w:t>
            </w:r>
          </w:p>
        </w:tc>
      </w:tr>
      <w:tr w:rsidR="0057154F" w:rsidTr="7C493882" w14:paraId="02888474"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12B1E67" w14:textId="2AD055C8">
            <w:r w:rsidRPr="3A3E4175">
              <w:rPr>
                <w:rFonts w:ascii="Verdana" w:hAnsi="Verdana" w:eastAsia="Verdana" w:cs="Verdana"/>
                <w:sz w:val="16"/>
                <w:szCs w:val="16"/>
              </w:rPr>
              <w:t>Verbeteren natuurmonitoring</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D4C33A5" w14:textId="23A9C811">
            <w:r w:rsidRPr="3A3E4175">
              <w:rPr>
                <w:rFonts w:ascii="Verdana" w:hAnsi="Verdana" w:eastAsia="Verdana" w:cs="Verdana"/>
                <w:sz w:val="16"/>
                <w:szCs w:val="16"/>
              </w:rPr>
              <w:t>Ontwerp /Uitvoering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7E230D2" w14:textId="5A0803C8">
            <w:r w:rsidRPr="3A3E4175">
              <w:rPr>
                <w:rFonts w:ascii="Verdana" w:hAnsi="Verdana" w:eastAsia="Verdana" w:cs="Verdana"/>
                <w:sz w:val="16"/>
                <w:szCs w:val="16"/>
              </w:rPr>
              <w:t>21 uniforme</w:t>
            </w:r>
          </w:p>
          <w:p w:rsidR="3A3E4175" w:rsidP="3A3E4175" w:rsidRDefault="3A3E4175" w14:paraId="7480E2EE" w14:textId="13EAC2D2">
            <w:r w:rsidRPr="3A3E4175">
              <w:rPr>
                <w:rFonts w:ascii="Verdana" w:hAnsi="Verdana" w:eastAsia="Verdana" w:cs="Verdana"/>
                <w:sz w:val="16"/>
                <w:szCs w:val="16"/>
              </w:rPr>
              <w:t>maatlatten voor Habitattypen gereed</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84B6940" w14:textId="0B0F448C">
            <w:pPr>
              <w:ind w:left="-52"/>
            </w:pPr>
            <w:r w:rsidRPr="3A3E4175">
              <w:rPr>
                <w:rFonts w:ascii="Verdana" w:hAnsi="Verdana" w:eastAsia="Verdana" w:cs="Verdana"/>
                <w:sz w:val="16"/>
                <w:szCs w:val="16"/>
              </w:rPr>
              <w:t xml:space="preserve">Vaststellingprogramaplan. </w:t>
            </w:r>
          </w:p>
          <w:p w:rsidR="3A3E4175" w:rsidP="3A3E4175" w:rsidRDefault="3A3E4175" w14:paraId="17D80A29" w14:textId="4B124AB7">
            <w:pPr>
              <w:ind w:left="-52"/>
            </w:pPr>
            <w:r w:rsidRPr="3A3E4175">
              <w:rPr>
                <w:rFonts w:ascii="Verdana" w:hAnsi="Verdana" w:eastAsia="Verdana" w:cs="Verdana"/>
                <w:sz w:val="16"/>
                <w:szCs w:val="16"/>
              </w:rPr>
              <w:t xml:space="preserve"> </w:t>
            </w:r>
          </w:p>
          <w:p w:rsidR="3A3E4175" w:rsidP="3A3E4175" w:rsidRDefault="3A3E4175" w14:paraId="35431614" w14:textId="66A51DBE">
            <w:pPr>
              <w:ind w:left="-52"/>
            </w:pPr>
            <w:r w:rsidRPr="3A3E4175">
              <w:rPr>
                <w:rFonts w:ascii="Verdana" w:hAnsi="Verdana" w:eastAsia="Verdana" w:cs="Verdana"/>
                <w:sz w:val="16"/>
                <w:szCs w:val="16"/>
              </w:rPr>
              <w:t>Verbeterprogramma VHR Monitoring 2026 Vaststelling handreiking monitoring omgevingscondities 3.0</w:t>
            </w:r>
          </w:p>
          <w:p w:rsidR="3A3E4175" w:rsidP="3A3E4175" w:rsidRDefault="3A3E4175" w14:paraId="4AD0608C" w14:textId="238C830D">
            <w:pPr>
              <w:ind w:left="231" w:hanging="283"/>
            </w:pPr>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CE74EA2" w14:textId="72CDA02B">
            <w:r w:rsidRPr="3A3E4175">
              <w:rPr>
                <w:rFonts w:ascii="Verdana" w:hAnsi="Verdana" w:eastAsia="Verdana" w:cs="Verdana"/>
                <w:sz w:val="16"/>
                <w:szCs w:val="16"/>
              </w:rPr>
              <w:t>Oplevering onderzoeksrapport bodemmonitoring, start vervolgonderzoek bodemmonitoring, Start intensivering monitoring omgevingscondities (extra middelen beschikbaar voor provincies in 2026 via DU)</w:t>
            </w:r>
          </w:p>
          <w:p w:rsidR="3A3E4175" w:rsidP="3A3E4175" w:rsidRDefault="3A3E4175" w14:paraId="349A9EB7" w14:textId="047C1AB9">
            <w:pPr>
              <w:ind w:left="231" w:hanging="283"/>
            </w:pPr>
            <w:r w:rsidRPr="3A3E4175">
              <w:rPr>
                <w:rFonts w:ascii="Verdana" w:hAnsi="Verdana" w:eastAsia="Verdana" w:cs="Verdana"/>
                <w:sz w:val="16"/>
                <w:szCs w:val="16"/>
              </w:rPr>
              <w:t xml:space="preserve"> </w:t>
            </w:r>
          </w:p>
          <w:p w:rsidR="3A3E4175" w:rsidP="3A3E4175" w:rsidRDefault="3A3E4175" w14:paraId="5B78542C" w14:textId="69FA0A10">
            <w:pPr>
              <w:ind w:left="231" w:hanging="283"/>
            </w:pPr>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D223EF3" w14:textId="3884BB99">
            <w:pPr>
              <w:ind w:left="231" w:hanging="283"/>
            </w:pPr>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98B3263" w14:textId="1C23D419">
            <w:r w:rsidRPr="3A3E4175">
              <w:rPr>
                <w:rFonts w:ascii="Verdana" w:hAnsi="Verdana" w:eastAsia="Verdana" w:cs="Verdana"/>
                <w:sz w:val="16"/>
                <w:szCs w:val="16"/>
              </w:rPr>
              <w:t>Maken afspraken over uitvoering monitoring die volgt uit VVM in BO Natuur.</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D3A123E" w14:textId="37F0C09D">
            <w:r w:rsidRPr="3A3E4175">
              <w:rPr>
                <w:rFonts w:ascii="Verdana" w:hAnsi="Verdana" w:eastAsia="Verdana" w:cs="Verdana"/>
                <w:sz w:val="16"/>
                <w:szCs w:val="16"/>
              </w:rPr>
              <w:t>Vaststelling programmaplan VVM 2027</w:t>
            </w:r>
          </w:p>
          <w:p w:rsidR="3A3E4175" w:rsidP="3A3E4175" w:rsidRDefault="3A3E4175" w14:paraId="20DAE324" w14:textId="4DC69C28">
            <w:r w:rsidRPr="3A3E4175">
              <w:rPr>
                <w:rFonts w:ascii="Verdana" w:hAnsi="Verdana" w:eastAsia="Verdana" w:cs="Verdana"/>
                <w:sz w:val="16"/>
                <w:szCs w:val="16"/>
              </w:rPr>
              <w:t>Evaluatie monitoring omgevingscondities 2026</w:t>
            </w:r>
          </w:p>
          <w:p w:rsidR="3A3E4175" w:rsidP="3A3E4175" w:rsidRDefault="3A3E4175" w14:paraId="612746F8" w14:textId="670B2FE0">
            <w:r w:rsidRPr="3A3E4175">
              <w:rPr>
                <w:rFonts w:ascii="Verdana" w:hAnsi="Verdana" w:eastAsia="Verdana" w:cs="Verdana"/>
                <w:sz w:val="16"/>
                <w:szCs w:val="16"/>
              </w:rPr>
              <w:t xml:space="preserve">Opschalen uitvoering monitoring die volgt uit VVM </w:t>
            </w:r>
          </w:p>
          <w:p w:rsidR="3A3E4175" w:rsidP="3A3E4175" w:rsidRDefault="3A3E4175" w14:paraId="5B52806A" w14:textId="26C28B8D">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31A7ED0" w14:textId="30E28285">
            <w:r w:rsidRPr="3A3E4175">
              <w:rPr>
                <w:rFonts w:ascii="Verdana" w:hAnsi="Verdana" w:eastAsia="Verdana" w:cs="Verdana"/>
                <w:sz w:val="16"/>
                <w:szCs w:val="16"/>
              </w:rPr>
              <w:t>Oplevering producten VVM en afronding programma in 2030</w:t>
            </w:r>
          </w:p>
          <w:p w:rsidR="3A3E4175" w:rsidP="3A3E4175" w:rsidRDefault="3A3E4175" w14:paraId="51046812" w14:textId="73974DC3">
            <w:r w:rsidRPr="3A3E4175">
              <w:rPr>
                <w:rFonts w:ascii="Verdana" w:hAnsi="Verdana" w:eastAsia="Verdana" w:cs="Verdana"/>
                <w:sz w:val="16"/>
                <w:szCs w:val="16"/>
              </w:rPr>
              <w:t>Inrichting toekomstig beheer VVM producten</w:t>
            </w:r>
          </w:p>
          <w:p w:rsidR="3A3E4175" w:rsidP="3A3E4175" w:rsidRDefault="3A3E4175" w14:paraId="677E885D" w14:textId="4B19F0F3">
            <w:r w:rsidRPr="3A3E4175">
              <w:rPr>
                <w:rFonts w:ascii="Verdana" w:hAnsi="Verdana" w:eastAsia="Verdana" w:cs="Verdana"/>
                <w:sz w:val="16"/>
                <w:szCs w:val="16"/>
              </w:rPr>
              <w:t xml:space="preserve">Verdere opschaling uitvoering monitoring en gebruik data voor relevante processen en trajecten (NHV, NDA’s, beheerplannen) </w:t>
            </w:r>
          </w:p>
        </w:tc>
      </w:tr>
      <w:tr w:rsidR="3A3E4175" w:rsidTr="7C493882" w14:paraId="034E1A11"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2EE67D0" w14:textId="4BE8B2A8">
            <w:r w:rsidRPr="3A3E4175">
              <w:rPr>
                <w:rFonts w:ascii="Verdana" w:hAnsi="Verdana" w:eastAsia="Verdana" w:cs="Verdana"/>
                <w:sz w:val="16"/>
                <w:szCs w:val="16"/>
              </w:rPr>
              <w:t>Gebiedsgerichte aanpak</w:t>
            </w:r>
          </w:p>
        </w:tc>
      </w:tr>
      <w:tr w:rsidR="0057154F" w:rsidTr="7C493882" w14:paraId="4CA26198"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EC816E6" w14:textId="4583FFA9">
            <w:r w:rsidRPr="3A3E4175">
              <w:rPr>
                <w:rFonts w:ascii="Verdana" w:hAnsi="Verdana" w:eastAsia="Verdana" w:cs="Verdana"/>
                <w:sz w:val="16"/>
                <w:szCs w:val="16"/>
              </w:rPr>
              <w:t>Aanpak prioritaire gebieden Veluwe en Peel</w:t>
            </w:r>
          </w:p>
        </w:tc>
        <w:tc>
          <w:tcPr>
            <w:tcW w:w="94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2377B25" w14:textId="30FA5478">
            <w:r w:rsidRPr="3A3E4175">
              <w:rPr>
                <w:rFonts w:ascii="Verdana" w:hAnsi="Verdana" w:eastAsia="Verdana" w:cs="Verdana"/>
                <w:sz w:val="16"/>
                <w:szCs w:val="16"/>
              </w:rPr>
              <w:t>Uitvoering /ontwerp</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0D1B8C0" w14:textId="763F16D5">
            <w:r w:rsidRPr="3A3E4175">
              <w:rPr>
                <w:rFonts w:ascii="Verdana" w:hAnsi="Verdana" w:eastAsia="Verdana" w:cs="Verdana"/>
                <w:sz w:val="16"/>
                <w:szCs w:val="16"/>
              </w:rPr>
              <w:t xml:space="preserve"> </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55C86C0" w14:textId="3F27AE93">
            <w:r w:rsidRPr="3A3E4175">
              <w:rPr>
                <w:rFonts w:ascii="Verdana" w:hAnsi="Verdana" w:eastAsia="Verdana" w:cs="Verdana"/>
                <w:sz w:val="16"/>
                <w:szCs w:val="16"/>
              </w:rPr>
              <w:t xml:space="preserve"> </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3EBA15B" w14:textId="0AED5AB3">
            <w:r w:rsidRPr="3A3E4175">
              <w:rPr>
                <w:rFonts w:ascii="Verdana" w:hAnsi="Verdana" w:eastAsia="Verdana" w:cs="Verdana"/>
                <w:sz w:val="16"/>
                <w:szCs w:val="16"/>
              </w:rPr>
              <w:t xml:space="preserve"> </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202C3CD" w14:textId="5D65F87E">
            <w:r w:rsidRPr="3A3E4175">
              <w:rPr>
                <w:rFonts w:ascii="Verdana" w:hAnsi="Verdana" w:eastAsia="Verdana" w:cs="Verdana"/>
                <w:sz w:val="16"/>
                <w:szCs w:val="16"/>
              </w:rPr>
              <w:t xml:space="preserve"> </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B8BF632" w14:textId="56AF22E5">
            <w:r w:rsidRPr="3A3E4175">
              <w:rPr>
                <w:rFonts w:ascii="Verdana" w:hAnsi="Verdana" w:eastAsia="Verdana" w:cs="Verdana"/>
                <w:sz w:val="16"/>
                <w:szCs w:val="16"/>
              </w:rPr>
              <w:t xml:space="preserve"> </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A463DA1" w14:textId="51C9C9E5">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BCA75AF" w14:textId="30BE08DC">
            <w:r w:rsidRPr="3A3E4175">
              <w:rPr>
                <w:rFonts w:ascii="Verdana" w:hAnsi="Verdana" w:eastAsia="Verdana" w:cs="Verdana"/>
                <w:sz w:val="16"/>
                <w:szCs w:val="16"/>
              </w:rPr>
              <w:t xml:space="preserve"> </w:t>
            </w:r>
          </w:p>
        </w:tc>
      </w:tr>
      <w:tr w:rsidR="3A3E4175" w:rsidTr="7C493882" w14:paraId="09FC4580"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7A1DEDE9" w14:textId="0DB3F0CE">
            <w:r w:rsidRPr="3A3E4175">
              <w:rPr>
                <w:rFonts w:ascii="Verdana" w:hAnsi="Verdana" w:eastAsia="Verdana" w:cs="Verdana"/>
                <w:b/>
                <w:bCs/>
                <w:color w:val="000000" w:themeColor="text1"/>
                <w:sz w:val="16"/>
                <w:szCs w:val="16"/>
              </w:rPr>
              <w:t>Mobiliteit</w:t>
            </w:r>
          </w:p>
        </w:tc>
      </w:tr>
      <w:tr w:rsidR="0057154F" w:rsidTr="7C493882" w14:paraId="26D29515"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51B8E7F" w14:textId="2FDCBB38">
            <w:r w:rsidRPr="3A3E4175">
              <w:rPr>
                <w:rFonts w:ascii="Verdana" w:hAnsi="Verdana" w:eastAsia="Verdana" w:cs="Verdana"/>
                <w:sz w:val="16"/>
                <w:szCs w:val="16"/>
              </w:rPr>
              <w:lastRenderedPageBreak/>
              <w:t>Verduurzaming binnenvaart</w:t>
            </w:r>
          </w:p>
        </w:tc>
        <w:tc>
          <w:tcPr>
            <w:tcW w:w="94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B775F6B" w14:textId="3A1FDF52">
            <w:r w:rsidRPr="3A3E4175">
              <w:rPr>
                <w:rFonts w:ascii="Verdana" w:hAnsi="Verdana" w:eastAsia="Verdana" w:cs="Verdana"/>
                <w:sz w:val="16"/>
                <w:szCs w:val="16"/>
              </w:rPr>
              <w:t>Afgerond</w:t>
            </w:r>
          </w:p>
          <w:p w:rsidR="3A3E4175" w:rsidP="3A3E4175" w:rsidRDefault="3A3E4175" w14:paraId="34091633" w14:textId="40B14309">
            <w:r w:rsidRPr="3A3E4175">
              <w:rPr>
                <w:rFonts w:ascii="Verdana" w:hAnsi="Verdana" w:eastAsia="Verdana" w:cs="Verdana"/>
                <w:sz w:val="16"/>
                <w:szCs w:val="16"/>
              </w:rPr>
              <w:t xml:space="preserve"> </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8A13848" w14:textId="4DDDEA39">
            <w:r w:rsidRPr="3A3E4175">
              <w:rPr>
                <w:rFonts w:ascii="Verdana" w:hAnsi="Verdana" w:eastAsia="Verdana" w:cs="Verdana"/>
                <w:sz w:val="16"/>
                <w:szCs w:val="16"/>
              </w:rPr>
              <w:t xml:space="preserve"> </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0818508" w14:textId="4CA51E7B">
            <w:r w:rsidRPr="3A3E4175">
              <w:rPr>
                <w:rFonts w:ascii="Verdana" w:hAnsi="Verdana" w:eastAsia="Verdana" w:cs="Verdana"/>
                <w:sz w:val="16"/>
                <w:szCs w:val="16"/>
              </w:rPr>
              <w:t xml:space="preserve"> </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71776E7" w14:textId="105E8C82">
            <w:r w:rsidRPr="3A3E4175">
              <w:rPr>
                <w:rFonts w:ascii="Verdana" w:hAnsi="Verdana" w:eastAsia="Verdana" w:cs="Verdana"/>
                <w:sz w:val="16"/>
                <w:szCs w:val="16"/>
              </w:rPr>
              <w:t>Evaluatie</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5CAC7A5" w14:textId="589B9B9B">
            <w:r w:rsidRPr="3A3E4175">
              <w:rPr>
                <w:rFonts w:ascii="Verdana" w:hAnsi="Verdana" w:eastAsia="Verdana" w:cs="Verdana"/>
                <w:sz w:val="16"/>
                <w:szCs w:val="16"/>
              </w:rPr>
              <w:t>Evaluatie</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A874AE7" w14:textId="4B092FA9">
            <w:r w:rsidRPr="3A3E4175">
              <w:rPr>
                <w:rFonts w:ascii="Verdana" w:hAnsi="Verdana" w:eastAsia="Verdana" w:cs="Verdana"/>
                <w:sz w:val="16"/>
                <w:szCs w:val="16"/>
              </w:rPr>
              <w:t>Evaluatie</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D6BDEBF" w14:textId="7C011BBD">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F2F7134" w14:textId="30A831DD">
            <w:r w:rsidRPr="3A3E4175">
              <w:rPr>
                <w:rFonts w:ascii="Verdana" w:hAnsi="Verdana" w:eastAsia="Verdana" w:cs="Verdana"/>
                <w:sz w:val="16"/>
                <w:szCs w:val="16"/>
              </w:rPr>
              <w:t xml:space="preserve"> </w:t>
            </w:r>
          </w:p>
        </w:tc>
      </w:tr>
      <w:tr w:rsidR="0057154F" w:rsidTr="7C493882" w14:paraId="63CF8E72"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E2DFF2D" w14:textId="2739C7B1">
            <w:r w:rsidRPr="3A3E4175">
              <w:rPr>
                <w:rFonts w:ascii="Verdana" w:hAnsi="Verdana" w:eastAsia="Verdana" w:cs="Verdana"/>
                <w:sz w:val="16"/>
                <w:szCs w:val="16"/>
              </w:rPr>
              <w:t>Elektrisch taxiën</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6793EF7" w14:textId="2DA93CC1">
            <w:r w:rsidRPr="3A3E4175">
              <w:rPr>
                <w:rFonts w:ascii="Verdana" w:hAnsi="Verdana" w:eastAsia="Verdana" w:cs="Verdana"/>
                <w:sz w:val="16"/>
                <w:szCs w:val="16"/>
              </w:rPr>
              <w:t>Ontwerp</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D6608FA" w14:textId="3B39DA5A">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48ED8E6" w14:textId="2E9B86F6">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54BFF19" w14:textId="3BE75194">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2BEC699" w14:textId="386B31E3">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CCE6652" w14:textId="0077E0F6">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86FF1CF" w14:textId="18829967">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D5E8399" w14:textId="0FB4FBA8">
            <w:r w:rsidRPr="3A3E4175">
              <w:rPr>
                <w:rFonts w:ascii="Verdana" w:hAnsi="Verdana" w:eastAsia="Verdana" w:cs="Verdana"/>
                <w:sz w:val="16"/>
                <w:szCs w:val="16"/>
              </w:rPr>
              <w:t>Beschikking</w:t>
            </w:r>
          </w:p>
        </w:tc>
      </w:tr>
      <w:tr w:rsidR="0057154F" w:rsidTr="7C493882" w14:paraId="5F351D3C" w14:textId="77777777">
        <w:trPr>
          <w:trHeight w:val="108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BA546F0" w14:textId="17CAD6C6">
            <w:r w:rsidRPr="3A3E4175">
              <w:rPr>
                <w:rFonts w:ascii="Verdana" w:hAnsi="Verdana" w:eastAsia="Verdana" w:cs="Verdana"/>
                <w:sz w:val="16"/>
                <w:szCs w:val="16"/>
              </w:rPr>
              <w:t>Gerichte handhaving Adblue</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0C1201F" w14:textId="61E5EBEF">
            <w:r w:rsidRPr="3A3E4175">
              <w:rPr>
                <w:rFonts w:ascii="Verdana" w:hAnsi="Verdana" w:eastAsia="Verdana" w:cs="Verdana"/>
                <w:sz w:val="16"/>
                <w:szCs w:val="16"/>
              </w:rPr>
              <w:t>Ontwerp</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BE27329" w14:textId="52C0CA29">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CC6EBDA" w14:textId="663B7112">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FAC9A22" w14:textId="75922070">
            <w:pPr>
              <w:spacing w:after="160"/>
            </w:pPr>
            <w:r w:rsidRPr="3A3E4175">
              <w:rPr>
                <w:rFonts w:ascii="Verdana" w:hAnsi="Verdana" w:eastAsia="Verdana" w:cs="Verdana"/>
                <w:sz w:val="16"/>
                <w:szCs w:val="16"/>
              </w:rPr>
              <w:t xml:space="preserve">Na akkoord van bewindslieden IenW wordt de gewijzigde regeling voertuigen per 1 mei gepubliceerd.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B95ACD6" w14:textId="054FC732">
            <w:pPr>
              <w:spacing w:after="160"/>
            </w:pPr>
            <w:r w:rsidRPr="3A3E4175">
              <w:rPr>
                <w:rFonts w:ascii="Verdana" w:hAnsi="Verdana" w:eastAsia="Verdana" w:cs="Verdana"/>
                <w:sz w:val="16"/>
                <w:szCs w:val="16"/>
              </w:rPr>
              <w:t>Op 1 juli 2026 treedt de gewijzigde regeling voertuigen in werking.</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2064EE5" w14:textId="6992545F">
            <w:r w:rsidRPr="3A3E4175">
              <w:rPr>
                <w:rFonts w:ascii="Verdana" w:hAnsi="Verdana" w:eastAsia="Verdana" w:cs="Verdana"/>
                <w:sz w:val="16"/>
                <w:szCs w:val="16"/>
              </w:rPr>
              <w:t>ILT communiceert via stakeholders</w:t>
            </w:r>
            <w:r w:rsidR="003B0C72">
              <w:rPr>
                <w:rStyle w:val="Voetnootmarkering"/>
                <w:rFonts w:ascii="Verdana" w:hAnsi="Verdana" w:eastAsia="Verdana" w:cs="Verdana"/>
                <w:sz w:val="16"/>
                <w:szCs w:val="16"/>
              </w:rPr>
              <w:footnoteReference w:id="4"/>
            </w:r>
            <w:r w:rsidRPr="3A3E4175">
              <w:rPr>
                <w:rFonts w:ascii="Verdana" w:hAnsi="Verdana" w:eastAsia="Verdana" w:cs="Verdana"/>
                <w:sz w:val="16"/>
                <w:szCs w:val="16"/>
              </w:rPr>
              <w:t xml:space="preserve"> naar transportsector over handhavingsaanpak</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C728D21" w14:textId="4D9FD94D">
            <w:r w:rsidRPr="3A3E4175">
              <w:rPr>
                <w:rFonts w:ascii="Verdana" w:hAnsi="Verdana" w:eastAsia="Verdana" w:cs="Verdana"/>
                <w:sz w:val="16"/>
                <w:szCs w:val="16"/>
              </w:rPr>
              <w:t>De ILT start met handhaving, hiermee is de bronmaatregel in uitvoering</w:t>
            </w:r>
            <w:r w:rsidR="0057154F">
              <w:rPr>
                <w:rStyle w:val="Voetnootmarkering"/>
                <w:rFonts w:ascii="Verdana" w:hAnsi="Verdana" w:eastAsia="Verdana" w:cs="Verdana"/>
                <w:sz w:val="16"/>
                <w:szCs w:val="16"/>
              </w:rPr>
              <w:footnoteReference w:id="5"/>
            </w:r>
            <w:r w:rsidRPr="3A3E4175">
              <w:rPr>
                <w:rFonts w:ascii="Verdana" w:hAnsi="Verdana" w:eastAsia="Verdana" w:cs="Verdana"/>
                <w:sz w:val="16"/>
                <w:szCs w:val="16"/>
              </w:rPr>
              <w:t>.</w:t>
            </w:r>
          </w:p>
          <w:p w:rsidR="3A3E4175" w:rsidP="3A3E4175" w:rsidRDefault="3A3E4175" w14:paraId="446B863B" w14:textId="79E9B9FC">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57560C6" w14:textId="7A4ED3A8">
            <w:r w:rsidRPr="3A3E4175">
              <w:rPr>
                <w:rFonts w:ascii="Verdana" w:hAnsi="Verdana" w:eastAsia="Verdana" w:cs="Verdana"/>
                <w:sz w:val="16"/>
                <w:szCs w:val="16"/>
              </w:rPr>
              <w:t xml:space="preserve"> </w:t>
            </w:r>
          </w:p>
        </w:tc>
      </w:tr>
      <w:tr w:rsidR="0057154F" w:rsidTr="7C493882" w14:paraId="5F78C6B8"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9DB940C" w14:textId="29D3574A">
            <w:r w:rsidRPr="3A3E4175">
              <w:rPr>
                <w:rFonts w:ascii="Verdana" w:hAnsi="Verdana" w:eastAsia="Verdana" w:cs="Verdana"/>
                <w:sz w:val="16"/>
                <w:szCs w:val="16"/>
              </w:rPr>
              <w:t xml:space="preserve">Walstroom </w:t>
            </w:r>
            <w:r w:rsidRPr="3A3E4175" w:rsidR="235D360C">
              <w:rPr>
                <w:rFonts w:ascii="Verdana" w:hAnsi="Verdana" w:eastAsia="Verdana" w:cs="Verdana"/>
                <w:sz w:val="16"/>
                <w:szCs w:val="16"/>
              </w:rPr>
              <w:t>R</w:t>
            </w:r>
            <w:r w:rsidRPr="3A3E4175">
              <w:rPr>
                <w:rFonts w:ascii="Verdana" w:hAnsi="Verdana" w:eastAsia="Verdana" w:cs="Verdana"/>
                <w:sz w:val="16"/>
                <w:szCs w:val="16"/>
              </w:rPr>
              <w:t>ijksligplaatsen</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C6AD667" w14:textId="73494C18">
            <w:r w:rsidRPr="3A3E4175">
              <w:rPr>
                <w:rFonts w:ascii="Verdana" w:hAnsi="Verdana" w:eastAsia="Verdana" w:cs="Verdana"/>
                <w:sz w:val="16"/>
                <w:szCs w:val="16"/>
              </w:rPr>
              <w:t>Ontwerp</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F1D051D" w14:textId="5E46D6B3">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145F6A7" w14:textId="3890E7FF">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9CBFA34" w14:textId="1318F01D">
            <w:r w:rsidRPr="3A3E4175">
              <w:rPr>
                <w:rFonts w:ascii="Verdana" w:hAnsi="Verdana" w:eastAsia="Verdana" w:cs="Verdana"/>
                <w:sz w:val="16"/>
                <w:szCs w:val="16"/>
              </w:rPr>
              <w:t>formele start van fase I van het walstroom rijksligplaatsen project door RWS. In fase I ligt de focus op ‘innoveren en uniformeren’ waarbij kaders en richtlijnen worden ontwikkeld t.b.v. een uniforme uitrol. Tevens worden in kaart gebrachte pilotprojecten verder uitgewerkt t.b.v. start realisatie.</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4F89190" w14:textId="30DE34B8">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9DB79AB" w14:textId="49885DE1">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452A066" w14:textId="28453536">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F2688B2" w14:textId="039E3CF0">
            <w:r w:rsidRPr="3A3E4175">
              <w:rPr>
                <w:rFonts w:ascii="Verdana" w:hAnsi="Verdana" w:eastAsia="Verdana" w:cs="Verdana"/>
                <w:sz w:val="16"/>
                <w:szCs w:val="16"/>
              </w:rPr>
              <w:t xml:space="preserve"> </w:t>
            </w:r>
          </w:p>
        </w:tc>
      </w:tr>
      <w:tr w:rsidR="0057154F" w:rsidTr="7C493882" w14:paraId="5061D460"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3F40572" w14:textId="4D642585">
            <w:r w:rsidRPr="3A3E4175">
              <w:rPr>
                <w:rFonts w:ascii="Verdana" w:hAnsi="Verdana" w:eastAsia="Verdana" w:cs="Verdana"/>
                <w:sz w:val="16"/>
                <w:szCs w:val="16"/>
              </w:rPr>
              <w:lastRenderedPageBreak/>
              <w:t>Pilots scheepvaart en zeehavens:</w:t>
            </w:r>
          </w:p>
          <w:p w:rsidR="3A3E4175" w:rsidP="3A3E4175" w:rsidRDefault="3A3E4175" w14:paraId="6E4683AA" w14:textId="632C1D39">
            <w:r w:rsidRPr="3A3E4175">
              <w:rPr>
                <w:rFonts w:ascii="Verdana" w:hAnsi="Verdana" w:eastAsia="Verdana" w:cs="Verdana"/>
                <w:sz w:val="16"/>
                <w:szCs w:val="16"/>
              </w:rPr>
              <w:t xml:space="preserve"> </w:t>
            </w:r>
          </w:p>
          <w:p w:rsidR="3A3E4175" w:rsidP="3A3E4175" w:rsidRDefault="3A3E4175" w14:paraId="3BF4025C" w14:textId="7CFA3982">
            <w:r w:rsidRPr="3A3E4175">
              <w:rPr>
                <w:rFonts w:ascii="Verdana" w:hAnsi="Verdana" w:eastAsia="Verdana" w:cs="Verdana"/>
                <w:sz w:val="16"/>
                <w:szCs w:val="16"/>
              </w:rPr>
              <w:t>Varen op Waterstof (VOW)</w:t>
            </w:r>
          </w:p>
          <w:p w:rsidR="3A3E4175" w:rsidP="3A3E4175" w:rsidRDefault="3A3E4175" w14:paraId="6F203545" w14:textId="622C6860">
            <w:r w:rsidRPr="3A3E4175">
              <w:rPr>
                <w:rFonts w:ascii="Verdana" w:hAnsi="Verdana" w:eastAsia="Verdana" w:cs="Verdana"/>
                <w:sz w:val="16"/>
                <w:szCs w:val="16"/>
              </w:rPr>
              <w:t xml:space="preserve"> </w:t>
            </w:r>
          </w:p>
          <w:p w:rsidR="3A3E4175" w:rsidP="3A3E4175" w:rsidRDefault="3A3E4175" w14:paraId="1105031D" w14:textId="2FFEA385">
            <w:r w:rsidRPr="3A3E4175">
              <w:rPr>
                <w:rFonts w:ascii="Verdana" w:hAnsi="Verdana" w:eastAsia="Verdana" w:cs="Verdana"/>
                <w:sz w:val="16"/>
                <w:szCs w:val="16"/>
              </w:rPr>
              <w:t>Batterij elektrisch varen zeehavens (BEVZ)</w:t>
            </w:r>
          </w:p>
          <w:p w:rsidR="3A3E4175" w:rsidP="3A3E4175" w:rsidRDefault="3A3E4175" w14:paraId="5D1F61E4" w14:textId="62C7FA47">
            <w:r w:rsidRPr="3A3E4175">
              <w:rPr>
                <w:rFonts w:ascii="Verdana" w:hAnsi="Verdana" w:eastAsia="Verdana" w:cs="Verdana"/>
                <w:sz w:val="16"/>
                <w:szCs w:val="16"/>
              </w:rPr>
              <w:t xml:space="preserve"> </w:t>
            </w:r>
          </w:p>
          <w:p w:rsidR="3A3E4175" w:rsidP="3A3E4175" w:rsidRDefault="3A3E4175" w14:paraId="77D8B894" w14:textId="46370F7E">
            <w:r w:rsidRPr="3A3E4175">
              <w:rPr>
                <w:rFonts w:ascii="Verdana" w:hAnsi="Verdana" w:eastAsia="Verdana" w:cs="Verdana"/>
                <w:sz w:val="16"/>
                <w:szCs w:val="16"/>
              </w:rPr>
              <w:t>Subsidieregeling elektrisch havenmaterieel (SEH)</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41B736C" w14:textId="42B72692">
            <w:r w:rsidRPr="3A3E4175">
              <w:rPr>
                <w:rFonts w:ascii="Verdana" w:hAnsi="Verdana" w:eastAsia="Verdana" w:cs="Verdana"/>
                <w:sz w:val="16"/>
                <w:szCs w:val="16"/>
              </w:rPr>
              <w:t>Ontwerp</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2397920" w14:textId="6269184B">
            <w:r w:rsidRPr="3A3E4175">
              <w:rPr>
                <w:rFonts w:ascii="Verdana" w:hAnsi="Verdana" w:eastAsia="Verdana" w:cs="Verdana"/>
                <w:sz w:val="16"/>
                <w:szCs w:val="16"/>
              </w:rPr>
              <w:t xml:space="preserve"> </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6337574" w14:textId="4C722948">
            <w:pPr>
              <w:spacing w:after="160"/>
            </w:pPr>
            <w:r w:rsidRPr="3A3E4175">
              <w:rPr>
                <w:rFonts w:ascii="Verdana" w:hAnsi="Verdana" w:eastAsia="Verdana" w:cs="Verdana"/>
                <w:sz w:val="16"/>
                <w:szCs w:val="16"/>
              </w:rPr>
              <w:t>BEVZ: Internet consultatie afgerond</w:t>
            </w:r>
          </w:p>
          <w:p w:rsidR="3A3E4175" w:rsidP="3A3E4175" w:rsidRDefault="3A3E4175" w14:paraId="7EF1DAF8" w14:textId="43E25961">
            <w:pPr>
              <w:spacing w:after="160"/>
            </w:pPr>
            <w:r w:rsidRPr="3A3E4175">
              <w:rPr>
                <w:rFonts w:ascii="Verdana" w:hAnsi="Verdana" w:eastAsia="Verdana" w:cs="Verdana"/>
                <w:sz w:val="16"/>
                <w:szCs w:val="16"/>
              </w:rPr>
              <w:t>SEH: Sectorsessies afgerond, Regelingstekst op 80 en TAN-sessies afgerond.</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1E61B84" w14:textId="0ED71FFA">
            <w:pPr>
              <w:spacing w:after="160"/>
            </w:pPr>
            <w:r w:rsidRPr="3A3E4175">
              <w:rPr>
                <w:rFonts w:ascii="Verdana" w:hAnsi="Verdana" w:eastAsia="Verdana" w:cs="Verdana"/>
                <w:sz w:val="16"/>
                <w:szCs w:val="16"/>
              </w:rPr>
              <w:t xml:space="preserve">VOW: Sectorsessie </w:t>
            </w:r>
          </w:p>
          <w:p w:rsidR="3A3E4175" w:rsidP="3A3E4175" w:rsidRDefault="3A3E4175" w14:paraId="7E6B6493" w14:textId="0D5D8877">
            <w:pPr>
              <w:spacing w:after="160"/>
            </w:pPr>
            <w:r w:rsidRPr="3A3E4175">
              <w:rPr>
                <w:rFonts w:ascii="Verdana" w:hAnsi="Verdana" w:eastAsia="Verdana" w:cs="Verdana"/>
                <w:sz w:val="16"/>
                <w:szCs w:val="16"/>
              </w:rPr>
              <w:t>BEVZ: Regeling wordt gepubliceerd.</w:t>
            </w:r>
          </w:p>
          <w:p w:rsidR="3A3E4175" w:rsidP="3A3E4175" w:rsidRDefault="3A3E4175" w14:paraId="314B4D1C" w14:textId="1B3339C1">
            <w:pPr>
              <w:spacing w:after="160"/>
            </w:pPr>
            <w:r w:rsidRPr="3A3E4175">
              <w:rPr>
                <w:rFonts w:ascii="Verdana" w:hAnsi="Verdana" w:eastAsia="Verdana" w:cs="Verdana"/>
                <w:sz w:val="16"/>
                <w:szCs w:val="16"/>
              </w:rPr>
              <w:t>SEH: internetconsultatie</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980E111" w14:textId="70CB3CED">
            <w:pPr>
              <w:spacing w:after="160"/>
            </w:pPr>
            <w:r w:rsidRPr="3A3E4175">
              <w:rPr>
                <w:rFonts w:ascii="Verdana" w:hAnsi="Verdana" w:eastAsia="Verdana" w:cs="Verdana"/>
                <w:sz w:val="16"/>
                <w:szCs w:val="16"/>
              </w:rPr>
              <w:t xml:space="preserve">VOW: Internet consultatie afgerond en Regeling wordt gepubliceerd </w:t>
            </w:r>
          </w:p>
          <w:p w:rsidR="3A3E4175" w:rsidP="3A3E4175" w:rsidRDefault="3A3E4175" w14:paraId="1C7A5DD2" w14:textId="5DCA0B15">
            <w:pPr>
              <w:spacing w:after="160"/>
            </w:pPr>
            <w:r w:rsidRPr="3A3E4175">
              <w:rPr>
                <w:rFonts w:ascii="Verdana" w:hAnsi="Verdana" w:eastAsia="Verdana" w:cs="Verdana"/>
                <w:sz w:val="16"/>
                <w:szCs w:val="16"/>
              </w:rPr>
              <w:t>BEVZ: Openstelling en sluiting regeling.</w:t>
            </w:r>
          </w:p>
          <w:p w:rsidR="3A3E4175" w:rsidP="3A3E4175" w:rsidRDefault="3A3E4175" w14:paraId="6C216EDB" w14:textId="4F0C711B">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3C73940" w14:textId="21E5B8A8">
            <w:pPr>
              <w:spacing w:after="160"/>
            </w:pPr>
            <w:r w:rsidRPr="3A3E4175">
              <w:rPr>
                <w:rFonts w:ascii="Verdana" w:hAnsi="Verdana" w:eastAsia="Verdana" w:cs="Verdana"/>
                <w:sz w:val="16"/>
                <w:szCs w:val="16"/>
              </w:rPr>
              <w:t>VOW: Openstelling regeling.</w:t>
            </w:r>
          </w:p>
          <w:p w:rsidR="3A3E4175" w:rsidP="3A3E4175" w:rsidRDefault="3A3E4175" w14:paraId="5A2496BE" w14:textId="7B6C6904">
            <w:pPr>
              <w:spacing w:after="160"/>
            </w:pPr>
            <w:r w:rsidRPr="3A3E4175">
              <w:rPr>
                <w:rFonts w:ascii="Verdana" w:hAnsi="Verdana" w:eastAsia="Verdana" w:cs="Verdana"/>
                <w:sz w:val="16"/>
                <w:szCs w:val="16"/>
              </w:rPr>
              <w:t>BEVZ: Beoordeling eerste call en Subsidies beschikken.</w:t>
            </w:r>
          </w:p>
          <w:p w:rsidR="3A3E4175" w:rsidP="3A3E4175" w:rsidRDefault="3A3E4175" w14:paraId="36759865" w14:textId="0B63C33E">
            <w:pPr>
              <w:spacing w:after="160"/>
            </w:pPr>
            <w:r w:rsidRPr="3A3E4175">
              <w:rPr>
                <w:rFonts w:ascii="Verdana" w:hAnsi="Verdana" w:eastAsia="Verdana" w:cs="Verdana"/>
                <w:sz w:val="16"/>
                <w:szCs w:val="16"/>
              </w:rPr>
              <w:t>SEH:Publicatie regeling.</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521B119" w14:textId="3746641F">
            <w:pPr>
              <w:spacing w:after="160"/>
            </w:pPr>
            <w:r w:rsidRPr="3A3E4175">
              <w:rPr>
                <w:rFonts w:ascii="Verdana" w:hAnsi="Verdana" w:eastAsia="Verdana" w:cs="Verdana"/>
                <w:sz w:val="16"/>
                <w:szCs w:val="16"/>
              </w:rPr>
              <w:t>VWS: Subsidies beschikken.</w:t>
            </w:r>
          </w:p>
          <w:p w:rsidR="3A3E4175" w:rsidP="3A3E4175" w:rsidRDefault="3A3E4175" w14:paraId="5BF55CF3" w14:textId="2EC31403">
            <w:pPr>
              <w:spacing w:after="160"/>
            </w:pPr>
            <w:r w:rsidRPr="3A3E4175">
              <w:rPr>
                <w:rFonts w:ascii="Verdana" w:hAnsi="Verdana" w:eastAsia="Verdana" w:cs="Verdana"/>
                <w:sz w:val="16"/>
                <w:szCs w:val="16"/>
              </w:rPr>
              <w:t>SEH:Subsidie beschikkingen verlenen</w:t>
            </w:r>
          </w:p>
          <w:p w:rsidR="3A3E4175" w:rsidP="3A3E4175" w:rsidRDefault="3A3E4175" w14:paraId="15A8C0C8" w14:textId="2DF85EAF">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C28C9D6" w14:textId="6B0C71C0">
            <w:pPr>
              <w:spacing w:after="160"/>
            </w:pPr>
            <w:r w:rsidRPr="3A3E4175">
              <w:rPr>
                <w:rFonts w:ascii="Verdana" w:hAnsi="Verdana" w:eastAsia="Verdana" w:cs="Verdana"/>
                <w:sz w:val="16"/>
                <w:szCs w:val="16"/>
              </w:rPr>
              <w:t>VOW: Vaststellen subsidies.</w:t>
            </w:r>
          </w:p>
          <w:p w:rsidR="3A3E4175" w:rsidP="3A3E4175" w:rsidRDefault="3A3E4175" w14:paraId="24B1F3FE" w14:textId="0E4CC230">
            <w:pPr>
              <w:spacing w:after="160"/>
            </w:pPr>
            <w:r w:rsidRPr="3A3E4175">
              <w:rPr>
                <w:rFonts w:ascii="Verdana" w:hAnsi="Verdana" w:eastAsia="Verdana" w:cs="Verdana"/>
                <w:sz w:val="16"/>
                <w:szCs w:val="16"/>
              </w:rPr>
              <w:t>BEVZ: Opening 2</w:t>
            </w:r>
            <w:r w:rsidRPr="3A3E4175">
              <w:rPr>
                <w:rFonts w:ascii="Verdana" w:hAnsi="Verdana" w:eastAsia="Verdana" w:cs="Verdana"/>
                <w:sz w:val="16"/>
                <w:szCs w:val="16"/>
                <w:vertAlign w:val="superscript"/>
              </w:rPr>
              <w:t>e</w:t>
            </w:r>
            <w:r w:rsidRPr="3A3E4175">
              <w:rPr>
                <w:rFonts w:ascii="Verdana" w:hAnsi="Verdana" w:eastAsia="Verdana" w:cs="Verdana"/>
                <w:sz w:val="16"/>
                <w:szCs w:val="16"/>
              </w:rPr>
              <w:t xml:space="preserve"> call en Vaststellen subsidies</w:t>
            </w:r>
          </w:p>
          <w:p w:rsidR="3A3E4175" w:rsidP="3A3E4175" w:rsidRDefault="3A3E4175" w14:paraId="61B0FCD8" w14:textId="1584B066">
            <w:pPr>
              <w:spacing w:after="160"/>
            </w:pPr>
            <w:r w:rsidRPr="3A3E4175">
              <w:rPr>
                <w:rFonts w:ascii="Verdana" w:hAnsi="Verdana" w:eastAsia="Verdana" w:cs="Verdana"/>
                <w:sz w:val="16"/>
                <w:szCs w:val="16"/>
              </w:rPr>
              <w:t>SEH: Subsidies vaststellen</w:t>
            </w:r>
          </w:p>
        </w:tc>
      </w:tr>
      <w:tr w:rsidR="0057154F" w:rsidTr="7C493882" w14:paraId="00A55EA0"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A4D7321" w14:textId="07BF2353">
            <w:r w:rsidRPr="3A3E4175">
              <w:rPr>
                <w:rFonts w:ascii="Verdana" w:hAnsi="Verdana" w:eastAsia="Verdana" w:cs="Verdana"/>
                <w:sz w:val="16"/>
                <w:szCs w:val="16"/>
              </w:rPr>
              <w:t>Walstroom zeevaart</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24901EB" w14:textId="36B0DA45">
            <w:r w:rsidRPr="3A3E4175">
              <w:rPr>
                <w:rFonts w:ascii="Verdana" w:hAnsi="Verdana" w:eastAsia="Verdana" w:cs="Verdana"/>
                <w:sz w:val="16"/>
                <w:szCs w:val="16"/>
              </w:rPr>
              <w:t>Uitvoering</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6415676" w14:textId="23F0E062">
            <w:r w:rsidRPr="3A3E4175">
              <w:rPr>
                <w:rFonts w:ascii="Verdana" w:hAnsi="Verdana" w:eastAsia="Verdana" w:cs="Verdana"/>
                <w:sz w:val="16"/>
                <w:szCs w:val="16"/>
              </w:rPr>
              <w:t>Ontvangen subsidie uit de tender 2025.</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1107F53" w14:textId="20DD35AE">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E60AC4C" w14:textId="20B28D24">
            <w:r w:rsidRPr="3A3E4175">
              <w:rPr>
                <w:rFonts w:ascii="Verdana" w:hAnsi="Verdana" w:eastAsia="Verdana" w:cs="Verdana"/>
                <w:sz w:val="16"/>
                <w:szCs w:val="16"/>
              </w:rPr>
              <w:t>In juni opent de tender 2026.</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988B2A0" w14:textId="21B236F5">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436DED6" w14:textId="068DD8D3">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6BC8CF4" w14:textId="70086F59">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19380D5" w14:textId="081A68C1">
            <w:r w:rsidRPr="3A3E4175">
              <w:rPr>
                <w:rFonts w:ascii="Verdana" w:hAnsi="Verdana" w:eastAsia="Verdana" w:cs="Verdana"/>
                <w:sz w:val="16"/>
                <w:szCs w:val="16"/>
              </w:rPr>
              <w:t>Opening tender 2027 (laatste)</w:t>
            </w:r>
          </w:p>
        </w:tc>
      </w:tr>
      <w:tr w:rsidR="3A3E4175" w:rsidTr="7C493882" w14:paraId="1571313A"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47D4F912" w14:textId="3AA4CBD6">
            <w:r w:rsidRPr="3A3E4175">
              <w:rPr>
                <w:rFonts w:ascii="Verdana" w:hAnsi="Verdana" w:eastAsia="Verdana" w:cs="Verdana"/>
                <w:b/>
                <w:bCs/>
                <w:color w:val="000000" w:themeColor="text1"/>
                <w:sz w:val="16"/>
                <w:szCs w:val="16"/>
              </w:rPr>
              <w:t>Bouw</w:t>
            </w:r>
          </w:p>
        </w:tc>
      </w:tr>
      <w:tr w:rsidR="00D603C3" w:rsidTr="7C493882" w14:paraId="4774F85F"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3F770967" w14:textId="23E9EE41">
            <w:r w:rsidRPr="3A3E4175">
              <w:rPr>
                <w:rFonts w:ascii="Verdana" w:hAnsi="Verdana" w:eastAsia="Verdana" w:cs="Verdana"/>
                <w:color w:val="000000" w:themeColor="text1"/>
                <w:sz w:val="16"/>
                <w:szCs w:val="16"/>
              </w:rPr>
              <w:t>Pilots verduurzaming bouw</w:t>
            </w:r>
          </w:p>
        </w:tc>
        <w:tc>
          <w:tcPr>
            <w:tcW w:w="7849" w:type="dxa"/>
            <w:gridSpan w:val="8"/>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7D79AC05" w14:textId="36BD3935">
            <w:r w:rsidRPr="3A3E4175">
              <w:rPr>
                <w:rFonts w:ascii="Verdana" w:hAnsi="Verdana" w:eastAsia="Verdana" w:cs="Verdana"/>
                <w:color w:val="000000" w:themeColor="text1"/>
                <w:sz w:val="16"/>
                <w:szCs w:val="16"/>
              </w:rPr>
              <w:t>Afgerond</w:t>
            </w:r>
          </w:p>
        </w:tc>
      </w:tr>
      <w:tr w:rsidR="0057154F" w:rsidTr="7C493882" w14:paraId="47880ACD"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268A6C28" w14:textId="56EEAB25">
            <w:r w:rsidRPr="3A3E4175">
              <w:rPr>
                <w:rFonts w:ascii="Verdana" w:hAnsi="Verdana" w:eastAsia="Verdana" w:cs="Verdana"/>
                <w:color w:val="000000" w:themeColor="text1"/>
                <w:sz w:val="16"/>
                <w:szCs w:val="16"/>
              </w:rPr>
              <w:t>Schoon en Emissieloos Bouwen</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0EC4E7B9" w14:textId="3776C436">
            <w:r w:rsidRPr="3A3E4175">
              <w:rPr>
                <w:rFonts w:ascii="Verdana" w:hAnsi="Verdana" w:eastAsia="Verdana" w:cs="Verdana"/>
                <w:color w:val="000000" w:themeColor="text1"/>
                <w:sz w:val="16"/>
                <w:szCs w:val="16"/>
              </w:rPr>
              <w:t>Uitvoering</w:t>
            </w:r>
          </w:p>
        </w:tc>
        <w:tc>
          <w:tcPr>
            <w:tcW w:w="912"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566A604E" w14:textId="70501533">
            <w:pPr>
              <w:spacing w:after="160"/>
            </w:pPr>
            <w:r w:rsidRPr="3A3E4175">
              <w:rPr>
                <w:rFonts w:ascii="Verdana" w:hAnsi="Verdana" w:eastAsia="Verdana" w:cs="Verdana"/>
                <w:color w:val="000000" w:themeColor="text1"/>
                <w:sz w:val="16"/>
                <w:szCs w:val="16"/>
              </w:rPr>
              <w:t>Afgeronde eerste evaluatie SEB</w:t>
            </w:r>
          </w:p>
        </w:tc>
        <w:tc>
          <w:tcPr>
            <w:tcW w:w="1189"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5F468BCD" w14:textId="55B8F64B">
            <w:r w:rsidRPr="3A3E4175">
              <w:rPr>
                <w:rFonts w:ascii="Verdana" w:hAnsi="Verdana" w:eastAsia="Verdana" w:cs="Verdana"/>
                <w:color w:val="000000" w:themeColor="text1"/>
                <w:sz w:val="16"/>
                <w:szCs w:val="16"/>
              </w:rPr>
              <w:t>Opening Subsidie SEB en SPUK SEB.</w:t>
            </w:r>
          </w:p>
        </w:tc>
        <w:tc>
          <w:tcPr>
            <w:tcW w:w="959"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60BFD4CF" w14:textId="594AAD42">
            <w:r w:rsidRPr="3A3E4175">
              <w:rPr>
                <w:rFonts w:ascii="Verdana" w:hAnsi="Verdana" w:eastAsia="Verdana" w:cs="Verdana"/>
                <w:sz w:val="16"/>
                <w:szCs w:val="16"/>
              </w:rPr>
              <w:t xml:space="preserve"> </w:t>
            </w:r>
          </w:p>
        </w:tc>
        <w:tc>
          <w:tcPr>
            <w:tcW w:w="885"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50FFB5B7" w14:textId="23729CF4">
            <w:r w:rsidRPr="3A3E4175">
              <w:rPr>
                <w:rFonts w:ascii="Verdana" w:hAnsi="Verdana" w:eastAsia="Verdana" w:cs="Verdana"/>
                <w:sz w:val="16"/>
                <w:szCs w:val="16"/>
              </w:rPr>
              <w:t xml:space="preserve"> </w:t>
            </w:r>
          </w:p>
        </w:tc>
        <w:tc>
          <w:tcPr>
            <w:tcW w:w="963"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0E744FA8" w14:textId="0320253A">
            <w:r w:rsidRPr="3A3E4175">
              <w:rPr>
                <w:rFonts w:ascii="Verdana" w:hAnsi="Verdana" w:eastAsia="Verdana" w:cs="Verdana"/>
                <w:sz w:val="16"/>
                <w:szCs w:val="16"/>
              </w:rPr>
              <w:t xml:space="preserve"> </w:t>
            </w:r>
          </w:p>
        </w:tc>
        <w:tc>
          <w:tcPr>
            <w:tcW w:w="952"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51A21CB7" w14:textId="0EF6236D">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3A3E4175" w:rsidP="3A3E4175" w:rsidRDefault="3A3E4175" w14:paraId="09522263" w14:textId="3CABA1D3">
            <w:r w:rsidRPr="3A3E4175">
              <w:rPr>
                <w:rFonts w:ascii="Verdana" w:hAnsi="Verdana" w:eastAsia="Verdana" w:cs="Verdana"/>
                <w:sz w:val="16"/>
                <w:szCs w:val="16"/>
              </w:rPr>
              <w:t xml:space="preserve"> </w:t>
            </w:r>
          </w:p>
        </w:tc>
      </w:tr>
      <w:tr w:rsidR="3A3E4175" w:rsidTr="7C493882" w14:paraId="76753713"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71858286" w14:textId="5882C566">
            <w:r w:rsidRPr="3A3E4175">
              <w:rPr>
                <w:rFonts w:ascii="Verdana" w:hAnsi="Verdana" w:eastAsia="Verdana" w:cs="Verdana"/>
                <w:b/>
                <w:bCs/>
                <w:color w:val="000000" w:themeColor="text1"/>
                <w:sz w:val="16"/>
                <w:szCs w:val="16"/>
              </w:rPr>
              <w:t>Industrie</w:t>
            </w:r>
          </w:p>
        </w:tc>
      </w:tr>
      <w:tr w:rsidR="0057154F" w:rsidTr="7C493882" w14:paraId="122A4F3E"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2856CD5" w14:textId="777176E6">
            <w:r w:rsidRPr="3A3E4175">
              <w:rPr>
                <w:rFonts w:ascii="Verdana" w:hAnsi="Verdana" w:eastAsia="Verdana" w:cs="Verdana"/>
                <w:sz w:val="16"/>
                <w:szCs w:val="16"/>
              </w:rPr>
              <w:t>Aanpak piekbelasters industrie</w:t>
            </w:r>
          </w:p>
        </w:tc>
        <w:tc>
          <w:tcPr>
            <w:tcW w:w="94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CC50C02" w14:textId="63F21B79">
            <w:r w:rsidRPr="3A3E4175">
              <w:rPr>
                <w:rFonts w:ascii="Verdana" w:hAnsi="Verdana" w:eastAsia="Verdana" w:cs="Verdana"/>
                <w:sz w:val="16"/>
                <w:szCs w:val="16"/>
              </w:rPr>
              <w:t>Ontwerp</w:t>
            </w:r>
          </w:p>
        </w:tc>
        <w:tc>
          <w:tcPr>
            <w:tcW w:w="91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A31DB2A" w14:textId="5D11BD10">
            <w:r w:rsidRPr="3A3E4175">
              <w:rPr>
                <w:rFonts w:ascii="Verdana" w:hAnsi="Verdana" w:eastAsia="Verdana" w:cs="Verdana"/>
                <w:sz w:val="16"/>
                <w:szCs w:val="16"/>
              </w:rPr>
              <w:t>Ontwikkeling bestedingsplan regeling “beperking ammoniakemissie industrie (BAI)”</w:t>
            </w:r>
          </w:p>
        </w:tc>
        <w:tc>
          <w:tcPr>
            <w:tcW w:w="118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F247E38" w14:textId="1E517524">
            <w:r w:rsidRPr="3A3E4175">
              <w:rPr>
                <w:rFonts w:ascii="Verdana" w:hAnsi="Verdana" w:eastAsia="Verdana" w:cs="Verdana"/>
                <w:sz w:val="16"/>
                <w:szCs w:val="16"/>
              </w:rPr>
              <w:t>Reservering van €18 mln. in VJB2026 voor maatwerksubsidie Cosun voor ammoniak reductieproject.</w:t>
            </w:r>
          </w:p>
        </w:tc>
        <w:tc>
          <w:tcPr>
            <w:tcW w:w="95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8F02496" w14:textId="0446CD99">
            <w:r w:rsidRPr="3A3E4175">
              <w:rPr>
                <w:rFonts w:ascii="Verdana" w:hAnsi="Verdana" w:eastAsia="Verdana" w:cs="Verdana"/>
                <w:sz w:val="16"/>
                <w:szCs w:val="16"/>
              </w:rPr>
              <w:t>Besluitvorming middelen coalitieakkoord mobiliteit en industrie.</w:t>
            </w:r>
          </w:p>
        </w:tc>
        <w:tc>
          <w:tcPr>
            <w:tcW w:w="8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7910DFC" w14:textId="315133FE">
            <w:r w:rsidRPr="3A3E4175">
              <w:rPr>
                <w:rFonts w:ascii="Verdana" w:hAnsi="Verdana" w:eastAsia="Verdana" w:cs="Verdana"/>
                <w:sz w:val="16"/>
                <w:szCs w:val="16"/>
              </w:rPr>
              <w:t>Uitvoeren maatwerksubsidie Cosun voor ammoniak reductieproject.</w:t>
            </w:r>
          </w:p>
        </w:tc>
        <w:tc>
          <w:tcPr>
            <w:tcW w:w="96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B187A4B" w14:textId="2EA2E305">
            <w:r w:rsidRPr="3A3E4175">
              <w:rPr>
                <w:rFonts w:ascii="Verdana" w:hAnsi="Verdana" w:eastAsia="Verdana" w:cs="Verdana"/>
                <w:sz w:val="16"/>
                <w:szCs w:val="16"/>
              </w:rPr>
              <w:t xml:space="preserve"> </w:t>
            </w:r>
          </w:p>
        </w:tc>
        <w:tc>
          <w:tcPr>
            <w:tcW w:w="952"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560A6A4" w14:textId="0DE66594">
            <w:r w:rsidRPr="3A3E4175">
              <w:rPr>
                <w:rFonts w:ascii="Verdana" w:hAnsi="Verdana" w:eastAsia="Verdana" w:cs="Verdana"/>
                <w:sz w:val="16"/>
                <w:szCs w:val="16"/>
              </w:rPr>
              <w:t xml:space="preserve"> </w:t>
            </w:r>
          </w:p>
        </w:tc>
        <w:tc>
          <w:tcPr>
            <w:tcW w:w="1046"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44414C0" w14:textId="109D3F92">
            <w:r w:rsidRPr="3A3E4175">
              <w:rPr>
                <w:rFonts w:ascii="Verdana" w:hAnsi="Verdana" w:eastAsia="Verdana" w:cs="Verdana"/>
                <w:sz w:val="16"/>
                <w:szCs w:val="16"/>
              </w:rPr>
              <w:t xml:space="preserve"> </w:t>
            </w:r>
          </w:p>
        </w:tc>
      </w:tr>
      <w:tr w:rsidR="0057154F" w:rsidTr="7C493882" w14:paraId="41FC1B33"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2C47500" w14:textId="4D526B81">
            <w:r w:rsidRPr="3A3E4175">
              <w:rPr>
                <w:rFonts w:ascii="Verdana" w:hAnsi="Verdana" w:eastAsia="Verdana" w:cs="Verdana"/>
                <w:sz w:val="16"/>
                <w:szCs w:val="16"/>
              </w:rPr>
              <w:t xml:space="preserve"> </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27608F6" w14:textId="66E0A4C3">
            <w:r w:rsidRPr="3A3E4175">
              <w:rPr>
                <w:rFonts w:ascii="Verdana" w:hAnsi="Verdana" w:eastAsia="Verdana" w:cs="Verdana"/>
                <w:sz w:val="16"/>
                <w:szCs w:val="16"/>
              </w:rPr>
              <w:t xml:space="preserve"> </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396ED63" w14:textId="6A176371">
            <w:r w:rsidRPr="3A3E4175">
              <w:rPr>
                <w:rFonts w:ascii="Verdana" w:hAnsi="Verdana" w:eastAsia="Verdana" w:cs="Verdana"/>
                <w:sz w:val="16"/>
                <w:szCs w:val="16"/>
              </w:rPr>
              <w:t>BAIP subsidiemodule ammoniak</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BCDF043" w14:textId="19B481D7">
            <w:r w:rsidRPr="3A3E4175">
              <w:rPr>
                <w:rFonts w:ascii="Verdana" w:hAnsi="Verdana" w:eastAsia="Verdana" w:cs="Verdana"/>
                <w:sz w:val="16"/>
                <w:szCs w:val="16"/>
              </w:rPr>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533D63F9" w14:textId="210714B5">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89B08B8" w14:textId="1D8A4600">
            <w:r w:rsidRPr="3A3E4175">
              <w:rPr>
                <w:rFonts w:ascii="Verdana" w:hAnsi="Verdana" w:eastAsia="Verdana" w:cs="Verdana"/>
                <w:sz w:val="16"/>
                <w:szCs w:val="16"/>
              </w:rPr>
              <w:t xml:space="preserve"> </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612310E" w14:textId="46024C86">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42BFF29" w14:textId="3071C1DF">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F7189E9" w14:textId="704B27E0">
            <w:r w:rsidRPr="3A3E4175">
              <w:rPr>
                <w:rFonts w:ascii="Verdana" w:hAnsi="Verdana" w:eastAsia="Verdana" w:cs="Verdana"/>
                <w:sz w:val="16"/>
                <w:szCs w:val="16"/>
              </w:rPr>
              <w:t>(eind) vaststelling subsidiebeschikking</w:t>
            </w:r>
          </w:p>
        </w:tc>
      </w:tr>
      <w:tr w:rsidR="0057154F" w:rsidTr="7C493882" w14:paraId="56EB02B2"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646F35C1" w14:textId="587CFB7D">
            <w:r w:rsidRPr="3A3E4175">
              <w:rPr>
                <w:rFonts w:ascii="Verdana" w:hAnsi="Verdana" w:eastAsia="Verdana" w:cs="Verdana"/>
                <w:sz w:val="16"/>
                <w:szCs w:val="16"/>
              </w:rPr>
              <w:t xml:space="preserve"> </w:t>
            </w:r>
          </w:p>
        </w:tc>
        <w:tc>
          <w:tcPr>
            <w:tcW w:w="9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408A6D1" w14:textId="065CDD4A">
            <w:r w:rsidRPr="3A3E4175">
              <w:rPr>
                <w:rFonts w:ascii="Verdana" w:hAnsi="Verdana" w:eastAsia="Verdana" w:cs="Verdana"/>
                <w:sz w:val="16"/>
                <w:szCs w:val="16"/>
              </w:rPr>
              <w:t xml:space="preserve"> </w:t>
            </w:r>
          </w:p>
        </w:tc>
        <w:tc>
          <w:tcPr>
            <w:tcW w:w="9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2B312F6" w14:textId="1FCB7733">
            <w:r w:rsidRPr="3A3E4175">
              <w:rPr>
                <w:rFonts w:ascii="Verdana" w:hAnsi="Verdana" w:eastAsia="Verdana" w:cs="Verdana"/>
                <w:sz w:val="16"/>
                <w:szCs w:val="16"/>
              </w:rPr>
              <w:t xml:space="preserve">Maatwerkafpraken met Rockwool en Yara voor reductie </w:t>
            </w:r>
            <w:r w:rsidRPr="3A3E4175">
              <w:rPr>
                <w:rFonts w:ascii="Verdana" w:hAnsi="Verdana" w:eastAsia="Verdana" w:cs="Verdana"/>
                <w:sz w:val="16"/>
                <w:szCs w:val="16"/>
              </w:rPr>
              <w:lastRenderedPageBreak/>
              <w:t>ammoniak emissie</w:t>
            </w:r>
          </w:p>
        </w:tc>
        <w:tc>
          <w:tcPr>
            <w:tcW w:w="1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D631043" w14:textId="757E064D">
            <w:r w:rsidRPr="3A3E4175">
              <w:rPr>
                <w:rFonts w:ascii="Verdana" w:hAnsi="Verdana" w:eastAsia="Verdana" w:cs="Verdana"/>
                <w:sz w:val="16"/>
                <w:szCs w:val="16"/>
              </w:rPr>
              <w:lastRenderedPageBreak/>
              <w:t xml:space="preserve"> </w:t>
            </w:r>
          </w:p>
        </w:tc>
        <w:tc>
          <w:tcPr>
            <w:tcW w:w="9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BDAD87C" w14:textId="34EA9CB3">
            <w:r w:rsidRPr="3A3E4175">
              <w:rPr>
                <w:rFonts w:ascii="Verdana" w:hAnsi="Verdana" w:eastAsia="Verdana" w:cs="Verdana"/>
                <w:sz w:val="16"/>
                <w:szCs w:val="16"/>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3AD2995" w14:textId="417EC831">
            <w:r w:rsidRPr="3A3E4175">
              <w:rPr>
                <w:rFonts w:ascii="Verdana" w:hAnsi="Verdana" w:eastAsia="Verdana" w:cs="Verdana"/>
                <w:sz w:val="16"/>
                <w:szCs w:val="16"/>
              </w:rPr>
              <w:t>(eind)Vaststelling Yara</w:t>
            </w:r>
          </w:p>
        </w:tc>
        <w:tc>
          <w:tcPr>
            <w:tcW w:w="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4FC0768" w14:textId="1A55D34C">
            <w:r w:rsidRPr="3A3E4175">
              <w:rPr>
                <w:rFonts w:ascii="Verdana" w:hAnsi="Verdana" w:eastAsia="Verdana" w:cs="Verdana"/>
                <w:sz w:val="16"/>
                <w:szCs w:val="16"/>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D2FC664" w14:textId="38F20D57">
            <w:r w:rsidRPr="3A3E4175">
              <w:rPr>
                <w:rFonts w:ascii="Verdana" w:hAnsi="Verdana" w:eastAsia="Verdana" w:cs="Verdana"/>
                <w:sz w:val="16"/>
                <w:szCs w:val="16"/>
              </w:rPr>
              <w:t xml:space="preserve"> </w:t>
            </w:r>
          </w:p>
        </w:tc>
        <w:tc>
          <w:tcPr>
            <w:tcW w:w="1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3A916F77" w14:textId="5CFC691F">
            <w:r w:rsidRPr="3A3E4175">
              <w:rPr>
                <w:rFonts w:ascii="Verdana" w:hAnsi="Verdana" w:eastAsia="Verdana" w:cs="Verdana"/>
                <w:sz w:val="16"/>
                <w:szCs w:val="16"/>
              </w:rPr>
              <w:t>(eindvaststelling</w:t>
            </w:r>
          </w:p>
          <w:p w:rsidR="3A3E4175" w:rsidP="3A3E4175" w:rsidRDefault="3A3E4175" w14:paraId="23BE574C" w14:textId="1E780A68">
            <w:r w:rsidRPr="3A3E4175">
              <w:rPr>
                <w:rFonts w:ascii="Verdana" w:hAnsi="Verdana" w:eastAsia="Verdana" w:cs="Verdana"/>
                <w:sz w:val="16"/>
                <w:szCs w:val="16"/>
              </w:rPr>
              <w:t>Yara (2) en Rockwool</w:t>
            </w:r>
          </w:p>
        </w:tc>
      </w:tr>
      <w:tr w:rsidR="00D603C3" w:rsidTr="7C493882" w14:paraId="70219F2E"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E39CFB7" w14:textId="3E163BEA">
            <w:r w:rsidRPr="3A3E4175">
              <w:rPr>
                <w:rFonts w:ascii="Verdana" w:hAnsi="Verdana" w:eastAsia="Verdana" w:cs="Verdana"/>
                <w:sz w:val="16"/>
                <w:szCs w:val="16"/>
              </w:rPr>
              <w:t>Effect subsidiestop ISDE</w:t>
            </w:r>
          </w:p>
        </w:tc>
        <w:tc>
          <w:tcPr>
            <w:tcW w:w="7849"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DBCFFF1" w14:textId="381CD9AA">
            <w:r w:rsidRPr="3A3E4175">
              <w:rPr>
                <w:rFonts w:ascii="Verdana" w:hAnsi="Verdana" w:eastAsia="Verdana" w:cs="Verdana"/>
                <w:sz w:val="16"/>
                <w:szCs w:val="16"/>
              </w:rPr>
              <w:t>Afgerond</w:t>
            </w:r>
          </w:p>
        </w:tc>
      </w:tr>
      <w:tr w:rsidR="00D603C3" w:rsidTr="7C493882" w14:paraId="593A6D80"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41DB7EE9" w14:textId="410FF2FC">
            <w:r w:rsidRPr="3A3E4175">
              <w:rPr>
                <w:rFonts w:ascii="Verdana" w:hAnsi="Verdana" w:eastAsia="Verdana" w:cs="Verdana"/>
                <w:sz w:val="16"/>
                <w:szCs w:val="16"/>
              </w:rPr>
              <w:t>VEKI regeling</w:t>
            </w:r>
          </w:p>
        </w:tc>
        <w:tc>
          <w:tcPr>
            <w:tcW w:w="7849"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22A7ECC8" w14:textId="2F40FC01">
            <w:r w:rsidRPr="3A3E4175">
              <w:rPr>
                <w:rFonts w:ascii="Verdana" w:hAnsi="Verdana" w:eastAsia="Verdana" w:cs="Verdana"/>
                <w:sz w:val="16"/>
                <w:szCs w:val="16"/>
              </w:rPr>
              <w:t>Afgerond</w:t>
            </w:r>
          </w:p>
        </w:tc>
      </w:tr>
      <w:tr w:rsidR="00D603C3" w:rsidTr="7C493882" w14:paraId="6EB1E310"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24CE7EA" w14:textId="34B54A5F">
            <w:r w:rsidRPr="3A3E4175">
              <w:rPr>
                <w:rFonts w:ascii="Verdana" w:hAnsi="Verdana" w:eastAsia="Verdana" w:cs="Verdana"/>
                <w:sz w:val="16"/>
                <w:szCs w:val="16"/>
              </w:rPr>
              <w:t>BBT</w:t>
            </w:r>
          </w:p>
        </w:tc>
        <w:tc>
          <w:tcPr>
            <w:tcW w:w="7849"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75800A3C" w14:textId="4D9986F5">
            <w:r w:rsidRPr="3A3E4175">
              <w:rPr>
                <w:rFonts w:ascii="Verdana" w:hAnsi="Verdana" w:eastAsia="Verdana" w:cs="Verdana"/>
                <w:sz w:val="16"/>
                <w:szCs w:val="16"/>
              </w:rPr>
              <w:t>Afgerond</w:t>
            </w:r>
          </w:p>
        </w:tc>
      </w:tr>
      <w:tr w:rsidR="3A3E4175" w:rsidTr="7C493882" w14:paraId="7C939E39" w14:textId="77777777">
        <w:trPr>
          <w:trHeight w:val="300"/>
        </w:trPr>
        <w:tc>
          <w:tcPr>
            <w:tcW w:w="906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A3E4175" w:rsidP="3A3E4175" w:rsidRDefault="3A3E4175" w14:paraId="3DD8E16E" w14:textId="687660F3">
            <w:r w:rsidRPr="3A3E4175">
              <w:rPr>
                <w:rFonts w:ascii="Verdana" w:hAnsi="Verdana" w:eastAsia="Verdana" w:cs="Verdana"/>
                <w:b/>
                <w:bCs/>
                <w:color w:val="000000" w:themeColor="text1"/>
                <w:sz w:val="16"/>
                <w:szCs w:val="16"/>
              </w:rPr>
              <w:t>Overige maatregelen</w:t>
            </w:r>
          </w:p>
        </w:tc>
      </w:tr>
      <w:tr w:rsidR="00D603C3" w:rsidTr="7C493882" w14:paraId="1EEE1E9D" w14:textId="77777777">
        <w:trPr>
          <w:trHeight w:val="300"/>
        </w:trPr>
        <w:tc>
          <w:tcPr>
            <w:tcW w:w="12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013CBD93" w14:textId="23ECCAD6">
            <w:r w:rsidRPr="3A3E4175">
              <w:rPr>
                <w:rFonts w:ascii="Verdana" w:hAnsi="Verdana" w:eastAsia="Verdana" w:cs="Verdana"/>
                <w:sz w:val="16"/>
                <w:szCs w:val="16"/>
              </w:rPr>
              <w:t>RPAV</w:t>
            </w:r>
          </w:p>
        </w:tc>
        <w:tc>
          <w:tcPr>
            <w:tcW w:w="7849" w:type="dxa"/>
            <w:gridSpan w:val="8"/>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A3E4175" w:rsidP="3A3E4175" w:rsidRDefault="3A3E4175" w14:paraId="139BAF17" w14:textId="131D5157">
            <w:r w:rsidRPr="3A3E4175">
              <w:rPr>
                <w:rFonts w:ascii="Verdana" w:hAnsi="Verdana" w:eastAsia="Verdana" w:cs="Verdana"/>
                <w:sz w:val="16"/>
                <w:szCs w:val="16"/>
              </w:rPr>
              <w:t>Afgerond</w:t>
            </w:r>
          </w:p>
        </w:tc>
      </w:tr>
    </w:tbl>
    <w:p w:rsidR="0033380F" w:rsidP="3A3E4175" w:rsidRDefault="0033380F" w14:paraId="381188E7" w14:textId="77777777">
      <w:pPr>
        <w:spacing w:line="257" w:lineRule="auto"/>
        <w:sectPr w:rsidR="0033380F" w:rsidSect="0033380F">
          <w:pgSz w:w="16838" w:h="11906" w:orient="landscape"/>
          <w:pgMar w:top="1418" w:right="1418" w:bottom="1418" w:left="1418" w:header="709" w:footer="709" w:gutter="0"/>
          <w:cols w:space="708"/>
          <w:docGrid w:linePitch="360"/>
        </w:sectPr>
      </w:pPr>
    </w:p>
    <w:p w:rsidR="3A3E4175" w:rsidP="3A3E4175" w:rsidRDefault="3A3E4175" w14:paraId="68D1CE2D" w14:textId="3D6BAD77">
      <w:pPr>
        <w:spacing w:line="257" w:lineRule="auto"/>
      </w:pPr>
    </w:p>
    <w:p w:rsidR="08CE7D5C" w:rsidP="1F5EE2CA" w:rsidRDefault="2AA670F7" w14:paraId="2D36C897" w14:textId="070DCE95">
      <w:pPr>
        <w:pStyle w:val="Kop1"/>
        <w:spacing w:line="257" w:lineRule="auto"/>
        <w:rPr>
          <w:rFonts w:eastAsia="Verdana" w:cs="Verdana"/>
        </w:rPr>
      </w:pPr>
      <w:bookmarkStart w:name="_Toc786956795" w:id="3"/>
      <w:r w:rsidRPr="3C462CC1">
        <w:rPr>
          <w:rFonts w:eastAsia="Verdana" w:cs="Verdana"/>
        </w:rPr>
        <w:t>Voortgang</w:t>
      </w:r>
      <w:bookmarkEnd w:id="3"/>
    </w:p>
    <w:p w:rsidR="08CE7D5C" w:rsidP="3A3E4175" w:rsidRDefault="08CE7D5C" w14:paraId="7CE9ABCA" w14:textId="7C10BD1D">
      <w:pPr>
        <w:spacing w:line="257" w:lineRule="auto"/>
      </w:pPr>
      <w:r w:rsidRPr="3A3E4175">
        <w:rPr>
          <w:rFonts w:ascii="Verdana" w:hAnsi="Verdana" w:eastAsia="Verdana" w:cs="Verdana"/>
          <w:sz w:val="18"/>
          <w:szCs w:val="18"/>
        </w:rPr>
        <w:t>Hieronder volgt de voortgang van de pakketten en de maatregelen. In de mijlpalen wordt een overzicht gegeven van de besluitvormingsmomenten voor alle maatregelen. Maatregelen die afwijken ten opzichte</w:t>
      </w:r>
      <w:r w:rsidRPr="3A3E4175">
        <w:rPr>
          <w:rFonts w:ascii="Verdana" w:hAnsi="Verdana" w:eastAsia="Verdana" w:cs="Verdana"/>
          <w:color w:val="000000" w:themeColor="text1"/>
          <w:sz w:val="18"/>
          <w:szCs w:val="18"/>
        </w:rPr>
        <w:t xml:space="preserve"> van de vorige rapportage of belangrijke ontwikkelingen hebben meegemaakt zullen verder worden toegelicht. </w:t>
      </w:r>
    </w:p>
    <w:p w:rsidR="08CE7D5C" w:rsidP="3A3E4175" w:rsidRDefault="08CE7D5C" w14:paraId="502CF93E" w14:textId="49869264">
      <w:pPr>
        <w:spacing w:line="257" w:lineRule="auto"/>
      </w:pPr>
      <w:r w:rsidRPr="3A3E4175">
        <w:rPr>
          <w:rFonts w:ascii="Verdana" w:hAnsi="Verdana" w:eastAsia="Verdana" w:cs="Verdana"/>
          <w:i/>
          <w:iCs/>
          <w:color w:val="000000" w:themeColor="text1"/>
          <w:sz w:val="18"/>
          <w:szCs w:val="18"/>
          <w:u w:val="single"/>
        </w:rPr>
        <w:t>Algemene voortgang</w:t>
      </w:r>
    </w:p>
    <w:p w:rsidR="08CE7D5C" w:rsidP="3A3E4175" w:rsidRDefault="08CE7D5C" w14:paraId="210F18A2" w14:textId="624B8D58">
      <w:pPr>
        <w:spacing w:line="257" w:lineRule="auto"/>
      </w:pPr>
      <w:r w:rsidRPr="3A3E4175">
        <w:rPr>
          <w:rFonts w:ascii="Verdana" w:hAnsi="Verdana" w:eastAsia="Verdana" w:cs="Verdana"/>
          <w:i/>
          <w:iCs/>
          <w:color w:val="000000" w:themeColor="text1"/>
          <w:sz w:val="18"/>
          <w:szCs w:val="18"/>
        </w:rPr>
        <w:t>Ministeriële Taskforce L</w:t>
      </w:r>
      <w:r w:rsidRPr="3A3E4175">
        <w:rPr>
          <w:rFonts w:ascii="Verdana" w:hAnsi="Verdana" w:eastAsia="Verdana" w:cs="Verdana"/>
          <w:i/>
          <w:iCs/>
          <w:color w:val="333333"/>
          <w:sz w:val="18"/>
          <w:szCs w:val="18"/>
        </w:rPr>
        <w:t>andbouw, Natuur en Stikstof</w:t>
      </w:r>
    </w:p>
    <w:p w:rsidR="08CE7D5C" w:rsidP="3A3E4175" w:rsidRDefault="08CE7D5C" w14:paraId="7545C2E1" w14:textId="29143FC2">
      <w:r w:rsidRPr="3A3E4175">
        <w:rPr>
          <w:rFonts w:ascii="Verdana" w:hAnsi="Verdana" w:eastAsia="Verdana" w:cs="Verdana"/>
          <w:color w:val="333333"/>
          <w:sz w:val="18"/>
          <w:szCs w:val="18"/>
        </w:rPr>
        <w:t xml:space="preserve">De coördinerend minister van LVVN en de ministers van Financiën, I&amp;W, EZK, KGG en BZK en de staatssecretarissen van LVVN en KGG werken gezamenlijk aan een </w:t>
      </w:r>
      <w:r w:rsidRPr="3A3E4175" w:rsidR="0143781B">
        <w:rPr>
          <w:rFonts w:ascii="Verdana" w:hAnsi="Verdana" w:eastAsia="Verdana" w:cs="Verdana"/>
          <w:color w:val="333333"/>
          <w:sz w:val="18"/>
          <w:szCs w:val="18"/>
        </w:rPr>
        <w:t xml:space="preserve">aanpak voor voldoende en zekere stikstofreductie in de sectoren landbouw, mobiliteit en industrie, in combinatie met  aanvullende gebiedsgerichte emissiereductie en natuurverbetering gericht op alle drukfactoren zodat vergunningverlening stapsgewijs weer op gang komt en de natuur kan herstellen. </w:t>
      </w:r>
      <w:r w:rsidRPr="3A3E4175">
        <w:rPr>
          <w:rFonts w:ascii="Verdana" w:hAnsi="Verdana" w:eastAsia="Verdana" w:cs="Verdana"/>
          <w:color w:val="333333"/>
          <w:sz w:val="18"/>
          <w:szCs w:val="18"/>
        </w:rPr>
        <w:t>Het kabinet werkt aan een pakket generieke maatregelen om boeren duidelijkheid te geven en een vitale landbouwsector vorm te geven. Onderdeel daarvan is het behalen van de beoogde emissiereductie van ammoniak van 23% – 25% in 2030 en benodigde 42% – 46% reductie in 2035 ten opzichte van 2019. Voor de industrie zet het kabinet in op een reductie van ammoniakemissies van 50% in 2035, en voor de mobiliteit van 50% emissiereductie van stikstofoxiden in 2035, beide ten opzichte van 2019. De komende periode werkt het kabinet aan de verdere invulling van de inzet die nodig is om deze emissiedoelen te bereiken.</w:t>
      </w:r>
    </w:p>
    <w:p w:rsidR="666A3F54" w:rsidP="3A3E4175" w:rsidRDefault="666A3F54" w14:paraId="2472A772" w14:textId="75755E5C">
      <w:r w:rsidRPr="3A3E4175">
        <w:rPr>
          <w:rFonts w:ascii="Verdana" w:hAnsi="Verdana" w:eastAsia="Verdana" w:cs="Verdana"/>
          <w:i/>
          <w:iCs/>
          <w:color w:val="333333"/>
          <w:sz w:val="18"/>
          <w:szCs w:val="18"/>
        </w:rPr>
        <w:t>Ministeriële commissie Economie en Natuurherstel</w:t>
      </w:r>
    </w:p>
    <w:p w:rsidR="666A3F54" w:rsidP="3A3E4175" w:rsidRDefault="666A3F54" w14:paraId="7FD37BF2" w14:textId="608BA3B8">
      <w:r w:rsidRPr="3A3E4175">
        <w:rPr>
          <w:rFonts w:ascii="Verdana" w:hAnsi="Verdana" w:eastAsia="Verdana" w:cs="Verdana"/>
          <w:color w:val="333333"/>
          <w:sz w:val="18"/>
          <w:szCs w:val="18"/>
        </w:rPr>
        <w:t>De Ministeriële commissie Economie en Natuurherstel is afgerond. De maatregelen uit het startpakket zijn in ontwikkeling of in uitvoering.</w:t>
      </w:r>
    </w:p>
    <w:p w:rsidR="08CE7D5C" w:rsidP="3A3E4175" w:rsidRDefault="2AA670F7" w14:paraId="7C642ECC" w14:textId="70D67EFB">
      <w:r w:rsidRPr="7C493882">
        <w:rPr>
          <w:rFonts w:ascii="Verdana" w:hAnsi="Verdana" w:eastAsia="Verdana" w:cs="Verdana"/>
          <w:i/>
          <w:iCs/>
          <w:color w:val="333333"/>
          <w:sz w:val="18"/>
          <w:szCs w:val="18"/>
        </w:rPr>
        <w:t>Bronmaatregelen structurele aanpak</w:t>
      </w:r>
      <w:r w:rsidRPr="7C493882" w:rsidR="1A7F4A82">
        <w:rPr>
          <w:rFonts w:ascii="Verdana" w:hAnsi="Verdana" w:eastAsia="Verdana" w:cs="Verdana"/>
          <w:i/>
          <w:iCs/>
          <w:color w:val="333333"/>
          <w:sz w:val="18"/>
          <w:szCs w:val="18"/>
        </w:rPr>
        <w:t xml:space="preserve"> Rutte IV</w:t>
      </w:r>
    </w:p>
    <w:p w:rsidR="08CE7D5C" w:rsidP="3A3E4175" w:rsidRDefault="08CE7D5C" w14:paraId="158FF0A2" w14:textId="6DA70DB8">
      <w:r w:rsidRPr="3A3E4175">
        <w:rPr>
          <w:rFonts w:ascii="Verdana" w:hAnsi="Verdana" w:eastAsia="Verdana" w:cs="Verdana"/>
          <w:color w:val="333333"/>
          <w:sz w:val="18"/>
          <w:szCs w:val="18"/>
        </w:rPr>
        <w:t xml:space="preserve">De implementatie van het bronmaatregelenpakket, als onderdeel van de structurele aanpak voor het realiseren van de </w:t>
      </w:r>
      <w:r w:rsidRPr="3A3E4175" w:rsidR="31BBCCB6">
        <w:rPr>
          <w:rFonts w:ascii="Verdana" w:hAnsi="Verdana" w:eastAsia="Verdana" w:cs="Verdana"/>
          <w:color w:val="333333"/>
          <w:sz w:val="18"/>
          <w:szCs w:val="18"/>
        </w:rPr>
        <w:t xml:space="preserve">wettelijke </w:t>
      </w:r>
      <w:r w:rsidRPr="3A3E4175">
        <w:rPr>
          <w:rFonts w:ascii="Verdana" w:hAnsi="Verdana" w:eastAsia="Verdana" w:cs="Verdana"/>
          <w:color w:val="333333"/>
          <w:sz w:val="18"/>
          <w:szCs w:val="18"/>
        </w:rPr>
        <w:t>omgevingswaarden, is in volle gang. De meeste maatregelen zijn in uitvoering of afgerond. Op 12 maart 2026 heeft het consortium de tweejaarlijkse rapportage over de Monitoring en Evaluatie Stikstofreductie en Natuurverbetering gepubliceerd. Deze rapportage gaat over de voortgang van de stikstofbronmaatregelen en de te verwachte reductie effecten in 2030. De verwachting is dat de (voornamelijk) generieke maatregelen binnen en buiten het Psn in 2030 tot een stikstofreductie van 43-64 mol/ha/jaar zullen leiden. De bronmaatregelen hebben dus effect, maar de daling is onvoldoende om de stikstofdoelen uit de wet te realiseren.</w:t>
      </w:r>
    </w:p>
    <w:p w:rsidR="08CE7D5C" w:rsidP="3A3E4175" w:rsidRDefault="08CE7D5C" w14:paraId="5E16ECEE" w14:textId="12758013">
      <w:r w:rsidRPr="3A3E4175">
        <w:rPr>
          <w:rFonts w:ascii="Verdana" w:hAnsi="Verdana" w:eastAsia="Verdana" w:cs="Verdana"/>
          <w:i/>
          <w:iCs/>
          <w:sz w:val="18"/>
          <w:szCs w:val="18"/>
          <w:u w:val="single"/>
        </w:rPr>
        <w:t>Voortgang per maatregel</w:t>
      </w:r>
    </w:p>
    <w:p w:rsidR="08CE7D5C" w:rsidP="3A3E4175" w:rsidRDefault="08CE7D5C" w14:paraId="5EDBF664" w14:textId="263B3774">
      <w:pPr>
        <w:spacing w:line="257" w:lineRule="auto"/>
      </w:pPr>
      <w:r w:rsidRPr="3A3E4175">
        <w:rPr>
          <w:rFonts w:ascii="Verdana" w:hAnsi="Verdana" w:eastAsia="Verdana" w:cs="Verdana"/>
          <w:b/>
          <w:bCs/>
          <w:sz w:val="18"/>
          <w:szCs w:val="18"/>
        </w:rPr>
        <w:t>Landbouwmaatregelen</w:t>
      </w:r>
    </w:p>
    <w:p w:rsidR="08CE7D5C" w:rsidP="3A3E4175" w:rsidRDefault="08CE7D5C" w14:paraId="0221C41C" w14:textId="08677D3B">
      <w:pPr>
        <w:spacing w:line="257" w:lineRule="auto"/>
      </w:pPr>
      <w:r w:rsidRPr="3A3E4175">
        <w:rPr>
          <w:rFonts w:ascii="Verdana" w:hAnsi="Verdana" w:eastAsia="Verdana" w:cs="Verdana"/>
          <w:b/>
          <w:bCs/>
          <w:sz w:val="18"/>
          <w:szCs w:val="18"/>
        </w:rPr>
        <w:t>Maatregel gerichte aankoop en maatregel gerichte beëindiging</w:t>
      </w:r>
    </w:p>
    <w:p w:rsidR="08CE7D5C" w:rsidP="3A3E4175" w:rsidRDefault="08CE7D5C" w14:paraId="36FBA069" w14:textId="1CE2C23C">
      <w:pPr>
        <w:spacing w:line="257" w:lineRule="auto"/>
      </w:pPr>
      <w:r w:rsidRPr="3A3E4175">
        <w:rPr>
          <w:rFonts w:ascii="Verdana" w:hAnsi="Verdana" w:eastAsia="Verdana" w:cs="Verdana"/>
          <w:color w:val="000000" w:themeColor="text1"/>
          <w:sz w:val="18"/>
          <w:szCs w:val="18"/>
        </w:rPr>
        <w:t>De MGA-1 is in uitvoering en zit in afrondende fase. Van het beschikbare budget (€ 228 mln.) is €105 mln. besteed voor het sluiten van 50 veehouderijen.</w:t>
      </w:r>
    </w:p>
    <w:p w:rsidR="08CE7D5C" w:rsidP="3A3E4175" w:rsidRDefault="08CE7D5C" w14:paraId="49A0ED74" w14:textId="6886C410">
      <w:pPr>
        <w:spacing w:line="257" w:lineRule="auto"/>
      </w:pPr>
      <w:r w:rsidRPr="3A3E4175">
        <w:rPr>
          <w:rFonts w:ascii="Verdana" w:hAnsi="Verdana" w:eastAsia="Verdana" w:cs="Verdana"/>
          <w:color w:val="000000" w:themeColor="text1"/>
          <w:sz w:val="18"/>
          <w:szCs w:val="18"/>
        </w:rPr>
        <w:t xml:space="preserve">Voor de MGB is het totale budget €140 mln.  Na de eerste openstelling (€110 mln.) begin 2025 heeft de tweede openstelling (€30 mln.) voor provincies plaatsgevonden </w:t>
      </w:r>
      <w:r w:rsidRPr="3A3E4175">
        <w:rPr>
          <w:rFonts w:ascii="Verdana" w:hAnsi="Verdana" w:eastAsia="Verdana" w:cs="Verdana"/>
          <w:sz w:val="18"/>
          <w:szCs w:val="18"/>
        </w:rPr>
        <w:t>van 6 oktober 2025 tot en met 14 november 2025. Alle 12 provincies hebben daarmee het maximale bedrag aangevraagd en is als voorschot uitgekeerd (in totaal €140 mln.). Handreiking toestemmingverlening voor de resterende activiteit bij deelname aan verschillende beëindigingsregelingen is uitgebreid met toepassing binnen de MGB-regeling.</w:t>
      </w:r>
    </w:p>
    <w:p w:rsidR="08CE7D5C" w:rsidP="3A3E4175" w:rsidRDefault="08CE7D5C" w14:paraId="362F5259" w14:textId="73F02B9B">
      <w:pPr>
        <w:spacing w:line="257" w:lineRule="auto"/>
      </w:pPr>
      <w:r w:rsidRPr="3A3E4175">
        <w:rPr>
          <w:rFonts w:ascii="Verdana" w:hAnsi="Verdana" w:eastAsia="Verdana" w:cs="Verdana"/>
          <w:color w:val="000000" w:themeColor="text1"/>
          <w:sz w:val="18"/>
          <w:szCs w:val="18"/>
        </w:rPr>
        <w:t>Stand van zaken per provincie:</w:t>
      </w:r>
    </w:p>
    <w:p w:rsidR="08CE7D5C" w:rsidP="3A3E4175" w:rsidRDefault="08CE7D5C" w14:paraId="276073D2" w14:textId="7F835430">
      <w:pPr>
        <w:pStyle w:val="Lijstalinea"/>
        <w:numPr>
          <w:ilvl w:val="0"/>
          <w:numId w:val="2"/>
        </w:numPr>
        <w:spacing w:after="0" w:line="257" w:lineRule="auto"/>
        <w:rPr>
          <w:rFonts w:ascii="Verdana" w:hAnsi="Verdana" w:eastAsia="Verdana" w:cs="Verdana"/>
          <w:color w:val="000000" w:themeColor="text1"/>
          <w:sz w:val="18"/>
          <w:szCs w:val="18"/>
        </w:rPr>
      </w:pPr>
      <w:r w:rsidRPr="3A3E4175">
        <w:rPr>
          <w:rFonts w:ascii="Verdana" w:hAnsi="Verdana" w:eastAsia="Verdana" w:cs="Verdana"/>
          <w:color w:val="000000" w:themeColor="text1"/>
          <w:sz w:val="18"/>
          <w:szCs w:val="18"/>
        </w:rPr>
        <w:t>Drenthe: eerste openstelling gesloten</w:t>
      </w:r>
    </w:p>
    <w:p w:rsidR="08CE7D5C" w:rsidP="3A3E4175" w:rsidRDefault="08CE7D5C" w14:paraId="2257A357" w14:textId="584CACC6">
      <w:pPr>
        <w:pStyle w:val="Lijstalinea"/>
        <w:numPr>
          <w:ilvl w:val="0"/>
          <w:numId w:val="2"/>
        </w:numPr>
        <w:spacing w:after="0" w:line="257" w:lineRule="auto"/>
        <w:rPr>
          <w:rFonts w:ascii="Verdana" w:hAnsi="Verdana" w:eastAsia="Verdana" w:cs="Verdana"/>
          <w:color w:val="000000" w:themeColor="text1"/>
          <w:sz w:val="18"/>
          <w:szCs w:val="18"/>
        </w:rPr>
      </w:pPr>
      <w:r w:rsidRPr="3A3E4175">
        <w:rPr>
          <w:rFonts w:ascii="Verdana" w:hAnsi="Verdana" w:eastAsia="Verdana" w:cs="Verdana"/>
          <w:color w:val="000000" w:themeColor="text1"/>
          <w:sz w:val="18"/>
          <w:szCs w:val="18"/>
        </w:rPr>
        <w:t>Gelderland: open</w:t>
      </w:r>
    </w:p>
    <w:p w:rsidR="08CE7D5C" w:rsidP="3A3E4175" w:rsidRDefault="08CE7D5C" w14:paraId="7ADBF19C" w14:textId="3F873D3A">
      <w:pPr>
        <w:pStyle w:val="Lijstalinea"/>
        <w:numPr>
          <w:ilvl w:val="0"/>
          <w:numId w:val="2"/>
        </w:numPr>
        <w:spacing w:after="0" w:line="257" w:lineRule="auto"/>
        <w:rPr>
          <w:rFonts w:ascii="Verdana" w:hAnsi="Verdana" w:eastAsia="Verdana" w:cs="Verdana"/>
          <w:color w:val="000000" w:themeColor="text1"/>
          <w:sz w:val="18"/>
          <w:szCs w:val="18"/>
        </w:rPr>
      </w:pPr>
      <w:r w:rsidRPr="3A3E4175">
        <w:rPr>
          <w:rFonts w:ascii="Verdana" w:hAnsi="Verdana" w:eastAsia="Verdana" w:cs="Verdana"/>
          <w:color w:val="000000" w:themeColor="text1"/>
          <w:sz w:val="18"/>
          <w:szCs w:val="18"/>
        </w:rPr>
        <w:t>Limburg: eerste openstelling gesloten</w:t>
      </w:r>
    </w:p>
    <w:p w:rsidR="08CE7D5C" w:rsidP="3A3E4175" w:rsidRDefault="08CE7D5C" w14:paraId="7A1F53CA" w14:textId="05FEC3BC">
      <w:pPr>
        <w:pStyle w:val="Lijstalinea"/>
        <w:numPr>
          <w:ilvl w:val="0"/>
          <w:numId w:val="2"/>
        </w:numPr>
        <w:spacing w:after="0" w:line="257" w:lineRule="auto"/>
        <w:rPr>
          <w:rFonts w:ascii="Verdana" w:hAnsi="Verdana" w:eastAsia="Verdana" w:cs="Verdana"/>
          <w:color w:val="000000" w:themeColor="text1"/>
          <w:sz w:val="18"/>
          <w:szCs w:val="18"/>
        </w:rPr>
      </w:pPr>
      <w:r w:rsidRPr="3A3E4175">
        <w:rPr>
          <w:rFonts w:ascii="Verdana" w:hAnsi="Verdana" w:eastAsia="Verdana" w:cs="Verdana"/>
          <w:color w:val="000000" w:themeColor="text1"/>
          <w:sz w:val="18"/>
          <w:szCs w:val="18"/>
        </w:rPr>
        <w:lastRenderedPageBreak/>
        <w:t>Zuid-Holland: open van 19 januari 2026 t/m 1 april 2026</w:t>
      </w:r>
    </w:p>
    <w:p w:rsidR="08CE7D5C" w:rsidP="3A3E4175" w:rsidRDefault="08CE7D5C" w14:paraId="4B144244" w14:textId="7A80285A">
      <w:pPr>
        <w:pStyle w:val="Lijstalinea"/>
        <w:numPr>
          <w:ilvl w:val="0"/>
          <w:numId w:val="2"/>
        </w:numPr>
        <w:spacing w:after="0" w:line="257" w:lineRule="auto"/>
        <w:rPr>
          <w:rFonts w:ascii="Verdana" w:hAnsi="Verdana" w:eastAsia="Verdana" w:cs="Verdana"/>
          <w:color w:val="000000" w:themeColor="text1"/>
          <w:sz w:val="18"/>
          <w:szCs w:val="18"/>
        </w:rPr>
      </w:pPr>
      <w:r w:rsidRPr="3A3E4175">
        <w:rPr>
          <w:rFonts w:ascii="Verdana" w:hAnsi="Verdana" w:eastAsia="Verdana" w:cs="Verdana"/>
          <w:color w:val="000000" w:themeColor="text1"/>
          <w:sz w:val="18"/>
          <w:szCs w:val="18"/>
        </w:rPr>
        <w:t>Noord-Brabant: vooraanmeldfase van 1 december 2025 t/m 13 februari 2026</w:t>
      </w:r>
    </w:p>
    <w:p w:rsidR="08CE7D5C" w:rsidP="3A3E4175" w:rsidRDefault="08CE7D5C" w14:paraId="4CCFDAD9" w14:textId="17F98D46">
      <w:pPr>
        <w:pStyle w:val="Lijstalinea"/>
        <w:numPr>
          <w:ilvl w:val="0"/>
          <w:numId w:val="2"/>
        </w:numPr>
        <w:spacing w:after="0" w:line="276" w:lineRule="auto"/>
        <w:rPr>
          <w:rFonts w:ascii="Verdana" w:hAnsi="Verdana" w:eastAsia="Verdana" w:cs="Verdana"/>
          <w:sz w:val="18"/>
          <w:szCs w:val="18"/>
        </w:rPr>
      </w:pPr>
      <w:r w:rsidRPr="3A3E4175">
        <w:rPr>
          <w:rFonts w:ascii="Verdana" w:hAnsi="Verdana" w:eastAsia="Verdana" w:cs="Verdana"/>
          <w:color w:val="000000" w:themeColor="text1"/>
          <w:sz w:val="18"/>
          <w:szCs w:val="18"/>
        </w:rPr>
        <w:t>Utrecht: Belangstellingsregistratie jan/feb 2026 en openstelling mei 2026.</w:t>
      </w:r>
      <w:r w:rsidRPr="3A3E4175">
        <w:rPr>
          <w:rFonts w:ascii="Verdana" w:hAnsi="Verdana" w:eastAsia="Verdana" w:cs="Verdana"/>
          <w:sz w:val="18"/>
          <w:szCs w:val="18"/>
        </w:rPr>
        <w:t xml:space="preserve"> </w:t>
      </w:r>
    </w:p>
    <w:p w:rsidR="08CE7D5C" w:rsidP="3A3E4175" w:rsidRDefault="08CE7D5C" w14:paraId="579B76ED" w14:textId="1E3E4126">
      <w:pPr>
        <w:pStyle w:val="Lijstalinea"/>
        <w:numPr>
          <w:ilvl w:val="0"/>
          <w:numId w:val="2"/>
        </w:numPr>
        <w:spacing w:after="0" w:line="257" w:lineRule="auto"/>
        <w:rPr>
          <w:rFonts w:ascii="Verdana" w:hAnsi="Verdana" w:eastAsia="Verdana" w:cs="Verdana"/>
          <w:color w:val="000000" w:themeColor="text1"/>
          <w:sz w:val="18"/>
          <w:szCs w:val="18"/>
        </w:rPr>
      </w:pPr>
      <w:r w:rsidRPr="3A3E4175">
        <w:rPr>
          <w:rFonts w:ascii="Verdana" w:hAnsi="Verdana" w:eastAsia="Verdana" w:cs="Verdana"/>
          <w:sz w:val="18"/>
          <w:szCs w:val="18"/>
        </w:rPr>
        <w:t xml:space="preserve">Zeeland: </w:t>
      </w:r>
      <w:r w:rsidRPr="3A3E4175">
        <w:rPr>
          <w:rFonts w:ascii="Verdana" w:hAnsi="Verdana" w:eastAsia="Verdana" w:cs="Verdana"/>
          <w:color w:val="000000" w:themeColor="text1"/>
          <w:sz w:val="18"/>
          <w:szCs w:val="18"/>
        </w:rPr>
        <w:t>De belangstellingsregistratie was open vanaf 15 oktober tot en met 31 december. De subsidieregeling gaat open vanaf 1 april tot en met 30 september 2026.</w:t>
      </w:r>
    </w:p>
    <w:p w:rsidR="08CE7D5C" w:rsidP="3A3E4175" w:rsidRDefault="08CE7D5C" w14:paraId="70EB6F45" w14:textId="70B9ED22">
      <w:pPr>
        <w:pStyle w:val="Lijstalinea"/>
        <w:numPr>
          <w:ilvl w:val="0"/>
          <w:numId w:val="2"/>
        </w:numPr>
        <w:spacing w:after="0" w:line="257" w:lineRule="auto"/>
        <w:rPr>
          <w:rFonts w:ascii="Verdana" w:hAnsi="Verdana" w:eastAsia="Verdana" w:cs="Verdana"/>
          <w:sz w:val="18"/>
          <w:szCs w:val="18"/>
        </w:rPr>
      </w:pPr>
      <w:r w:rsidRPr="3A3E4175">
        <w:rPr>
          <w:rFonts w:ascii="Verdana" w:hAnsi="Verdana" w:eastAsia="Verdana" w:cs="Verdana"/>
          <w:sz w:val="18"/>
          <w:szCs w:val="18"/>
        </w:rPr>
        <w:t>Overijssel: o</w:t>
      </w:r>
      <w:r w:rsidRPr="3A3E4175">
        <w:rPr>
          <w:rFonts w:ascii="Verdana" w:hAnsi="Verdana" w:eastAsia="Verdana" w:cs="Verdana"/>
          <w:color w:val="000000" w:themeColor="text1"/>
          <w:sz w:val="18"/>
          <w:szCs w:val="18"/>
        </w:rPr>
        <w:t xml:space="preserve">pengesteld voor aanvragen van 1 april t/m 17 april 2026. </w:t>
      </w:r>
      <w:r w:rsidRPr="3A3E4175">
        <w:rPr>
          <w:rFonts w:ascii="Verdana" w:hAnsi="Verdana" w:eastAsia="Verdana" w:cs="Verdana"/>
          <w:sz w:val="18"/>
          <w:szCs w:val="18"/>
        </w:rPr>
        <w:t xml:space="preserve"> </w:t>
      </w:r>
    </w:p>
    <w:p w:rsidR="08CE7D5C" w:rsidP="3A3E4175" w:rsidRDefault="08CE7D5C" w14:paraId="40C5E145" w14:textId="24D7E5AF">
      <w:pPr>
        <w:pStyle w:val="Lijstalinea"/>
        <w:numPr>
          <w:ilvl w:val="0"/>
          <w:numId w:val="2"/>
        </w:numPr>
        <w:spacing w:after="0" w:line="257" w:lineRule="auto"/>
        <w:rPr>
          <w:rFonts w:ascii="Verdana" w:hAnsi="Verdana" w:eastAsia="Verdana" w:cs="Verdana"/>
          <w:sz w:val="18"/>
          <w:szCs w:val="18"/>
        </w:rPr>
      </w:pPr>
      <w:r w:rsidRPr="3A3E4175">
        <w:rPr>
          <w:rFonts w:ascii="Verdana" w:hAnsi="Verdana" w:eastAsia="Verdana" w:cs="Verdana"/>
          <w:sz w:val="18"/>
          <w:szCs w:val="18"/>
        </w:rPr>
        <w:t>De overige provincies zullen naar verwachting in Q2-Q4 2026 hun regeling openstellen.</w:t>
      </w:r>
    </w:p>
    <w:p w:rsidR="08CE7D5C" w:rsidP="3A3E4175" w:rsidRDefault="08CE7D5C" w14:paraId="19F13703" w14:textId="1448AECA">
      <w:pPr>
        <w:spacing w:line="257" w:lineRule="auto"/>
      </w:pPr>
      <w:r w:rsidRPr="3A3E4175">
        <w:rPr>
          <w:rFonts w:ascii="Verdana" w:hAnsi="Verdana" w:eastAsia="Verdana" w:cs="Verdana"/>
          <w:sz w:val="18"/>
          <w:szCs w:val="18"/>
        </w:rPr>
        <w:t>Oplevering tweede halfjaarlijkse monitoringsrapportage Rpgb door RVO.</w:t>
      </w:r>
    </w:p>
    <w:p w:rsidR="08CE7D5C" w:rsidP="3A3E4175" w:rsidRDefault="08CE7D5C" w14:paraId="47E93C57" w14:textId="600B2133">
      <w:pPr>
        <w:spacing w:line="257" w:lineRule="auto"/>
      </w:pPr>
      <w:r w:rsidRPr="3A3E4175">
        <w:rPr>
          <w:rFonts w:ascii="Verdana" w:hAnsi="Verdana" w:eastAsia="Verdana" w:cs="Verdana"/>
          <w:b/>
          <w:bCs/>
          <w:sz w:val="18"/>
          <w:szCs w:val="18"/>
        </w:rPr>
        <w:t>Verlagen ruw eiwit</w:t>
      </w:r>
    </w:p>
    <w:p w:rsidR="08CE7D5C" w:rsidP="3A3E4175" w:rsidRDefault="08CE7D5C" w14:paraId="35A67694" w14:textId="75FAD62B">
      <w:pPr>
        <w:spacing w:line="257" w:lineRule="auto"/>
      </w:pPr>
      <w:r w:rsidRPr="3A3E4175">
        <w:rPr>
          <w:rFonts w:ascii="Verdana" w:hAnsi="Verdana" w:eastAsia="Verdana" w:cs="Verdana"/>
          <w:sz w:val="18"/>
          <w:szCs w:val="18"/>
        </w:rPr>
        <w:t>Er zijn in 2024 nieuwe streefwaardes voor 2026 afgesproken met de sector in het convenant voerspoor</w:t>
      </w:r>
      <w:r w:rsidR="00CB5A32">
        <w:rPr>
          <w:rStyle w:val="Voetnootmarkering"/>
          <w:rFonts w:ascii="Verdana" w:hAnsi="Verdana" w:eastAsia="Verdana" w:cs="Verdana"/>
          <w:sz w:val="18"/>
          <w:szCs w:val="18"/>
        </w:rPr>
        <w:footnoteReference w:id="6"/>
      </w:r>
      <w:r w:rsidRPr="3A3E4175">
        <w:rPr>
          <w:rFonts w:ascii="Verdana" w:hAnsi="Verdana" w:eastAsia="Verdana" w:cs="Verdana"/>
          <w:sz w:val="18"/>
          <w:szCs w:val="18"/>
        </w:rPr>
        <w:t>. De laatste CBS monitor</w:t>
      </w:r>
      <w:r w:rsidR="008100EA">
        <w:rPr>
          <w:rStyle w:val="Voetnootmarkering"/>
          <w:rFonts w:ascii="Verdana" w:hAnsi="Verdana" w:eastAsia="Verdana" w:cs="Verdana"/>
          <w:sz w:val="18"/>
          <w:szCs w:val="18"/>
        </w:rPr>
        <w:footnoteReference w:id="7"/>
      </w:r>
      <w:r w:rsidRPr="3A3E4175">
        <w:rPr>
          <w:rFonts w:ascii="Verdana" w:hAnsi="Verdana" w:eastAsia="Verdana" w:cs="Verdana"/>
          <w:sz w:val="18"/>
          <w:szCs w:val="18"/>
        </w:rPr>
        <w:t xml:space="preserve"> laat zien dat de sector in 2025 het doelbereik voor dat jaar van 160 gram ruw eiwit heeft gehaald. In 2026 vindt er overleg plaats met de convenantpartners over nieuwe streefwaardes richting de toekomst. </w:t>
      </w:r>
    </w:p>
    <w:p w:rsidR="08CE7D5C" w:rsidP="3A3E4175" w:rsidRDefault="08CE7D5C" w14:paraId="7BA3DFDB" w14:textId="033062C4">
      <w:pPr>
        <w:spacing w:line="257" w:lineRule="auto"/>
      </w:pPr>
      <w:r w:rsidRPr="3A3E4175">
        <w:rPr>
          <w:rFonts w:ascii="Verdana" w:hAnsi="Verdana" w:eastAsia="Verdana" w:cs="Verdana"/>
          <w:sz w:val="18"/>
          <w:szCs w:val="18"/>
        </w:rPr>
        <w:t xml:space="preserve">De onderzoeken Koe en Eiwit en "Langdurig laag eiwit voeren" worden naar verwachting voor het zomerreces afgerond. Momenteel wordt bezien of de kamerbrief met appreciatie ter aanbieding van deze rapporten nog voor het zomerreces aan uw Kamer kan worden toegezonden. </w:t>
      </w:r>
    </w:p>
    <w:p w:rsidR="08CE7D5C" w:rsidP="3A3E4175" w:rsidRDefault="08CE7D5C" w14:paraId="1D9B28F7" w14:textId="38000D05">
      <w:pPr>
        <w:spacing w:line="257" w:lineRule="auto"/>
      </w:pPr>
      <w:r w:rsidRPr="3A3E4175">
        <w:rPr>
          <w:rFonts w:ascii="Verdana" w:hAnsi="Verdana" w:eastAsia="Verdana" w:cs="Verdana"/>
          <w:b/>
          <w:bCs/>
          <w:sz w:val="18"/>
          <w:szCs w:val="18"/>
        </w:rPr>
        <w:t>Vergroten aantal uren weidegang</w:t>
      </w:r>
    </w:p>
    <w:p w:rsidR="08CE7D5C" w:rsidP="3A3E4175" w:rsidRDefault="08CE7D5C" w14:paraId="2DA0664E" w14:textId="5382E293">
      <w:pPr>
        <w:spacing w:line="257" w:lineRule="auto"/>
      </w:pPr>
      <w:r w:rsidRPr="3A3E4175">
        <w:rPr>
          <w:rFonts w:ascii="Verdana" w:hAnsi="Verdana" w:eastAsia="Verdana" w:cs="Verdana"/>
          <w:sz w:val="18"/>
          <w:szCs w:val="18"/>
        </w:rPr>
        <w:t>De afspraken die met de sector gemaakt zijn ten aanzien van deze maatregel zouden in 2025 behaald moeten zijn. Dit is echter niet gelukt. Het gemiddeld aantal uren weidegang is de afgelopen jaren, ondanks de inspanningen vanuit zowel het Rijk als de sector zelf, gedaald.</w:t>
      </w:r>
      <w:r w:rsidRPr="3A3E4175" w:rsidR="66A7D756">
        <w:rPr>
          <w:rFonts w:ascii="Verdana" w:hAnsi="Verdana" w:eastAsia="Verdana" w:cs="Verdana"/>
          <w:sz w:val="18"/>
          <w:szCs w:val="18"/>
        </w:rPr>
        <w:t xml:space="preserve"> De maatregel is wat betreft de stikstofmiddelen afgerond.</w:t>
      </w:r>
      <w:r w:rsidRPr="3A3E4175">
        <w:rPr>
          <w:rFonts w:ascii="Verdana" w:hAnsi="Verdana" w:eastAsia="Verdana" w:cs="Verdana"/>
          <w:sz w:val="18"/>
          <w:szCs w:val="18"/>
        </w:rPr>
        <w:t xml:space="preserve"> Op dit moment werken het Rijk en een breed scala aan ketenpartijen aan een strategische heroriëntatie van weidegang, met als doel het ombuigen van de negatieve trend.</w:t>
      </w:r>
    </w:p>
    <w:p w:rsidR="08CE7D5C" w:rsidP="3A3E4175" w:rsidRDefault="08CE7D5C" w14:paraId="711E4579" w14:textId="06E48324">
      <w:pPr>
        <w:spacing w:line="257" w:lineRule="auto"/>
      </w:pPr>
      <w:r w:rsidRPr="3A3E4175">
        <w:rPr>
          <w:rFonts w:ascii="Verdana" w:hAnsi="Verdana" w:eastAsia="Verdana" w:cs="Verdana"/>
          <w:b/>
          <w:bCs/>
          <w:sz w:val="18"/>
          <w:szCs w:val="18"/>
        </w:rPr>
        <w:t>Subsidieregeling extensivering melkveehouderij (Sem)</w:t>
      </w:r>
    </w:p>
    <w:p w:rsidR="08CE7D5C" w:rsidP="3A3E4175" w:rsidRDefault="08CE7D5C" w14:paraId="477B54CA" w14:textId="75927709">
      <w:pPr>
        <w:spacing w:line="257" w:lineRule="auto"/>
      </w:pPr>
      <w:r w:rsidRPr="3A3E4175">
        <w:rPr>
          <w:rFonts w:ascii="Verdana" w:hAnsi="Verdana" w:eastAsia="Verdana" w:cs="Verdana"/>
          <w:sz w:val="18"/>
          <w:szCs w:val="18"/>
        </w:rPr>
        <w:t>Op 14 april heeft de Europese Commissie bekendgemaakt goedkeuring te geven op de Subsidieregeling extensivering melkveehouderij (Sem). In totaal is voor de Sem een budget beschikbaar van € 627 miljoen. Daarvan is € 615,7 miljoen beschikbaar voor het verstrekken van subsidie en is € 11,3 miljoen gereserveerd voor de uitvoering van de Sem door de Rijksdienst voor Ondernemend Nederland (RVO). De Sem wordt op korte termijn gepubliceerd in de Staatscourant en zal vervolgens worden opengesteld van 1 juni tot en met 29 juli 2026. Die periode biedt melkveehouders zowel de mogelijkheid om al op korte termijn met gebruikmaking van de regeling hun bedrijf te extensiveren als om die afweging ook nog te kunnen maken in de bredere context van de kabinetsplannen voor landbouw, natuur en stikstof.</w:t>
      </w:r>
    </w:p>
    <w:p w:rsidR="08CE7D5C" w:rsidP="3A3E4175" w:rsidRDefault="08CE7D5C" w14:paraId="5B4207AC" w14:textId="328E86CB">
      <w:pPr>
        <w:spacing w:line="257" w:lineRule="auto"/>
      </w:pPr>
      <w:r w:rsidRPr="3A3E4175">
        <w:rPr>
          <w:rFonts w:ascii="Verdana" w:hAnsi="Verdana" w:eastAsia="Verdana" w:cs="Verdana"/>
          <w:b/>
          <w:bCs/>
          <w:sz w:val="18"/>
          <w:szCs w:val="18"/>
        </w:rPr>
        <w:t>Stalmaatregelen</w:t>
      </w:r>
    </w:p>
    <w:p w:rsidR="08CE7D5C" w:rsidP="3A3E4175" w:rsidRDefault="08CE7D5C" w14:paraId="37CB1577" w14:textId="77AB4B82">
      <w:pPr>
        <w:spacing w:line="257" w:lineRule="auto"/>
      </w:pPr>
      <w:r w:rsidRPr="3A3E4175">
        <w:rPr>
          <w:rFonts w:ascii="Verdana" w:hAnsi="Verdana" w:eastAsia="Verdana" w:cs="Verdana"/>
          <w:sz w:val="18"/>
          <w:szCs w:val="18"/>
        </w:rPr>
        <w:t>De maatregel is gewijzigd. Verdere uitwerking in samenhang met de bedrijfsspecifieke emissienorm stikstof.</w:t>
      </w:r>
    </w:p>
    <w:p w:rsidR="08CE7D5C" w:rsidP="3A3E4175" w:rsidRDefault="08CE7D5C" w14:paraId="4F114640" w14:textId="15868E00">
      <w:pPr>
        <w:spacing w:line="257" w:lineRule="auto"/>
      </w:pPr>
      <w:r w:rsidRPr="3A3E4175">
        <w:rPr>
          <w:rFonts w:ascii="Verdana" w:hAnsi="Verdana" w:eastAsia="Verdana" w:cs="Verdana"/>
          <w:b/>
          <w:bCs/>
          <w:sz w:val="18"/>
          <w:szCs w:val="18"/>
        </w:rPr>
        <w:t>Mestverwerking</w:t>
      </w:r>
    </w:p>
    <w:p w:rsidR="08CE7D5C" w:rsidP="3A3E4175" w:rsidRDefault="08CE7D5C" w14:paraId="7E1251CC" w14:textId="4EA23FFE">
      <w:pPr>
        <w:spacing w:line="257" w:lineRule="auto"/>
      </w:pPr>
      <w:r w:rsidRPr="3A3E4175">
        <w:rPr>
          <w:rFonts w:ascii="Verdana" w:hAnsi="Verdana" w:eastAsia="Verdana" w:cs="Verdana"/>
          <w:sz w:val="18"/>
          <w:szCs w:val="18"/>
        </w:rPr>
        <w:t>De subsidieregeling Hoogwaardige mestverwerking (HMV) verloopt volgens planning. In het kader van de HMV-2025 zijn zes aanvragen toegewezen en twee aanvragen afgewezen. Van de toegewezen aanvragen heeft een aanvraag betrekking op het realiseren van een nieuwe mestverwerkingsinstallatie en vijf aanvragen zien op het aanpassen/uitbreiden van een bestaande installatie.</w:t>
      </w:r>
    </w:p>
    <w:p w:rsidR="08CE7D5C" w:rsidP="3A3E4175" w:rsidRDefault="08CE7D5C" w14:paraId="65FED460" w14:textId="0C3F4226">
      <w:pPr>
        <w:spacing w:line="257" w:lineRule="auto"/>
      </w:pPr>
      <w:r w:rsidRPr="3A3E4175">
        <w:rPr>
          <w:rFonts w:ascii="Verdana" w:hAnsi="Verdana" w:eastAsia="Verdana" w:cs="Verdana"/>
          <w:b/>
          <w:bCs/>
          <w:sz w:val="18"/>
          <w:szCs w:val="18"/>
        </w:rPr>
        <w:t>Verbeteren natuurmonitoring</w:t>
      </w:r>
    </w:p>
    <w:p w:rsidR="08CE7D5C" w:rsidP="3A3E4175" w:rsidRDefault="08CE7D5C" w14:paraId="7B6627FA" w14:textId="0D51A00B">
      <w:pPr>
        <w:spacing w:line="257" w:lineRule="auto"/>
      </w:pPr>
      <w:r w:rsidRPr="3A3E4175">
        <w:rPr>
          <w:rFonts w:ascii="Verdana" w:hAnsi="Verdana" w:eastAsia="Verdana" w:cs="Verdana"/>
          <w:sz w:val="18"/>
          <w:szCs w:val="18"/>
        </w:rPr>
        <w:t xml:space="preserve">Het Verbeterprogramma VHR monitoring (VVM) verloopt grotendeels volgens planning. In 2025 zijn een aantal producten (verbeterde monitoringmethodieken) opgeleverd, zoals de maatlatten voor 21 habitattypen. Begin dit jaar is het VVM programmaplan voor 2026 vastgesteld in de Stuurgroep </w:t>
      </w:r>
      <w:r w:rsidRPr="3A3E4175">
        <w:rPr>
          <w:rFonts w:ascii="Verdana" w:hAnsi="Verdana" w:eastAsia="Verdana" w:cs="Verdana"/>
          <w:sz w:val="18"/>
          <w:szCs w:val="18"/>
        </w:rPr>
        <w:lastRenderedPageBreak/>
        <w:t>Natuurmonitoring en Informatievoorziening (LVVN, RWS, Defensie, provincies). Volgens planning is in Q1 dit jaar de handreiking monitoring omgevingscondities 3.0 vastgesteld. In Q2 zullen provincies starten met de intensivering van de uitvoering van de monitoring van omgevingscondities. Een groot aantal overige producten uit het VVM zal volgens planning eind dit jaar opgeleverd worden (zie tabel). LVVN, RWS, Defensie en provincies werken aan de voorbereiding van bestuurlijke afspraken over de uitvoering van de monitoring die volgt uit het VVM in het BO Natuur van november 2026.</w:t>
      </w:r>
    </w:p>
    <w:p w:rsidR="08CE7D5C" w:rsidP="3A3E4175" w:rsidRDefault="08CE7D5C" w14:paraId="3F33024E" w14:textId="5442DA1D">
      <w:pPr>
        <w:spacing w:line="257" w:lineRule="auto"/>
      </w:pPr>
      <w:r w:rsidRPr="3A3E4175">
        <w:rPr>
          <w:rFonts w:ascii="Verdana" w:hAnsi="Verdana" w:eastAsia="Verdana" w:cs="Verdana"/>
          <w:sz w:val="18"/>
          <w:szCs w:val="18"/>
        </w:rPr>
        <w:t xml:space="preserve">Oplevering (VVM): </w:t>
      </w:r>
    </w:p>
    <w:p w:rsidR="08CE7D5C" w:rsidP="3A3E4175" w:rsidRDefault="08CE7D5C" w14:paraId="71A29357" w14:textId="0E143B4A">
      <w:pPr>
        <w:pStyle w:val="Lijstalinea"/>
        <w:numPr>
          <w:ilvl w:val="0"/>
          <w:numId w:val="1"/>
        </w:numPr>
        <w:spacing w:after="0" w:line="257" w:lineRule="auto"/>
        <w:rPr>
          <w:rFonts w:ascii="Verdana" w:hAnsi="Verdana" w:eastAsia="Verdana" w:cs="Verdana"/>
          <w:sz w:val="18"/>
          <w:szCs w:val="18"/>
        </w:rPr>
      </w:pPr>
      <w:r w:rsidRPr="3A3E4175">
        <w:rPr>
          <w:rFonts w:ascii="Verdana" w:hAnsi="Verdana" w:eastAsia="Verdana" w:cs="Verdana"/>
          <w:sz w:val="18"/>
          <w:szCs w:val="18"/>
        </w:rPr>
        <w:t xml:space="preserve">Alle maatlatten en beoordelingskaders habitattypen </w:t>
      </w:r>
    </w:p>
    <w:p w:rsidR="08CE7D5C" w:rsidP="3A3E4175" w:rsidRDefault="08CE7D5C" w14:paraId="22ABF832" w14:textId="2CF4DA50">
      <w:pPr>
        <w:pStyle w:val="Lijstalinea"/>
        <w:numPr>
          <w:ilvl w:val="0"/>
          <w:numId w:val="1"/>
        </w:numPr>
        <w:spacing w:after="0" w:line="257" w:lineRule="auto"/>
        <w:rPr>
          <w:rFonts w:ascii="Verdana" w:hAnsi="Verdana" w:eastAsia="Verdana" w:cs="Verdana"/>
          <w:sz w:val="18"/>
          <w:szCs w:val="18"/>
        </w:rPr>
      </w:pPr>
      <w:r w:rsidRPr="3A3E4175">
        <w:rPr>
          <w:rFonts w:ascii="Verdana" w:hAnsi="Verdana" w:eastAsia="Verdana" w:cs="Verdana"/>
          <w:sz w:val="18"/>
          <w:szCs w:val="18"/>
        </w:rPr>
        <w:t xml:space="preserve">Verbeterd vegetatieprotocol en methodiekendocument </w:t>
      </w:r>
    </w:p>
    <w:p w:rsidR="08CE7D5C" w:rsidP="3A3E4175" w:rsidRDefault="08CE7D5C" w14:paraId="3442A821" w14:textId="13F5515B">
      <w:pPr>
        <w:pStyle w:val="Lijstalinea"/>
        <w:numPr>
          <w:ilvl w:val="0"/>
          <w:numId w:val="1"/>
        </w:numPr>
        <w:spacing w:after="0" w:line="257" w:lineRule="auto"/>
        <w:rPr>
          <w:rFonts w:ascii="Verdana" w:hAnsi="Verdana" w:eastAsia="Verdana" w:cs="Verdana"/>
          <w:sz w:val="18"/>
          <w:szCs w:val="18"/>
        </w:rPr>
      </w:pPr>
      <w:r w:rsidRPr="3A3E4175">
        <w:rPr>
          <w:rFonts w:ascii="Verdana" w:hAnsi="Verdana" w:eastAsia="Verdana" w:cs="Verdana"/>
          <w:sz w:val="18"/>
          <w:szCs w:val="18"/>
        </w:rPr>
        <w:t xml:space="preserve">Systematiek voor leefgebieden soorten </w:t>
      </w:r>
    </w:p>
    <w:p w:rsidR="08CE7D5C" w:rsidP="3A3E4175" w:rsidRDefault="08CE7D5C" w14:paraId="6F54A861" w14:textId="70853E08">
      <w:pPr>
        <w:pStyle w:val="Lijstalinea"/>
        <w:numPr>
          <w:ilvl w:val="0"/>
          <w:numId w:val="1"/>
        </w:numPr>
        <w:spacing w:after="0" w:line="257" w:lineRule="auto"/>
        <w:rPr>
          <w:rFonts w:ascii="Verdana" w:hAnsi="Verdana" w:eastAsia="Verdana" w:cs="Verdana"/>
          <w:sz w:val="18"/>
          <w:szCs w:val="18"/>
        </w:rPr>
      </w:pPr>
      <w:r w:rsidRPr="3A3E4175">
        <w:rPr>
          <w:rFonts w:ascii="Verdana" w:hAnsi="Verdana" w:eastAsia="Verdana" w:cs="Verdana"/>
          <w:sz w:val="18"/>
          <w:szCs w:val="18"/>
        </w:rPr>
        <w:t xml:space="preserve">Online omgeving gebiedsdata </w:t>
      </w:r>
    </w:p>
    <w:p w:rsidR="08CE7D5C" w:rsidP="3A3E4175" w:rsidRDefault="08CE7D5C" w14:paraId="23F0F582" w14:textId="51B9A98C">
      <w:pPr>
        <w:pStyle w:val="Lijstalinea"/>
        <w:numPr>
          <w:ilvl w:val="0"/>
          <w:numId w:val="1"/>
        </w:numPr>
        <w:spacing w:after="0" w:line="257" w:lineRule="auto"/>
        <w:rPr>
          <w:rFonts w:ascii="Verdana" w:hAnsi="Verdana" w:eastAsia="Verdana" w:cs="Verdana"/>
          <w:sz w:val="18"/>
          <w:szCs w:val="18"/>
        </w:rPr>
      </w:pPr>
      <w:r w:rsidRPr="3A3E4175">
        <w:rPr>
          <w:rFonts w:ascii="Verdana" w:hAnsi="Verdana" w:eastAsia="Verdana" w:cs="Verdana"/>
          <w:sz w:val="18"/>
          <w:szCs w:val="18"/>
        </w:rPr>
        <w:t>Centraal registratiesysteem maatregelen</w:t>
      </w:r>
    </w:p>
    <w:p w:rsidR="08CE7D5C" w:rsidP="3A3E4175" w:rsidRDefault="08CE7D5C" w14:paraId="1CD814EE" w14:textId="59F1E226">
      <w:pPr>
        <w:spacing w:line="257" w:lineRule="auto"/>
      </w:pPr>
      <w:r w:rsidRPr="3A3E4175">
        <w:rPr>
          <w:rFonts w:ascii="Verdana" w:hAnsi="Verdana" w:eastAsia="Verdana" w:cs="Verdana"/>
          <w:sz w:val="18"/>
          <w:szCs w:val="18"/>
        </w:rPr>
        <w:t>Het onderzoek van de WUR m.b.t. bodemmonitoring, inclusief pilots in 3 gebieden, wordt in Q2 dit jaar opgeleverd. De resultaten zullen geïntegreerd worden in de volgende versie van de handreiking monitoring omgevingscondities, en het plan voor de toekomstige uitvoering van de monitoring van omgevingscondities door voortouwnemers. In Q2 dit jaar start ook het vervolgonderzoek van de WUR met een verdere verdieping op de samenhang tussen vegetatie, bodemeigenschappen en standplaatscondities.</w:t>
      </w:r>
    </w:p>
    <w:p w:rsidR="08CE7D5C" w:rsidP="3A3E4175" w:rsidRDefault="08CE7D5C" w14:paraId="50FEB6F9" w14:textId="65D78435">
      <w:pPr>
        <w:spacing w:line="257" w:lineRule="auto"/>
      </w:pPr>
      <w:r w:rsidRPr="3A3E4175">
        <w:rPr>
          <w:rFonts w:ascii="Verdana" w:hAnsi="Verdana" w:eastAsia="Verdana" w:cs="Verdana"/>
          <w:sz w:val="18"/>
          <w:szCs w:val="18"/>
        </w:rPr>
        <w:t>Opgemerkt moet worden dat met de 12,5M middelen die beschikbaar zijn uit het MCEN-startpakket, de monitoring die volgt uit het VVM gedeeltelijk uitgevoerd kan worden. Voor volledige uitvoering, in lijn met het scenario ‘VHR compleet’ dat eerder in het Bestuurlijk Overleg Natuur (21 dec 2022, olv M-N&amp;S, met rijkspartners en gedeputeerden) overeen is gekomen, zullen additionele middelen nodig zijn.</w:t>
      </w:r>
    </w:p>
    <w:p w:rsidR="08CE7D5C" w:rsidP="3A3E4175" w:rsidRDefault="08CE7D5C" w14:paraId="7D3317F9" w14:textId="3004AF5F">
      <w:pPr>
        <w:spacing w:line="257" w:lineRule="auto"/>
      </w:pPr>
      <w:r w:rsidRPr="3A3E4175">
        <w:rPr>
          <w:rFonts w:ascii="Verdana" w:hAnsi="Verdana" w:eastAsia="Verdana" w:cs="Verdana"/>
          <w:b/>
          <w:bCs/>
          <w:sz w:val="18"/>
          <w:szCs w:val="18"/>
        </w:rPr>
        <w:t>Aanpak prioritaire gebieden Veluwe en Peel</w:t>
      </w:r>
    </w:p>
    <w:p w:rsidR="08CE7D5C" w:rsidP="3A3E4175" w:rsidRDefault="08CE7D5C" w14:paraId="52FA5622" w14:textId="7C7BE023">
      <w:pPr>
        <w:spacing w:line="257" w:lineRule="auto"/>
      </w:pPr>
      <w:r w:rsidRPr="3A3E4175">
        <w:rPr>
          <w:rFonts w:ascii="Verdana" w:hAnsi="Verdana" w:eastAsia="Verdana" w:cs="Verdana"/>
          <w:sz w:val="18"/>
          <w:szCs w:val="18"/>
        </w:rPr>
        <w:t>De prioritaire gebieden Veluwe en de Peel hebben een impuls van 600 miljoen euro ontvangen voor een regionale maatwerk aanpak. Op dit moment is de begroting LVVN nog niet aangenomen in de Eerste Kamer. Op het moment dat dit wel het geval is, kan op korte termijn tot uitvoering komen. Beide gebieden hebben hiervoor een samenwerkingsovereenkomst opgesteld en een uitvoeringsplan. Het is voorzien dat deze voor de zomer getekend worden waarna dit najaar de middelen uitgekeerd kunnen worden ende uitvoering kan starten.</w:t>
      </w:r>
    </w:p>
    <w:p w:rsidR="08CE7D5C" w:rsidP="3A3E4175" w:rsidRDefault="08CE7D5C" w14:paraId="101C77EF" w14:textId="4A5599AD">
      <w:pPr>
        <w:spacing w:line="257" w:lineRule="auto"/>
      </w:pPr>
      <w:r w:rsidRPr="3A3E4175">
        <w:rPr>
          <w:rFonts w:ascii="Verdana" w:hAnsi="Verdana" w:eastAsia="Verdana" w:cs="Verdana"/>
          <w:b/>
          <w:bCs/>
          <w:sz w:val="18"/>
          <w:szCs w:val="18"/>
          <w:u w:val="single"/>
        </w:rPr>
        <w:t>Mobiliteitsmaatregelen</w:t>
      </w:r>
    </w:p>
    <w:p w:rsidR="08CE7D5C" w:rsidP="3A3E4175" w:rsidRDefault="08CE7D5C" w14:paraId="443D1F67" w14:textId="506C937D">
      <w:pPr>
        <w:spacing w:line="257" w:lineRule="auto"/>
      </w:pPr>
      <w:r w:rsidRPr="3C462CC1">
        <w:rPr>
          <w:rFonts w:ascii="Verdana" w:hAnsi="Verdana" w:eastAsia="Verdana" w:cs="Verdana"/>
          <w:b/>
          <w:bCs/>
          <w:sz w:val="18"/>
          <w:szCs w:val="18"/>
        </w:rPr>
        <w:t>Verduurzaming binnenvaart</w:t>
      </w:r>
    </w:p>
    <w:p w:rsidR="478B29A7" w:rsidP="3C462CC1" w:rsidRDefault="478B29A7" w14:paraId="44E7D59F" w14:textId="7A345057">
      <w:pPr>
        <w:spacing w:line="257" w:lineRule="auto"/>
        <w:rPr>
          <w:rFonts w:ascii="Verdana" w:hAnsi="Verdana" w:eastAsia="Verdana" w:cs="Verdana"/>
          <w:sz w:val="18"/>
          <w:szCs w:val="18"/>
        </w:rPr>
      </w:pPr>
      <w:r w:rsidRPr="3C462CC1">
        <w:rPr>
          <w:rFonts w:ascii="Verdana" w:hAnsi="Verdana" w:eastAsia="Verdana" w:cs="Verdana"/>
          <w:sz w:val="18"/>
          <w:szCs w:val="18"/>
        </w:rPr>
        <w:t>De tijdelijke subsidieregeling verduurzaming binnenvaartschepen is afgerond. De tijdelijke regeling wordt dit jaar formeel geëvalueerd. Er is nog circa € 30 miljoen aan stikstofmiddelen beschikbaar voor verduurzaming van binnenvaartschepen in de jaren 2026-2030. Op dit moment wordt bekeken hoe deze middelen het beste ingezet kunnen worden. In een Kamerbrief is aangekondigd dat met de stikstofmiddelen, mede op verzoek van de sector, binnen de nieuwe  tijdelijke subsidieregeling Vroege Opschaling Energietransitie Binnenvaartschepen (2026–2030) een eerste stap wordt gezet om ook hybride aandrijflijnen voor kleine schepen te stimuleren</w:t>
      </w:r>
      <w:r w:rsidRPr="3C462CC1">
        <w:rPr>
          <w:rStyle w:val="Voetnootmarkering"/>
        </w:rPr>
        <w:footnoteReference w:id="8"/>
      </w:r>
    </w:p>
    <w:p w:rsidR="3C462CC1" w:rsidP="3C462CC1" w:rsidRDefault="3C462CC1" w14:paraId="10A1F072" w14:textId="39732CE9">
      <w:pPr>
        <w:spacing w:line="257" w:lineRule="auto"/>
        <w:rPr>
          <w:rFonts w:ascii="Verdana" w:hAnsi="Verdana" w:eastAsia="Verdana" w:cs="Verdana"/>
          <w:sz w:val="18"/>
          <w:szCs w:val="18"/>
        </w:rPr>
      </w:pPr>
    </w:p>
    <w:p w:rsidR="08CE7D5C" w:rsidP="3A3E4175" w:rsidRDefault="08CE7D5C" w14:paraId="576ECACB" w14:textId="04B59C83">
      <w:pPr>
        <w:spacing w:line="257" w:lineRule="auto"/>
      </w:pPr>
      <w:r w:rsidRPr="3A3E4175">
        <w:rPr>
          <w:rFonts w:ascii="Verdana" w:hAnsi="Verdana" w:eastAsia="Verdana" w:cs="Verdana"/>
          <w:b/>
          <w:bCs/>
          <w:sz w:val="18"/>
          <w:szCs w:val="18"/>
        </w:rPr>
        <w:t>Gerichte handhaving Adblue</w:t>
      </w:r>
    </w:p>
    <w:p w:rsidR="08CE7D5C" w:rsidP="3A3E4175" w:rsidRDefault="08CE7D5C" w14:paraId="71131AB6" w14:textId="5DDF298C">
      <w:pPr>
        <w:spacing w:line="257" w:lineRule="auto"/>
      </w:pPr>
      <w:r w:rsidRPr="3A3E4175">
        <w:rPr>
          <w:rFonts w:ascii="Verdana" w:hAnsi="Verdana" w:eastAsia="Verdana" w:cs="Verdana"/>
          <w:sz w:val="18"/>
          <w:szCs w:val="18"/>
        </w:rPr>
        <w:t>IenW start communicatie richting stakeholders over de recent gepubliceerde wijziging van de Regeling voertuigen</w:t>
      </w:r>
      <w:r w:rsidR="009A3BDA">
        <w:rPr>
          <w:rStyle w:val="Voetnootmarkering"/>
          <w:rFonts w:ascii="Verdana" w:hAnsi="Verdana" w:eastAsia="Verdana" w:cs="Verdana"/>
          <w:sz w:val="18"/>
          <w:szCs w:val="18"/>
        </w:rPr>
        <w:footnoteReference w:id="9"/>
      </w:r>
      <w:r w:rsidRPr="3A3E4175">
        <w:rPr>
          <w:rFonts w:ascii="Verdana" w:hAnsi="Verdana" w:eastAsia="Verdana" w:cs="Verdana"/>
          <w:sz w:val="18"/>
          <w:szCs w:val="18"/>
        </w:rPr>
        <w:t xml:space="preserve"> en het doel en opzet van de bronmaatregel. Tegelijkertijd bereidt de Inspectie Leefomgeving en Transport (ILT) samen met de Rijksdienst voor het wegverkeer (RDW) de handhaving voor, onder andere met een onderzoek naar de meest geschikte en efficiënte meetapparatuur langs de weg, een nulmeting en opstellen van het bestedingsplan 2027 en verder. Vanaf 1 juli 2026 is het voor de ILT en de politie mogelijk om handhavend op te treden tegen </w:t>
      </w:r>
      <w:r w:rsidRPr="3A3E4175">
        <w:rPr>
          <w:rFonts w:ascii="Verdana" w:hAnsi="Verdana" w:eastAsia="Verdana" w:cs="Verdana"/>
          <w:sz w:val="18"/>
          <w:szCs w:val="18"/>
        </w:rPr>
        <w:lastRenderedPageBreak/>
        <w:t>voertuigen met een defect of gemanipuleerd emissiebeheersingssysteem, zoals een Selective Catalytic Reduction (SCR-)systeem, of bij onjuist gebruik van een verbruiksreagens zoals AdBlue. De politie doet dit binnen bestaande controles. De ILT start met een nulmeting en werkt toe naar risicogerichte handhaving, waarover zij communiceert met de sector. Maatregelen door de ILT volgen naar verwachting circa een half jaar na inwerkingtreding, zodat de transportsector eerst verder over de handhavingsaanpak wordt geïnformeerd en zich kan voorbereiden, waardoor onnodige lasten worden beperkt.</w:t>
      </w:r>
    </w:p>
    <w:p w:rsidR="08CE7D5C" w:rsidP="3A3E4175" w:rsidRDefault="08CE7D5C" w14:paraId="3C359A6E" w14:textId="0877B7E8">
      <w:pPr>
        <w:spacing w:line="257" w:lineRule="auto"/>
      </w:pPr>
      <w:r w:rsidRPr="3A3E4175">
        <w:rPr>
          <w:rFonts w:ascii="Verdana" w:hAnsi="Verdana" w:eastAsia="Verdana" w:cs="Verdana"/>
          <w:b/>
          <w:bCs/>
          <w:sz w:val="18"/>
          <w:szCs w:val="18"/>
        </w:rPr>
        <w:t>Pilots scheepvaart en zeehavens</w:t>
      </w:r>
    </w:p>
    <w:p w:rsidR="08CE7D5C" w:rsidP="3A3E4175" w:rsidRDefault="08CE7D5C" w14:paraId="2161E2F1" w14:textId="413F0F41">
      <w:pPr>
        <w:spacing w:line="257" w:lineRule="auto"/>
      </w:pPr>
      <w:r w:rsidRPr="3A3E4175">
        <w:rPr>
          <w:rFonts w:ascii="Verdana" w:hAnsi="Verdana" w:eastAsia="Verdana" w:cs="Verdana"/>
          <w:sz w:val="18"/>
          <w:szCs w:val="18"/>
        </w:rPr>
        <w:t>De tijdelijke subsidieregeling batterij elektrisch varen zeehavens (BEVZ) zal 19 mei 2026 opengaan voor een eerste subsidieronde, sluiting is 10 september. De concept regelingstekst van de andere twee pilots zullen later in 2026 gepubliceerd worden voor internetconsultatie.</w:t>
      </w:r>
    </w:p>
    <w:p w:rsidR="08CE7D5C" w:rsidP="3A3E4175" w:rsidRDefault="08CE7D5C" w14:paraId="786B5DFF" w14:textId="155E40C5">
      <w:pPr>
        <w:spacing w:line="257" w:lineRule="auto"/>
      </w:pPr>
      <w:r w:rsidRPr="3A3E4175">
        <w:rPr>
          <w:rFonts w:ascii="Verdana" w:hAnsi="Verdana" w:eastAsia="Verdana" w:cs="Verdana"/>
          <w:b/>
          <w:bCs/>
          <w:sz w:val="18"/>
          <w:szCs w:val="18"/>
        </w:rPr>
        <w:t>Walstroom zeevaart</w:t>
      </w:r>
    </w:p>
    <w:p w:rsidR="08CE7D5C" w:rsidP="3A3E4175" w:rsidRDefault="08CE7D5C" w14:paraId="278C3E79" w14:textId="162FDF0A">
      <w:pPr>
        <w:spacing w:line="257" w:lineRule="auto"/>
      </w:pPr>
      <w:r w:rsidRPr="3A3E4175">
        <w:rPr>
          <w:rFonts w:ascii="Verdana" w:hAnsi="Verdana" w:eastAsia="Verdana" w:cs="Verdana"/>
          <w:sz w:val="18"/>
          <w:szCs w:val="18"/>
        </w:rPr>
        <w:t>Twee projecten hebben voor in totaal €0,75 mln. subsidie ontvangen uit de tender 2025. Netcongestie wordt een steeds grotere belemmering om de benodigde netaansluiting voor walstroom te kunnen krijgen. Om te stimuleren dat als mitigerende maatregel hiervoor eigen hernieuwbare stroomopwekking en batterijen worden ingezet, worden de kosten hiervan ook subsidiabel gemaakt in de tenders van 2026 en 2027.</w:t>
      </w:r>
    </w:p>
    <w:p w:rsidR="08CE7D5C" w:rsidP="3A3E4175" w:rsidRDefault="08CE7D5C" w14:paraId="70DAF272" w14:textId="52B188D0">
      <w:pPr>
        <w:spacing w:line="257" w:lineRule="auto"/>
      </w:pPr>
      <w:r w:rsidRPr="3A3E4175">
        <w:rPr>
          <w:rFonts w:ascii="Verdana" w:hAnsi="Verdana" w:eastAsia="Verdana" w:cs="Verdana"/>
          <w:b/>
          <w:bCs/>
          <w:sz w:val="18"/>
          <w:szCs w:val="18"/>
          <w:u w:val="single"/>
        </w:rPr>
        <w:t>Bouwmaatregelen</w:t>
      </w:r>
    </w:p>
    <w:p w:rsidR="08CE7D5C" w:rsidP="3A3E4175" w:rsidRDefault="08CE7D5C" w14:paraId="36349811" w14:textId="66223D7D">
      <w:pPr>
        <w:spacing w:line="257" w:lineRule="auto"/>
      </w:pPr>
      <w:r w:rsidRPr="3A3E4175">
        <w:rPr>
          <w:rFonts w:ascii="Verdana" w:hAnsi="Verdana" w:eastAsia="Verdana" w:cs="Verdana"/>
          <w:b/>
          <w:bCs/>
          <w:sz w:val="18"/>
          <w:szCs w:val="18"/>
        </w:rPr>
        <w:t>Schoon en Emissieloos Bouwen (SEB)</w:t>
      </w:r>
    </w:p>
    <w:p w:rsidR="08CE7D5C" w:rsidP="3A3E4175" w:rsidRDefault="08CE7D5C" w14:paraId="7268A8B2" w14:textId="448C2C7B">
      <w:pPr>
        <w:spacing w:line="257" w:lineRule="auto"/>
      </w:pPr>
      <w:r w:rsidRPr="3A3E4175">
        <w:rPr>
          <w:rFonts w:ascii="Verdana" w:hAnsi="Verdana" w:eastAsia="Verdana" w:cs="Verdana"/>
          <w:sz w:val="18"/>
          <w:szCs w:val="18"/>
        </w:rPr>
        <w:t>Eind 2025 is de eerste evaluatie voor SEB afgerond. De resultaten zijn met de Tweede Kamer gedeeld. De stikstofambitie van 60% reductie ten opzichte van 2019 ligt nog niet binnen bereik (prognose TNO 48-52% reductie). Er wordt gewerkt aan een uitvoeringsagenda SEB 2026-2027 met de, inmiddels ruim 160, convenantpartners. Deze wordt naar verwachting in Q2 met de Tweede Kamer gedeeld.</w:t>
      </w:r>
    </w:p>
    <w:p w:rsidR="08CE7D5C" w:rsidP="3A3E4175" w:rsidRDefault="08CE7D5C" w14:paraId="7AAD6DA6" w14:textId="6766AD4A">
      <w:pPr>
        <w:spacing w:line="257" w:lineRule="auto"/>
      </w:pPr>
      <w:r w:rsidRPr="3A3E4175">
        <w:rPr>
          <w:rFonts w:ascii="Verdana" w:hAnsi="Verdana" w:eastAsia="Verdana" w:cs="Verdana"/>
          <w:b/>
          <w:bCs/>
          <w:sz w:val="18"/>
          <w:szCs w:val="18"/>
          <w:u w:val="single"/>
        </w:rPr>
        <w:t>Industriemaatregelen</w:t>
      </w:r>
    </w:p>
    <w:p w:rsidR="08CE7D5C" w:rsidP="3A3E4175" w:rsidRDefault="08CE7D5C" w14:paraId="2C50EF72" w14:textId="5FF15F65">
      <w:pPr>
        <w:spacing w:line="257" w:lineRule="auto"/>
      </w:pPr>
      <w:r w:rsidRPr="3A3E4175">
        <w:rPr>
          <w:rFonts w:ascii="Verdana" w:hAnsi="Verdana" w:eastAsia="Verdana" w:cs="Verdana"/>
          <w:b/>
          <w:bCs/>
          <w:sz w:val="18"/>
          <w:szCs w:val="18"/>
        </w:rPr>
        <w:t>Aanpak piekbelasters industrie</w:t>
      </w:r>
    </w:p>
    <w:p w:rsidR="08CE7D5C" w:rsidP="3A3E4175" w:rsidRDefault="08CE7D5C" w14:paraId="763527F7" w14:textId="0A836FAD">
      <w:pPr>
        <w:spacing w:after="0" w:line="257" w:lineRule="auto"/>
      </w:pPr>
      <w:r w:rsidRPr="3A3E4175">
        <w:rPr>
          <w:rFonts w:ascii="Verdana" w:hAnsi="Verdana" w:eastAsia="Verdana" w:cs="Verdana"/>
          <w:sz w:val="18"/>
          <w:szCs w:val="18"/>
        </w:rPr>
        <w:t xml:space="preserve">Regeling Beperking Ammoniakemissie Industriële Piekbelasters (BAIP) en maatwerksubsidies voor Yara en Rockwool zijn in 2024/2025 uitgevoerd. </w:t>
      </w:r>
    </w:p>
    <w:p w:rsidR="08CE7D5C" w:rsidP="3A3E4175" w:rsidRDefault="08CE7D5C" w14:paraId="3C26ED4D" w14:textId="0C2D9252">
      <w:pPr>
        <w:spacing w:after="0" w:line="257" w:lineRule="auto"/>
        <w:ind w:left="720"/>
      </w:pPr>
      <w:r w:rsidRPr="3A3E4175">
        <w:rPr>
          <w:rFonts w:ascii="Verdana" w:hAnsi="Verdana" w:eastAsia="Verdana" w:cs="Verdana"/>
          <w:sz w:val="18"/>
          <w:szCs w:val="18"/>
        </w:rPr>
        <w:t xml:space="preserve"> </w:t>
      </w:r>
    </w:p>
    <w:p w:rsidR="08CE7D5C" w:rsidP="3A3E4175" w:rsidRDefault="08CE7D5C" w14:paraId="57810150" w14:textId="046E1680">
      <w:pPr>
        <w:spacing w:after="0" w:line="257" w:lineRule="auto"/>
      </w:pPr>
      <w:r w:rsidRPr="3A3E4175">
        <w:rPr>
          <w:rFonts w:ascii="Verdana" w:hAnsi="Verdana" w:eastAsia="Verdana" w:cs="Verdana"/>
          <w:sz w:val="18"/>
          <w:szCs w:val="18"/>
        </w:rPr>
        <w:t>Maatwerksubsidie Cosun: In de voorjaarbesluitvorming is €18 mln. gereserveerd voor een project van Cosun dat ammoniakemissie reduceert.</w:t>
      </w:r>
    </w:p>
    <w:p w:rsidR="08CE7D5C" w:rsidP="3A3E4175" w:rsidRDefault="08CE7D5C" w14:paraId="6083AB60" w14:textId="4C95E834">
      <w:pPr>
        <w:spacing w:after="0" w:line="257" w:lineRule="auto"/>
      </w:pPr>
      <w:r w:rsidRPr="3A3E4175">
        <w:rPr>
          <w:rFonts w:ascii="Verdana" w:hAnsi="Verdana" w:eastAsia="Verdana" w:cs="Verdana"/>
          <w:color w:val="00B0F0"/>
          <w:sz w:val="18"/>
          <w:szCs w:val="18"/>
        </w:rPr>
        <w:t xml:space="preserve"> </w:t>
      </w:r>
    </w:p>
    <w:p w:rsidR="3A3E4175" w:rsidP="3A3E4175" w:rsidRDefault="3A3E4175" w14:paraId="52B2212C" w14:textId="0B18DDF6">
      <w:pPr>
        <w:spacing w:line="257" w:lineRule="auto"/>
      </w:pPr>
    </w:p>
    <w:p w:rsidR="00D603C3" w:rsidP="3A3E4175" w:rsidRDefault="00D603C3" w14:paraId="16B5F7AE" w14:textId="77777777">
      <w:pPr>
        <w:spacing w:line="257" w:lineRule="auto"/>
      </w:pPr>
    </w:p>
    <w:p w:rsidR="00D603C3" w:rsidP="3A3E4175" w:rsidRDefault="00D603C3" w14:paraId="2F650867" w14:textId="77777777">
      <w:pPr>
        <w:spacing w:line="257" w:lineRule="auto"/>
      </w:pPr>
    </w:p>
    <w:p w:rsidR="00D603C3" w:rsidP="3A3E4175" w:rsidRDefault="00D603C3" w14:paraId="258455CE" w14:textId="77777777">
      <w:pPr>
        <w:spacing w:line="257" w:lineRule="auto"/>
      </w:pPr>
    </w:p>
    <w:p w:rsidR="00D603C3" w:rsidP="3A3E4175" w:rsidRDefault="00D603C3" w14:paraId="6A57B9BD" w14:textId="77777777">
      <w:pPr>
        <w:spacing w:line="257" w:lineRule="auto"/>
      </w:pPr>
    </w:p>
    <w:p w:rsidR="00D603C3" w:rsidP="3A3E4175" w:rsidRDefault="00D603C3" w14:paraId="282C04EB" w14:textId="77777777">
      <w:pPr>
        <w:spacing w:line="257" w:lineRule="auto"/>
      </w:pPr>
    </w:p>
    <w:p w:rsidR="00D603C3" w:rsidP="3A3E4175" w:rsidRDefault="00D603C3" w14:paraId="338B601C" w14:textId="77777777">
      <w:pPr>
        <w:spacing w:line="257" w:lineRule="auto"/>
      </w:pPr>
    </w:p>
    <w:p w:rsidR="00D603C3" w:rsidP="3A3E4175" w:rsidRDefault="00D603C3" w14:paraId="7D6E5012" w14:textId="77777777">
      <w:pPr>
        <w:spacing w:line="257" w:lineRule="auto"/>
      </w:pPr>
    </w:p>
    <w:p w:rsidR="00D603C3" w:rsidP="3A3E4175" w:rsidRDefault="00D603C3" w14:paraId="4F361067" w14:textId="77777777">
      <w:pPr>
        <w:spacing w:line="257" w:lineRule="auto"/>
      </w:pPr>
    </w:p>
    <w:p w:rsidR="00D603C3" w:rsidP="3A3E4175" w:rsidRDefault="00D603C3" w14:paraId="70A9D055" w14:textId="77777777">
      <w:pPr>
        <w:spacing w:line="257" w:lineRule="auto"/>
      </w:pPr>
    </w:p>
    <w:p w:rsidR="00D603C3" w:rsidP="3A3E4175" w:rsidRDefault="00D603C3" w14:paraId="7FFCBD45" w14:textId="77777777">
      <w:pPr>
        <w:spacing w:line="257" w:lineRule="auto"/>
      </w:pPr>
    </w:p>
    <w:p w:rsidR="08CE7D5C" w:rsidP="7C493882" w:rsidRDefault="08CE7D5C" w14:paraId="2D4B17CA" w14:textId="59F2779A">
      <w:pPr>
        <w:pStyle w:val="Kop1"/>
        <w:spacing w:line="257" w:lineRule="auto"/>
        <w:rPr>
          <w:rFonts w:eastAsia="Verdana" w:cs="Verdana"/>
        </w:rPr>
      </w:pPr>
    </w:p>
    <w:p w:rsidR="08CE7D5C" w:rsidP="7C493882" w:rsidRDefault="08CE7D5C" w14:paraId="62AA995C" w14:textId="0BBF0117">
      <w:pPr>
        <w:spacing w:line="257" w:lineRule="auto"/>
      </w:pPr>
      <w:r>
        <w:br w:type="page"/>
      </w:r>
    </w:p>
    <w:p w:rsidR="08CE7D5C" w:rsidP="1F5EE2CA" w:rsidRDefault="2AA670F7" w14:paraId="6DF61B98" w14:textId="7E5F8853">
      <w:pPr>
        <w:pStyle w:val="Kop1"/>
        <w:spacing w:line="257" w:lineRule="auto"/>
        <w:rPr>
          <w:rFonts w:eastAsia="Verdana" w:cs="Verdana"/>
        </w:rPr>
      </w:pPr>
      <w:bookmarkStart w:name="_Toc1859889373" w:id="4"/>
      <w:r w:rsidRPr="3C462CC1">
        <w:rPr>
          <w:rFonts w:eastAsia="Verdana" w:cs="Verdana"/>
        </w:rPr>
        <w:lastRenderedPageBreak/>
        <w:t>Bijlage</w:t>
      </w:r>
      <w:bookmarkEnd w:id="4"/>
    </w:p>
    <w:p w:rsidR="08CE7D5C" w:rsidP="1F5EE2CA" w:rsidRDefault="2AA670F7" w14:paraId="6A83F9CA" w14:textId="0CD31BBE">
      <w:pPr>
        <w:pStyle w:val="Kop2"/>
        <w:spacing w:line="257" w:lineRule="auto"/>
        <w:rPr>
          <w:rFonts w:eastAsia="Verdana" w:cs="Verdana"/>
          <w:sz w:val="18"/>
          <w:szCs w:val="18"/>
        </w:rPr>
      </w:pPr>
      <w:bookmarkStart w:name="_Toc2126453485" w:id="5"/>
      <w:r w:rsidRPr="3C462CC1">
        <w:rPr>
          <w:rFonts w:eastAsia="Verdana" w:cs="Verdana"/>
          <w:sz w:val="18"/>
          <w:szCs w:val="18"/>
        </w:rPr>
        <w:t>Omschrijving maatregelen</w:t>
      </w:r>
      <w:bookmarkEnd w:id="5"/>
    </w:p>
    <w:p w:rsidR="08CE7D5C" w:rsidP="3A3E4175" w:rsidRDefault="08CE7D5C" w14:paraId="49EE009B" w14:textId="20493729">
      <w:pPr>
        <w:spacing w:line="257" w:lineRule="auto"/>
      </w:pPr>
      <w:r w:rsidRPr="3A3E4175">
        <w:rPr>
          <w:rFonts w:ascii="Verdana" w:hAnsi="Verdana" w:eastAsia="Verdana" w:cs="Verdana"/>
          <w:sz w:val="18"/>
          <w:szCs w:val="18"/>
        </w:rPr>
        <w:t>Hieronder volgt een omschrijving van de maatregelen en welke middelen oorspronkelijk zijn toegekend aan de maatregel en uit welk pakket.</w:t>
      </w:r>
    </w:p>
    <w:p w:rsidR="08CE7D5C" w:rsidP="3A3E4175" w:rsidRDefault="08CE7D5C" w14:paraId="2AB8F4F8" w14:textId="5295B09D">
      <w:pPr>
        <w:spacing w:line="257" w:lineRule="auto"/>
      </w:pPr>
      <w:r w:rsidRPr="3A3E4175">
        <w:rPr>
          <w:rFonts w:ascii="Verdana" w:hAnsi="Verdana" w:eastAsia="Verdana" w:cs="Verdana"/>
          <w:b/>
          <w:bCs/>
          <w:sz w:val="18"/>
          <w:szCs w:val="18"/>
          <w:u w:val="single"/>
        </w:rPr>
        <w:t>Landbouwmaatregelen:</w:t>
      </w:r>
    </w:p>
    <w:p w:rsidR="08CE7D5C" w:rsidP="3A3E4175" w:rsidRDefault="08CE7D5C" w14:paraId="74D287CC" w14:textId="7B2A9264">
      <w:pPr>
        <w:spacing w:line="257" w:lineRule="auto"/>
      </w:pPr>
      <w:r w:rsidRPr="3A3E4175">
        <w:rPr>
          <w:rFonts w:ascii="Verdana" w:hAnsi="Verdana" w:eastAsia="Verdana" w:cs="Verdana"/>
          <w:b/>
          <w:bCs/>
          <w:sz w:val="18"/>
          <w:szCs w:val="18"/>
        </w:rPr>
        <w:t>Maatregel gerichte aankoop en maatregel gerichte beëindiging</w:t>
      </w:r>
    </w:p>
    <w:p w:rsidR="08CE7D5C" w:rsidP="5783171A" w:rsidRDefault="2AA670F7" w14:paraId="05867A13" w14:textId="3E43B881">
      <w:pPr>
        <w:spacing w:line="257" w:lineRule="auto"/>
        <w:rPr>
          <w:rFonts w:ascii="Verdana" w:hAnsi="Verdana" w:eastAsia="Verdana" w:cs="Verdana"/>
          <w:sz w:val="18"/>
          <w:szCs w:val="18"/>
        </w:rPr>
      </w:pPr>
      <w:r w:rsidRPr="3C462CC1">
        <w:rPr>
          <w:rFonts w:ascii="Verdana" w:hAnsi="Verdana" w:eastAsia="Verdana" w:cs="Verdana"/>
          <w:sz w:val="18"/>
          <w:szCs w:val="18"/>
        </w:rPr>
        <w:t>Toegekende middelen: € 350. mln (structurele aanpak</w:t>
      </w:r>
      <w:r w:rsidRPr="3C462CC1" w:rsidR="41ADA906">
        <w:rPr>
          <w:rFonts w:ascii="Verdana" w:hAnsi="Verdana" w:eastAsia="Verdana" w:cs="Verdana"/>
          <w:sz w:val="18"/>
          <w:szCs w:val="18"/>
        </w:rPr>
        <w:t xml:space="preserve"> Rutte</w:t>
      </w:r>
      <w:r w:rsidRPr="3C462CC1" w:rsidR="507D17A2">
        <w:rPr>
          <w:rFonts w:ascii="Verdana" w:hAnsi="Verdana" w:eastAsia="Verdana" w:cs="Verdana"/>
          <w:sz w:val="18"/>
          <w:szCs w:val="18"/>
        </w:rPr>
        <w:t xml:space="preserve"> IV</w:t>
      </w:r>
      <w:r w:rsidRPr="3C462CC1">
        <w:rPr>
          <w:rFonts w:ascii="Verdana" w:hAnsi="Verdana" w:eastAsia="Verdana" w:cs="Verdana"/>
          <w:sz w:val="18"/>
          <w:szCs w:val="18"/>
        </w:rPr>
        <w:t>)</w:t>
      </w:r>
    </w:p>
    <w:p w:rsidR="08CE7D5C" w:rsidP="3A3E4175" w:rsidRDefault="08CE7D5C" w14:paraId="5DB7033F" w14:textId="60510844">
      <w:pPr>
        <w:spacing w:line="257" w:lineRule="auto"/>
      </w:pPr>
      <w:r w:rsidRPr="3A3E4175">
        <w:rPr>
          <w:rFonts w:ascii="Verdana" w:hAnsi="Verdana" w:eastAsia="Verdana" w:cs="Verdana"/>
          <w:sz w:val="18"/>
          <w:szCs w:val="18"/>
        </w:rPr>
        <w:t xml:space="preserve">Omschrijving: Het doel van de MGA en de MGB is om via een gebiedsgerichte aanpak doelstellingen te realiseren op het gebied van: Reductie stikstof; en/of Realisatie van doelen m.b.t. natuur, klimaat en water; KRW, VR, HR en Realisatie van de provinciale gebiedsprocessen. </w:t>
      </w:r>
    </w:p>
    <w:p w:rsidR="08CE7D5C" w:rsidP="3A3E4175" w:rsidRDefault="08CE7D5C" w14:paraId="5479305E" w14:textId="7B2B4FF9">
      <w:pPr>
        <w:spacing w:line="257" w:lineRule="auto"/>
      </w:pPr>
      <w:r w:rsidRPr="3A3E4175">
        <w:rPr>
          <w:rFonts w:ascii="Verdana" w:hAnsi="Verdana" w:eastAsia="Verdana" w:cs="Verdana"/>
          <w:sz w:val="18"/>
          <w:szCs w:val="18"/>
        </w:rPr>
        <w:t xml:space="preserve">Het is een SPUK-regeling die de voorwaarden vastlegt voor provinciale overheidssteun voor het geheel of gedeeltelijk sluiten van productiecapaciteit (beëindiging van veehouderijlocaties). Provincies stellen eigen regelingen open op basis van de MGB en kunnen een nadere begrenzing aanbrengen voor de gebieden waarvoor ze de regeling openstellen. </w:t>
      </w:r>
    </w:p>
    <w:p w:rsidR="08CE7D5C" w:rsidP="3A3E4175" w:rsidRDefault="08CE7D5C" w14:paraId="0D282769" w14:textId="245B96AD">
      <w:pPr>
        <w:spacing w:line="257" w:lineRule="auto"/>
      </w:pPr>
      <w:r w:rsidRPr="3A3E4175">
        <w:rPr>
          <w:rFonts w:ascii="Verdana" w:hAnsi="Verdana" w:eastAsia="Verdana" w:cs="Verdana"/>
          <w:sz w:val="18"/>
          <w:szCs w:val="18"/>
        </w:rPr>
        <w:t xml:space="preserve">Gebieden: veenweiden, (hoge) zandgronden, beekdalen en overgangszones rond Natura2000-gebieden. </w:t>
      </w:r>
    </w:p>
    <w:p w:rsidR="08CE7D5C" w:rsidP="3A3E4175" w:rsidRDefault="08CE7D5C" w14:paraId="28D02F1C" w14:textId="06C4AE9C">
      <w:pPr>
        <w:spacing w:line="257" w:lineRule="auto"/>
      </w:pPr>
      <w:r w:rsidRPr="3A3E4175">
        <w:rPr>
          <w:rFonts w:ascii="Verdana" w:hAnsi="Verdana" w:eastAsia="Verdana" w:cs="Verdana"/>
          <w:sz w:val="18"/>
          <w:szCs w:val="18"/>
        </w:rPr>
        <w:t>Het is voor provincies mogelijk om PAS-melders vrijwillig te laten beëindigen via de staatssteunnotificatie van de MGB. Provincies bepalen zelf of en hoeveel budget zij hiervoor inzetten.</w:t>
      </w:r>
    </w:p>
    <w:p w:rsidR="08CE7D5C" w:rsidP="3A3E4175" w:rsidRDefault="08CE7D5C" w14:paraId="403F1508" w14:textId="47AC8FB3">
      <w:pPr>
        <w:spacing w:line="257" w:lineRule="auto"/>
      </w:pPr>
      <w:r w:rsidRPr="3A3E4175">
        <w:rPr>
          <w:rFonts w:ascii="Verdana" w:hAnsi="Verdana" w:eastAsia="Verdana" w:cs="Verdana"/>
          <w:b/>
          <w:bCs/>
          <w:sz w:val="18"/>
          <w:szCs w:val="18"/>
        </w:rPr>
        <w:t>Landelijke beëindigingsregeling veehouderijlocaties</w:t>
      </w:r>
    </w:p>
    <w:p w:rsidR="08CE7D5C" w:rsidP="7C493882" w:rsidRDefault="2AA670F7" w14:paraId="2D656D31" w14:textId="5F204E4F">
      <w:pPr>
        <w:spacing w:line="257" w:lineRule="auto"/>
      </w:pPr>
      <w:r w:rsidRPr="7C493882">
        <w:rPr>
          <w:rFonts w:ascii="Verdana" w:hAnsi="Verdana" w:eastAsia="Verdana" w:cs="Verdana"/>
          <w:sz w:val="18"/>
          <w:szCs w:val="18"/>
        </w:rPr>
        <w:t>Toegekende middelen: € 1102. Mln. (</w:t>
      </w:r>
      <w:r w:rsidRPr="7C493882" w:rsidR="77630CB6">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37F992F0" w14:textId="2C5CD70B">
      <w:pPr>
        <w:spacing w:line="257" w:lineRule="auto"/>
      </w:pPr>
      <w:r w:rsidRPr="3A3E4175">
        <w:rPr>
          <w:rFonts w:ascii="Verdana" w:hAnsi="Verdana" w:eastAsia="Verdana" w:cs="Verdana"/>
          <w:sz w:val="18"/>
          <w:szCs w:val="18"/>
        </w:rPr>
        <w:t>Omschrijving: De Landelijke beëindigingsregeling veehouderijlocaties heeft als doel het verminderen van depositie van stikstof op overbelaste Natura2000-gebieden door een subsidie te verlenen voor het definitief en onherroepelijk sluiten van veehouderijlocaties.</w:t>
      </w:r>
    </w:p>
    <w:p w:rsidR="08CE7D5C" w:rsidP="3A3E4175" w:rsidRDefault="08CE7D5C" w14:paraId="0B4854DA" w14:textId="158B5BB2">
      <w:pPr>
        <w:spacing w:line="257" w:lineRule="auto"/>
      </w:pPr>
      <w:r w:rsidRPr="3A3E4175">
        <w:rPr>
          <w:rFonts w:ascii="Verdana" w:hAnsi="Verdana" w:eastAsia="Verdana" w:cs="Verdana"/>
          <w:b/>
          <w:bCs/>
          <w:sz w:val="18"/>
          <w:szCs w:val="18"/>
        </w:rPr>
        <w:t>Landelijke beëindigingsregeling veehouderijlocaties plus</w:t>
      </w:r>
    </w:p>
    <w:p w:rsidR="08CE7D5C" w:rsidP="3A3E4175" w:rsidRDefault="08CE7D5C" w14:paraId="3D7FE3F5" w14:textId="53CAFA87">
      <w:pPr>
        <w:spacing w:line="257" w:lineRule="auto"/>
      </w:pPr>
      <w:r w:rsidRPr="3A3E4175">
        <w:rPr>
          <w:rFonts w:ascii="Verdana" w:hAnsi="Verdana" w:eastAsia="Verdana" w:cs="Verdana"/>
          <w:sz w:val="18"/>
          <w:szCs w:val="18"/>
        </w:rPr>
        <w:t>Toegekende middelen: € 1.820. mln.</w:t>
      </w:r>
    </w:p>
    <w:p w:rsidR="08CE7D5C" w:rsidP="3A3E4175" w:rsidRDefault="08CE7D5C" w14:paraId="2AF5367A" w14:textId="467350DD">
      <w:pPr>
        <w:spacing w:line="257" w:lineRule="auto"/>
      </w:pPr>
      <w:r w:rsidRPr="3A3E4175">
        <w:rPr>
          <w:rFonts w:ascii="Verdana" w:hAnsi="Verdana" w:eastAsia="Verdana" w:cs="Verdana"/>
          <w:sz w:val="18"/>
          <w:szCs w:val="18"/>
        </w:rPr>
        <w:t>Omschrijving: De Landelijke beëindigingsregeling veehouderijlocaties met piekbelasting (Lbv-plus) heeft als doel het verminderen van depositie van stikstof op overbelaste Natura 2000-gebieden door een subsidie te verlenen voor het definitief en onherroepelijk sluiten van veehouderijlocaties. De Lbv-plus heeft hogere vergoedingen dan de Lbv. Dat komt doordat de Lbv-plus is ingericht voor piekbelasters. Dit zijn de circa 2.800 melkvee-, varkens-, pluimvee- en vleeskalverhouderijlocaties uit de doelgroep van circa 3.000 piekbelasters (waaronder ook industrie en andere dia categorieën) die de meeste stikstofneerslag op Natura 2000-gebieden veroorzaken.</w:t>
      </w:r>
    </w:p>
    <w:p w:rsidR="08CE7D5C" w:rsidP="3A3E4175" w:rsidRDefault="08CE7D5C" w14:paraId="6B20C54C" w14:textId="0334C97C">
      <w:pPr>
        <w:spacing w:line="257" w:lineRule="auto"/>
      </w:pPr>
      <w:r w:rsidRPr="3A3E4175">
        <w:rPr>
          <w:rFonts w:ascii="Verdana" w:hAnsi="Verdana" w:eastAsia="Verdana" w:cs="Verdana"/>
          <w:b/>
          <w:bCs/>
          <w:sz w:val="18"/>
          <w:szCs w:val="18"/>
        </w:rPr>
        <w:t>Verhogen budget Subsidieregeling sanering varkenshouderijen</w:t>
      </w:r>
    </w:p>
    <w:p w:rsidR="08CE7D5C" w:rsidP="7C493882" w:rsidRDefault="2AA670F7" w14:paraId="42B6E5EC" w14:textId="1D251477">
      <w:pPr>
        <w:spacing w:line="257" w:lineRule="auto"/>
      </w:pPr>
      <w:r w:rsidRPr="7C493882">
        <w:rPr>
          <w:rFonts w:ascii="Verdana" w:hAnsi="Verdana" w:eastAsia="Verdana" w:cs="Verdana"/>
          <w:sz w:val="18"/>
          <w:szCs w:val="18"/>
        </w:rPr>
        <w:t>Toegekende middelen: € 275 mln. (</w:t>
      </w:r>
      <w:r w:rsidRPr="7C493882" w:rsidR="7F0EA29B">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7F9EC808" w14:textId="63173F00">
      <w:pPr>
        <w:spacing w:line="257" w:lineRule="auto"/>
      </w:pPr>
      <w:r w:rsidRPr="3A3E4175">
        <w:rPr>
          <w:rFonts w:ascii="Verdana" w:hAnsi="Verdana" w:eastAsia="Verdana" w:cs="Verdana"/>
          <w:sz w:val="18"/>
          <w:szCs w:val="18"/>
        </w:rPr>
        <w:t>Omschrijving: Het doel van de subsidieregeling sanering varkenshouderijen (Srv) is primair gericht op het op korte termijn verminderen van de meest urgente situaties van geuroverlast in veedichte gebieden. Dit wordt bereikt door op varkenshouderijlocaties die geuroverlast veroorzaken en die zich aanmelden voor de subsidieregeling, de bestaande productie van varkens en de productiecapaciteit definitief en onherroepelijk te beëindigen. Met de tweede verhoging (vanuit de structurele aanpak stikstof) van de Srv is deze regeling ook een stikstofmaatregel geworden. De reductie van de stikstofemissie die met deze twee verhogingen van het oorspronkelijke subsidieplafond wordt bewerkstelligd wordt ingezet voor vergunningverlening en de structurele aanpak bronmaatregelen.</w:t>
      </w:r>
    </w:p>
    <w:p w:rsidR="08CE7D5C" w:rsidP="3A3E4175" w:rsidRDefault="08CE7D5C" w14:paraId="0A61F5DE" w14:textId="277E2882">
      <w:pPr>
        <w:spacing w:line="257" w:lineRule="auto"/>
      </w:pPr>
      <w:r w:rsidRPr="3A3E4175">
        <w:rPr>
          <w:rFonts w:ascii="Verdana" w:hAnsi="Verdana" w:eastAsia="Verdana" w:cs="Verdana"/>
          <w:b/>
          <w:bCs/>
          <w:sz w:val="18"/>
          <w:szCs w:val="18"/>
        </w:rPr>
        <w:t>Vrijwillige beëindigingsregeling veehouderijlocaties</w:t>
      </w:r>
    </w:p>
    <w:p w:rsidR="08CE7D5C" w:rsidP="3A3E4175" w:rsidRDefault="08CE7D5C" w14:paraId="527274FE" w14:textId="739944C0">
      <w:pPr>
        <w:spacing w:line="257" w:lineRule="auto"/>
      </w:pPr>
      <w:r w:rsidRPr="3A3E4175">
        <w:rPr>
          <w:rFonts w:ascii="Verdana" w:hAnsi="Verdana" w:eastAsia="Verdana" w:cs="Verdana"/>
          <w:sz w:val="18"/>
          <w:szCs w:val="18"/>
        </w:rPr>
        <w:t>Toegekende middelen: €750 mln. inclusief uitvoering (startpakket MCEN)</w:t>
      </w:r>
    </w:p>
    <w:p w:rsidR="08CE7D5C" w:rsidP="3A3E4175" w:rsidRDefault="08CE7D5C" w14:paraId="6D14C73B" w14:textId="7649F84E">
      <w:pPr>
        <w:spacing w:after="0" w:line="257" w:lineRule="auto"/>
      </w:pPr>
      <w:r w:rsidRPr="3A3E4175">
        <w:rPr>
          <w:rFonts w:ascii="Verdana" w:hAnsi="Verdana" w:eastAsia="Verdana" w:cs="Verdana"/>
          <w:sz w:val="18"/>
          <w:szCs w:val="18"/>
        </w:rPr>
        <w:lastRenderedPageBreak/>
        <w:t>Omschrijving: De Vrijwillige beëindigingsregeling veehouderijlocaties heeft tot doel om de emissie van ammoniak van veehouderijlocaties in heel Nederland blijvend te reduceren en hiermee natuurherstel te bevorderen. Veehouders kunnen op grond van de regeling een subsidie krijgen voor het definitief en onherroepelijk beëindigen van de productie en de productiecapaciteit op een veehouderijlocatie. Veehouderijlocaties gelegen binnen 1.000 meter van overbelaste stikstofgevoelige Natura2000-gebied kunnen met voorrang aanspraak maken op subsidie.</w:t>
      </w:r>
    </w:p>
    <w:p w:rsidR="08CE7D5C" w:rsidP="3A3E4175" w:rsidRDefault="08CE7D5C" w14:paraId="1737AEB3" w14:textId="78387EF0">
      <w:pPr>
        <w:spacing w:line="257" w:lineRule="auto"/>
      </w:pPr>
      <w:r w:rsidRPr="3A3E4175">
        <w:rPr>
          <w:rFonts w:ascii="Verdana" w:hAnsi="Verdana" w:eastAsia="Verdana" w:cs="Verdana"/>
          <w:b/>
          <w:bCs/>
          <w:sz w:val="18"/>
          <w:szCs w:val="18"/>
        </w:rPr>
        <w:t xml:space="preserve"> </w:t>
      </w:r>
    </w:p>
    <w:p w:rsidR="08CE7D5C" w:rsidP="3A3E4175" w:rsidRDefault="08CE7D5C" w14:paraId="2F8365AF" w14:textId="78296559">
      <w:pPr>
        <w:spacing w:line="257" w:lineRule="auto"/>
      </w:pPr>
      <w:r w:rsidRPr="3A3E4175">
        <w:rPr>
          <w:rFonts w:ascii="Verdana" w:hAnsi="Verdana" w:eastAsia="Verdana" w:cs="Verdana"/>
          <w:b/>
          <w:bCs/>
          <w:sz w:val="18"/>
          <w:szCs w:val="18"/>
        </w:rPr>
        <w:t>Verlagen ruw eiwit</w:t>
      </w:r>
    </w:p>
    <w:p w:rsidR="08CE7D5C" w:rsidP="7C493882" w:rsidRDefault="2AA670F7" w14:paraId="135E4C7D" w14:textId="2070F5DD">
      <w:pPr>
        <w:spacing w:line="257" w:lineRule="auto"/>
      </w:pPr>
      <w:r w:rsidRPr="7C493882">
        <w:rPr>
          <w:rFonts w:ascii="Verdana" w:hAnsi="Verdana" w:eastAsia="Verdana" w:cs="Verdana"/>
          <w:sz w:val="18"/>
          <w:szCs w:val="18"/>
        </w:rPr>
        <w:t>Toegekende middelen: € 73 mln. (</w:t>
      </w:r>
      <w:r w:rsidRPr="7C493882" w:rsidR="09C9DDF4">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0D71F9E5" w14:textId="4EF12B64">
      <w:pPr>
        <w:spacing w:line="257" w:lineRule="auto"/>
      </w:pPr>
      <w:r w:rsidRPr="3A3E4175">
        <w:rPr>
          <w:rFonts w:ascii="Verdana" w:hAnsi="Verdana" w:eastAsia="Verdana" w:cs="Verdana"/>
          <w:sz w:val="18"/>
          <w:szCs w:val="18"/>
        </w:rPr>
        <w:t>Omschrijving: Stikstofreductie door aanpassing van het veevoer. Voor de jaren na 2020 zal worden ingezet op een met de sector overeen te komen afsprakenkader, gericht op voermanagementmaatregelen ter verdunning van de stikstofdeken. Voor de implementatie van veevoermaatregelen is € 73 mln. beschikbaar. Een aanzienlijk deel van dat geld zal worden ingezet voor coaches. Deze coaches werken integraal en zullen naast veevoer ook ondersteuning bieden bij implementatie van andere bronmaatregelen.</w:t>
      </w:r>
    </w:p>
    <w:p w:rsidR="08CE7D5C" w:rsidP="3A3E4175" w:rsidRDefault="08CE7D5C" w14:paraId="0BE3ECA6" w14:textId="56BA8216">
      <w:pPr>
        <w:spacing w:line="257" w:lineRule="auto"/>
      </w:pPr>
      <w:r w:rsidRPr="3A3E4175">
        <w:rPr>
          <w:rFonts w:ascii="Verdana" w:hAnsi="Verdana" w:eastAsia="Verdana" w:cs="Verdana"/>
          <w:b/>
          <w:bCs/>
          <w:sz w:val="18"/>
          <w:szCs w:val="18"/>
        </w:rPr>
        <w:t>Verdunnen mest</w:t>
      </w:r>
    </w:p>
    <w:p w:rsidR="08CE7D5C" w:rsidP="7C493882" w:rsidRDefault="2AA670F7" w14:paraId="35C65440" w14:textId="187D03B2">
      <w:pPr>
        <w:spacing w:line="257" w:lineRule="auto"/>
      </w:pPr>
      <w:r w:rsidRPr="7C493882">
        <w:rPr>
          <w:rFonts w:ascii="Verdana" w:hAnsi="Verdana" w:eastAsia="Verdana" w:cs="Verdana"/>
          <w:sz w:val="18"/>
          <w:szCs w:val="18"/>
        </w:rPr>
        <w:t>Toegekende middelen: € 105 mln. (</w:t>
      </w:r>
      <w:r w:rsidRPr="7C493882" w:rsidR="1648F1DC">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7E492F38" w14:textId="2BACAD09">
      <w:pPr>
        <w:spacing w:line="257" w:lineRule="auto"/>
      </w:pPr>
      <w:r w:rsidRPr="3A3E4175">
        <w:rPr>
          <w:rFonts w:ascii="Verdana" w:hAnsi="Verdana" w:eastAsia="Verdana" w:cs="Verdana"/>
          <w:sz w:val="18"/>
          <w:szCs w:val="18"/>
        </w:rPr>
        <w:t>Omschrijving: Het toedienen van drijfmest aan grasland op zandgrond vindt voor het grootste deel plaats met de zodenbemester. Hiermee wordt, vergeleken met oppervlakkige toediening, al een belangrijke reductie van de ammoniakemissie bereikt. De verwachting was dat verdere reductie mogelijk was door de mest beperkt te verdunnen in de verhouding van 1 deel water op 2 delen mest. Inmiddels is gebleken dat deze maatregel niet de gewenste effecten beoogt en er is daarom besloten deze maatregel voortijdig te stoppen.</w:t>
      </w:r>
    </w:p>
    <w:p w:rsidR="08CE7D5C" w:rsidP="3A3E4175" w:rsidRDefault="08CE7D5C" w14:paraId="43B04551" w14:textId="6FDFFB71">
      <w:pPr>
        <w:spacing w:line="257" w:lineRule="auto"/>
      </w:pPr>
      <w:r w:rsidRPr="3A3E4175">
        <w:rPr>
          <w:rFonts w:ascii="Verdana" w:hAnsi="Verdana" w:eastAsia="Verdana" w:cs="Verdana"/>
          <w:b/>
          <w:bCs/>
          <w:sz w:val="18"/>
          <w:szCs w:val="18"/>
        </w:rPr>
        <w:t>Vergroten aantal uren weidegang</w:t>
      </w:r>
    </w:p>
    <w:p w:rsidR="08CE7D5C" w:rsidP="7C493882" w:rsidRDefault="2AA670F7" w14:paraId="67186276" w14:textId="0D11F1C3">
      <w:pPr>
        <w:spacing w:line="257" w:lineRule="auto"/>
      </w:pPr>
      <w:r w:rsidRPr="7C493882">
        <w:rPr>
          <w:rFonts w:ascii="Verdana" w:hAnsi="Verdana" w:eastAsia="Verdana" w:cs="Verdana"/>
          <w:sz w:val="18"/>
          <w:szCs w:val="18"/>
        </w:rPr>
        <w:t>Toegekende middelen: € 3 mln. (</w:t>
      </w:r>
      <w:r w:rsidRPr="7C493882" w:rsidR="5F79B9BD">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31BE814D" w14:textId="2212E59A">
      <w:pPr>
        <w:spacing w:line="257" w:lineRule="auto"/>
      </w:pPr>
      <w:r w:rsidRPr="3A3E4175">
        <w:rPr>
          <w:rFonts w:ascii="Verdana" w:hAnsi="Verdana" w:eastAsia="Verdana" w:cs="Verdana"/>
          <w:sz w:val="18"/>
          <w:szCs w:val="18"/>
        </w:rPr>
        <w:t>Omschrijving: Het vergroten van weidegang is een brede maatschappelijke wens en levert een bijdrage aan de reductie van ammoniakemissie. Meer weidegang is alleen mogelijk bij een gezamenlijke inzet van bedrijfsleven en overheid. De inzet is gericht op uitbreiding van het gemiddelde aantal uren weidegang per jaar. In dit kader zijn verschillende kennisontwikkelings- en verspreidingsactiviteiten gefinancierd.</w:t>
      </w:r>
    </w:p>
    <w:p w:rsidR="08CE7D5C" w:rsidP="3A3E4175" w:rsidRDefault="08CE7D5C" w14:paraId="765A8351" w14:textId="21EF6C14">
      <w:pPr>
        <w:spacing w:line="257" w:lineRule="auto"/>
      </w:pPr>
      <w:r w:rsidRPr="3A3E4175">
        <w:rPr>
          <w:rFonts w:ascii="Verdana" w:hAnsi="Verdana" w:eastAsia="Verdana" w:cs="Verdana"/>
          <w:b/>
          <w:bCs/>
          <w:sz w:val="18"/>
          <w:szCs w:val="18"/>
        </w:rPr>
        <w:t>Subsidieregeling extensivering melkveehouderij (Sem)</w:t>
      </w:r>
    </w:p>
    <w:p w:rsidR="08CE7D5C" w:rsidP="3A3E4175" w:rsidRDefault="08CE7D5C" w14:paraId="151A3DB2" w14:textId="04FAA8EE">
      <w:pPr>
        <w:spacing w:line="257" w:lineRule="auto"/>
      </w:pPr>
      <w:r w:rsidRPr="3A3E4175">
        <w:rPr>
          <w:rFonts w:ascii="Verdana" w:hAnsi="Verdana" w:eastAsia="Verdana" w:cs="Verdana"/>
          <w:sz w:val="18"/>
          <w:szCs w:val="18"/>
        </w:rPr>
        <w:t>Toegekende middelen: €627 mln. (startpakket MCEN)</w:t>
      </w:r>
    </w:p>
    <w:p w:rsidR="08CE7D5C" w:rsidP="3A3E4175" w:rsidRDefault="08CE7D5C" w14:paraId="3BDB8AE1" w14:textId="53E3C2DB">
      <w:pPr>
        <w:spacing w:line="257" w:lineRule="auto"/>
      </w:pPr>
      <w:r w:rsidRPr="3A3E4175">
        <w:rPr>
          <w:rFonts w:ascii="Verdana" w:hAnsi="Verdana" w:eastAsia="Verdana" w:cs="Verdana"/>
          <w:sz w:val="18"/>
          <w:szCs w:val="18"/>
        </w:rPr>
        <w:t>Omschrijving: Het doel van de Subsidieregeling extensivering melkveehouderij (Sem) is het structureel verminderen van broeikasgas- en ammoniakemissies, waarbij als neveneffect de mestproductie zal verlagen. Ingezet wordt op een driejarige looptijd van de Sem, waarbij melkveehouders kunnen kiezen om tijdelijk tussen de 10-20% minder melk- en kalfkoeien te houden. Het fosfaatrecht dat hoort bij het aantal melk- en kalfkoeien dat minder wordt gehouden, moet volledig worden doorgehaald. Daarnaast mag het aantal overige graasdieren op het melkveebedrijf gedurende de looptijd van de regeling niet toenemen en het aantal hectare grasland mag niet afnemen.</w:t>
      </w:r>
    </w:p>
    <w:p w:rsidR="08CE7D5C" w:rsidP="3A3E4175" w:rsidRDefault="08CE7D5C" w14:paraId="28147A44" w14:textId="4F294852">
      <w:pPr>
        <w:spacing w:line="257" w:lineRule="auto"/>
      </w:pPr>
      <w:r w:rsidRPr="3A3E4175">
        <w:rPr>
          <w:rFonts w:ascii="Verdana" w:hAnsi="Verdana" w:eastAsia="Verdana" w:cs="Verdana"/>
          <w:b/>
          <w:bCs/>
          <w:sz w:val="18"/>
          <w:szCs w:val="18"/>
        </w:rPr>
        <w:t>Ontwikkeling nieuwe doelsturingssystematiek</w:t>
      </w:r>
    </w:p>
    <w:p w:rsidR="08CE7D5C" w:rsidP="3A3E4175" w:rsidRDefault="08CE7D5C" w14:paraId="3A32F758" w14:textId="68895DC0">
      <w:pPr>
        <w:spacing w:line="257" w:lineRule="auto"/>
      </w:pPr>
      <w:r w:rsidRPr="3A3E4175">
        <w:rPr>
          <w:rFonts w:ascii="Verdana" w:hAnsi="Verdana" w:eastAsia="Verdana" w:cs="Verdana"/>
          <w:sz w:val="18"/>
          <w:szCs w:val="18"/>
        </w:rPr>
        <w:t>Toegekende middelen: €200 mln. (startpakket MCEN)</w:t>
      </w:r>
    </w:p>
    <w:p w:rsidR="08CE7D5C" w:rsidP="3A3E4175" w:rsidRDefault="08CE7D5C" w14:paraId="70261041" w14:textId="4B72AF49">
      <w:pPr>
        <w:spacing w:after="0" w:line="257" w:lineRule="auto"/>
      </w:pPr>
      <w:r w:rsidRPr="3A3E4175">
        <w:rPr>
          <w:rFonts w:ascii="Verdana" w:hAnsi="Verdana" w:eastAsia="Verdana" w:cs="Verdana"/>
          <w:sz w:val="18"/>
          <w:szCs w:val="18"/>
        </w:rPr>
        <w:t xml:space="preserve">Omschrijving: Bedrijfsgerichte doelsturing geeft boeren ruimte om via eigen keuzes doelen te realiseren. Om de doelen te halen kunnen boeren zelf bepalen welke maatregelen zij inzetten, zoals management- of stalmaatregelen. Het kabinet werkt in het kader van de Taskforce diverse ondersteunende maatregelen uit. Een belangrijke voorwaarde is dat er een juridisch en technisch houdbare doelsturingssystematiek wordt ontwikkeld waardoor ondernemers kunnen aantonen dat ze aan de norm kunnen voldoen. </w:t>
      </w:r>
    </w:p>
    <w:p w:rsidR="08CE7D5C" w:rsidP="3A3E4175" w:rsidRDefault="08CE7D5C" w14:paraId="3306097C" w14:textId="0D36CD90">
      <w:pPr>
        <w:spacing w:after="0" w:line="257" w:lineRule="auto"/>
      </w:pPr>
      <w:r w:rsidRPr="3A3E4175">
        <w:rPr>
          <w:rFonts w:ascii="Verdana" w:hAnsi="Verdana" w:eastAsia="Verdana" w:cs="Verdana"/>
          <w:i/>
          <w:iCs/>
          <w:sz w:val="18"/>
          <w:szCs w:val="18"/>
        </w:rPr>
        <w:t xml:space="preserve"> </w:t>
      </w:r>
    </w:p>
    <w:p w:rsidRPr="00D70F9D" w:rsidR="20292CF2" w:rsidP="5783171A" w:rsidRDefault="6241CF12" w14:paraId="7A84DDA5" w14:textId="1E951103">
      <w:pPr>
        <w:spacing w:line="257" w:lineRule="auto"/>
        <w:rPr>
          <w:rFonts w:ascii="Verdana" w:hAnsi="Verdana" w:eastAsia="Verdana" w:cs="Verdana"/>
          <w:b/>
          <w:bCs/>
          <w:sz w:val="18"/>
          <w:szCs w:val="18"/>
        </w:rPr>
      </w:pPr>
      <w:r w:rsidRPr="00D70F9D">
        <w:rPr>
          <w:rFonts w:ascii="Verdana" w:hAnsi="Verdana" w:eastAsia="Verdana" w:cs="Verdana"/>
          <w:b/>
          <w:bCs/>
          <w:sz w:val="18"/>
          <w:szCs w:val="18"/>
        </w:rPr>
        <w:lastRenderedPageBreak/>
        <w:t>Uitbreiding agrarisch natuurbeheer</w:t>
      </w:r>
    </w:p>
    <w:p w:rsidRPr="00D70F9D" w:rsidR="20292CF2" w:rsidP="7C493882" w:rsidRDefault="6241CF12" w14:paraId="043C0C34" w14:textId="4401ABA0">
      <w:pPr>
        <w:spacing w:line="257" w:lineRule="auto"/>
        <w:rPr>
          <w:rFonts w:ascii="Verdana" w:hAnsi="Verdana" w:eastAsia="Verdana" w:cs="Verdana"/>
          <w:sz w:val="18"/>
          <w:szCs w:val="18"/>
        </w:rPr>
      </w:pPr>
      <w:r w:rsidRPr="00D70F9D">
        <w:rPr>
          <w:rFonts w:ascii="Verdana" w:hAnsi="Verdana" w:eastAsia="Verdana" w:cs="Verdana"/>
          <w:sz w:val="18"/>
          <w:szCs w:val="18"/>
        </w:rPr>
        <w:t xml:space="preserve">Toegekende middelen: €200 mln en €13 mln voor monitoren, MCEN. </w:t>
      </w:r>
      <w:r w:rsidRPr="7C493882" w:rsidR="4E82B9C5">
        <w:rPr>
          <w:rFonts w:ascii="Verdana" w:hAnsi="Verdana" w:eastAsia="Verdana" w:cs="Verdana"/>
          <w:sz w:val="18"/>
          <w:szCs w:val="18"/>
        </w:rPr>
        <w:t xml:space="preserve">Structurele aanpak Rutte IV </w:t>
      </w:r>
      <w:r w:rsidRPr="7C493882">
        <w:rPr>
          <w:rFonts w:ascii="Verdana" w:hAnsi="Verdana" w:eastAsia="Verdana" w:cs="Verdana"/>
          <w:sz w:val="18"/>
          <w:szCs w:val="18"/>
        </w:rPr>
        <w:t>startpakket MCEN en €120 mln per jaar GLB</w:t>
      </w:r>
      <w:r w:rsidRPr="7C493882" w:rsidR="69F7EAF7">
        <w:rPr>
          <w:rFonts w:ascii="Verdana" w:hAnsi="Verdana" w:eastAsia="Verdana" w:cs="Verdana"/>
          <w:sz w:val="18"/>
          <w:szCs w:val="18"/>
        </w:rPr>
        <w:t xml:space="preserve"> en </w:t>
      </w:r>
      <w:r w:rsidRPr="00D70F9D">
        <w:rPr>
          <w:rFonts w:ascii="Verdana" w:hAnsi="Verdana" w:eastAsia="Verdana" w:cs="Verdana"/>
          <w:sz w:val="18"/>
          <w:szCs w:val="18"/>
        </w:rPr>
        <w:t>provincies.</w:t>
      </w:r>
    </w:p>
    <w:p w:rsidRPr="00D70F9D" w:rsidR="20292CF2" w:rsidP="7C493882" w:rsidRDefault="6241CF12" w14:paraId="6FE87167" w14:textId="16E63A56">
      <w:pPr>
        <w:spacing w:line="257" w:lineRule="auto"/>
        <w:rPr>
          <w:rFonts w:ascii="Verdana" w:hAnsi="Verdana" w:eastAsia="Verdana" w:cs="Verdana"/>
          <w:sz w:val="18"/>
          <w:szCs w:val="18"/>
        </w:rPr>
      </w:pPr>
      <w:r w:rsidRPr="00D70F9D">
        <w:rPr>
          <w:rFonts w:ascii="Verdana" w:hAnsi="Verdana" w:eastAsia="Verdana" w:cs="Verdana"/>
          <w:sz w:val="18"/>
          <w:szCs w:val="18"/>
        </w:rPr>
        <w:t>Omschrijving: Het programma Agrarisch Natuurbeheer bevat een set van regelingen waarvan het Agrarisch natuur- en landschapsbeheer de belangrijkste is. De overige regelingen zijn hier, met name in een transitieperiode, ondersteunend aan.</w:t>
      </w:r>
    </w:p>
    <w:p w:rsidRPr="00D70F9D" w:rsidR="20292CF2" w:rsidP="7C493882" w:rsidRDefault="6241CF12" w14:paraId="42F784BB" w14:textId="7A631FCD">
      <w:pPr>
        <w:spacing w:line="257" w:lineRule="auto"/>
        <w:rPr>
          <w:rFonts w:ascii="Verdana" w:hAnsi="Verdana" w:eastAsia="Verdana" w:cs="Verdana"/>
          <w:sz w:val="18"/>
          <w:szCs w:val="18"/>
        </w:rPr>
      </w:pPr>
      <w:r w:rsidRPr="00D70F9D">
        <w:rPr>
          <w:rFonts w:ascii="Verdana" w:hAnsi="Verdana" w:eastAsia="Verdana" w:cs="Verdana"/>
          <w:sz w:val="18"/>
          <w:szCs w:val="18"/>
        </w:rPr>
        <w:t xml:space="preserve">Agrarisch natuur- en landschapsbeheer (ANLb). Het ANLb is nu een 6-jarige subsidieregeling die wordt uitgevoerd door provincies en deel uitmaakt van het GLB. Met de regeling worden agrarische collectieven structureel vergoed voor het actief bijdragen aan het verbeteren van natuurwaarden op landbouwgrond. Met de € 200 miljoen extra structureel voor agrarisch natuurbeheer zal het areaal voor het ANLb fors toenemen. Daarnaast worden de vergoedingen concurrerend gemaakt, langjarige contracten mogelijk gemaakt en wordt het aandeel zwaar beheer uitgebreid. </w:t>
      </w:r>
    </w:p>
    <w:p w:rsidR="20292CF2" w:rsidP="7C493882" w:rsidRDefault="6241CF12" w14:paraId="609C6658" w14:textId="53EBAB28">
      <w:pPr>
        <w:spacing w:line="257" w:lineRule="auto"/>
        <w:rPr>
          <w:rFonts w:ascii="Verdana" w:hAnsi="Verdana" w:eastAsia="Verdana" w:cs="Verdana"/>
          <w:sz w:val="18"/>
          <w:szCs w:val="18"/>
        </w:rPr>
      </w:pPr>
      <w:r w:rsidRPr="00D70F9D">
        <w:rPr>
          <w:rFonts w:ascii="Verdana" w:hAnsi="Verdana" w:eastAsia="Verdana" w:cs="Verdana"/>
          <w:sz w:val="18"/>
          <w:szCs w:val="18"/>
        </w:rPr>
        <w:t>Investeringspakket ten behoeve van agrarische ondernemers. Hierbij gaat het om investeringen die vooraf</w:t>
      </w:r>
      <w:r w:rsidRPr="7C493882">
        <w:rPr>
          <w:rFonts w:ascii="Verdana" w:hAnsi="Verdana" w:eastAsia="Verdana" w:cs="Verdana"/>
          <w:sz w:val="18"/>
          <w:szCs w:val="18"/>
        </w:rPr>
        <w:t xml:space="preserve"> gaan en ondersteunend zijn aan langjarig agrarisch natuurbeheer. Bij het uitbreiden van het areaal ANLb is het niet alleen van belang om meer hectares te realiseren, maar ook om het beheer te verzwaren om de ecologische meerwaarde te vergroten. </w:t>
      </w:r>
    </w:p>
    <w:p w:rsidR="20292CF2" w:rsidP="7C493882" w:rsidRDefault="6241CF12" w14:paraId="57EBC967" w14:textId="040580F3">
      <w:pPr>
        <w:spacing w:line="257" w:lineRule="auto"/>
        <w:rPr>
          <w:rFonts w:ascii="Verdana" w:hAnsi="Verdana" w:eastAsia="Verdana" w:cs="Verdana"/>
          <w:sz w:val="18"/>
          <w:szCs w:val="18"/>
        </w:rPr>
      </w:pPr>
      <w:r w:rsidRPr="7C493882">
        <w:rPr>
          <w:rFonts w:ascii="Verdana" w:hAnsi="Verdana" w:eastAsia="Verdana" w:cs="Verdana"/>
          <w:sz w:val="18"/>
          <w:szCs w:val="18"/>
        </w:rPr>
        <w:t xml:space="preserve">Daarnaast zijn er middelen om de toegankelijkheid tot en gebruik van agrarische grond te bevorderen. Het gaat hier om vergoedingen voor eenmalige permanente aanpassing in het grondgebruik. Primair voor gruttokerngebieden. Ook wordt, in afstemming met provincies, ingezet op structuurverbetering door het bij elkaar brengen van vraag en aanbod van grond en het tegengaan van versnippering, de inzet van de Nationale Grondbank, kavelruil of pacht. Er zijn ook middelen voor versterking van de uitvoerende organisaties, voor kennisontwikkeling (pilotregelingen) en monitoring. </w:t>
      </w:r>
    </w:p>
    <w:p w:rsidR="20292CF2" w:rsidP="7C493882" w:rsidRDefault="6241CF12" w14:paraId="1C97E1AF" w14:textId="11E257CE">
      <w:pPr>
        <w:spacing w:line="257" w:lineRule="auto"/>
        <w:rPr>
          <w:rFonts w:ascii="Verdana" w:hAnsi="Verdana" w:eastAsia="Verdana" w:cs="Verdana"/>
          <w:sz w:val="18"/>
          <w:szCs w:val="18"/>
        </w:rPr>
      </w:pPr>
      <w:r w:rsidRPr="7C493882">
        <w:rPr>
          <w:rFonts w:ascii="Verdana" w:hAnsi="Verdana" w:eastAsia="Verdana" w:cs="Verdana"/>
          <w:sz w:val="18"/>
          <w:szCs w:val="18"/>
        </w:rPr>
        <w:t>Voor de uitwerking van de volledige ambitie met het Agrarisch Natuurbeheer, die gelden voor het huidige en toekomstige beheer zijn adviezen van de ecologische evaluatie van het Agrarisch natuur- en landschapsbeheer (ANLb), de beleidsbrief Agrarisch Natuurbeheer van het Planbureau voor de Leefomgeving, leidend.</w:t>
      </w:r>
    </w:p>
    <w:p w:rsidR="5783171A" w:rsidP="5783171A" w:rsidRDefault="5783171A" w14:paraId="4D1CFE6A" w14:textId="778BD667">
      <w:pPr>
        <w:spacing w:line="257" w:lineRule="auto"/>
        <w:rPr>
          <w:rFonts w:ascii="Verdana" w:hAnsi="Verdana" w:eastAsia="Verdana" w:cs="Verdana"/>
          <w:sz w:val="18"/>
          <w:szCs w:val="18"/>
        </w:rPr>
      </w:pPr>
    </w:p>
    <w:p w:rsidR="08CE7D5C" w:rsidP="3A3E4175" w:rsidRDefault="08CE7D5C" w14:paraId="45CC05DD" w14:textId="6F3A2CC8">
      <w:pPr>
        <w:spacing w:line="257" w:lineRule="auto"/>
      </w:pPr>
      <w:r w:rsidRPr="3A3E4175">
        <w:rPr>
          <w:rFonts w:ascii="Verdana" w:hAnsi="Verdana" w:eastAsia="Verdana" w:cs="Verdana"/>
          <w:b/>
          <w:bCs/>
          <w:sz w:val="18"/>
          <w:szCs w:val="18"/>
        </w:rPr>
        <w:t>Stalmaatregelen / Subsidie voor investeringen in verduurzaming voor veehouderijlocaties met piekbelasting</w:t>
      </w:r>
    </w:p>
    <w:p w:rsidR="08CE7D5C" w:rsidP="7C493882" w:rsidRDefault="2AA670F7" w14:paraId="6F0FF515" w14:textId="194C99FD">
      <w:pPr>
        <w:spacing w:line="257" w:lineRule="auto"/>
      </w:pPr>
      <w:r w:rsidRPr="7C493882">
        <w:rPr>
          <w:rFonts w:ascii="Verdana" w:hAnsi="Verdana" w:eastAsia="Verdana" w:cs="Verdana"/>
          <w:sz w:val="18"/>
          <w:szCs w:val="18"/>
        </w:rPr>
        <w:t>Toegekende middelen: € 280 mln. (</w:t>
      </w:r>
      <w:r w:rsidRPr="7C493882" w:rsidR="3AC166B0">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49D5B3C6" w14:textId="1239F993">
      <w:pPr>
        <w:spacing w:line="257" w:lineRule="auto"/>
      </w:pPr>
      <w:r w:rsidRPr="3A3E4175">
        <w:rPr>
          <w:rFonts w:ascii="Verdana" w:hAnsi="Verdana" w:eastAsia="Verdana" w:cs="Verdana"/>
          <w:sz w:val="18"/>
          <w:szCs w:val="18"/>
        </w:rPr>
        <w:t>Omschrijving: De komende periode zullen de Subsidiemodules brongerichte verduurzaming stal- en managementmaatregelen (Sbv) ondersteuning bieden aan innovatie en eerste investeringen in nieuwe staltechnieken. Op basis van een sectoranalyse van de perspectieven van bestaande en nieuwe innovatieve technieken uit de Sbv kunnen dan uiterlijk eind 2023 per diergroep aangescherpte emissienormen voor ammoniak uit nieuwe stallen en geplande renovaties worden gesteld. Deze eisen zullen uiterlijk in 2025 voor alle relevante diergroepen ingaan. Voor bestaande stallen gaat dan een nader te bepalen overgangsperiode gelden, waarbij rekening wordt gehouden met de mogelijkheden van boeren. Boeren worden via subsidie ondersteund bij het doorvoeren van de benodigde aanpassingen.</w:t>
      </w:r>
    </w:p>
    <w:p w:rsidR="08CE7D5C" w:rsidP="3A3E4175" w:rsidRDefault="08CE7D5C" w14:paraId="57D69F66" w14:textId="106C3F62">
      <w:pPr>
        <w:spacing w:line="257" w:lineRule="auto"/>
      </w:pPr>
      <w:r w:rsidRPr="3A3E4175">
        <w:rPr>
          <w:rFonts w:ascii="Verdana" w:hAnsi="Verdana" w:eastAsia="Verdana" w:cs="Verdana"/>
          <w:b/>
          <w:bCs/>
          <w:sz w:val="18"/>
          <w:szCs w:val="18"/>
        </w:rPr>
        <w:t>Omschakelprogramma</w:t>
      </w:r>
    </w:p>
    <w:p w:rsidR="08CE7D5C" w:rsidP="7C493882" w:rsidRDefault="2AA670F7" w14:paraId="708920E8" w14:textId="22B89BD9">
      <w:pPr>
        <w:spacing w:line="257" w:lineRule="auto"/>
      </w:pPr>
      <w:r w:rsidRPr="7C493882">
        <w:rPr>
          <w:rFonts w:ascii="Verdana" w:hAnsi="Verdana" w:eastAsia="Verdana" w:cs="Verdana"/>
          <w:sz w:val="18"/>
          <w:szCs w:val="18"/>
        </w:rPr>
        <w:t>Toegekende middelen: € 175 mln. (</w:t>
      </w:r>
      <w:r w:rsidRPr="7C493882" w:rsidR="62F5C0D5">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7BC8A98A" w14:textId="48A81BB0">
      <w:pPr>
        <w:spacing w:line="257" w:lineRule="auto"/>
      </w:pPr>
      <w:r w:rsidRPr="3A3E4175">
        <w:rPr>
          <w:rFonts w:ascii="Verdana" w:hAnsi="Verdana" w:eastAsia="Verdana" w:cs="Verdana"/>
          <w:sz w:val="18"/>
          <w:szCs w:val="18"/>
        </w:rPr>
        <w:t>Omschrijving: Het Omschakelprogramma (voorheen Omschakelfonds) richt zich op agrarische ondernemers die aan de bron een systeemverandering willen doorvoeren die leidt tot stikstofarmere, meer extensieve en meer duurzame bedrijfsvoering waardoor de stikstofuitstoot vermindert. Het Omschakelprogramma bestaat uit vier instrumenten: Investeringsfonds Duurzame Landbouw (NGF) (pilot), Subsidieregeling Bedrijfsplan voor omschakeling, Regeling Demonstratiebedrijven en Werkkapitaalregeling.</w:t>
      </w:r>
    </w:p>
    <w:p w:rsidR="08CE7D5C" w:rsidP="3A3E4175" w:rsidRDefault="08CE7D5C" w14:paraId="1DAC3D93" w14:textId="4B424CD7">
      <w:pPr>
        <w:spacing w:line="257" w:lineRule="auto"/>
      </w:pPr>
      <w:r w:rsidRPr="3A3E4175">
        <w:rPr>
          <w:rFonts w:ascii="Verdana" w:hAnsi="Verdana" w:eastAsia="Verdana" w:cs="Verdana"/>
          <w:b/>
          <w:bCs/>
          <w:sz w:val="18"/>
          <w:szCs w:val="18"/>
        </w:rPr>
        <w:t>Mestverwerking</w:t>
      </w:r>
    </w:p>
    <w:p w:rsidR="08CE7D5C" w:rsidP="7C493882" w:rsidRDefault="2AA670F7" w14:paraId="5CD82ADE" w14:textId="6FAA0D98">
      <w:pPr>
        <w:spacing w:line="257" w:lineRule="auto"/>
      </w:pPr>
      <w:r w:rsidRPr="7C493882">
        <w:rPr>
          <w:rFonts w:ascii="Verdana" w:hAnsi="Verdana" w:eastAsia="Verdana" w:cs="Verdana"/>
          <w:sz w:val="18"/>
          <w:szCs w:val="18"/>
        </w:rPr>
        <w:lastRenderedPageBreak/>
        <w:t>Toegekende middelen: € 15 mln. (</w:t>
      </w:r>
      <w:r w:rsidRPr="7C493882" w:rsidR="6C66FEFA">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5B4456D4" w14:textId="0DFB15DD">
      <w:pPr>
        <w:spacing w:line="257" w:lineRule="auto"/>
      </w:pPr>
      <w:r w:rsidRPr="3A3E4175">
        <w:rPr>
          <w:rFonts w:ascii="Verdana" w:hAnsi="Verdana" w:eastAsia="Verdana" w:cs="Verdana"/>
          <w:sz w:val="18"/>
          <w:szCs w:val="18"/>
        </w:rPr>
        <w:t>Omschrijving: Centrale mestverwerking kan een route zijn om ammoniakemissies naar de lucht te beperken. Mest wordt op een centrale locatie, waar emissies worden afgevangen, verwerkt tot hoogwaardige meststoffen. Deze meststoffen kunnen lokaal als kunstmestvervanger dienen en worden dan emissiearm toegediend, of worden geëxporteerd. Hiermee zal de emissie van ammoniak uit dierlijke mest in Nederland worden beperkt. Daarnaast is mestverwerking noodzakelijk als de primaire sector toe wil naar veehouderijsystemen waar de mest snel van het primaire bedrijf wordt afgevoerd, waardoor minder ammoniak kan ontstaan.</w:t>
      </w:r>
    </w:p>
    <w:p w:rsidR="08CE7D5C" w:rsidP="3A3E4175" w:rsidRDefault="08CE7D5C" w14:paraId="2C2F0542" w14:textId="7866805D">
      <w:pPr>
        <w:spacing w:line="257" w:lineRule="auto"/>
      </w:pPr>
      <w:r w:rsidRPr="3A3E4175">
        <w:rPr>
          <w:rFonts w:ascii="Verdana" w:hAnsi="Verdana" w:eastAsia="Verdana" w:cs="Verdana"/>
          <w:b/>
          <w:bCs/>
          <w:sz w:val="18"/>
          <w:szCs w:val="18"/>
        </w:rPr>
        <w:t>Extra natuurherstelmaatregelen</w:t>
      </w:r>
    </w:p>
    <w:p w:rsidR="08CE7D5C" w:rsidP="3A3E4175" w:rsidRDefault="08CE7D5C" w14:paraId="2C5C71D5" w14:textId="0B73856B">
      <w:pPr>
        <w:spacing w:line="257" w:lineRule="auto"/>
      </w:pPr>
      <w:r w:rsidRPr="3A3E4175">
        <w:rPr>
          <w:rFonts w:ascii="Verdana" w:hAnsi="Verdana" w:eastAsia="Verdana" w:cs="Verdana"/>
          <w:sz w:val="18"/>
          <w:szCs w:val="18"/>
        </w:rPr>
        <w:t>Toegekende middelen: €100 mln. (startpakket MCEN)</w:t>
      </w:r>
    </w:p>
    <w:p w:rsidR="08CE7D5C" w:rsidP="3A3E4175" w:rsidRDefault="08CE7D5C" w14:paraId="1CB91E54" w14:textId="52167478">
      <w:pPr>
        <w:spacing w:line="257" w:lineRule="auto"/>
      </w:pPr>
      <w:r w:rsidRPr="3A3E4175">
        <w:rPr>
          <w:rFonts w:ascii="Verdana" w:hAnsi="Verdana" w:eastAsia="Verdana" w:cs="Verdana"/>
          <w:sz w:val="18"/>
          <w:szCs w:val="18"/>
        </w:rPr>
        <w:t>Omschrijving:</w:t>
      </w:r>
    </w:p>
    <w:p w:rsidR="08CE7D5C" w:rsidP="3A3E4175" w:rsidRDefault="08CE7D5C" w14:paraId="3CC5BEF1" w14:textId="501CB891">
      <w:pPr>
        <w:spacing w:line="257" w:lineRule="auto"/>
      </w:pPr>
      <w:r w:rsidRPr="3A3E4175">
        <w:rPr>
          <w:rFonts w:ascii="Verdana" w:hAnsi="Verdana" w:eastAsia="Verdana" w:cs="Verdana"/>
          <w:b/>
          <w:bCs/>
          <w:sz w:val="18"/>
          <w:szCs w:val="18"/>
        </w:rPr>
        <w:t>Verbeteren natuurmonitoring</w:t>
      </w:r>
    </w:p>
    <w:p w:rsidR="08CE7D5C" w:rsidP="3A3E4175" w:rsidRDefault="08CE7D5C" w14:paraId="48FF07D9" w14:textId="4EB642E0">
      <w:pPr>
        <w:spacing w:line="257" w:lineRule="auto"/>
      </w:pPr>
      <w:r w:rsidRPr="3A3E4175">
        <w:rPr>
          <w:rFonts w:ascii="Verdana" w:hAnsi="Verdana" w:eastAsia="Verdana" w:cs="Verdana"/>
          <w:sz w:val="18"/>
          <w:szCs w:val="18"/>
        </w:rPr>
        <w:t>Toegekende middelen: €12,5 mln. (startpakket MCEN)</w:t>
      </w:r>
    </w:p>
    <w:p w:rsidR="08CE7D5C" w:rsidP="3A3E4175" w:rsidRDefault="08CE7D5C" w14:paraId="27CF0CD6" w14:textId="15DCFF36">
      <w:pPr>
        <w:spacing w:line="257" w:lineRule="auto"/>
      </w:pPr>
      <w:r w:rsidRPr="3A3E4175">
        <w:rPr>
          <w:rFonts w:ascii="Verdana" w:hAnsi="Verdana" w:eastAsia="Verdana" w:cs="Verdana"/>
          <w:sz w:val="18"/>
          <w:szCs w:val="18"/>
        </w:rPr>
        <w:t>Omschrijving: Een verbetering en intensivering van de natuurmonitoring is noodzakelijk om beter te kunnen sturen op de realisatie van de natuuropgave, voor de borging van de MCEN pakketten, en voor het aantonen van additionaliteit. Daarnaast draagt verbeterde monitoring bij aan de monitoringsvereisten van de Europese Natuurherstelverordening. Met het meerjarige Verbeterprogramma VHR monitoring (VVM) werkt LVVN samen met provincies en andere ketenpartners aan betere, meer uniforme en gebiedsgerichte data binnen en buiten natuurgebieden, met meer inzicht in systeemherstel en effectiviteit van maatregelen.</w:t>
      </w:r>
    </w:p>
    <w:p w:rsidR="08CE7D5C" w:rsidP="3A3E4175" w:rsidRDefault="08CE7D5C" w14:paraId="353F2BBF" w14:textId="5BB0B779">
      <w:pPr>
        <w:spacing w:line="257" w:lineRule="auto"/>
      </w:pPr>
      <w:r w:rsidRPr="3A3E4175">
        <w:rPr>
          <w:rFonts w:ascii="Verdana" w:hAnsi="Verdana" w:eastAsia="Verdana" w:cs="Verdana"/>
          <w:b/>
          <w:bCs/>
          <w:sz w:val="18"/>
          <w:szCs w:val="18"/>
          <w:u w:val="single"/>
        </w:rPr>
        <w:t>Mobiliteitsmaatregelen:</w:t>
      </w:r>
    </w:p>
    <w:p w:rsidR="08CE7D5C" w:rsidP="3A3E4175" w:rsidRDefault="08CE7D5C" w14:paraId="08CB580C" w14:textId="54FA1A37">
      <w:pPr>
        <w:spacing w:line="257" w:lineRule="auto"/>
      </w:pPr>
      <w:r w:rsidRPr="3A3E4175">
        <w:rPr>
          <w:rFonts w:ascii="Verdana" w:hAnsi="Verdana" w:eastAsia="Verdana" w:cs="Verdana"/>
          <w:b/>
          <w:bCs/>
          <w:sz w:val="18"/>
          <w:szCs w:val="18"/>
        </w:rPr>
        <w:t>Verduurzaming binnenvaart</w:t>
      </w:r>
    </w:p>
    <w:p w:rsidR="08CE7D5C" w:rsidP="7C493882" w:rsidRDefault="2AA670F7" w14:paraId="397EC33C" w14:textId="441B9818">
      <w:pPr>
        <w:spacing w:line="257" w:lineRule="auto"/>
      </w:pPr>
      <w:r w:rsidRPr="7C493882">
        <w:rPr>
          <w:rFonts w:ascii="Verdana" w:hAnsi="Verdana" w:eastAsia="Verdana" w:cs="Verdana"/>
          <w:sz w:val="18"/>
          <w:szCs w:val="18"/>
        </w:rPr>
        <w:t>Toegekende middelen: In totaal is er tussen 2021 – 2030 circa €123 miljoen aan stikstofmiddelen beschikbaar gesteld voor de verduurzaming van de binnenvaart. (</w:t>
      </w:r>
      <w:r w:rsidRPr="7C493882" w:rsidR="75C4F3E5">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0D3D4352" w14:textId="246F4FA1">
      <w:pPr>
        <w:spacing w:line="257" w:lineRule="auto"/>
      </w:pPr>
      <w:r w:rsidRPr="3A3E4175">
        <w:rPr>
          <w:rFonts w:ascii="Verdana" w:hAnsi="Verdana" w:eastAsia="Verdana" w:cs="Verdana"/>
          <w:sz w:val="18"/>
          <w:szCs w:val="18"/>
        </w:rPr>
        <w:t>De maatregel Verduurzaming Binnenvaart bestond uit een tijdelijke subsidieregeling die liep van 2021 tot en met 2025 (Tijdelijke Subsidieregeling Verduurzaming Binnenvaart). Via de subsidieregeling was het mogelijk om subsidie te vragen voor retrofit of voor motorvervanging.  Het gaat om het vervangen met een minimaal Stage V motor of om het   plaatsen van SCR-katalysatoren (met roetfilter) op bestaande motoren van binnenvaartschepen om aan de Stage V norm te voldoen. Afhankelijk van het type van motor die vervangen wordt, kan met een motorvervanging of retrofit per schip 70% tot 85% stikstofemissie gereduceerd worden. Wel moet hierbij de kanttekening worden gemaakt dat de katalysator en roetfilter in de praktijk goed gebruikt en onderhouden moeten worden om die reductieniveaus te halen.</w:t>
      </w:r>
    </w:p>
    <w:p w:rsidR="08CE7D5C" w:rsidP="3A3E4175" w:rsidRDefault="08CE7D5C" w14:paraId="1FB0DB79" w14:textId="60AE5F7F">
      <w:pPr>
        <w:spacing w:line="257" w:lineRule="auto"/>
      </w:pPr>
      <w:r w:rsidRPr="3A3E4175">
        <w:rPr>
          <w:rFonts w:ascii="Verdana" w:hAnsi="Verdana" w:eastAsia="Verdana" w:cs="Verdana"/>
          <w:sz w:val="18"/>
          <w:szCs w:val="18"/>
        </w:rPr>
        <w:t>Tussen 2021 en 2025 is er €92 naar deze SVB-regeling gegaan. Daarvan zijn in totaal ca. 630 subsidie aanvragen toegekend, waarvan het grootste deel aan Stage V motoren. De regel wordt nog formeel geëvalueerd.</w:t>
      </w:r>
    </w:p>
    <w:p w:rsidR="08CE7D5C" w:rsidP="3A3E4175" w:rsidRDefault="08CE7D5C" w14:paraId="2EE60789" w14:textId="78E8C44B">
      <w:pPr>
        <w:spacing w:line="257" w:lineRule="auto"/>
      </w:pPr>
      <w:r w:rsidRPr="3A3E4175">
        <w:rPr>
          <w:rFonts w:ascii="Verdana" w:hAnsi="Verdana" w:eastAsia="Verdana" w:cs="Verdana"/>
          <w:b/>
          <w:bCs/>
          <w:sz w:val="18"/>
          <w:szCs w:val="18"/>
        </w:rPr>
        <w:t>Elektrisch taxiën</w:t>
      </w:r>
    </w:p>
    <w:p w:rsidR="08CE7D5C" w:rsidP="7C493882" w:rsidRDefault="2AA670F7" w14:paraId="238956C0" w14:textId="43E78867">
      <w:pPr>
        <w:spacing w:line="257" w:lineRule="auto"/>
      </w:pPr>
      <w:r w:rsidRPr="7C493882">
        <w:rPr>
          <w:rFonts w:ascii="Verdana" w:hAnsi="Verdana" w:eastAsia="Verdana" w:cs="Verdana"/>
          <w:sz w:val="18"/>
          <w:szCs w:val="18"/>
        </w:rPr>
        <w:t>Toegekende middelen: € 10 mln. (</w:t>
      </w:r>
      <w:r w:rsidRPr="7C493882" w:rsidR="46C7FBAE">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7645B84B" w14:textId="07463D1B">
      <w:pPr>
        <w:spacing w:line="257" w:lineRule="auto"/>
      </w:pPr>
      <w:r w:rsidRPr="3A3E4175">
        <w:rPr>
          <w:rFonts w:ascii="Verdana" w:hAnsi="Verdana" w:eastAsia="Verdana" w:cs="Verdana"/>
          <w:sz w:val="18"/>
          <w:szCs w:val="18"/>
        </w:rPr>
        <w:t>Omschrijving: Vliegtuigen gebruiken de eigen motoren voor de verplaatsing van de gate naar de startbaan en van de landingsbaan naar de gate. Als gebruik wordt gemaakt van elektrisch taxiën, bijvoorbeeld door een extern voertuig “Taxitowvoertuig”, dat het vliegtuig verplaatst tussen de gate en de banen, hoeven de vliegtuigen de eigen motoren niet te gebruiken voor de voortstuwing en wordt er dus geen kerosine gebruikt voor die verplaatsingen. Hierdoor wordt er minder stikstof uitgestoten. Om deze innovatie te stimuleren is € 10 mln. gereserveerd voor het vormgeven van een innovatiesubsidie.</w:t>
      </w:r>
    </w:p>
    <w:p w:rsidR="08CE7D5C" w:rsidP="3A3E4175" w:rsidRDefault="08CE7D5C" w14:paraId="7252A81A" w14:textId="6C019F10">
      <w:pPr>
        <w:spacing w:line="257" w:lineRule="auto"/>
      </w:pPr>
      <w:r w:rsidRPr="3A3E4175">
        <w:rPr>
          <w:rFonts w:ascii="Verdana" w:hAnsi="Verdana" w:eastAsia="Verdana" w:cs="Verdana"/>
          <w:b/>
          <w:bCs/>
          <w:sz w:val="18"/>
          <w:szCs w:val="18"/>
        </w:rPr>
        <w:t>Gerichte handhaving Adblue</w:t>
      </w:r>
    </w:p>
    <w:p w:rsidR="08CE7D5C" w:rsidP="7C493882" w:rsidRDefault="2AA670F7" w14:paraId="2832C635" w14:textId="2C5F514D">
      <w:pPr>
        <w:spacing w:line="257" w:lineRule="auto"/>
      </w:pPr>
      <w:r w:rsidRPr="7C493882">
        <w:rPr>
          <w:rFonts w:ascii="Verdana" w:hAnsi="Verdana" w:eastAsia="Verdana" w:cs="Verdana"/>
          <w:sz w:val="18"/>
          <w:szCs w:val="18"/>
        </w:rPr>
        <w:t>Toegekende middelen: € 20 mln. (</w:t>
      </w:r>
      <w:r w:rsidRPr="7C493882" w:rsidR="3CC5DECA">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2BFCAF54" w14:textId="34E74CFA">
      <w:pPr>
        <w:spacing w:line="257" w:lineRule="auto"/>
      </w:pPr>
      <w:r w:rsidRPr="3A3E4175">
        <w:rPr>
          <w:rFonts w:ascii="Verdana" w:hAnsi="Verdana" w:eastAsia="Verdana" w:cs="Verdana"/>
          <w:sz w:val="18"/>
          <w:szCs w:val="18"/>
        </w:rPr>
        <w:lastRenderedPageBreak/>
        <w:t xml:space="preserve">Omschrijving: Moderne vrachtwagens zijn voorzien van een AdBlue systeem met SCR-katalysator om de uitstoot van stikstofoxiden in de uitlaatgassen terug te dringen. Er zijn aanwijzingen dat bij 5% tot mogelijk 10% van de moderne vrachtwagens het AdBlue systeem niet meer goed werkt of is gemanipuleerd. Manipulatie wordt gedaan om de kosten voor AdBlue en vooral ook van onderhoud en reparatie van het AdBlue systeem uit te sparen en/of stilvallen van voertuigen als gevolg van uitval van het AdBlue-systeem te voorkomen. </w:t>
      </w:r>
    </w:p>
    <w:p w:rsidR="08CE7D5C" w:rsidP="3A3E4175" w:rsidRDefault="08CE7D5C" w14:paraId="5F0BE2EE" w14:textId="06AE1F88">
      <w:pPr>
        <w:spacing w:after="0" w:line="257" w:lineRule="auto"/>
      </w:pPr>
      <w:r w:rsidRPr="3A3E4175">
        <w:rPr>
          <w:rFonts w:ascii="Verdana" w:hAnsi="Verdana" w:eastAsia="Verdana" w:cs="Verdana"/>
          <w:sz w:val="18"/>
          <w:szCs w:val="18"/>
        </w:rPr>
        <w:t xml:space="preserve">Het is in EU-verband (verordening (EG) 595/2009) verboden voor marktdeelnemers, waaronder fabrikanten, om emissiebeheersingssystemen te manipuleren. De bepalingen uit deze verordening zijn niet van toepassing op voertuigeneigenaren, houders, of bestuurders van voertuigen. Het is wel gewenst om juist ook tegen deze groep handhavend te kunnen optreden. Dit is namelijk de groep die voertuigen daadwerkelijk gebruikt op de weg en verantwoordelijk is voor de goede werking van een emissiebeheersingssysteem in een voertuig. </w:t>
      </w:r>
    </w:p>
    <w:p w:rsidR="08CE7D5C" w:rsidP="3A3E4175" w:rsidRDefault="08CE7D5C" w14:paraId="3CD87DC8" w14:textId="5C6F153A">
      <w:pPr>
        <w:spacing w:after="0" w:line="257" w:lineRule="auto"/>
      </w:pPr>
      <w:r w:rsidRPr="3A3E4175">
        <w:rPr>
          <w:rFonts w:ascii="Verdana" w:hAnsi="Verdana" w:eastAsia="Verdana" w:cs="Verdana"/>
          <w:sz w:val="18"/>
          <w:szCs w:val="18"/>
        </w:rPr>
        <w:t xml:space="preserve"> </w:t>
      </w:r>
    </w:p>
    <w:p w:rsidR="08CE7D5C" w:rsidP="3A3E4175" w:rsidRDefault="08CE7D5C" w14:paraId="0BA36E5F" w14:textId="1AE67DB5">
      <w:pPr>
        <w:spacing w:after="0" w:line="257" w:lineRule="auto"/>
      </w:pPr>
      <w:r w:rsidRPr="3A3E4175">
        <w:rPr>
          <w:rFonts w:ascii="Verdana" w:hAnsi="Verdana" w:eastAsia="Verdana" w:cs="Verdana"/>
          <w:sz w:val="18"/>
          <w:szCs w:val="18"/>
        </w:rPr>
        <w:t>Op 1 mei 2026 wordt de wijziging van de Regeling voertuigen gepubliceerd in de Staatscourant zodat deze 1 juli 2026 in werking treedt. Deze wijzing maakt uitvoering van deze maatregel mogelijk via handhaving door de ILT en de politie, zonder strengere regels toe te voegen. Partijen die voorheen voordeel uit manipulatie haalden, worden nu beboet, terwijl nalevende partijen risicogericht worden gecontroleerd om onnodige lasten te voorkomen.</w:t>
      </w:r>
    </w:p>
    <w:p w:rsidR="08CE7D5C" w:rsidP="3A3E4175" w:rsidRDefault="08CE7D5C" w14:paraId="4881AEBE" w14:textId="363FAAE0">
      <w:pPr>
        <w:spacing w:line="257" w:lineRule="auto"/>
      </w:pPr>
      <w:r w:rsidRPr="3A3E4175">
        <w:rPr>
          <w:rFonts w:ascii="Verdana" w:hAnsi="Verdana" w:eastAsia="Verdana" w:cs="Verdana"/>
          <w:sz w:val="18"/>
          <w:szCs w:val="18"/>
        </w:rPr>
        <w:t xml:space="preserve"> </w:t>
      </w:r>
    </w:p>
    <w:p w:rsidR="08CE7D5C" w:rsidP="3A3E4175" w:rsidRDefault="08CE7D5C" w14:paraId="08677EC8" w14:textId="1CCD3B2A">
      <w:pPr>
        <w:spacing w:line="257" w:lineRule="auto"/>
      </w:pPr>
      <w:r w:rsidRPr="3A3E4175">
        <w:rPr>
          <w:rFonts w:ascii="Verdana" w:hAnsi="Verdana" w:eastAsia="Verdana" w:cs="Verdana"/>
          <w:b/>
          <w:bCs/>
          <w:sz w:val="18"/>
          <w:szCs w:val="18"/>
        </w:rPr>
        <w:t>Walstroom rijksligplaatsen</w:t>
      </w:r>
    </w:p>
    <w:p w:rsidR="08CE7D5C" w:rsidP="7C493882" w:rsidRDefault="2AA670F7" w14:paraId="4171B110" w14:textId="016DD775">
      <w:pPr>
        <w:spacing w:line="257" w:lineRule="auto"/>
      </w:pPr>
      <w:r w:rsidRPr="7C493882">
        <w:rPr>
          <w:rFonts w:ascii="Verdana" w:hAnsi="Verdana" w:eastAsia="Verdana" w:cs="Verdana"/>
          <w:sz w:val="18"/>
          <w:szCs w:val="18"/>
        </w:rPr>
        <w:t xml:space="preserve">Toegekende middelen: € 19 mln. (bijsturing </w:t>
      </w:r>
      <w:r w:rsidRPr="7C493882" w:rsidR="3130D308">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004A86D3" w14:textId="360CD802">
      <w:pPr>
        <w:spacing w:line="257" w:lineRule="auto"/>
      </w:pPr>
      <w:r w:rsidRPr="3A3E4175">
        <w:rPr>
          <w:rFonts w:ascii="Verdana" w:hAnsi="Verdana" w:eastAsia="Verdana" w:cs="Verdana"/>
          <w:sz w:val="18"/>
          <w:szCs w:val="18"/>
        </w:rPr>
        <w:t>Omschrijving: Om de realisatie van walstroom-voorzieningen te stimuleren is toegezegd om alle Rijksligplaatsen (waar relevant) te voorzien van walstroom. Daarvoor is het oorspronkelijke IenW budget van het Mobiliteitsfonds van € 16 mln. opgehoogd met ca. € 19 mln. vanuit stikstofmiddelen. Zo kan gestart worden met de aanpak van die ligplaatsen waar de meeste stikstofreductie op nabijgelegen natuur wordt bereikt. Deze middelen komen vanuit de resterende middelen van de bronmaatregel walstroom zeevaart. Op basis van een bijsturingsplan is besloten dat de hier resterende middelen voor 50% worden ingezet voor verlenging van de regeling en voor 50% voor walstroom rijksligplaatsen voor binnenvaart.</w:t>
      </w:r>
    </w:p>
    <w:p w:rsidR="08CE7D5C" w:rsidP="3A3E4175" w:rsidRDefault="08CE7D5C" w14:paraId="74B75574" w14:textId="013F4C33">
      <w:pPr>
        <w:spacing w:line="257" w:lineRule="auto"/>
      </w:pPr>
      <w:r w:rsidRPr="3A3E4175">
        <w:rPr>
          <w:rFonts w:ascii="Verdana" w:hAnsi="Verdana" w:eastAsia="Verdana" w:cs="Verdana"/>
          <w:b/>
          <w:bCs/>
          <w:sz w:val="18"/>
          <w:szCs w:val="18"/>
        </w:rPr>
        <w:t>Pilots scheepvaart en zeehavens</w:t>
      </w:r>
    </w:p>
    <w:p w:rsidR="08CE7D5C" w:rsidP="7C493882" w:rsidRDefault="2AA670F7" w14:paraId="229452B1" w14:textId="70909A18">
      <w:pPr>
        <w:spacing w:line="257" w:lineRule="auto"/>
      </w:pPr>
      <w:r w:rsidRPr="7C493882">
        <w:rPr>
          <w:rFonts w:ascii="Verdana" w:hAnsi="Verdana" w:eastAsia="Verdana" w:cs="Verdana"/>
          <w:sz w:val="18"/>
          <w:szCs w:val="18"/>
        </w:rPr>
        <w:t xml:space="preserve">Toegekende middelen: € 46 mln. (bijsturing </w:t>
      </w:r>
      <w:r w:rsidRPr="7C493882" w:rsidR="304C2DC8">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2AA670F7" w14:paraId="2259BC28" w14:textId="76CC4697">
      <w:pPr>
        <w:spacing w:line="257" w:lineRule="auto"/>
      </w:pPr>
      <w:r w:rsidRPr="7C493882">
        <w:rPr>
          <w:rFonts w:ascii="Verdana" w:hAnsi="Verdana" w:eastAsia="Verdana" w:cs="Verdana"/>
          <w:sz w:val="18"/>
          <w:szCs w:val="18"/>
        </w:rPr>
        <w:t>Omschrijving: In het kader van stikstofmaatregelen voor zeescheepvaart en zeehavens worden er drie pilots uitgevoerd. Naast stikstofuitstoot wordt hierdoor ook broeikasgas- en geluidemissies teruggedrongen. Twee van de drie pilots zijn gericht op zeeschepen (pilots zeeschepen): het betreft een stimuleringsregeling voor batterij-elektrisch varen in havengebieden en een regeling voor waterstof aangedreven zeegaande bouwvaartuigen. De derde (pilot zeehavens) is de pilot elektrificatie van havenmaterieel.</w:t>
      </w:r>
    </w:p>
    <w:p w:rsidR="08CE7D5C" w:rsidP="3A3E4175" w:rsidRDefault="08CE7D5C" w14:paraId="16EE8B52" w14:textId="5D3A5221">
      <w:pPr>
        <w:spacing w:line="257" w:lineRule="auto"/>
      </w:pPr>
      <w:r w:rsidRPr="3A3E4175">
        <w:rPr>
          <w:rFonts w:ascii="Verdana" w:hAnsi="Verdana" w:eastAsia="Verdana" w:cs="Verdana"/>
          <w:b/>
          <w:bCs/>
          <w:sz w:val="18"/>
          <w:szCs w:val="18"/>
        </w:rPr>
        <w:t>Walstroom zeevaart</w:t>
      </w:r>
    </w:p>
    <w:p w:rsidR="08CE7D5C" w:rsidP="7C493882" w:rsidRDefault="2AA670F7" w14:paraId="4A797CE1" w14:textId="64F6C502">
      <w:pPr>
        <w:spacing w:line="257" w:lineRule="auto"/>
      </w:pPr>
      <w:r w:rsidRPr="7C493882">
        <w:rPr>
          <w:rFonts w:ascii="Verdana" w:hAnsi="Verdana" w:eastAsia="Verdana" w:cs="Verdana"/>
          <w:sz w:val="18"/>
          <w:szCs w:val="18"/>
        </w:rPr>
        <w:t>Toegekende middelen: € 64 mln. (</w:t>
      </w:r>
      <w:r w:rsidRPr="7C493882" w:rsidR="7ED16260">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2FFF5FA8" w14:textId="6869F191">
      <w:pPr>
        <w:spacing w:line="257" w:lineRule="auto"/>
      </w:pPr>
      <w:r w:rsidRPr="3A3E4175">
        <w:rPr>
          <w:rFonts w:ascii="Verdana" w:hAnsi="Verdana" w:eastAsia="Verdana" w:cs="Verdana"/>
          <w:sz w:val="18"/>
          <w:szCs w:val="18"/>
        </w:rPr>
        <w:t>Omschrijving: Walstroom is elektriciteit die afkomstig is van het elektriciteitsnetwerk aan land en die wordt geleverd aan schepen aan de kade. Deze voorziening maakt het mogelijk dat hulpmotoren aan boord van het schip na het aanleggen kunnen worden uitgezet. Hiermee wordt een aantoonbare bijdrage geleverd aan het verbeteren van de leefomgeving (minder luchtvervuilende emissies, minder geluidsoverlast) en het streven naar een meer efficiënt energiegebruik. Op deze manier kan walstroom een bijdrage leveren aan het behalen van de klimaatdoelen voor de scheepvaart en een bijdrage leveren aan de structurele stikstofaanpak. Om de realisatie van walstroom-voorzieningen te stimuleren is het oorspronkelijke budget van € 12 mln. inmiddels opgehoogd tot € 64 mln. vanuit stikstofmiddelen. Op basis van een bijsturingsplan is besloten dat de resterende middelen voor 50% worden ingezet voor verlenging van de regeling en voor 50% voor walstroom voor rijksligplaatsen. De regeling heeft een looptijd van eind 2024-2027 met 4 tenders met een budget van € 4,7 mln. per tender.</w:t>
      </w:r>
    </w:p>
    <w:p w:rsidR="08CE7D5C" w:rsidP="3A3E4175" w:rsidRDefault="08CE7D5C" w14:paraId="03C59AF4" w14:textId="66BCA466">
      <w:pPr>
        <w:spacing w:line="257" w:lineRule="auto"/>
      </w:pPr>
      <w:r w:rsidRPr="3A3E4175">
        <w:rPr>
          <w:rFonts w:ascii="Verdana" w:hAnsi="Verdana" w:eastAsia="Verdana" w:cs="Verdana"/>
          <w:b/>
          <w:bCs/>
          <w:sz w:val="18"/>
          <w:szCs w:val="18"/>
          <w:u w:val="single"/>
        </w:rPr>
        <w:lastRenderedPageBreak/>
        <w:t>Bouwmaatregelen</w:t>
      </w:r>
    </w:p>
    <w:p w:rsidR="08CE7D5C" w:rsidP="3A3E4175" w:rsidRDefault="2AA670F7" w14:paraId="3134C199" w14:textId="175284FC">
      <w:pPr>
        <w:spacing w:line="257" w:lineRule="auto"/>
      </w:pPr>
      <w:r w:rsidRPr="7C493882">
        <w:rPr>
          <w:rFonts w:ascii="Verdana" w:hAnsi="Verdana" w:eastAsia="Verdana" w:cs="Verdana"/>
          <w:b/>
          <w:bCs/>
          <w:sz w:val="18"/>
          <w:szCs w:val="18"/>
        </w:rPr>
        <w:t>Pilots verduurzaming bouw</w:t>
      </w:r>
    </w:p>
    <w:p w:rsidR="08CE7D5C" w:rsidP="7C493882" w:rsidRDefault="2AA670F7" w14:paraId="3DE60ED5" w14:textId="50B10DA5">
      <w:pPr>
        <w:spacing w:line="257" w:lineRule="auto"/>
      </w:pPr>
      <w:r w:rsidRPr="7C493882">
        <w:rPr>
          <w:rFonts w:ascii="Verdana" w:hAnsi="Verdana" w:eastAsia="Verdana" w:cs="Verdana"/>
          <w:sz w:val="18"/>
          <w:szCs w:val="18"/>
        </w:rPr>
        <w:t>Toegekende middelen: € 25 mln. (</w:t>
      </w:r>
      <w:r w:rsidRPr="7C493882" w:rsidR="54BD1222">
        <w:rPr>
          <w:rFonts w:ascii="Verdana" w:hAnsi="Verdana" w:eastAsia="Verdana" w:cs="Verdana"/>
          <w:sz w:val="18"/>
          <w:szCs w:val="18"/>
        </w:rPr>
        <w:t>structurele aanpak Rutte IV</w:t>
      </w:r>
      <w:r w:rsidRPr="7C493882">
        <w:rPr>
          <w:rFonts w:ascii="Verdana" w:hAnsi="Verdana" w:eastAsia="Verdana" w:cs="Verdana"/>
          <w:sz w:val="18"/>
          <w:szCs w:val="18"/>
        </w:rPr>
        <w:t>)</w:t>
      </w:r>
    </w:p>
    <w:p w:rsidR="08CE7D5C" w:rsidP="3A3E4175" w:rsidRDefault="08CE7D5C" w14:paraId="6454CB98" w14:textId="4079CFA0">
      <w:pPr>
        <w:spacing w:line="257" w:lineRule="auto"/>
      </w:pPr>
      <w:r w:rsidRPr="3A3E4175">
        <w:rPr>
          <w:rFonts w:ascii="Verdana" w:hAnsi="Verdana" w:eastAsia="Verdana" w:cs="Verdana"/>
          <w:sz w:val="18"/>
          <w:szCs w:val="18"/>
        </w:rPr>
        <w:t>Omschrijving: Deze maatregel is afgerond en zag toe op pilots in 2020-2023 op het gebied van emissieloze mobiele werktuigen. De pilots werden ingezet bij bouwprojecten, waaronder woningbouw, utiliteitsbouw en GWW-projecten. Voor deze maatregel werkten IenW, RWS, ProRail, BZK en het Rijksvastgoedbedrijf samen aan de opzet voor een gebiedsgerichte pilotregeling. De resultaten van de pilots zijn gebruikt voor de ontwikkeling van het programma Schoon en Emissieloos Bouwen (SEB).</w:t>
      </w:r>
    </w:p>
    <w:p w:rsidR="08CE7D5C" w:rsidP="3A3E4175" w:rsidRDefault="08CE7D5C" w14:paraId="206D970A" w14:textId="5C6974B2">
      <w:pPr>
        <w:spacing w:line="257" w:lineRule="auto"/>
      </w:pPr>
      <w:r w:rsidRPr="3A3E4175">
        <w:rPr>
          <w:rFonts w:ascii="Verdana" w:hAnsi="Verdana" w:eastAsia="Verdana" w:cs="Verdana"/>
          <w:b/>
          <w:bCs/>
          <w:sz w:val="18"/>
          <w:szCs w:val="18"/>
        </w:rPr>
        <w:t>Schoon en Emissieloos Bouwen (SEB)</w:t>
      </w:r>
    </w:p>
    <w:p w:rsidR="08CE7D5C" w:rsidP="3A3E4175" w:rsidRDefault="08CE7D5C" w14:paraId="473AE485" w14:textId="639CB9B3">
      <w:pPr>
        <w:spacing w:line="257" w:lineRule="auto"/>
      </w:pPr>
      <w:r w:rsidRPr="3A3E4175">
        <w:rPr>
          <w:rFonts w:ascii="Verdana" w:hAnsi="Verdana" w:eastAsia="Verdana" w:cs="Verdana"/>
          <w:sz w:val="18"/>
          <w:szCs w:val="18"/>
        </w:rPr>
        <w:t>Toegekende middelen: € 950 mln.</w:t>
      </w:r>
    </w:p>
    <w:p w:rsidR="08CE7D5C" w:rsidP="3A3E4175" w:rsidRDefault="08CE7D5C" w14:paraId="1F960986" w14:textId="70D04605">
      <w:pPr>
        <w:spacing w:line="257" w:lineRule="auto"/>
      </w:pPr>
      <w:r w:rsidRPr="3A3E4175">
        <w:rPr>
          <w:rFonts w:ascii="Verdana" w:hAnsi="Verdana" w:eastAsia="Verdana" w:cs="Verdana"/>
          <w:sz w:val="18"/>
          <w:szCs w:val="18"/>
        </w:rPr>
        <w:t>Omschrijving: Om de stikstofuitstoot in de bouw aan te pakken is de ambitie gesteld om de stikstofuitstoot van deze sector met 60% te reduceren in 2030. Om dit mogelijk te maken is € 950 mln. vrijgemaakt uit de stikstofmiddelen, voor een pakket aan maatregelen waarmee de emissies als gevolg van werk-, voer- en vaartuigen in de bouw worden gereduceerd. De maatregelen bouw bestaan uit: 1. de routekaart SEB met bijbehorend convenant. 2. een subsidieregeling voor de aanschaf van en ombouw naar emissieloos materieel, zoals bouwmachines. 3. middelen voor de Rijksdiensten om steeds schoner en emissie-lozer aan te besteden. 4. een Kennis- Opschaling- en Praktijkprogramma (KOP). 5. een Specifieke Uitkering (SPUK) en ondersteuningsprogramma voor medeoverheden en waterschappen.</w:t>
      </w:r>
    </w:p>
    <w:p w:rsidR="08CE7D5C" w:rsidP="3A3E4175" w:rsidRDefault="08CE7D5C" w14:paraId="7A6AE4DB" w14:textId="105C2DA0">
      <w:pPr>
        <w:spacing w:line="257" w:lineRule="auto"/>
      </w:pPr>
      <w:r w:rsidRPr="3A3E4175">
        <w:rPr>
          <w:rFonts w:ascii="Verdana" w:hAnsi="Verdana" w:eastAsia="Verdana" w:cs="Verdana"/>
          <w:b/>
          <w:bCs/>
          <w:sz w:val="18"/>
          <w:szCs w:val="18"/>
          <w:u w:val="single"/>
        </w:rPr>
        <w:t>Industriemaatregelen</w:t>
      </w:r>
    </w:p>
    <w:p w:rsidR="08CE7D5C" w:rsidP="3A3E4175" w:rsidRDefault="08CE7D5C" w14:paraId="04F9F6E6" w14:textId="5F0076F8">
      <w:pPr>
        <w:spacing w:line="257" w:lineRule="auto"/>
      </w:pPr>
      <w:r w:rsidRPr="3A3E4175">
        <w:rPr>
          <w:rFonts w:ascii="Verdana" w:hAnsi="Verdana" w:eastAsia="Verdana" w:cs="Verdana"/>
          <w:b/>
          <w:bCs/>
          <w:sz w:val="18"/>
          <w:szCs w:val="18"/>
        </w:rPr>
        <w:t>Aanpak piekbelasters industrie</w:t>
      </w:r>
    </w:p>
    <w:p w:rsidR="08CE7D5C" w:rsidP="3A3E4175" w:rsidRDefault="08CE7D5C" w14:paraId="21EE6866" w14:textId="29A98720">
      <w:pPr>
        <w:spacing w:line="257" w:lineRule="auto"/>
      </w:pPr>
      <w:r w:rsidRPr="3A3E4175">
        <w:rPr>
          <w:rFonts w:ascii="Verdana" w:hAnsi="Verdana" w:eastAsia="Verdana" w:cs="Verdana"/>
          <w:sz w:val="18"/>
          <w:szCs w:val="18"/>
        </w:rPr>
        <w:t>Toegekende middelen: BAIP-regeling €54 mln. (reeds uitgevoerd). Cosun maatwerksubsidie €18 mln. (VJB2026). Omschrijving: Met de aanpak piekbelasters industrie (API) beoogt het kabinet de depositie van de industrie op stikstofgevoelige en overbelaste N2000-gebieden versneld en/of meer te doen reduceren. Deze aanpak is gestart met een focus op industriële piekbelasters, maar richt zich nu ook op andere bedrijfslocaties waar kansen liggen om stikstofneerslag op de Natura 2000-gebieden te verminderen. Vanuit deze aanpak zijn ‘Incidentele maatwerksubsidies voor bovenwettelijke ammoniakreductie in de industrie’ en ‘Een subsidieregeling gericht op beperking ammoniakemissies industriële piekbelasters’ voortgekomen.</w:t>
      </w:r>
    </w:p>
    <w:p w:rsidR="08CE7D5C" w:rsidP="3A3E4175" w:rsidRDefault="08CE7D5C" w14:paraId="4FBD2A76" w14:textId="1AA24722">
      <w:pPr>
        <w:spacing w:line="257" w:lineRule="auto"/>
      </w:pPr>
      <w:r w:rsidRPr="3A3E4175">
        <w:rPr>
          <w:rFonts w:ascii="Verdana" w:hAnsi="Verdana" w:eastAsia="Verdana" w:cs="Verdana"/>
          <w:b/>
          <w:bCs/>
          <w:sz w:val="18"/>
          <w:szCs w:val="18"/>
        </w:rPr>
        <w:t>Effect subsidiestop ISDE</w:t>
      </w:r>
    </w:p>
    <w:p w:rsidR="08CE7D5C" w:rsidP="3A3E4175" w:rsidRDefault="08CE7D5C" w14:paraId="73A097A7" w14:textId="65B24BFA">
      <w:pPr>
        <w:spacing w:line="257" w:lineRule="auto"/>
      </w:pPr>
      <w:r w:rsidRPr="3A3E4175">
        <w:rPr>
          <w:rFonts w:ascii="Verdana" w:hAnsi="Verdana" w:eastAsia="Verdana" w:cs="Verdana"/>
          <w:b/>
          <w:bCs/>
          <w:sz w:val="18"/>
          <w:szCs w:val="18"/>
        </w:rPr>
        <w:t>VEKI-regeling</w:t>
      </w:r>
    </w:p>
    <w:p w:rsidR="08CE7D5C" w:rsidP="3A3E4175" w:rsidRDefault="08CE7D5C" w14:paraId="7F6F46DE" w14:textId="1C8AE18E">
      <w:pPr>
        <w:spacing w:line="257" w:lineRule="auto"/>
      </w:pPr>
      <w:r w:rsidRPr="3A3E4175">
        <w:rPr>
          <w:rFonts w:ascii="Verdana" w:hAnsi="Verdana" w:eastAsia="Verdana" w:cs="Verdana"/>
          <w:sz w:val="18"/>
          <w:szCs w:val="18"/>
        </w:rPr>
        <w:t>Toegekende middelen: € 20 mln.</w:t>
      </w:r>
    </w:p>
    <w:p w:rsidR="08CE7D5C" w:rsidP="3A3E4175" w:rsidRDefault="08CE7D5C" w14:paraId="37346387" w14:textId="60361880">
      <w:pPr>
        <w:spacing w:line="257" w:lineRule="auto"/>
      </w:pPr>
      <w:r w:rsidRPr="3A3E4175">
        <w:rPr>
          <w:rFonts w:ascii="Verdana" w:hAnsi="Verdana" w:eastAsia="Verdana" w:cs="Verdana"/>
          <w:sz w:val="18"/>
          <w:szCs w:val="18"/>
        </w:rPr>
        <w:t>Omschrijving: De Versnelde klimaatinvesteringen industrie (VEKI) maatregel (voorheen: Maatregel Piekbelasters) richt zich indirect op het reduceren van de emissie van stikstofoxiden (NOx) door energiebesparende en CO2-uitstoot reducerende maatregelen aantrekkelijker te maken door de terugverdientijd te verkorten tot vijf jaar waar deze zonder subsidie langer dan vijf jaar zou zijn. Deze maatregel</w:t>
      </w:r>
      <w:r w:rsidRPr="3A3E4175" w:rsidR="349B9269">
        <w:rPr>
          <w:rFonts w:ascii="Verdana" w:hAnsi="Verdana" w:eastAsia="Verdana" w:cs="Verdana"/>
          <w:sz w:val="18"/>
          <w:szCs w:val="18"/>
        </w:rPr>
        <w:t xml:space="preserve"> </w:t>
      </w:r>
      <w:r w:rsidRPr="3A3E4175">
        <w:rPr>
          <w:rFonts w:ascii="Verdana" w:hAnsi="Verdana" w:eastAsia="Verdana" w:cs="Verdana"/>
          <w:sz w:val="18"/>
          <w:szCs w:val="18"/>
        </w:rPr>
        <w:t>is afgerond.</w:t>
      </w:r>
    </w:p>
    <w:p w:rsidR="08CE7D5C" w:rsidP="3A3E4175" w:rsidRDefault="08CE7D5C" w14:paraId="446C5F67" w14:textId="40E720C6">
      <w:pPr>
        <w:spacing w:line="257" w:lineRule="auto"/>
      </w:pPr>
      <w:r w:rsidRPr="3A3E4175">
        <w:rPr>
          <w:rFonts w:ascii="Verdana" w:hAnsi="Verdana" w:eastAsia="Verdana" w:cs="Verdana"/>
          <w:b/>
          <w:bCs/>
          <w:sz w:val="18"/>
          <w:szCs w:val="18"/>
        </w:rPr>
        <w:t>BBT</w:t>
      </w:r>
    </w:p>
    <w:p w:rsidR="08CE7D5C" w:rsidP="3A3E4175" w:rsidRDefault="08CE7D5C" w14:paraId="0064F56D" w14:textId="07436FE5">
      <w:pPr>
        <w:spacing w:line="257" w:lineRule="auto"/>
      </w:pPr>
      <w:r w:rsidRPr="3A3E4175">
        <w:rPr>
          <w:rFonts w:ascii="Verdana" w:hAnsi="Verdana" w:eastAsia="Verdana" w:cs="Verdana"/>
          <w:sz w:val="18"/>
          <w:szCs w:val="18"/>
        </w:rPr>
        <w:t>Toegekende middelen:</w:t>
      </w:r>
    </w:p>
    <w:p w:rsidR="08CE7D5C" w:rsidP="3A3E4175" w:rsidRDefault="08CE7D5C" w14:paraId="425DED61" w14:textId="222F2611">
      <w:pPr>
        <w:spacing w:line="257" w:lineRule="auto"/>
      </w:pPr>
      <w:r w:rsidRPr="3A3E4175">
        <w:rPr>
          <w:rFonts w:ascii="Verdana" w:hAnsi="Verdana" w:eastAsia="Verdana" w:cs="Verdana"/>
          <w:sz w:val="18"/>
          <w:szCs w:val="18"/>
        </w:rPr>
        <w:t>Omschrijving: De wettelijk verplichte BBT-aanpak is de afgelopen decennia de basis geweest voor de emissiereducties in de industrie en draagt substantieel bij aan stikstofemissiereductie. Deze maatregel is afgerond. Er is gekeken naar mogelijkheden tot aanscherping van zowel de algemeen geldende regels voor o.a. vergunningverlening als binnen de vergunningverlening door de bevoegde gezagen zelf om tot nog verdere reductie te komen.</w:t>
      </w:r>
    </w:p>
    <w:p w:rsidR="08CE7D5C" w:rsidP="3A3E4175" w:rsidRDefault="08CE7D5C" w14:paraId="41FFCF15" w14:textId="0299D5D5">
      <w:pPr>
        <w:spacing w:line="257" w:lineRule="auto"/>
        <w:rPr>
          <w:rFonts w:ascii="Verdana" w:hAnsi="Verdana" w:eastAsia="Verdana" w:cs="Verdana"/>
          <w:b/>
          <w:bCs/>
          <w:sz w:val="18"/>
          <w:szCs w:val="18"/>
          <w:u w:val="single"/>
        </w:rPr>
      </w:pPr>
      <w:r w:rsidRPr="3A3E4175">
        <w:rPr>
          <w:rFonts w:ascii="Verdana" w:hAnsi="Verdana" w:eastAsia="Verdana" w:cs="Verdana"/>
          <w:b/>
          <w:bCs/>
          <w:sz w:val="18"/>
          <w:szCs w:val="18"/>
          <w:u w:val="single"/>
        </w:rPr>
        <w:t>Overige maatregelen</w:t>
      </w:r>
    </w:p>
    <w:p w:rsidR="08CE7D5C" w:rsidP="3A3E4175" w:rsidRDefault="08CE7D5C" w14:paraId="1E1D270F" w14:textId="7FD0611D">
      <w:pPr>
        <w:spacing w:line="257" w:lineRule="auto"/>
      </w:pPr>
      <w:r w:rsidRPr="3C462CC1">
        <w:rPr>
          <w:rFonts w:ascii="Verdana" w:hAnsi="Verdana" w:eastAsia="Verdana" w:cs="Verdana"/>
          <w:b/>
          <w:bCs/>
          <w:sz w:val="18"/>
          <w:szCs w:val="18"/>
        </w:rPr>
        <w:t>RPAV</w:t>
      </w:r>
    </w:p>
    <w:p w:rsidR="08CE7D5C" w:rsidP="3A3E4175" w:rsidRDefault="08CE7D5C" w14:paraId="33BFF260" w14:textId="591970EC">
      <w:pPr>
        <w:spacing w:line="257" w:lineRule="auto"/>
      </w:pPr>
      <w:r w:rsidRPr="3A3E4175">
        <w:rPr>
          <w:rFonts w:ascii="Verdana" w:hAnsi="Verdana" w:eastAsia="Verdana" w:cs="Verdana"/>
          <w:sz w:val="18"/>
          <w:szCs w:val="18"/>
        </w:rPr>
        <w:lastRenderedPageBreak/>
        <w:t>Toegekende middelen: 250 mln.</w:t>
      </w:r>
    </w:p>
    <w:p w:rsidR="08CE7D5C" w:rsidP="5783171A" w:rsidRDefault="08CE7D5C" w14:paraId="3F7E0023" w14:textId="416F2A6F">
      <w:pPr>
        <w:spacing w:line="257" w:lineRule="auto"/>
        <w:rPr>
          <w:rFonts w:ascii="Verdana" w:hAnsi="Verdana" w:eastAsia="Verdana" w:cs="Verdana"/>
          <w:sz w:val="18"/>
          <w:szCs w:val="18"/>
        </w:rPr>
      </w:pPr>
      <w:r w:rsidRPr="3C462CC1">
        <w:rPr>
          <w:rFonts w:ascii="Verdana" w:hAnsi="Verdana" w:eastAsia="Verdana" w:cs="Verdana"/>
          <w:sz w:val="18"/>
          <w:szCs w:val="18"/>
        </w:rPr>
        <w:t>Omschrijving: Het kabinet heeft € 250 mln. naar voren gehaald uit de Lbv om de provincies in staat te stellen maatwerk te leveren en de meldingen versneld te legaliseren.</w:t>
      </w:r>
    </w:p>
    <w:p w:rsidR="08CE7D5C" w:rsidP="3A3E4175" w:rsidRDefault="2AA670F7" w14:paraId="2D4C0782" w14:textId="08550AE5">
      <w:pPr>
        <w:spacing w:before="105" w:after="105" w:line="257" w:lineRule="auto"/>
      </w:pPr>
      <w:r w:rsidRPr="7C493882">
        <w:rPr>
          <w:rFonts w:ascii="Verdana" w:hAnsi="Verdana" w:eastAsia="Verdana" w:cs="Verdana"/>
          <w:b/>
          <w:bCs/>
          <w:color w:val="000000" w:themeColor="text1"/>
          <w:sz w:val="18"/>
          <w:szCs w:val="18"/>
        </w:rPr>
        <w:t xml:space="preserve"> </w:t>
      </w:r>
      <w:r w:rsidRPr="7C493882" w:rsidR="78E630A4">
        <w:rPr>
          <w:rFonts w:ascii="Verdana" w:hAnsi="Verdana" w:eastAsia="Verdana" w:cs="Verdana"/>
          <w:b/>
          <w:bCs/>
          <w:color w:val="000000" w:themeColor="text1"/>
          <w:sz w:val="18"/>
          <w:szCs w:val="18"/>
        </w:rPr>
        <w:t>R</w:t>
      </w:r>
      <w:r w:rsidRPr="7C493882">
        <w:rPr>
          <w:rFonts w:ascii="Verdana" w:hAnsi="Verdana" w:eastAsia="Verdana" w:cs="Verdana"/>
          <w:b/>
          <w:bCs/>
          <w:color w:val="000000" w:themeColor="text1"/>
          <w:sz w:val="18"/>
          <w:szCs w:val="18"/>
        </w:rPr>
        <w:t>egionale maatwerkaanpak rondom de Veluwe en de Peel</w:t>
      </w:r>
    </w:p>
    <w:p w:rsidR="08CE7D5C" w:rsidP="3A3E4175" w:rsidRDefault="08CE7D5C" w14:paraId="6997F107" w14:textId="5D14F86C">
      <w:pPr>
        <w:spacing w:line="257" w:lineRule="auto"/>
      </w:pPr>
      <w:r w:rsidRPr="3A3E4175">
        <w:rPr>
          <w:rFonts w:ascii="Verdana" w:hAnsi="Verdana" w:eastAsia="Verdana" w:cs="Verdana"/>
          <w:sz w:val="18"/>
          <w:szCs w:val="18"/>
        </w:rPr>
        <w:t xml:space="preserve">Toegekende middelen: €600 mln. </w:t>
      </w:r>
    </w:p>
    <w:p w:rsidR="0065041D" w:rsidP="00EF61B6" w:rsidRDefault="08CE7D5C" w14:paraId="09684878" w14:textId="043BE546">
      <w:pPr>
        <w:spacing w:after="0" w:line="257" w:lineRule="auto"/>
        <w:rPr>
          <w:rFonts w:ascii="Verdana" w:hAnsi="Verdana" w:eastAsia="Verdana" w:cs="Verdana"/>
          <w:i/>
          <w:iCs/>
          <w:sz w:val="18"/>
          <w:szCs w:val="18"/>
        </w:rPr>
        <w:sectPr w:rsidR="0065041D" w:rsidSect="00EF61B6">
          <w:pgSz w:w="11906" w:h="16838"/>
          <w:pgMar w:top="1418" w:right="1418" w:bottom="1418" w:left="1418" w:header="709" w:footer="709" w:gutter="0"/>
          <w:cols w:space="708"/>
          <w:docGrid w:linePitch="360"/>
        </w:sectPr>
      </w:pPr>
      <w:r w:rsidRPr="3A3E4175">
        <w:rPr>
          <w:rFonts w:ascii="Verdana" w:hAnsi="Verdana" w:eastAsia="Verdana" w:cs="Verdana"/>
          <w:sz w:val="18"/>
          <w:szCs w:val="18"/>
        </w:rPr>
        <w:t>Omschrijving: Het kabinet kiest ervoor om te starten met een regionale aanpak op de Veluwe en in de Peel. Hierbij wordt gedacht aan het instellen van een strook van 250 meter rond overbelaste hexagonen, met maatwerk per gebied. De opgave voor deze stroken geldt alleen voor (delen van) percelen of gebouwen binnen die stroken. De precieze invulling wordt de komende tijd zorgvuldig samen met provincies uitgewerkt, inclusief de reductieopgav</w:t>
      </w:r>
      <w:r w:rsidR="00EF61B6">
        <w:rPr>
          <w:rFonts w:ascii="Verdana" w:hAnsi="Verdana" w:eastAsia="Verdana" w:cs="Verdana"/>
          <w:sz w:val="18"/>
          <w:szCs w:val="18"/>
        </w:rPr>
        <w:t>e</w:t>
      </w:r>
      <w:r w:rsidR="00BB6609">
        <w:rPr>
          <w:rFonts w:ascii="Verdana" w:hAnsi="Verdana" w:eastAsia="Verdana" w:cs="Verdana"/>
          <w:sz w:val="18"/>
          <w:szCs w:val="18"/>
        </w:rPr>
        <w:t>.</w:t>
      </w:r>
    </w:p>
    <w:p w:rsidR="0712D728" w:rsidP="090AAE15" w:rsidRDefault="0712D728" w14:paraId="04872E71" w14:textId="03D66D9E">
      <w:pPr>
        <w:spacing w:after="0"/>
        <w:rPr>
          <w:rFonts w:ascii="Verdana" w:hAnsi="Verdana" w:eastAsia="Verdana" w:cs="Verdana"/>
          <w:sz w:val="18"/>
          <w:szCs w:val="18"/>
        </w:rPr>
      </w:pPr>
    </w:p>
    <w:sectPr w:rsidR="0712D728" w:rsidSect="00F8597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3AC7" w14:textId="77777777" w:rsidR="00134681" w:rsidRDefault="00134681" w:rsidP="00B25D21">
      <w:pPr>
        <w:spacing w:after="0" w:line="240" w:lineRule="auto"/>
      </w:pPr>
      <w:r>
        <w:separator/>
      </w:r>
    </w:p>
  </w:endnote>
  <w:endnote w:type="continuationSeparator" w:id="0">
    <w:p w14:paraId="6DEAFA93" w14:textId="77777777" w:rsidR="00134681" w:rsidRDefault="00134681" w:rsidP="00B2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B3F7" w14:textId="01C10AFD" w:rsidR="00B25D21" w:rsidRDefault="00B25D21">
    <w:pPr>
      <w:pStyle w:val="Voettekst"/>
    </w:pPr>
    <w:r>
      <w:rPr>
        <w:noProof/>
      </w:rPr>
      <mc:AlternateContent>
        <mc:Choice Requires="wps">
          <w:drawing>
            <wp:anchor distT="0" distB="0" distL="0" distR="0" simplePos="0" relativeHeight="251658240" behindDoc="0" locked="0" layoutInCell="1" allowOverlap="1" wp14:anchorId="65CF3B90" wp14:editId="76CB4D54">
              <wp:simplePos x="635" y="635"/>
              <wp:positionH relativeFrom="page">
                <wp:align>left</wp:align>
              </wp:positionH>
              <wp:positionV relativeFrom="page">
                <wp:align>bottom</wp:align>
              </wp:positionV>
              <wp:extent cx="1007110" cy="357505"/>
              <wp:effectExtent l="0" t="0" r="2540" b="0"/>
              <wp:wrapNone/>
              <wp:docPr id="25165356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7A964E7D" w14:textId="734DF822" w:rsidR="00B25D21" w:rsidRPr="00B25D21" w:rsidRDefault="00B25D21" w:rsidP="00B25D21">
                          <w:pPr>
                            <w:spacing w:after="0"/>
                            <w:rPr>
                              <w:rFonts w:ascii="Aptos" w:eastAsia="Aptos" w:hAnsi="Aptos" w:cs="Aptos"/>
                              <w:noProof/>
                              <w:color w:val="000000"/>
                              <w:sz w:val="20"/>
                              <w:szCs w:val="20"/>
                            </w:rPr>
                          </w:pPr>
                          <w:r w:rsidRPr="00B25D2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5CF3B90">
              <v:stroke joinstyle="miter"/>
              <v:path gradientshapeok="t" o:connecttype="rect"/>
            </v:shapetype>
            <v:shape id="Tekstvak 2"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v:textbox style="mso-fit-shape-to-text:t" inset="20pt,0,0,15pt">
                <w:txbxContent>
                  <w:p w:rsidRPr="00B25D21" w:rsidR="00B25D21" w:rsidP="00B25D21" w:rsidRDefault="00B25D21" w14:paraId="7A964E7D" w14:textId="734DF822">
                    <w:pPr>
                      <w:spacing w:after="0"/>
                      <w:rPr>
                        <w:rFonts w:ascii="Aptos" w:hAnsi="Aptos" w:eastAsia="Aptos" w:cs="Aptos"/>
                        <w:noProof/>
                        <w:color w:val="000000"/>
                        <w:sz w:val="20"/>
                        <w:szCs w:val="20"/>
                      </w:rPr>
                    </w:pPr>
                    <w:r w:rsidRPr="00B25D21">
                      <w:rPr>
                        <w:rFonts w:ascii="Aptos" w:hAnsi="Aptos" w:eastAsia="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C3C0" w14:textId="0F011533" w:rsidR="00B25D21" w:rsidRDefault="00B25D21">
    <w:pPr>
      <w:pStyle w:val="Voettekst"/>
    </w:pPr>
    <w:r>
      <w:rPr>
        <w:noProof/>
      </w:rPr>
      <mc:AlternateContent>
        <mc:Choice Requires="wps">
          <w:drawing>
            <wp:anchor distT="0" distB="0" distL="0" distR="0" simplePos="0" relativeHeight="251658241" behindDoc="0" locked="0" layoutInCell="1" allowOverlap="1" wp14:anchorId="379708E4" wp14:editId="0B4AC34A">
              <wp:simplePos x="902525" y="10070275"/>
              <wp:positionH relativeFrom="page">
                <wp:align>left</wp:align>
              </wp:positionH>
              <wp:positionV relativeFrom="page">
                <wp:align>bottom</wp:align>
              </wp:positionV>
              <wp:extent cx="1007110" cy="357505"/>
              <wp:effectExtent l="0" t="0" r="2540" b="0"/>
              <wp:wrapNone/>
              <wp:docPr id="19147514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61AE4B9B" w14:textId="769759BD" w:rsidR="00B25D21" w:rsidRPr="00B25D21" w:rsidRDefault="00B25D21" w:rsidP="00B25D21">
                          <w:pPr>
                            <w:spacing w:after="0"/>
                            <w:rPr>
                              <w:rFonts w:ascii="Aptos" w:eastAsia="Aptos" w:hAnsi="Aptos" w:cs="Aptos"/>
                              <w:noProof/>
                              <w:color w:val="000000"/>
                              <w:sz w:val="20"/>
                              <w:szCs w:val="20"/>
                            </w:rPr>
                          </w:pPr>
                          <w:r w:rsidRPr="00B25D2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79708E4">
              <v:stroke joinstyle="miter"/>
              <v:path gradientshapeok="t" o:connecttype="rect"/>
            </v:shapetype>
            <v:shape id="Tekstvak 3"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v:textbox style="mso-fit-shape-to-text:t" inset="20pt,0,0,15pt">
                <w:txbxContent>
                  <w:p w:rsidRPr="00B25D21" w:rsidR="00B25D21" w:rsidP="00B25D21" w:rsidRDefault="00B25D21" w14:paraId="61AE4B9B" w14:textId="769759BD">
                    <w:pPr>
                      <w:spacing w:after="0"/>
                      <w:rPr>
                        <w:rFonts w:ascii="Aptos" w:hAnsi="Aptos" w:eastAsia="Aptos" w:cs="Aptos"/>
                        <w:noProof/>
                        <w:color w:val="000000"/>
                        <w:sz w:val="20"/>
                        <w:szCs w:val="20"/>
                      </w:rPr>
                    </w:pPr>
                    <w:r w:rsidRPr="00B25D21">
                      <w:rPr>
                        <w:rFonts w:ascii="Aptos" w:hAnsi="Aptos" w:eastAsia="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8275" w14:textId="09EB4562" w:rsidR="00B25D21" w:rsidRDefault="00B25D21">
    <w:pPr>
      <w:pStyle w:val="Voettekst"/>
    </w:pPr>
    <w:r>
      <w:rPr>
        <w:noProof/>
      </w:rPr>
      <mc:AlternateContent>
        <mc:Choice Requires="wps">
          <w:drawing>
            <wp:anchor distT="0" distB="0" distL="0" distR="0" simplePos="0" relativeHeight="251658242" behindDoc="0" locked="0" layoutInCell="1" allowOverlap="1" wp14:anchorId="21D176A1" wp14:editId="02F03E7B">
              <wp:simplePos x="635" y="635"/>
              <wp:positionH relativeFrom="page">
                <wp:align>left</wp:align>
              </wp:positionH>
              <wp:positionV relativeFrom="page">
                <wp:align>bottom</wp:align>
              </wp:positionV>
              <wp:extent cx="1007110" cy="357505"/>
              <wp:effectExtent l="0" t="0" r="2540" b="0"/>
              <wp:wrapNone/>
              <wp:docPr id="147276568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2E92C6F6" w14:textId="4FE79971" w:rsidR="00B25D21" w:rsidRPr="00B25D21" w:rsidRDefault="00B25D21" w:rsidP="00B25D21">
                          <w:pPr>
                            <w:spacing w:after="0"/>
                            <w:rPr>
                              <w:rFonts w:ascii="Aptos" w:eastAsia="Aptos" w:hAnsi="Aptos" w:cs="Aptos"/>
                              <w:noProof/>
                              <w:color w:val="000000"/>
                              <w:sz w:val="20"/>
                              <w:szCs w:val="20"/>
                            </w:rPr>
                          </w:pPr>
                          <w:r w:rsidRPr="00B25D2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1D176A1">
              <v:stroke joinstyle="miter"/>
              <v:path gradientshapeok="t" o:connecttype="rect"/>
            </v:shapetype>
            <v:shape id="Tekstvak 1" style="position:absolute;margin-left:0;margin-top:0;width:79.3pt;height:28.15pt;z-index:251658242;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v:textbox style="mso-fit-shape-to-text:t" inset="20pt,0,0,15pt">
                <w:txbxContent>
                  <w:p w:rsidRPr="00B25D21" w:rsidR="00B25D21" w:rsidP="00B25D21" w:rsidRDefault="00B25D21" w14:paraId="2E92C6F6" w14:textId="4FE79971">
                    <w:pPr>
                      <w:spacing w:after="0"/>
                      <w:rPr>
                        <w:rFonts w:ascii="Aptos" w:hAnsi="Aptos" w:eastAsia="Aptos" w:cs="Aptos"/>
                        <w:noProof/>
                        <w:color w:val="000000"/>
                        <w:sz w:val="20"/>
                        <w:szCs w:val="20"/>
                      </w:rPr>
                    </w:pPr>
                    <w:r w:rsidRPr="00B25D21">
                      <w:rPr>
                        <w:rFonts w:ascii="Aptos" w:hAnsi="Aptos" w:eastAsia="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89E1" w14:textId="77777777" w:rsidR="00134681" w:rsidRDefault="00134681" w:rsidP="00B25D21">
      <w:pPr>
        <w:spacing w:after="0" w:line="240" w:lineRule="auto"/>
      </w:pPr>
      <w:r>
        <w:separator/>
      </w:r>
    </w:p>
  </w:footnote>
  <w:footnote w:type="continuationSeparator" w:id="0">
    <w:p w14:paraId="7E713308" w14:textId="77777777" w:rsidR="00134681" w:rsidRDefault="00134681" w:rsidP="00B25D21">
      <w:pPr>
        <w:spacing w:after="0" w:line="240" w:lineRule="auto"/>
      </w:pPr>
      <w:r>
        <w:continuationSeparator/>
      </w:r>
    </w:p>
  </w:footnote>
  <w:footnote w:id="1">
    <w:p w14:paraId="34E187C8" w14:textId="7FDAA755" w:rsidR="00A65696" w:rsidRPr="00A65696" w:rsidRDefault="00A65696">
      <w:pPr>
        <w:pStyle w:val="Voetnoottekst"/>
      </w:pPr>
      <w:r>
        <w:rPr>
          <w:rStyle w:val="Voetnootmarkering"/>
        </w:rPr>
        <w:footnoteRef/>
      </w:r>
      <w:r w:rsidR="00CB5A32">
        <w:t xml:space="preserve"> </w:t>
      </w:r>
      <w:r>
        <w:t xml:space="preserve">Kamerstuk: </w:t>
      </w:r>
      <w:r w:rsidRPr="00A65696">
        <w:t>28973-298</w:t>
      </w:r>
    </w:p>
  </w:footnote>
  <w:footnote w:id="2">
    <w:p w14:paraId="359EBA7D" w14:textId="38DB7102" w:rsidR="004038AC" w:rsidRPr="004038AC" w:rsidRDefault="004038AC">
      <w:pPr>
        <w:pStyle w:val="Voetnoottekst"/>
      </w:pPr>
      <w:r>
        <w:rPr>
          <w:rStyle w:val="Voetnootmarkering"/>
        </w:rPr>
        <w:footnoteRef/>
      </w:r>
      <w:r>
        <w:t xml:space="preserve"> Kamerstuk: </w:t>
      </w:r>
      <w:r w:rsidRPr="004038AC">
        <w:t>33037-642</w:t>
      </w:r>
    </w:p>
  </w:footnote>
  <w:footnote w:id="3">
    <w:p w14:paraId="3C153A69" w14:textId="2026A27D" w:rsidR="0063317B" w:rsidRPr="00CB5A32" w:rsidRDefault="0063317B">
      <w:pPr>
        <w:pStyle w:val="Voetnoottekst"/>
      </w:pPr>
      <w:r>
        <w:rPr>
          <w:rStyle w:val="Voetnootmarkering"/>
        </w:rPr>
        <w:footnoteRef/>
      </w:r>
      <w:r>
        <w:t xml:space="preserve"> </w:t>
      </w:r>
      <w:r w:rsidRPr="0063317B">
        <w:t>https://edepot.wur.nl/711205</w:t>
      </w:r>
    </w:p>
  </w:footnote>
  <w:footnote w:id="4">
    <w:p w14:paraId="2DBBBCF8" w14:textId="2F544D0A" w:rsidR="003B0C72" w:rsidRPr="003B0C72" w:rsidRDefault="003B0C72">
      <w:pPr>
        <w:pStyle w:val="Voetnoottekst"/>
      </w:pPr>
      <w:r>
        <w:rPr>
          <w:rStyle w:val="Voetnootmarkering"/>
        </w:rPr>
        <w:footnoteRef/>
      </w:r>
      <w:r>
        <w:t xml:space="preserve"> </w:t>
      </w:r>
      <w:r w:rsidRPr="6BC19194">
        <w:rPr>
          <w:rFonts w:ascii="Verdana" w:eastAsia="Verdana" w:hAnsi="Verdana" w:cs="Verdana"/>
          <w:sz w:val="16"/>
          <w:szCs w:val="16"/>
        </w:rPr>
        <w:t>Zoals brancheorganisaties, transportbedrijven en voertuigfabrikanten.</w:t>
      </w:r>
    </w:p>
  </w:footnote>
  <w:footnote w:id="5">
    <w:p w14:paraId="08602F99" w14:textId="025254FB" w:rsidR="0057154F" w:rsidRPr="0057154F" w:rsidRDefault="0057154F">
      <w:pPr>
        <w:pStyle w:val="Voetnoottekst"/>
      </w:pPr>
      <w:r>
        <w:rPr>
          <w:rStyle w:val="Voetnootmarkering"/>
        </w:rPr>
        <w:footnoteRef/>
      </w:r>
      <w:r>
        <w:t xml:space="preserve"> </w:t>
      </w:r>
      <w:r w:rsidRPr="6BC19194">
        <w:rPr>
          <w:rFonts w:ascii="Verdana" w:eastAsia="Verdana" w:hAnsi="Verdana" w:cs="Verdana"/>
          <w:sz w:val="16"/>
          <w:szCs w:val="16"/>
        </w:rPr>
        <w:t>De uitvoering van de bronmaatregel hangt af van goedkeuring van het ILT bestedingsplan 2027 e.v. en de beschikbaarstelling van middelen via de Ontwerpbegroting 2027</w:t>
      </w:r>
    </w:p>
  </w:footnote>
  <w:footnote w:id="6">
    <w:p w14:paraId="3BF013BD" w14:textId="4D2004C6" w:rsidR="00CB5A32" w:rsidRPr="00527BAE" w:rsidRDefault="00CB5A32">
      <w:pPr>
        <w:pStyle w:val="Voetnoottekst"/>
      </w:pPr>
      <w:r>
        <w:rPr>
          <w:rStyle w:val="Voetnootmarkering"/>
        </w:rPr>
        <w:footnoteRef/>
      </w:r>
      <w:r w:rsidR="00527BAE">
        <w:t xml:space="preserve"> </w:t>
      </w:r>
      <w:r w:rsidR="00527BAE" w:rsidRPr="00527BAE">
        <w:t>https://zuivel-nl.files.svdcdn.com/production/images/Convenant-verlagen-ruw-eiwit-in-rantsoenen-melkveebedrijven.pdf?dm=1740684180</w:t>
      </w:r>
    </w:p>
  </w:footnote>
  <w:footnote w:id="7">
    <w:p w14:paraId="32F7197F" w14:textId="58B81030" w:rsidR="008100EA" w:rsidRPr="00EF61B6" w:rsidRDefault="008100EA">
      <w:pPr>
        <w:pStyle w:val="Voetnoottekst"/>
      </w:pPr>
      <w:r>
        <w:rPr>
          <w:rStyle w:val="Voetnootmarkering"/>
        </w:rPr>
        <w:footnoteRef/>
      </w:r>
      <w:r>
        <w:t xml:space="preserve"> Kamerstuk: </w:t>
      </w:r>
      <w:r w:rsidRPr="004038AC">
        <w:t>33037-642</w:t>
      </w:r>
    </w:p>
  </w:footnote>
  <w:footnote w:id="8">
    <w:p w14:paraId="09BF21C3" w14:textId="75BF5023" w:rsidR="3C462CC1" w:rsidRDefault="3C462CC1" w:rsidP="3C462CC1">
      <w:pPr>
        <w:pStyle w:val="Voetnoottekst"/>
      </w:pPr>
      <w:r w:rsidRPr="3C462CC1">
        <w:rPr>
          <w:rStyle w:val="Voetnootmarkering"/>
        </w:rPr>
        <w:footnoteRef/>
      </w:r>
      <w:r>
        <w:t xml:space="preserve"> </w:t>
      </w:r>
      <w:r w:rsidRPr="3C462CC1">
        <w:rPr>
          <w:rFonts w:ascii="Verdana" w:eastAsia="Verdana" w:hAnsi="Verdana" w:cs="Verdana"/>
          <w:sz w:val="18"/>
          <w:szCs w:val="18"/>
        </w:rPr>
        <w:t>Kamerbrief 31 409 nr. 498</w:t>
      </w:r>
    </w:p>
  </w:footnote>
  <w:footnote w:id="9">
    <w:p w14:paraId="5549C7C9" w14:textId="3E0C3C43" w:rsidR="009A3BDA" w:rsidRPr="00EF61B6" w:rsidRDefault="009A3BDA">
      <w:pPr>
        <w:pStyle w:val="Voetnoottekst"/>
      </w:pPr>
      <w:r>
        <w:rPr>
          <w:rStyle w:val="Voetnootmarkering"/>
        </w:rPr>
        <w:footnoteRef/>
      </w:r>
      <w:r w:rsidRPr="00EF61B6">
        <w:t xml:space="preserve"> https://zoek.officielebekendmakingen.nl/stcrt-2026-14085.html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09F"/>
    <w:multiLevelType w:val="hybridMultilevel"/>
    <w:tmpl w:val="D882A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AA0A56"/>
    <w:multiLevelType w:val="hybridMultilevel"/>
    <w:tmpl w:val="FFECC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E57EF"/>
    <w:multiLevelType w:val="hybridMultilevel"/>
    <w:tmpl w:val="45F43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908CE"/>
    <w:multiLevelType w:val="hybridMultilevel"/>
    <w:tmpl w:val="E16EB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93D173"/>
    <w:multiLevelType w:val="hybridMultilevel"/>
    <w:tmpl w:val="A68E05B2"/>
    <w:lvl w:ilvl="0" w:tplc="B93CE39A">
      <w:start w:val="1"/>
      <w:numFmt w:val="bullet"/>
      <w:lvlText w:val="-"/>
      <w:lvlJc w:val="left"/>
      <w:pPr>
        <w:ind w:left="720" w:hanging="360"/>
      </w:pPr>
      <w:rPr>
        <w:rFonts w:ascii="&quot;Verdana&quot;,sans-serif" w:hAnsi="&quot;Verdana&quot;,sans-serif" w:hint="default"/>
      </w:rPr>
    </w:lvl>
    <w:lvl w:ilvl="1" w:tplc="2CE4B6A0">
      <w:start w:val="1"/>
      <w:numFmt w:val="bullet"/>
      <w:lvlText w:val="o"/>
      <w:lvlJc w:val="left"/>
      <w:pPr>
        <w:ind w:left="1440" w:hanging="360"/>
      </w:pPr>
      <w:rPr>
        <w:rFonts w:ascii="Courier New" w:hAnsi="Courier New" w:hint="default"/>
      </w:rPr>
    </w:lvl>
    <w:lvl w:ilvl="2" w:tplc="A12CC56A">
      <w:start w:val="1"/>
      <w:numFmt w:val="bullet"/>
      <w:lvlText w:val=""/>
      <w:lvlJc w:val="left"/>
      <w:pPr>
        <w:ind w:left="2160" w:hanging="360"/>
      </w:pPr>
      <w:rPr>
        <w:rFonts w:ascii="Wingdings" w:hAnsi="Wingdings" w:hint="default"/>
      </w:rPr>
    </w:lvl>
    <w:lvl w:ilvl="3" w:tplc="23DE7CC4">
      <w:start w:val="1"/>
      <w:numFmt w:val="bullet"/>
      <w:lvlText w:val=""/>
      <w:lvlJc w:val="left"/>
      <w:pPr>
        <w:ind w:left="2880" w:hanging="360"/>
      </w:pPr>
      <w:rPr>
        <w:rFonts w:ascii="Symbol" w:hAnsi="Symbol" w:hint="default"/>
      </w:rPr>
    </w:lvl>
    <w:lvl w:ilvl="4" w:tplc="FD540512">
      <w:start w:val="1"/>
      <w:numFmt w:val="bullet"/>
      <w:lvlText w:val="o"/>
      <w:lvlJc w:val="left"/>
      <w:pPr>
        <w:ind w:left="3600" w:hanging="360"/>
      </w:pPr>
      <w:rPr>
        <w:rFonts w:ascii="Courier New" w:hAnsi="Courier New" w:hint="default"/>
      </w:rPr>
    </w:lvl>
    <w:lvl w:ilvl="5" w:tplc="DC486F8C">
      <w:start w:val="1"/>
      <w:numFmt w:val="bullet"/>
      <w:lvlText w:val=""/>
      <w:lvlJc w:val="left"/>
      <w:pPr>
        <w:ind w:left="4320" w:hanging="360"/>
      </w:pPr>
      <w:rPr>
        <w:rFonts w:ascii="Wingdings" w:hAnsi="Wingdings" w:hint="default"/>
      </w:rPr>
    </w:lvl>
    <w:lvl w:ilvl="6" w:tplc="EB3AB1DA">
      <w:start w:val="1"/>
      <w:numFmt w:val="bullet"/>
      <w:lvlText w:val=""/>
      <w:lvlJc w:val="left"/>
      <w:pPr>
        <w:ind w:left="5040" w:hanging="360"/>
      </w:pPr>
      <w:rPr>
        <w:rFonts w:ascii="Symbol" w:hAnsi="Symbol" w:hint="default"/>
      </w:rPr>
    </w:lvl>
    <w:lvl w:ilvl="7" w:tplc="79D0AE96">
      <w:start w:val="1"/>
      <w:numFmt w:val="bullet"/>
      <w:lvlText w:val="o"/>
      <w:lvlJc w:val="left"/>
      <w:pPr>
        <w:ind w:left="5760" w:hanging="360"/>
      </w:pPr>
      <w:rPr>
        <w:rFonts w:ascii="Courier New" w:hAnsi="Courier New" w:hint="default"/>
      </w:rPr>
    </w:lvl>
    <w:lvl w:ilvl="8" w:tplc="66449C46">
      <w:start w:val="1"/>
      <w:numFmt w:val="bullet"/>
      <w:lvlText w:val=""/>
      <w:lvlJc w:val="left"/>
      <w:pPr>
        <w:ind w:left="6480" w:hanging="360"/>
      </w:pPr>
      <w:rPr>
        <w:rFonts w:ascii="Wingdings" w:hAnsi="Wingdings" w:hint="default"/>
      </w:rPr>
    </w:lvl>
  </w:abstractNum>
  <w:abstractNum w:abstractNumId="5" w15:restartNumberingAfterBreak="0">
    <w:nsid w:val="279B05AC"/>
    <w:multiLevelType w:val="hybridMultilevel"/>
    <w:tmpl w:val="D8FE071A"/>
    <w:lvl w:ilvl="0" w:tplc="B5285EA2">
      <w:start w:val="1"/>
      <w:numFmt w:val="bullet"/>
      <w:lvlText w:val="-"/>
      <w:lvlJc w:val="left"/>
      <w:pPr>
        <w:ind w:left="720" w:hanging="360"/>
      </w:pPr>
      <w:rPr>
        <w:rFonts w:ascii="&quot;Verdana&quot;,sans-serif" w:hAnsi="&quot;Verdana&quot;,sans-serif" w:hint="default"/>
      </w:rPr>
    </w:lvl>
    <w:lvl w:ilvl="1" w:tplc="FA5E8936">
      <w:start w:val="1"/>
      <w:numFmt w:val="bullet"/>
      <w:lvlText w:val="o"/>
      <w:lvlJc w:val="left"/>
      <w:pPr>
        <w:ind w:left="1440" w:hanging="360"/>
      </w:pPr>
      <w:rPr>
        <w:rFonts w:ascii="Courier New" w:hAnsi="Courier New" w:hint="default"/>
      </w:rPr>
    </w:lvl>
    <w:lvl w:ilvl="2" w:tplc="7612F894">
      <w:start w:val="1"/>
      <w:numFmt w:val="bullet"/>
      <w:lvlText w:val=""/>
      <w:lvlJc w:val="left"/>
      <w:pPr>
        <w:ind w:left="2160" w:hanging="360"/>
      </w:pPr>
      <w:rPr>
        <w:rFonts w:ascii="Wingdings" w:hAnsi="Wingdings" w:hint="default"/>
      </w:rPr>
    </w:lvl>
    <w:lvl w:ilvl="3" w:tplc="C91E01F6">
      <w:start w:val="1"/>
      <w:numFmt w:val="bullet"/>
      <w:lvlText w:val=""/>
      <w:lvlJc w:val="left"/>
      <w:pPr>
        <w:ind w:left="2880" w:hanging="360"/>
      </w:pPr>
      <w:rPr>
        <w:rFonts w:ascii="Symbol" w:hAnsi="Symbol" w:hint="default"/>
      </w:rPr>
    </w:lvl>
    <w:lvl w:ilvl="4" w:tplc="785827B6">
      <w:start w:val="1"/>
      <w:numFmt w:val="bullet"/>
      <w:lvlText w:val="o"/>
      <w:lvlJc w:val="left"/>
      <w:pPr>
        <w:ind w:left="3600" w:hanging="360"/>
      </w:pPr>
      <w:rPr>
        <w:rFonts w:ascii="Courier New" w:hAnsi="Courier New" w:hint="default"/>
      </w:rPr>
    </w:lvl>
    <w:lvl w:ilvl="5" w:tplc="E0944EE4">
      <w:start w:val="1"/>
      <w:numFmt w:val="bullet"/>
      <w:lvlText w:val=""/>
      <w:lvlJc w:val="left"/>
      <w:pPr>
        <w:ind w:left="4320" w:hanging="360"/>
      </w:pPr>
      <w:rPr>
        <w:rFonts w:ascii="Wingdings" w:hAnsi="Wingdings" w:hint="default"/>
      </w:rPr>
    </w:lvl>
    <w:lvl w:ilvl="6" w:tplc="EEC229AA">
      <w:start w:val="1"/>
      <w:numFmt w:val="bullet"/>
      <w:lvlText w:val=""/>
      <w:lvlJc w:val="left"/>
      <w:pPr>
        <w:ind w:left="5040" w:hanging="360"/>
      </w:pPr>
      <w:rPr>
        <w:rFonts w:ascii="Symbol" w:hAnsi="Symbol" w:hint="default"/>
      </w:rPr>
    </w:lvl>
    <w:lvl w:ilvl="7" w:tplc="A75E7252">
      <w:start w:val="1"/>
      <w:numFmt w:val="bullet"/>
      <w:lvlText w:val="o"/>
      <w:lvlJc w:val="left"/>
      <w:pPr>
        <w:ind w:left="5760" w:hanging="360"/>
      </w:pPr>
      <w:rPr>
        <w:rFonts w:ascii="Courier New" w:hAnsi="Courier New" w:hint="default"/>
      </w:rPr>
    </w:lvl>
    <w:lvl w:ilvl="8" w:tplc="0D4A1FDC">
      <w:start w:val="1"/>
      <w:numFmt w:val="bullet"/>
      <w:lvlText w:val=""/>
      <w:lvlJc w:val="left"/>
      <w:pPr>
        <w:ind w:left="6480" w:hanging="360"/>
      </w:pPr>
      <w:rPr>
        <w:rFonts w:ascii="Wingdings" w:hAnsi="Wingdings" w:hint="default"/>
      </w:rPr>
    </w:lvl>
  </w:abstractNum>
  <w:abstractNum w:abstractNumId="6" w15:restartNumberingAfterBreak="0">
    <w:nsid w:val="27C8DD2E"/>
    <w:multiLevelType w:val="hybridMultilevel"/>
    <w:tmpl w:val="6CEE5D9A"/>
    <w:lvl w:ilvl="0" w:tplc="7B3651C4">
      <w:start w:val="1"/>
      <w:numFmt w:val="bullet"/>
      <w:lvlText w:val="·"/>
      <w:lvlJc w:val="left"/>
      <w:pPr>
        <w:ind w:left="720" w:hanging="360"/>
      </w:pPr>
      <w:rPr>
        <w:rFonts w:ascii="Symbol" w:hAnsi="Symbol" w:hint="default"/>
      </w:rPr>
    </w:lvl>
    <w:lvl w:ilvl="1" w:tplc="1F648A68">
      <w:start w:val="1"/>
      <w:numFmt w:val="bullet"/>
      <w:lvlText w:val="o"/>
      <w:lvlJc w:val="left"/>
      <w:pPr>
        <w:ind w:left="1440" w:hanging="360"/>
      </w:pPr>
      <w:rPr>
        <w:rFonts w:ascii="Courier New" w:hAnsi="Courier New" w:hint="default"/>
      </w:rPr>
    </w:lvl>
    <w:lvl w:ilvl="2" w:tplc="582886C0">
      <w:start w:val="1"/>
      <w:numFmt w:val="bullet"/>
      <w:lvlText w:val=""/>
      <w:lvlJc w:val="left"/>
      <w:pPr>
        <w:ind w:left="2160" w:hanging="360"/>
      </w:pPr>
      <w:rPr>
        <w:rFonts w:ascii="Wingdings" w:hAnsi="Wingdings" w:hint="default"/>
      </w:rPr>
    </w:lvl>
    <w:lvl w:ilvl="3" w:tplc="E31ADCE0">
      <w:start w:val="1"/>
      <w:numFmt w:val="bullet"/>
      <w:lvlText w:val=""/>
      <w:lvlJc w:val="left"/>
      <w:pPr>
        <w:ind w:left="2880" w:hanging="360"/>
      </w:pPr>
      <w:rPr>
        <w:rFonts w:ascii="Symbol" w:hAnsi="Symbol" w:hint="default"/>
      </w:rPr>
    </w:lvl>
    <w:lvl w:ilvl="4" w:tplc="246815D6">
      <w:start w:val="1"/>
      <w:numFmt w:val="bullet"/>
      <w:lvlText w:val="o"/>
      <w:lvlJc w:val="left"/>
      <w:pPr>
        <w:ind w:left="3600" w:hanging="360"/>
      </w:pPr>
      <w:rPr>
        <w:rFonts w:ascii="Courier New" w:hAnsi="Courier New" w:hint="default"/>
      </w:rPr>
    </w:lvl>
    <w:lvl w:ilvl="5" w:tplc="068A5CBC">
      <w:start w:val="1"/>
      <w:numFmt w:val="bullet"/>
      <w:lvlText w:val=""/>
      <w:lvlJc w:val="left"/>
      <w:pPr>
        <w:ind w:left="4320" w:hanging="360"/>
      </w:pPr>
      <w:rPr>
        <w:rFonts w:ascii="Wingdings" w:hAnsi="Wingdings" w:hint="default"/>
      </w:rPr>
    </w:lvl>
    <w:lvl w:ilvl="6" w:tplc="0C0EDBDC">
      <w:start w:val="1"/>
      <w:numFmt w:val="bullet"/>
      <w:lvlText w:val=""/>
      <w:lvlJc w:val="left"/>
      <w:pPr>
        <w:ind w:left="5040" w:hanging="360"/>
      </w:pPr>
      <w:rPr>
        <w:rFonts w:ascii="Symbol" w:hAnsi="Symbol" w:hint="default"/>
      </w:rPr>
    </w:lvl>
    <w:lvl w:ilvl="7" w:tplc="17601AAE">
      <w:start w:val="1"/>
      <w:numFmt w:val="bullet"/>
      <w:lvlText w:val="o"/>
      <w:lvlJc w:val="left"/>
      <w:pPr>
        <w:ind w:left="5760" w:hanging="360"/>
      </w:pPr>
      <w:rPr>
        <w:rFonts w:ascii="Courier New" w:hAnsi="Courier New" w:hint="default"/>
      </w:rPr>
    </w:lvl>
    <w:lvl w:ilvl="8" w:tplc="E9D8AB82">
      <w:start w:val="1"/>
      <w:numFmt w:val="bullet"/>
      <w:lvlText w:val=""/>
      <w:lvlJc w:val="left"/>
      <w:pPr>
        <w:ind w:left="6480" w:hanging="360"/>
      </w:pPr>
      <w:rPr>
        <w:rFonts w:ascii="Wingdings" w:hAnsi="Wingdings" w:hint="default"/>
      </w:rPr>
    </w:lvl>
  </w:abstractNum>
  <w:abstractNum w:abstractNumId="7" w15:restartNumberingAfterBreak="0">
    <w:nsid w:val="32D12C5A"/>
    <w:multiLevelType w:val="hybridMultilevel"/>
    <w:tmpl w:val="F4B8E4F0"/>
    <w:lvl w:ilvl="0" w:tplc="780857B0">
      <w:start w:val="1"/>
      <w:numFmt w:val="bullet"/>
      <w:lvlText w:val="-"/>
      <w:lvlJc w:val="left"/>
      <w:pPr>
        <w:ind w:left="720" w:hanging="360"/>
      </w:pPr>
      <w:rPr>
        <w:rFonts w:ascii="&quot;Verdana&quot;,sans-serif" w:hAnsi="&quot;Verdana&quot;,sans-serif" w:hint="default"/>
      </w:rPr>
    </w:lvl>
    <w:lvl w:ilvl="1" w:tplc="5832D786">
      <w:start w:val="1"/>
      <w:numFmt w:val="bullet"/>
      <w:lvlText w:val="o"/>
      <w:lvlJc w:val="left"/>
      <w:pPr>
        <w:ind w:left="1440" w:hanging="360"/>
      </w:pPr>
      <w:rPr>
        <w:rFonts w:ascii="Courier New" w:hAnsi="Courier New" w:hint="default"/>
      </w:rPr>
    </w:lvl>
    <w:lvl w:ilvl="2" w:tplc="CB8408DE">
      <w:start w:val="1"/>
      <w:numFmt w:val="bullet"/>
      <w:lvlText w:val=""/>
      <w:lvlJc w:val="left"/>
      <w:pPr>
        <w:ind w:left="2160" w:hanging="360"/>
      </w:pPr>
      <w:rPr>
        <w:rFonts w:ascii="Wingdings" w:hAnsi="Wingdings" w:hint="default"/>
      </w:rPr>
    </w:lvl>
    <w:lvl w:ilvl="3" w:tplc="6C1ABEA4">
      <w:start w:val="1"/>
      <w:numFmt w:val="bullet"/>
      <w:lvlText w:val=""/>
      <w:lvlJc w:val="left"/>
      <w:pPr>
        <w:ind w:left="2880" w:hanging="360"/>
      </w:pPr>
      <w:rPr>
        <w:rFonts w:ascii="Symbol" w:hAnsi="Symbol" w:hint="default"/>
      </w:rPr>
    </w:lvl>
    <w:lvl w:ilvl="4" w:tplc="14E61D80">
      <w:start w:val="1"/>
      <w:numFmt w:val="bullet"/>
      <w:lvlText w:val="o"/>
      <w:lvlJc w:val="left"/>
      <w:pPr>
        <w:ind w:left="3600" w:hanging="360"/>
      </w:pPr>
      <w:rPr>
        <w:rFonts w:ascii="Courier New" w:hAnsi="Courier New" w:hint="default"/>
      </w:rPr>
    </w:lvl>
    <w:lvl w:ilvl="5" w:tplc="2200C1D6">
      <w:start w:val="1"/>
      <w:numFmt w:val="bullet"/>
      <w:lvlText w:val=""/>
      <w:lvlJc w:val="left"/>
      <w:pPr>
        <w:ind w:left="4320" w:hanging="360"/>
      </w:pPr>
      <w:rPr>
        <w:rFonts w:ascii="Wingdings" w:hAnsi="Wingdings" w:hint="default"/>
      </w:rPr>
    </w:lvl>
    <w:lvl w:ilvl="6" w:tplc="CDD265EC">
      <w:start w:val="1"/>
      <w:numFmt w:val="bullet"/>
      <w:lvlText w:val=""/>
      <w:lvlJc w:val="left"/>
      <w:pPr>
        <w:ind w:left="5040" w:hanging="360"/>
      </w:pPr>
      <w:rPr>
        <w:rFonts w:ascii="Symbol" w:hAnsi="Symbol" w:hint="default"/>
      </w:rPr>
    </w:lvl>
    <w:lvl w:ilvl="7" w:tplc="88802A84">
      <w:start w:val="1"/>
      <w:numFmt w:val="bullet"/>
      <w:lvlText w:val="o"/>
      <w:lvlJc w:val="left"/>
      <w:pPr>
        <w:ind w:left="5760" w:hanging="360"/>
      </w:pPr>
      <w:rPr>
        <w:rFonts w:ascii="Courier New" w:hAnsi="Courier New" w:hint="default"/>
      </w:rPr>
    </w:lvl>
    <w:lvl w:ilvl="8" w:tplc="55841404">
      <w:start w:val="1"/>
      <w:numFmt w:val="bullet"/>
      <w:lvlText w:val=""/>
      <w:lvlJc w:val="left"/>
      <w:pPr>
        <w:ind w:left="6480" w:hanging="360"/>
      </w:pPr>
      <w:rPr>
        <w:rFonts w:ascii="Wingdings" w:hAnsi="Wingdings" w:hint="default"/>
      </w:rPr>
    </w:lvl>
  </w:abstractNum>
  <w:abstractNum w:abstractNumId="8" w15:restartNumberingAfterBreak="0">
    <w:nsid w:val="34648035"/>
    <w:multiLevelType w:val="hybridMultilevel"/>
    <w:tmpl w:val="5F861912"/>
    <w:lvl w:ilvl="0" w:tplc="4380FEAE">
      <w:start w:val="1"/>
      <w:numFmt w:val="bullet"/>
      <w:lvlText w:val="-"/>
      <w:lvlJc w:val="left"/>
      <w:pPr>
        <w:ind w:left="720" w:hanging="360"/>
      </w:pPr>
      <w:rPr>
        <w:rFonts w:ascii="&quot;Verdana&quot;,sans-serif" w:hAnsi="&quot;Verdana&quot;,sans-serif" w:hint="default"/>
      </w:rPr>
    </w:lvl>
    <w:lvl w:ilvl="1" w:tplc="E5E64006">
      <w:start w:val="1"/>
      <w:numFmt w:val="bullet"/>
      <w:lvlText w:val="o"/>
      <w:lvlJc w:val="left"/>
      <w:pPr>
        <w:ind w:left="1440" w:hanging="360"/>
      </w:pPr>
      <w:rPr>
        <w:rFonts w:ascii="Courier New" w:hAnsi="Courier New" w:hint="default"/>
      </w:rPr>
    </w:lvl>
    <w:lvl w:ilvl="2" w:tplc="9CDEA000">
      <w:start w:val="1"/>
      <w:numFmt w:val="bullet"/>
      <w:lvlText w:val=""/>
      <w:lvlJc w:val="left"/>
      <w:pPr>
        <w:ind w:left="2160" w:hanging="360"/>
      </w:pPr>
      <w:rPr>
        <w:rFonts w:ascii="Wingdings" w:hAnsi="Wingdings" w:hint="default"/>
      </w:rPr>
    </w:lvl>
    <w:lvl w:ilvl="3" w:tplc="A91AC762">
      <w:start w:val="1"/>
      <w:numFmt w:val="bullet"/>
      <w:lvlText w:val=""/>
      <w:lvlJc w:val="left"/>
      <w:pPr>
        <w:ind w:left="2880" w:hanging="360"/>
      </w:pPr>
      <w:rPr>
        <w:rFonts w:ascii="Symbol" w:hAnsi="Symbol" w:hint="default"/>
      </w:rPr>
    </w:lvl>
    <w:lvl w:ilvl="4" w:tplc="6DB2C9B8">
      <w:start w:val="1"/>
      <w:numFmt w:val="bullet"/>
      <w:lvlText w:val="o"/>
      <w:lvlJc w:val="left"/>
      <w:pPr>
        <w:ind w:left="3600" w:hanging="360"/>
      </w:pPr>
      <w:rPr>
        <w:rFonts w:ascii="Courier New" w:hAnsi="Courier New" w:hint="default"/>
      </w:rPr>
    </w:lvl>
    <w:lvl w:ilvl="5" w:tplc="42123A6C">
      <w:start w:val="1"/>
      <w:numFmt w:val="bullet"/>
      <w:lvlText w:val=""/>
      <w:lvlJc w:val="left"/>
      <w:pPr>
        <w:ind w:left="4320" w:hanging="360"/>
      </w:pPr>
      <w:rPr>
        <w:rFonts w:ascii="Wingdings" w:hAnsi="Wingdings" w:hint="default"/>
      </w:rPr>
    </w:lvl>
    <w:lvl w:ilvl="6" w:tplc="AC8E46F6">
      <w:start w:val="1"/>
      <w:numFmt w:val="bullet"/>
      <w:lvlText w:val=""/>
      <w:lvlJc w:val="left"/>
      <w:pPr>
        <w:ind w:left="5040" w:hanging="360"/>
      </w:pPr>
      <w:rPr>
        <w:rFonts w:ascii="Symbol" w:hAnsi="Symbol" w:hint="default"/>
      </w:rPr>
    </w:lvl>
    <w:lvl w:ilvl="7" w:tplc="9FBA1140">
      <w:start w:val="1"/>
      <w:numFmt w:val="bullet"/>
      <w:lvlText w:val="o"/>
      <w:lvlJc w:val="left"/>
      <w:pPr>
        <w:ind w:left="5760" w:hanging="360"/>
      </w:pPr>
      <w:rPr>
        <w:rFonts w:ascii="Courier New" w:hAnsi="Courier New" w:hint="default"/>
      </w:rPr>
    </w:lvl>
    <w:lvl w:ilvl="8" w:tplc="1226AED8">
      <w:start w:val="1"/>
      <w:numFmt w:val="bullet"/>
      <w:lvlText w:val=""/>
      <w:lvlJc w:val="left"/>
      <w:pPr>
        <w:ind w:left="6480" w:hanging="360"/>
      </w:pPr>
      <w:rPr>
        <w:rFonts w:ascii="Wingdings" w:hAnsi="Wingdings" w:hint="default"/>
      </w:rPr>
    </w:lvl>
  </w:abstractNum>
  <w:abstractNum w:abstractNumId="9" w15:restartNumberingAfterBreak="0">
    <w:nsid w:val="36114CDA"/>
    <w:multiLevelType w:val="hybridMultilevel"/>
    <w:tmpl w:val="2C4E384C"/>
    <w:lvl w:ilvl="0" w:tplc="0BF405B8">
      <w:start w:val="1"/>
      <w:numFmt w:val="bullet"/>
      <w:lvlText w:val="-"/>
      <w:lvlJc w:val="left"/>
      <w:pPr>
        <w:ind w:left="720" w:hanging="360"/>
      </w:pPr>
      <w:rPr>
        <w:rFonts w:ascii="&quot;Verdana&quot;,sans-serif" w:hAnsi="&quot;Verdana&quot;,sans-serif" w:hint="default"/>
      </w:rPr>
    </w:lvl>
    <w:lvl w:ilvl="1" w:tplc="CE229888">
      <w:start w:val="1"/>
      <w:numFmt w:val="bullet"/>
      <w:lvlText w:val="o"/>
      <w:lvlJc w:val="left"/>
      <w:pPr>
        <w:ind w:left="1440" w:hanging="360"/>
      </w:pPr>
      <w:rPr>
        <w:rFonts w:ascii="Courier New" w:hAnsi="Courier New" w:hint="default"/>
      </w:rPr>
    </w:lvl>
    <w:lvl w:ilvl="2" w:tplc="2DB4C1AA">
      <w:start w:val="1"/>
      <w:numFmt w:val="bullet"/>
      <w:lvlText w:val=""/>
      <w:lvlJc w:val="left"/>
      <w:pPr>
        <w:ind w:left="2160" w:hanging="360"/>
      </w:pPr>
      <w:rPr>
        <w:rFonts w:ascii="Wingdings" w:hAnsi="Wingdings" w:hint="default"/>
      </w:rPr>
    </w:lvl>
    <w:lvl w:ilvl="3" w:tplc="2CD8B688">
      <w:start w:val="1"/>
      <w:numFmt w:val="bullet"/>
      <w:lvlText w:val=""/>
      <w:lvlJc w:val="left"/>
      <w:pPr>
        <w:ind w:left="2880" w:hanging="360"/>
      </w:pPr>
      <w:rPr>
        <w:rFonts w:ascii="Symbol" w:hAnsi="Symbol" w:hint="default"/>
      </w:rPr>
    </w:lvl>
    <w:lvl w:ilvl="4" w:tplc="10109922">
      <w:start w:val="1"/>
      <w:numFmt w:val="bullet"/>
      <w:lvlText w:val="o"/>
      <w:lvlJc w:val="left"/>
      <w:pPr>
        <w:ind w:left="3600" w:hanging="360"/>
      </w:pPr>
      <w:rPr>
        <w:rFonts w:ascii="Courier New" w:hAnsi="Courier New" w:hint="default"/>
      </w:rPr>
    </w:lvl>
    <w:lvl w:ilvl="5" w:tplc="49C8E3B4">
      <w:start w:val="1"/>
      <w:numFmt w:val="bullet"/>
      <w:lvlText w:val=""/>
      <w:lvlJc w:val="left"/>
      <w:pPr>
        <w:ind w:left="4320" w:hanging="360"/>
      </w:pPr>
      <w:rPr>
        <w:rFonts w:ascii="Wingdings" w:hAnsi="Wingdings" w:hint="default"/>
      </w:rPr>
    </w:lvl>
    <w:lvl w:ilvl="6" w:tplc="EF2E6DE0">
      <w:start w:val="1"/>
      <w:numFmt w:val="bullet"/>
      <w:lvlText w:val=""/>
      <w:lvlJc w:val="left"/>
      <w:pPr>
        <w:ind w:left="5040" w:hanging="360"/>
      </w:pPr>
      <w:rPr>
        <w:rFonts w:ascii="Symbol" w:hAnsi="Symbol" w:hint="default"/>
      </w:rPr>
    </w:lvl>
    <w:lvl w:ilvl="7" w:tplc="C5E0D0AC">
      <w:start w:val="1"/>
      <w:numFmt w:val="bullet"/>
      <w:lvlText w:val="o"/>
      <w:lvlJc w:val="left"/>
      <w:pPr>
        <w:ind w:left="5760" w:hanging="360"/>
      </w:pPr>
      <w:rPr>
        <w:rFonts w:ascii="Courier New" w:hAnsi="Courier New" w:hint="default"/>
      </w:rPr>
    </w:lvl>
    <w:lvl w:ilvl="8" w:tplc="FD0679EC">
      <w:start w:val="1"/>
      <w:numFmt w:val="bullet"/>
      <w:lvlText w:val=""/>
      <w:lvlJc w:val="left"/>
      <w:pPr>
        <w:ind w:left="6480" w:hanging="360"/>
      </w:pPr>
      <w:rPr>
        <w:rFonts w:ascii="Wingdings" w:hAnsi="Wingdings" w:hint="default"/>
      </w:rPr>
    </w:lvl>
  </w:abstractNum>
  <w:abstractNum w:abstractNumId="10" w15:restartNumberingAfterBreak="0">
    <w:nsid w:val="3BAB6090"/>
    <w:multiLevelType w:val="hybridMultilevel"/>
    <w:tmpl w:val="6E845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F34A76"/>
    <w:multiLevelType w:val="hybridMultilevel"/>
    <w:tmpl w:val="B476C62E"/>
    <w:lvl w:ilvl="0" w:tplc="7BFCF4FA">
      <w:start w:val="1"/>
      <w:numFmt w:val="bullet"/>
      <w:lvlText w:val=""/>
      <w:lvlJc w:val="left"/>
      <w:pPr>
        <w:ind w:left="720" w:hanging="360"/>
      </w:pPr>
      <w:rPr>
        <w:rFonts w:ascii="Symbol" w:hAnsi="Symbol" w:hint="default"/>
      </w:rPr>
    </w:lvl>
    <w:lvl w:ilvl="1" w:tplc="BC26A52C">
      <w:start w:val="1"/>
      <w:numFmt w:val="bullet"/>
      <w:lvlText w:val="o"/>
      <w:lvlJc w:val="left"/>
      <w:pPr>
        <w:ind w:left="1440" w:hanging="360"/>
      </w:pPr>
      <w:rPr>
        <w:rFonts w:ascii="Courier New" w:hAnsi="Courier New" w:hint="default"/>
      </w:rPr>
    </w:lvl>
    <w:lvl w:ilvl="2" w:tplc="F14440D2">
      <w:start w:val="1"/>
      <w:numFmt w:val="bullet"/>
      <w:lvlText w:val=""/>
      <w:lvlJc w:val="left"/>
      <w:pPr>
        <w:ind w:left="2160" w:hanging="360"/>
      </w:pPr>
      <w:rPr>
        <w:rFonts w:ascii="Wingdings" w:hAnsi="Wingdings" w:hint="default"/>
      </w:rPr>
    </w:lvl>
    <w:lvl w:ilvl="3" w:tplc="0FF22648">
      <w:start w:val="1"/>
      <w:numFmt w:val="bullet"/>
      <w:lvlText w:val=""/>
      <w:lvlJc w:val="left"/>
      <w:pPr>
        <w:ind w:left="2880" w:hanging="360"/>
      </w:pPr>
      <w:rPr>
        <w:rFonts w:ascii="Symbol" w:hAnsi="Symbol" w:hint="default"/>
      </w:rPr>
    </w:lvl>
    <w:lvl w:ilvl="4" w:tplc="EED61A9E">
      <w:start w:val="1"/>
      <w:numFmt w:val="bullet"/>
      <w:lvlText w:val="o"/>
      <w:lvlJc w:val="left"/>
      <w:pPr>
        <w:ind w:left="3600" w:hanging="360"/>
      </w:pPr>
      <w:rPr>
        <w:rFonts w:ascii="Courier New" w:hAnsi="Courier New" w:hint="default"/>
      </w:rPr>
    </w:lvl>
    <w:lvl w:ilvl="5" w:tplc="5F1E777E">
      <w:start w:val="1"/>
      <w:numFmt w:val="bullet"/>
      <w:lvlText w:val=""/>
      <w:lvlJc w:val="left"/>
      <w:pPr>
        <w:ind w:left="4320" w:hanging="360"/>
      </w:pPr>
      <w:rPr>
        <w:rFonts w:ascii="Wingdings" w:hAnsi="Wingdings" w:hint="default"/>
      </w:rPr>
    </w:lvl>
    <w:lvl w:ilvl="6" w:tplc="9E628EDA">
      <w:start w:val="1"/>
      <w:numFmt w:val="bullet"/>
      <w:lvlText w:val=""/>
      <w:lvlJc w:val="left"/>
      <w:pPr>
        <w:ind w:left="5040" w:hanging="360"/>
      </w:pPr>
      <w:rPr>
        <w:rFonts w:ascii="Symbol" w:hAnsi="Symbol" w:hint="default"/>
      </w:rPr>
    </w:lvl>
    <w:lvl w:ilvl="7" w:tplc="A5E6127A">
      <w:start w:val="1"/>
      <w:numFmt w:val="bullet"/>
      <w:lvlText w:val="o"/>
      <w:lvlJc w:val="left"/>
      <w:pPr>
        <w:ind w:left="5760" w:hanging="360"/>
      </w:pPr>
      <w:rPr>
        <w:rFonts w:ascii="Courier New" w:hAnsi="Courier New" w:hint="default"/>
      </w:rPr>
    </w:lvl>
    <w:lvl w:ilvl="8" w:tplc="2A961FC2">
      <w:start w:val="1"/>
      <w:numFmt w:val="bullet"/>
      <w:lvlText w:val=""/>
      <w:lvlJc w:val="left"/>
      <w:pPr>
        <w:ind w:left="6480" w:hanging="360"/>
      </w:pPr>
      <w:rPr>
        <w:rFonts w:ascii="Wingdings" w:hAnsi="Wingdings" w:hint="default"/>
      </w:rPr>
    </w:lvl>
  </w:abstractNum>
  <w:abstractNum w:abstractNumId="12" w15:restartNumberingAfterBreak="0">
    <w:nsid w:val="442D5D39"/>
    <w:multiLevelType w:val="hybridMultilevel"/>
    <w:tmpl w:val="F8A6AD94"/>
    <w:lvl w:ilvl="0" w:tplc="7348EE88">
      <w:start w:val="1"/>
      <w:numFmt w:val="bullet"/>
      <w:lvlText w:val="-"/>
      <w:lvlJc w:val="left"/>
      <w:pPr>
        <w:ind w:left="720" w:hanging="360"/>
      </w:pPr>
      <w:rPr>
        <w:rFonts w:ascii="Aptos" w:hAnsi="Aptos" w:hint="default"/>
      </w:rPr>
    </w:lvl>
    <w:lvl w:ilvl="1" w:tplc="676AB476">
      <w:start w:val="1"/>
      <w:numFmt w:val="bullet"/>
      <w:lvlText w:val="o"/>
      <w:lvlJc w:val="left"/>
      <w:pPr>
        <w:ind w:left="1440" w:hanging="360"/>
      </w:pPr>
      <w:rPr>
        <w:rFonts w:ascii="Courier New" w:hAnsi="Courier New" w:hint="default"/>
      </w:rPr>
    </w:lvl>
    <w:lvl w:ilvl="2" w:tplc="BCCEDC50">
      <w:start w:val="1"/>
      <w:numFmt w:val="bullet"/>
      <w:lvlText w:val=""/>
      <w:lvlJc w:val="left"/>
      <w:pPr>
        <w:ind w:left="2160" w:hanging="360"/>
      </w:pPr>
      <w:rPr>
        <w:rFonts w:ascii="Wingdings" w:hAnsi="Wingdings" w:hint="default"/>
      </w:rPr>
    </w:lvl>
    <w:lvl w:ilvl="3" w:tplc="8904F952">
      <w:start w:val="1"/>
      <w:numFmt w:val="bullet"/>
      <w:lvlText w:val=""/>
      <w:lvlJc w:val="left"/>
      <w:pPr>
        <w:ind w:left="2880" w:hanging="360"/>
      </w:pPr>
      <w:rPr>
        <w:rFonts w:ascii="Symbol" w:hAnsi="Symbol" w:hint="default"/>
      </w:rPr>
    </w:lvl>
    <w:lvl w:ilvl="4" w:tplc="64FA36EA">
      <w:start w:val="1"/>
      <w:numFmt w:val="bullet"/>
      <w:lvlText w:val="o"/>
      <w:lvlJc w:val="left"/>
      <w:pPr>
        <w:ind w:left="3600" w:hanging="360"/>
      </w:pPr>
      <w:rPr>
        <w:rFonts w:ascii="Courier New" w:hAnsi="Courier New" w:hint="default"/>
      </w:rPr>
    </w:lvl>
    <w:lvl w:ilvl="5" w:tplc="1870BECE">
      <w:start w:val="1"/>
      <w:numFmt w:val="bullet"/>
      <w:lvlText w:val=""/>
      <w:lvlJc w:val="left"/>
      <w:pPr>
        <w:ind w:left="4320" w:hanging="360"/>
      </w:pPr>
      <w:rPr>
        <w:rFonts w:ascii="Wingdings" w:hAnsi="Wingdings" w:hint="default"/>
      </w:rPr>
    </w:lvl>
    <w:lvl w:ilvl="6" w:tplc="7C3A5722">
      <w:start w:val="1"/>
      <w:numFmt w:val="bullet"/>
      <w:lvlText w:val=""/>
      <w:lvlJc w:val="left"/>
      <w:pPr>
        <w:ind w:left="5040" w:hanging="360"/>
      </w:pPr>
      <w:rPr>
        <w:rFonts w:ascii="Symbol" w:hAnsi="Symbol" w:hint="default"/>
      </w:rPr>
    </w:lvl>
    <w:lvl w:ilvl="7" w:tplc="2FFE7948">
      <w:start w:val="1"/>
      <w:numFmt w:val="bullet"/>
      <w:lvlText w:val="o"/>
      <w:lvlJc w:val="left"/>
      <w:pPr>
        <w:ind w:left="5760" w:hanging="360"/>
      </w:pPr>
      <w:rPr>
        <w:rFonts w:ascii="Courier New" w:hAnsi="Courier New" w:hint="default"/>
      </w:rPr>
    </w:lvl>
    <w:lvl w:ilvl="8" w:tplc="429CE998">
      <w:start w:val="1"/>
      <w:numFmt w:val="bullet"/>
      <w:lvlText w:val=""/>
      <w:lvlJc w:val="left"/>
      <w:pPr>
        <w:ind w:left="6480" w:hanging="360"/>
      </w:pPr>
      <w:rPr>
        <w:rFonts w:ascii="Wingdings" w:hAnsi="Wingdings" w:hint="default"/>
      </w:rPr>
    </w:lvl>
  </w:abstractNum>
  <w:abstractNum w:abstractNumId="13" w15:restartNumberingAfterBreak="0">
    <w:nsid w:val="4E96080A"/>
    <w:multiLevelType w:val="hybridMultilevel"/>
    <w:tmpl w:val="FA40F5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BC3D47"/>
    <w:multiLevelType w:val="hybridMultilevel"/>
    <w:tmpl w:val="854049FC"/>
    <w:lvl w:ilvl="0" w:tplc="9BC8DF74">
      <w:start w:val="1"/>
      <w:numFmt w:val="bullet"/>
      <w:lvlText w:val=""/>
      <w:lvlJc w:val="left"/>
      <w:pPr>
        <w:ind w:left="720" w:hanging="360"/>
      </w:pPr>
      <w:rPr>
        <w:rFonts w:ascii="Symbol" w:hAnsi="Symbol" w:hint="default"/>
      </w:rPr>
    </w:lvl>
    <w:lvl w:ilvl="1" w:tplc="259AEF20">
      <w:start w:val="1"/>
      <w:numFmt w:val="bullet"/>
      <w:lvlText w:val="o"/>
      <w:lvlJc w:val="left"/>
      <w:pPr>
        <w:ind w:left="1440" w:hanging="360"/>
      </w:pPr>
      <w:rPr>
        <w:rFonts w:ascii="Courier New" w:hAnsi="Courier New" w:hint="default"/>
      </w:rPr>
    </w:lvl>
    <w:lvl w:ilvl="2" w:tplc="4322FD3E">
      <w:start w:val="1"/>
      <w:numFmt w:val="bullet"/>
      <w:lvlText w:val=""/>
      <w:lvlJc w:val="left"/>
      <w:pPr>
        <w:ind w:left="2160" w:hanging="360"/>
      </w:pPr>
      <w:rPr>
        <w:rFonts w:ascii="Wingdings" w:hAnsi="Wingdings" w:hint="default"/>
      </w:rPr>
    </w:lvl>
    <w:lvl w:ilvl="3" w:tplc="B62AE2FE">
      <w:start w:val="1"/>
      <w:numFmt w:val="bullet"/>
      <w:lvlText w:val=""/>
      <w:lvlJc w:val="left"/>
      <w:pPr>
        <w:ind w:left="2880" w:hanging="360"/>
      </w:pPr>
      <w:rPr>
        <w:rFonts w:ascii="Symbol" w:hAnsi="Symbol" w:hint="default"/>
      </w:rPr>
    </w:lvl>
    <w:lvl w:ilvl="4" w:tplc="B7E43830">
      <w:start w:val="1"/>
      <w:numFmt w:val="bullet"/>
      <w:lvlText w:val="o"/>
      <w:lvlJc w:val="left"/>
      <w:pPr>
        <w:ind w:left="3600" w:hanging="360"/>
      </w:pPr>
      <w:rPr>
        <w:rFonts w:ascii="Courier New" w:hAnsi="Courier New" w:hint="default"/>
      </w:rPr>
    </w:lvl>
    <w:lvl w:ilvl="5" w:tplc="112054FE">
      <w:start w:val="1"/>
      <w:numFmt w:val="bullet"/>
      <w:lvlText w:val=""/>
      <w:lvlJc w:val="left"/>
      <w:pPr>
        <w:ind w:left="4320" w:hanging="360"/>
      </w:pPr>
      <w:rPr>
        <w:rFonts w:ascii="Wingdings" w:hAnsi="Wingdings" w:hint="default"/>
      </w:rPr>
    </w:lvl>
    <w:lvl w:ilvl="6" w:tplc="085CEAD8">
      <w:start w:val="1"/>
      <w:numFmt w:val="bullet"/>
      <w:lvlText w:val=""/>
      <w:lvlJc w:val="left"/>
      <w:pPr>
        <w:ind w:left="5040" w:hanging="360"/>
      </w:pPr>
      <w:rPr>
        <w:rFonts w:ascii="Symbol" w:hAnsi="Symbol" w:hint="default"/>
      </w:rPr>
    </w:lvl>
    <w:lvl w:ilvl="7" w:tplc="25BE3A86">
      <w:start w:val="1"/>
      <w:numFmt w:val="bullet"/>
      <w:lvlText w:val="o"/>
      <w:lvlJc w:val="left"/>
      <w:pPr>
        <w:ind w:left="5760" w:hanging="360"/>
      </w:pPr>
      <w:rPr>
        <w:rFonts w:ascii="Courier New" w:hAnsi="Courier New" w:hint="default"/>
      </w:rPr>
    </w:lvl>
    <w:lvl w:ilvl="8" w:tplc="874E65E4">
      <w:start w:val="1"/>
      <w:numFmt w:val="bullet"/>
      <w:lvlText w:val=""/>
      <w:lvlJc w:val="left"/>
      <w:pPr>
        <w:ind w:left="6480" w:hanging="360"/>
      </w:pPr>
      <w:rPr>
        <w:rFonts w:ascii="Wingdings" w:hAnsi="Wingdings" w:hint="default"/>
      </w:rPr>
    </w:lvl>
  </w:abstractNum>
  <w:abstractNum w:abstractNumId="15" w15:restartNumberingAfterBreak="0">
    <w:nsid w:val="5896178E"/>
    <w:multiLevelType w:val="hybridMultilevel"/>
    <w:tmpl w:val="45A8A810"/>
    <w:lvl w:ilvl="0" w:tplc="1780E1E0">
      <w:start w:val="1"/>
      <w:numFmt w:val="bullet"/>
      <w:lvlText w:val=""/>
      <w:lvlJc w:val="left"/>
      <w:pPr>
        <w:ind w:left="720" w:hanging="360"/>
      </w:pPr>
      <w:rPr>
        <w:rFonts w:ascii="Symbol" w:hAnsi="Symbol" w:hint="default"/>
      </w:rPr>
    </w:lvl>
    <w:lvl w:ilvl="1" w:tplc="D0828176">
      <w:start w:val="1"/>
      <w:numFmt w:val="bullet"/>
      <w:lvlText w:val="o"/>
      <w:lvlJc w:val="left"/>
      <w:pPr>
        <w:ind w:left="1440" w:hanging="360"/>
      </w:pPr>
      <w:rPr>
        <w:rFonts w:ascii="Courier New" w:hAnsi="Courier New" w:hint="default"/>
      </w:rPr>
    </w:lvl>
    <w:lvl w:ilvl="2" w:tplc="FE1CFFEC">
      <w:start w:val="1"/>
      <w:numFmt w:val="bullet"/>
      <w:lvlText w:val=""/>
      <w:lvlJc w:val="left"/>
      <w:pPr>
        <w:ind w:left="2160" w:hanging="360"/>
      </w:pPr>
      <w:rPr>
        <w:rFonts w:ascii="Wingdings" w:hAnsi="Wingdings" w:hint="default"/>
      </w:rPr>
    </w:lvl>
    <w:lvl w:ilvl="3" w:tplc="920EC732">
      <w:start w:val="1"/>
      <w:numFmt w:val="bullet"/>
      <w:lvlText w:val=""/>
      <w:lvlJc w:val="left"/>
      <w:pPr>
        <w:ind w:left="2880" w:hanging="360"/>
      </w:pPr>
      <w:rPr>
        <w:rFonts w:ascii="Symbol" w:hAnsi="Symbol" w:hint="default"/>
      </w:rPr>
    </w:lvl>
    <w:lvl w:ilvl="4" w:tplc="58CC1544">
      <w:start w:val="1"/>
      <w:numFmt w:val="bullet"/>
      <w:lvlText w:val="o"/>
      <w:lvlJc w:val="left"/>
      <w:pPr>
        <w:ind w:left="3600" w:hanging="360"/>
      </w:pPr>
      <w:rPr>
        <w:rFonts w:ascii="Courier New" w:hAnsi="Courier New" w:hint="default"/>
      </w:rPr>
    </w:lvl>
    <w:lvl w:ilvl="5" w:tplc="3B103502">
      <w:start w:val="1"/>
      <w:numFmt w:val="bullet"/>
      <w:lvlText w:val=""/>
      <w:lvlJc w:val="left"/>
      <w:pPr>
        <w:ind w:left="4320" w:hanging="360"/>
      </w:pPr>
      <w:rPr>
        <w:rFonts w:ascii="Wingdings" w:hAnsi="Wingdings" w:hint="default"/>
      </w:rPr>
    </w:lvl>
    <w:lvl w:ilvl="6" w:tplc="1346E08E">
      <w:start w:val="1"/>
      <w:numFmt w:val="bullet"/>
      <w:lvlText w:val=""/>
      <w:lvlJc w:val="left"/>
      <w:pPr>
        <w:ind w:left="5040" w:hanging="360"/>
      </w:pPr>
      <w:rPr>
        <w:rFonts w:ascii="Symbol" w:hAnsi="Symbol" w:hint="default"/>
      </w:rPr>
    </w:lvl>
    <w:lvl w:ilvl="7" w:tplc="652E1624">
      <w:start w:val="1"/>
      <w:numFmt w:val="bullet"/>
      <w:lvlText w:val="o"/>
      <w:lvlJc w:val="left"/>
      <w:pPr>
        <w:ind w:left="5760" w:hanging="360"/>
      </w:pPr>
      <w:rPr>
        <w:rFonts w:ascii="Courier New" w:hAnsi="Courier New" w:hint="default"/>
      </w:rPr>
    </w:lvl>
    <w:lvl w:ilvl="8" w:tplc="A31E4D6A">
      <w:start w:val="1"/>
      <w:numFmt w:val="bullet"/>
      <w:lvlText w:val=""/>
      <w:lvlJc w:val="left"/>
      <w:pPr>
        <w:ind w:left="6480" w:hanging="360"/>
      </w:pPr>
      <w:rPr>
        <w:rFonts w:ascii="Wingdings" w:hAnsi="Wingdings" w:hint="default"/>
      </w:rPr>
    </w:lvl>
  </w:abstractNum>
  <w:abstractNum w:abstractNumId="16" w15:restartNumberingAfterBreak="0">
    <w:nsid w:val="61442088"/>
    <w:multiLevelType w:val="hybridMultilevel"/>
    <w:tmpl w:val="C2FCC512"/>
    <w:lvl w:ilvl="0" w:tplc="FDAC5DFE">
      <w:start w:val="1"/>
      <w:numFmt w:val="bullet"/>
      <w:lvlText w:val="-"/>
      <w:lvlJc w:val="left"/>
      <w:pPr>
        <w:ind w:left="720" w:hanging="360"/>
      </w:pPr>
      <w:rPr>
        <w:rFonts w:ascii="&quot;Verdana&quot;,sans-serif" w:hAnsi="&quot;Verdana&quot;,sans-serif" w:hint="default"/>
      </w:rPr>
    </w:lvl>
    <w:lvl w:ilvl="1" w:tplc="328A4A3E">
      <w:start w:val="1"/>
      <w:numFmt w:val="bullet"/>
      <w:lvlText w:val="o"/>
      <w:lvlJc w:val="left"/>
      <w:pPr>
        <w:ind w:left="1440" w:hanging="360"/>
      </w:pPr>
      <w:rPr>
        <w:rFonts w:ascii="Courier New" w:hAnsi="Courier New" w:hint="default"/>
      </w:rPr>
    </w:lvl>
    <w:lvl w:ilvl="2" w:tplc="B3C8AC0E">
      <w:start w:val="1"/>
      <w:numFmt w:val="bullet"/>
      <w:lvlText w:val=""/>
      <w:lvlJc w:val="left"/>
      <w:pPr>
        <w:ind w:left="2160" w:hanging="360"/>
      </w:pPr>
      <w:rPr>
        <w:rFonts w:ascii="Wingdings" w:hAnsi="Wingdings" w:hint="default"/>
      </w:rPr>
    </w:lvl>
    <w:lvl w:ilvl="3" w:tplc="430A47DA">
      <w:start w:val="1"/>
      <w:numFmt w:val="bullet"/>
      <w:lvlText w:val=""/>
      <w:lvlJc w:val="left"/>
      <w:pPr>
        <w:ind w:left="2880" w:hanging="360"/>
      </w:pPr>
      <w:rPr>
        <w:rFonts w:ascii="Symbol" w:hAnsi="Symbol" w:hint="default"/>
      </w:rPr>
    </w:lvl>
    <w:lvl w:ilvl="4" w:tplc="E8CEBE5E">
      <w:start w:val="1"/>
      <w:numFmt w:val="bullet"/>
      <w:lvlText w:val="o"/>
      <w:lvlJc w:val="left"/>
      <w:pPr>
        <w:ind w:left="3600" w:hanging="360"/>
      </w:pPr>
      <w:rPr>
        <w:rFonts w:ascii="Courier New" w:hAnsi="Courier New" w:hint="default"/>
      </w:rPr>
    </w:lvl>
    <w:lvl w:ilvl="5" w:tplc="B8D8A95A">
      <w:start w:val="1"/>
      <w:numFmt w:val="bullet"/>
      <w:lvlText w:val=""/>
      <w:lvlJc w:val="left"/>
      <w:pPr>
        <w:ind w:left="4320" w:hanging="360"/>
      </w:pPr>
      <w:rPr>
        <w:rFonts w:ascii="Wingdings" w:hAnsi="Wingdings" w:hint="default"/>
      </w:rPr>
    </w:lvl>
    <w:lvl w:ilvl="6" w:tplc="6298D594">
      <w:start w:val="1"/>
      <w:numFmt w:val="bullet"/>
      <w:lvlText w:val=""/>
      <w:lvlJc w:val="left"/>
      <w:pPr>
        <w:ind w:left="5040" w:hanging="360"/>
      </w:pPr>
      <w:rPr>
        <w:rFonts w:ascii="Symbol" w:hAnsi="Symbol" w:hint="default"/>
      </w:rPr>
    </w:lvl>
    <w:lvl w:ilvl="7" w:tplc="4DA8A550">
      <w:start w:val="1"/>
      <w:numFmt w:val="bullet"/>
      <w:lvlText w:val="o"/>
      <w:lvlJc w:val="left"/>
      <w:pPr>
        <w:ind w:left="5760" w:hanging="360"/>
      </w:pPr>
      <w:rPr>
        <w:rFonts w:ascii="Courier New" w:hAnsi="Courier New" w:hint="default"/>
      </w:rPr>
    </w:lvl>
    <w:lvl w:ilvl="8" w:tplc="98602566">
      <w:start w:val="1"/>
      <w:numFmt w:val="bullet"/>
      <w:lvlText w:val=""/>
      <w:lvlJc w:val="left"/>
      <w:pPr>
        <w:ind w:left="6480" w:hanging="360"/>
      </w:pPr>
      <w:rPr>
        <w:rFonts w:ascii="Wingdings" w:hAnsi="Wingdings" w:hint="default"/>
      </w:rPr>
    </w:lvl>
  </w:abstractNum>
  <w:abstractNum w:abstractNumId="17" w15:restartNumberingAfterBreak="0">
    <w:nsid w:val="616E2932"/>
    <w:multiLevelType w:val="hybridMultilevel"/>
    <w:tmpl w:val="C610FFB2"/>
    <w:lvl w:ilvl="0" w:tplc="E7EE5596">
      <w:start w:val="1"/>
      <w:numFmt w:val="bullet"/>
      <w:lvlText w:val=""/>
      <w:lvlJc w:val="left"/>
      <w:pPr>
        <w:ind w:left="720" w:hanging="360"/>
      </w:pPr>
      <w:rPr>
        <w:rFonts w:ascii="Symbol" w:hAnsi="Symbol" w:hint="default"/>
      </w:rPr>
    </w:lvl>
    <w:lvl w:ilvl="1" w:tplc="B820537A">
      <w:start w:val="1"/>
      <w:numFmt w:val="bullet"/>
      <w:lvlText w:val="o"/>
      <w:lvlJc w:val="left"/>
      <w:pPr>
        <w:ind w:left="1440" w:hanging="360"/>
      </w:pPr>
      <w:rPr>
        <w:rFonts w:ascii="Courier New" w:hAnsi="Courier New" w:hint="default"/>
      </w:rPr>
    </w:lvl>
    <w:lvl w:ilvl="2" w:tplc="E01C3BDA">
      <w:start w:val="1"/>
      <w:numFmt w:val="bullet"/>
      <w:lvlText w:val=""/>
      <w:lvlJc w:val="left"/>
      <w:pPr>
        <w:ind w:left="2160" w:hanging="360"/>
      </w:pPr>
      <w:rPr>
        <w:rFonts w:ascii="Wingdings" w:hAnsi="Wingdings" w:hint="default"/>
      </w:rPr>
    </w:lvl>
    <w:lvl w:ilvl="3" w:tplc="7D408AE0">
      <w:start w:val="1"/>
      <w:numFmt w:val="bullet"/>
      <w:lvlText w:val=""/>
      <w:lvlJc w:val="left"/>
      <w:pPr>
        <w:ind w:left="2880" w:hanging="360"/>
      </w:pPr>
      <w:rPr>
        <w:rFonts w:ascii="Symbol" w:hAnsi="Symbol" w:hint="default"/>
      </w:rPr>
    </w:lvl>
    <w:lvl w:ilvl="4" w:tplc="4FD8659E">
      <w:start w:val="1"/>
      <w:numFmt w:val="bullet"/>
      <w:lvlText w:val="o"/>
      <w:lvlJc w:val="left"/>
      <w:pPr>
        <w:ind w:left="3600" w:hanging="360"/>
      </w:pPr>
      <w:rPr>
        <w:rFonts w:ascii="Courier New" w:hAnsi="Courier New" w:hint="default"/>
      </w:rPr>
    </w:lvl>
    <w:lvl w:ilvl="5" w:tplc="DEEEDDAA">
      <w:start w:val="1"/>
      <w:numFmt w:val="bullet"/>
      <w:lvlText w:val=""/>
      <w:lvlJc w:val="left"/>
      <w:pPr>
        <w:ind w:left="4320" w:hanging="360"/>
      </w:pPr>
      <w:rPr>
        <w:rFonts w:ascii="Wingdings" w:hAnsi="Wingdings" w:hint="default"/>
      </w:rPr>
    </w:lvl>
    <w:lvl w:ilvl="6" w:tplc="734CA2DC">
      <w:start w:val="1"/>
      <w:numFmt w:val="bullet"/>
      <w:lvlText w:val=""/>
      <w:lvlJc w:val="left"/>
      <w:pPr>
        <w:ind w:left="5040" w:hanging="360"/>
      </w:pPr>
      <w:rPr>
        <w:rFonts w:ascii="Symbol" w:hAnsi="Symbol" w:hint="default"/>
      </w:rPr>
    </w:lvl>
    <w:lvl w:ilvl="7" w:tplc="6DC806C6">
      <w:start w:val="1"/>
      <w:numFmt w:val="bullet"/>
      <w:lvlText w:val="o"/>
      <w:lvlJc w:val="left"/>
      <w:pPr>
        <w:ind w:left="5760" w:hanging="360"/>
      </w:pPr>
      <w:rPr>
        <w:rFonts w:ascii="Courier New" w:hAnsi="Courier New" w:hint="default"/>
      </w:rPr>
    </w:lvl>
    <w:lvl w:ilvl="8" w:tplc="21C60BF2">
      <w:start w:val="1"/>
      <w:numFmt w:val="bullet"/>
      <w:lvlText w:val=""/>
      <w:lvlJc w:val="left"/>
      <w:pPr>
        <w:ind w:left="6480" w:hanging="360"/>
      </w:pPr>
      <w:rPr>
        <w:rFonts w:ascii="Wingdings" w:hAnsi="Wingdings" w:hint="default"/>
      </w:rPr>
    </w:lvl>
  </w:abstractNum>
  <w:abstractNum w:abstractNumId="18" w15:restartNumberingAfterBreak="0">
    <w:nsid w:val="72817A30"/>
    <w:multiLevelType w:val="hybridMultilevel"/>
    <w:tmpl w:val="2486A480"/>
    <w:lvl w:ilvl="0" w:tplc="587E39F4">
      <w:start w:val="1"/>
      <w:numFmt w:val="bullet"/>
      <w:lvlText w:val="·"/>
      <w:lvlJc w:val="left"/>
      <w:pPr>
        <w:ind w:left="720" w:hanging="360"/>
      </w:pPr>
      <w:rPr>
        <w:rFonts w:ascii="Symbol" w:hAnsi="Symbol" w:hint="default"/>
      </w:rPr>
    </w:lvl>
    <w:lvl w:ilvl="1" w:tplc="B9163572">
      <w:start w:val="1"/>
      <w:numFmt w:val="bullet"/>
      <w:lvlText w:val="o"/>
      <w:lvlJc w:val="left"/>
      <w:pPr>
        <w:ind w:left="1440" w:hanging="360"/>
      </w:pPr>
      <w:rPr>
        <w:rFonts w:ascii="Courier New" w:hAnsi="Courier New" w:hint="default"/>
      </w:rPr>
    </w:lvl>
    <w:lvl w:ilvl="2" w:tplc="D9A08A04">
      <w:start w:val="1"/>
      <w:numFmt w:val="bullet"/>
      <w:lvlText w:val=""/>
      <w:lvlJc w:val="left"/>
      <w:pPr>
        <w:ind w:left="2160" w:hanging="360"/>
      </w:pPr>
      <w:rPr>
        <w:rFonts w:ascii="Wingdings" w:hAnsi="Wingdings" w:hint="default"/>
      </w:rPr>
    </w:lvl>
    <w:lvl w:ilvl="3" w:tplc="1BE47FFE">
      <w:start w:val="1"/>
      <w:numFmt w:val="bullet"/>
      <w:lvlText w:val=""/>
      <w:lvlJc w:val="left"/>
      <w:pPr>
        <w:ind w:left="2880" w:hanging="360"/>
      </w:pPr>
      <w:rPr>
        <w:rFonts w:ascii="Symbol" w:hAnsi="Symbol" w:hint="default"/>
      </w:rPr>
    </w:lvl>
    <w:lvl w:ilvl="4" w:tplc="9AB6C4BE">
      <w:start w:val="1"/>
      <w:numFmt w:val="bullet"/>
      <w:lvlText w:val="o"/>
      <w:lvlJc w:val="left"/>
      <w:pPr>
        <w:ind w:left="3600" w:hanging="360"/>
      </w:pPr>
      <w:rPr>
        <w:rFonts w:ascii="Courier New" w:hAnsi="Courier New" w:hint="default"/>
      </w:rPr>
    </w:lvl>
    <w:lvl w:ilvl="5" w:tplc="69D697C0">
      <w:start w:val="1"/>
      <w:numFmt w:val="bullet"/>
      <w:lvlText w:val=""/>
      <w:lvlJc w:val="left"/>
      <w:pPr>
        <w:ind w:left="4320" w:hanging="360"/>
      </w:pPr>
      <w:rPr>
        <w:rFonts w:ascii="Wingdings" w:hAnsi="Wingdings" w:hint="default"/>
      </w:rPr>
    </w:lvl>
    <w:lvl w:ilvl="6" w:tplc="1506CA8C">
      <w:start w:val="1"/>
      <w:numFmt w:val="bullet"/>
      <w:lvlText w:val=""/>
      <w:lvlJc w:val="left"/>
      <w:pPr>
        <w:ind w:left="5040" w:hanging="360"/>
      </w:pPr>
      <w:rPr>
        <w:rFonts w:ascii="Symbol" w:hAnsi="Symbol" w:hint="default"/>
      </w:rPr>
    </w:lvl>
    <w:lvl w:ilvl="7" w:tplc="E6DAFE06">
      <w:start w:val="1"/>
      <w:numFmt w:val="bullet"/>
      <w:lvlText w:val="o"/>
      <w:lvlJc w:val="left"/>
      <w:pPr>
        <w:ind w:left="5760" w:hanging="360"/>
      </w:pPr>
      <w:rPr>
        <w:rFonts w:ascii="Courier New" w:hAnsi="Courier New" w:hint="default"/>
      </w:rPr>
    </w:lvl>
    <w:lvl w:ilvl="8" w:tplc="E1F6294A">
      <w:start w:val="1"/>
      <w:numFmt w:val="bullet"/>
      <w:lvlText w:val=""/>
      <w:lvlJc w:val="left"/>
      <w:pPr>
        <w:ind w:left="6480" w:hanging="360"/>
      </w:pPr>
      <w:rPr>
        <w:rFonts w:ascii="Wingdings" w:hAnsi="Wingdings" w:hint="default"/>
      </w:rPr>
    </w:lvl>
  </w:abstractNum>
  <w:abstractNum w:abstractNumId="19" w15:restartNumberingAfterBreak="0">
    <w:nsid w:val="79911FAD"/>
    <w:multiLevelType w:val="hybridMultilevel"/>
    <w:tmpl w:val="08B422B2"/>
    <w:lvl w:ilvl="0" w:tplc="86D6554C">
      <w:start w:val="1"/>
      <w:numFmt w:val="bullet"/>
      <w:lvlText w:val="-"/>
      <w:lvlJc w:val="left"/>
      <w:pPr>
        <w:ind w:left="720" w:hanging="360"/>
      </w:pPr>
      <w:rPr>
        <w:rFonts w:ascii="&quot;Verdana&quot;,sans-serif" w:hAnsi="&quot;Verdana&quot;,sans-serif" w:hint="default"/>
      </w:rPr>
    </w:lvl>
    <w:lvl w:ilvl="1" w:tplc="B8621522">
      <w:start w:val="1"/>
      <w:numFmt w:val="bullet"/>
      <w:lvlText w:val="o"/>
      <w:lvlJc w:val="left"/>
      <w:pPr>
        <w:ind w:left="1440" w:hanging="360"/>
      </w:pPr>
      <w:rPr>
        <w:rFonts w:ascii="Courier New" w:hAnsi="Courier New" w:hint="default"/>
      </w:rPr>
    </w:lvl>
    <w:lvl w:ilvl="2" w:tplc="33A80438">
      <w:start w:val="1"/>
      <w:numFmt w:val="bullet"/>
      <w:lvlText w:val=""/>
      <w:lvlJc w:val="left"/>
      <w:pPr>
        <w:ind w:left="2160" w:hanging="360"/>
      </w:pPr>
      <w:rPr>
        <w:rFonts w:ascii="Wingdings" w:hAnsi="Wingdings" w:hint="default"/>
      </w:rPr>
    </w:lvl>
    <w:lvl w:ilvl="3" w:tplc="151C5530">
      <w:start w:val="1"/>
      <w:numFmt w:val="bullet"/>
      <w:lvlText w:val=""/>
      <w:lvlJc w:val="left"/>
      <w:pPr>
        <w:ind w:left="2880" w:hanging="360"/>
      </w:pPr>
      <w:rPr>
        <w:rFonts w:ascii="Symbol" w:hAnsi="Symbol" w:hint="default"/>
      </w:rPr>
    </w:lvl>
    <w:lvl w:ilvl="4" w:tplc="65C6D9E0">
      <w:start w:val="1"/>
      <w:numFmt w:val="bullet"/>
      <w:lvlText w:val="o"/>
      <w:lvlJc w:val="left"/>
      <w:pPr>
        <w:ind w:left="3600" w:hanging="360"/>
      </w:pPr>
      <w:rPr>
        <w:rFonts w:ascii="Courier New" w:hAnsi="Courier New" w:hint="default"/>
      </w:rPr>
    </w:lvl>
    <w:lvl w:ilvl="5" w:tplc="F1A61AFE">
      <w:start w:val="1"/>
      <w:numFmt w:val="bullet"/>
      <w:lvlText w:val=""/>
      <w:lvlJc w:val="left"/>
      <w:pPr>
        <w:ind w:left="4320" w:hanging="360"/>
      </w:pPr>
      <w:rPr>
        <w:rFonts w:ascii="Wingdings" w:hAnsi="Wingdings" w:hint="default"/>
      </w:rPr>
    </w:lvl>
    <w:lvl w:ilvl="6" w:tplc="C68A30EA">
      <w:start w:val="1"/>
      <w:numFmt w:val="bullet"/>
      <w:lvlText w:val=""/>
      <w:lvlJc w:val="left"/>
      <w:pPr>
        <w:ind w:left="5040" w:hanging="360"/>
      </w:pPr>
      <w:rPr>
        <w:rFonts w:ascii="Symbol" w:hAnsi="Symbol" w:hint="default"/>
      </w:rPr>
    </w:lvl>
    <w:lvl w:ilvl="7" w:tplc="DDBAC102">
      <w:start w:val="1"/>
      <w:numFmt w:val="bullet"/>
      <w:lvlText w:val="o"/>
      <w:lvlJc w:val="left"/>
      <w:pPr>
        <w:ind w:left="5760" w:hanging="360"/>
      </w:pPr>
      <w:rPr>
        <w:rFonts w:ascii="Courier New" w:hAnsi="Courier New" w:hint="default"/>
      </w:rPr>
    </w:lvl>
    <w:lvl w:ilvl="8" w:tplc="DDA49888">
      <w:start w:val="1"/>
      <w:numFmt w:val="bullet"/>
      <w:lvlText w:val=""/>
      <w:lvlJc w:val="left"/>
      <w:pPr>
        <w:ind w:left="6480" w:hanging="360"/>
      </w:pPr>
      <w:rPr>
        <w:rFonts w:ascii="Wingdings" w:hAnsi="Wingdings" w:hint="default"/>
      </w:rPr>
    </w:lvl>
  </w:abstractNum>
  <w:num w:numId="1" w16cid:durableId="1982151513">
    <w:abstractNumId w:val="18"/>
  </w:num>
  <w:num w:numId="2" w16cid:durableId="137040960">
    <w:abstractNumId w:val="6"/>
  </w:num>
  <w:num w:numId="3" w16cid:durableId="1884167774">
    <w:abstractNumId w:val="17"/>
  </w:num>
  <w:num w:numId="4" w16cid:durableId="380204904">
    <w:abstractNumId w:val="14"/>
  </w:num>
  <w:num w:numId="5" w16cid:durableId="246155419">
    <w:abstractNumId w:val="8"/>
  </w:num>
  <w:num w:numId="6" w16cid:durableId="68577864">
    <w:abstractNumId w:val="9"/>
  </w:num>
  <w:num w:numId="7" w16cid:durableId="1055084787">
    <w:abstractNumId w:val="4"/>
  </w:num>
  <w:num w:numId="8" w16cid:durableId="224922714">
    <w:abstractNumId w:val="19"/>
  </w:num>
  <w:num w:numId="9" w16cid:durableId="406147885">
    <w:abstractNumId w:val="5"/>
  </w:num>
  <w:num w:numId="10" w16cid:durableId="1621954209">
    <w:abstractNumId w:val="16"/>
  </w:num>
  <w:num w:numId="11" w16cid:durableId="696085320">
    <w:abstractNumId w:val="7"/>
  </w:num>
  <w:num w:numId="12" w16cid:durableId="1169522583">
    <w:abstractNumId w:val="15"/>
  </w:num>
  <w:num w:numId="13" w16cid:durableId="1599145034">
    <w:abstractNumId w:val="11"/>
  </w:num>
  <w:num w:numId="14" w16cid:durableId="22246341">
    <w:abstractNumId w:val="12"/>
  </w:num>
  <w:num w:numId="15" w16cid:durableId="267466306">
    <w:abstractNumId w:val="13"/>
  </w:num>
  <w:num w:numId="16" w16cid:durableId="1998260233">
    <w:abstractNumId w:val="0"/>
  </w:num>
  <w:num w:numId="17" w16cid:durableId="911309862">
    <w:abstractNumId w:val="3"/>
  </w:num>
  <w:num w:numId="18" w16cid:durableId="1564296751">
    <w:abstractNumId w:val="10"/>
  </w:num>
  <w:num w:numId="19" w16cid:durableId="284508507">
    <w:abstractNumId w:val="2"/>
  </w:num>
  <w:num w:numId="20" w16cid:durableId="102178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21"/>
    <w:rsid w:val="0000335C"/>
    <w:rsid w:val="00015968"/>
    <w:rsid w:val="000231CF"/>
    <w:rsid w:val="000259A0"/>
    <w:rsid w:val="00025E2F"/>
    <w:rsid w:val="000350EE"/>
    <w:rsid w:val="00035CCD"/>
    <w:rsid w:val="000371C2"/>
    <w:rsid w:val="00037E36"/>
    <w:rsid w:val="000401D2"/>
    <w:rsid w:val="00040C74"/>
    <w:rsid w:val="00040DC3"/>
    <w:rsid w:val="000439DC"/>
    <w:rsid w:val="00044C6D"/>
    <w:rsid w:val="00044D7C"/>
    <w:rsid w:val="000551DC"/>
    <w:rsid w:val="00057865"/>
    <w:rsid w:val="00060DB5"/>
    <w:rsid w:val="0006151D"/>
    <w:rsid w:val="000629EF"/>
    <w:rsid w:val="00065F9A"/>
    <w:rsid w:val="000660A1"/>
    <w:rsid w:val="00071255"/>
    <w:rsid w:val="00090BFC"/>
    <w:rsid w:val="000953E7"/>
    <w:rsid w:val="000A09D6"/>
    <w:rsid w:val="000A2682"/>
    <w:rsid w:val="000A2738"/>
    <w:rsid w:val="000A41DD"/>
    <w:rsid w:val="000A434D"/>
    <w:rsid w:val="000A5AB0"/>
    <w:rsid w:val="000B178A"/>
    <w:rsid w:val="000B386D"/>
    <w:rsid w:val="000C0457"/>
    <w:rsid w:val="000C6E47"/>
    <w:rsid w:val="000C7079"/>
    <w:rsid w:val="000D7B92"/>
    <w:rsid w:val="000F04EF"/>
    <w:rsid w:val="000F6ABE"/>
    <w:rsid w:val="00101EE1"/>
    <w:rsid w:val="00102538"/>
    <w:rsid w:val="00107BBB"/>
    <w:rsid w:val="00115646"/>
    <w:rsid w:val="00116927"/>
    <w:rsid w:val="00116C74"/>
    <w:rsid w:val="0012067B"/>
    <w:rsid w:val="00126155"/>
    <w:rsid w:val="00134681"/>
    <w:rsid w:val="00135594"/>
    <w:rsid w:val="001368FC"/>
    <w:rsid w:val="00141AB8"/>
    <w:rsid w:val="0014316B"/>
    <w:rsid w:val="0014363E"/>
    <w:rsid w:val="0014784A"/>
    <w:rsid w:val="00147D9D"/>
    <w:rsid w:val="00147E8B"/>
    <w:rsid w:val="001526EA"/>
    <w:rsid w:val="00155BE2"/>
    <w:rsid w:val="0015E660"/>
    <w:rsid w:val="00161038"/>
    <w:rsid w:val="001655CE"/>
    <w:rsid w:val="00170024"/>
    <w:rsid w:val="00173FB8"/>
    <w:rsid w:val="00180F75"/>
    <w:rsid w:val="001818EB"/>
    <w:rsid w:val="001841F5"/>
    <w:rsid w:val="00185890"/>
    <w:rsid w:val="00186507"/>
    <w:rsid w:val="001875D7"/>
    <w:rsid w:val="0019D02F"/>
    <w:rsid w:val="001A58EF"/>
    <w:rsid w:val="001A70DF"/>
    <w:rsid w:val="001A7CB6"/>
    <w:rsid w:val="001B16BD"/>
    <w:rsid w:val="001E4727"/>
    <w:rsid w:val="001E5CB9"/>
    <w:rsid w:val="001F0981"/>
    <w:rsid w:val="001F4651"/>
    <w:rsid w:val="00211038"/>
    <w:rsid w:val="00211132"/>
    <w:rsid w:val="00215CD8"/>
    <w:rsid w:val="00216535"/>
    <w:rsid w:val="002237B3"/>
    <w:rsid w:val="002311C3"/>
    <w:rsid w:val="00231B0A"/>
    <w:rsid w:val="00233BFF"/>
    <w:rsid w:val="002361DB"/>
    <w:rsid w:val="0024275B"/>
    <w:rsid w:val="00244668"/>
    <w:rsid w:val="00247E03"/>
    <w:rsid w:val="00253229"/>
    <w:rsid w:val="0025576E"/>
    <w:rsid w:val="00263F96"/>
    <w:rsid w:val="00270C1B"/>
    <w:rsid w:val="0027309C"/>
    <w:rsid w:val="002752C2"/>
    <w:rsid w:val="00282927"/>
    <w:rsid w:val="00292905"/>
    <w:rsid w:val="0029697E"/>
    <w:rsid w:val="002A1302"/>
    <w:rsid w:val="002A5E1F"/>
    <w:rsid w:val="002B465B"/>
    <w:rsid w:val="002B4EBC"/>
    <w:rsid w:val="002C21B6"/>
    <w:rsid w:val="002C3BFE"/>
    <w:rsid w:val="002D0DBA"/>
    <w:rsid w:val="002D2A92"/>
    <w:rsid w:val="002D4E40"/>
    <w:rsid w:val="002E299D"/>
    <w:rsid w:val="002E6B62"/>
    <w:rsid w:val="002F3B44"/>
    <w:rsid w:val="002F4378"/>
    <w:rsid w:val="003000AB"/>
    <w:rsid w:val="0030596D"/>
    <w:rsid w:val="00306517"/>
    <w:rsid w:val="00306ADE"/>
    <w:rsid w:val="003147BE"/>
    <w:rsid w:val="00314B27"/>
    <w:rsid w:val="00316738"/>
    <w:rsid w:val="00321899"/>
    <w:rsid w:val="0032457D"/>
    <w:rsid w:val="00325281"/>
    <w:rsid w:val="00326ACB"/>
    <w:rsid w:val="00331DB9"/>
    <w:rsid w:val="00333362"/>
    <w:rsid w:val="0033380F"/>
    <w:rsid w:val="00333C67"/>
    <w:rsid w:val="00336B6D"/>
    <w:rsid w:val="003450EC"/>
    <w:rsid w:val="00345B93"/>
    <w:rsid w:val="003522EB"/>
    <w:rsid w:val="003665B2"/>
    <w:rsid w:val="00367B5B"/>
    <w:rsid w:val="003722EE"/>
    <w:rsid w:val="0037344F"/>
    <w:rsid w:val="00375DBF"/>
    <w:rsid w:val="00377688"/>
    <w:rsid w:val="00377833"/>
    <w:rsid w:val="00382260"/>
    <w:rsid w:val="00383C23"/>
    <w:rsid w:val="003873A1"/>
    <w:rsid w:val="0039148A"/>
    <w:rsid w:val="00391AFC"/>
    <w:rsid w:val="00394EF4"/>
    <w:rsid w:val="00396552"/>
    <w:rsid w:val="00396A4E"/>
    <w:rsid w:val="003A375E"/>
    <w:rsid w:val="003B02B4"/>
    <w:rsid w:val="003B0C72"/>
    <w:rsid w:val="003B36E2"/>
    <w:rsid w:val="003D02E9"/>
    <w:rsid w:val="003E172E"/>
    <w:rsid w:val="003E21D5"/>
    <w:rsid w:val="003E3457"/>
    <w:rsid w:val="003F36D6"/>
    <w:rsid w:val="003F3732"/>
    <w:rsid w:val="003F660D"/>
    <w:rsid w:val="003F752E"/>
    <w:rsid w:val="003F7F9E"/>
    <w:rsid w:val="004021E2"/>
    <w:rsid w:val="004038AC"/>
    <w:rsid w:val="00403964"/>
    <w:rsid w:val="0040398E"/>
    <w:rsid w:val="00403A11"/>
    <w:rsid w:val="00407344"/>
    <w:rsid w:val="00410FD2"/>
    <w:rsid w:val="004157DC"/>
    <w:rsid w:val="004171D7"/>
    <w:rsid w:val="004213FB"/>
    <w:rsid w:val="004372FE"/>
    <w:rsid w:val="00441366"/>
    <w:rsid w:val="004422A2"/>
    <w:rsid w:val="004432FF"/>
    <w:rsid w:val="0044400C"/>
    <w:rsid w:val="0044424A"/>
    <w:rsid w:val="00452706"/>
    <w:rsid w:val="00453B44"/>
    <w:rsid w:val="004548DA"/>
    <w:rsid w:val="00461AAA"/>
    <w:rsid w:val="00463A03"/>
    <w:rsid w:val="00466005"/>
    <w:rsid w:val="00467C14"/>
    <w:rsid w:val="00471805"/>
    <w:rsid w:val="004739A1"/>
    <w:rsid w:val="00476DC4"/>
    <w:rsid w:val="00478F39"/>
    <w:rsid w:val="00483E49"/>
    <w:rsid w:val="0048524C"/>
    <w:rsid w:val="00495AE8"/>
    <w:rsid w:val="004A087D"/>
    <w:rsid w:val="004A399A"/>
    <w:rsid w:val="004B405F"/>
    <w:rsid w:val="004B5698"/>
    <w:rsid w:val="004B68C8"/>
    <w:rsid w:val="004C5A26"/>
    <w:rsid w:val="004D503E"/>
    <w:rsid w:val="004E2F05"/>
    <w:rsid w:val="004F1A5A"/>
    <w:rsid w:val="004F46F5"/>
    <w:rsid w:val="004F793E"/>
    <w:rsid w:val="00500B46"/>
    <w:rsid w:val="00504186"/>
    <w:rsid w:val="0050607E"/>
    <w:rsid w:val="00510913"/>
    <w:rsid w:val="00517667"/>
    <w:rsid w:val="005210A5"/>
    <w:rsid w:val="0052398D"/>
    <w:rsid w:val="00525D42"/>
    <w:rsid w:val="00527BAE"/>
    <w:rsid w:val="00527C18"/>
    <w:rsid w:val="0053148B"/>
    <w:rsid w:val="005319B2"/>
    <w:rsid w:val="005322CC"/>
    <w:rsid w:val="00533C99"/>
    <w:rsid w:val="00534832"/>
    <w:rsid w:val="0053565F"/>
    <w:rsid w:val="00535AB8"/>
    <w:rsid w:val="005365F8"/>
    <w:rsid w:val="005410E8"/>
    <w:rsid w:val="00546107"/>
    <w:rsid w:val="0055027F"/>
    <w:rsid w:val="005552BC"/>
    <w:rsid w:val="00561EF2"/>
    <w:rsid w:val="0056345B"/>
    <w:rsid w:val="0057154F"/>
    <w:rsid w:val="005727DE"/>
    <w:rsid w:val="005732F0"/>
    <w:rsid w:val="0057584D"/>
    <w:rsid w:val="00580EF4"/>
    <w:rsid w:val="00581472"/>
    <w:rsid w:val="00587336"/>
    <w:rsid w:val="005902A1"/>
    <w:rsid w:val="00592F20"/>
    <w:rsid w:val="00594408"/>
    <w:rsid w:val="0059494F"/>
    <w:rsid w:val="005A0FD0"/>
    <w:rsid w:val="005A6382"/>
    <w:rsid w:val="005B31CC"/>
    <w:rsid w:val="005D0649"/>
    <w:rsid w:val="005D78D0"/>
    <w:rsid w:val="005E274D"/>
    <w:rsid w:val="005E2760"/>
    <w:rsid w:val="005E3709"/>
    <w:rsid w:val="00600222"/>
    <w:rsid w:val="006076CA"/>
    <w:rsid w:val="0060B24B"/>
    <w:rsid w:val="00612F98"/>
    <w:rsid w:val="00613A23"/>
    <w:rsid w:val="00615088"/>
    <w:rsid w:val="006155E5"/>
    <w:rsid w:val="006167F4"/>
    <w:rsid w:val="006214F4"/>
    <w:rsid w:val="006245F1"/>
    <w:rsid w:val="00627C65"/>
    <w:rsid w:val="00630E78"/>
    <w:rsid w:val="0063317B"/>
    <w:rsid w:val="00634395"/>
    <w:rsid w:val="00641874"/>
    <w:rsid w:val="00644442"/>
    <w:rsid w:val="006457EE"/>
    <w:rsid w:val="0065041D"/>
    <w:rsid w:val="006514CA"/>
    <w:rsid w:val="006516A1"/>
    <w:rsid w:val="00651EE5"/>
    <w:rsid w:val="00662518"/>
    <w:rsid w:val="00664159"/>
    <w:rsid w:val="006724A4"/>
    <w:rsid w:val="006741A0"/>
    <w:rsid w:val="00680ED2"/>
    <w:rsid w:val="006911BD"/>
    <w:rsid w:val="006A1D8E"/>
    <w:rsid w:val="006A2E65"/>
    <w:rsid w:val="006A3CC8"/>
    <w:rsid w:val="006A7A37"/>
    <w:rsid w:val="006B1323"/>
    <w:rsid w:val="006B187A"/>
    <w:rsid w:val="006B7BCD"/>
    <w:rsid w:val="006C220C"/>
    <w:rsid w:val="006C526A"/>
    <w:rsid w:val="006D0401"/>
    <w:rsid w:val="006D5633"/>
    <w:rsid w:val="006D7C63"/>
    <w:rsid w:val="006E1543"/>
    <w:rsid w:val="006E1B44"/>
    <w:rsid w:val="006E5B4F"/>
    <w:rsid w:val="006E7F53"/>
    <w:rsid w:val="006F1A88"/>
    <w:rsid w:val="006F6C2F"/>
    <w:rsid w:val="00701025"/>
    <w:rsid w:val="00713557"/>
    <w:rsid w:val="0072176A"/>
    <w:rsid w:val="00726D30"/>
    <w:rsid w:val="00726DAD"/>
    <w:rsid w:val="007337ED"/>
    <w:rsid w:val="0073630D"/>
    <w:rsid w:val="0073751C"/>
    <w:rsid w:val="00740622"/>
    <w:rsid w:val="007430C7"/>
    <w:rsid w:val="0074435A"/>
    <w:rsid w:val="007452DA"/>
    <w:rsid w:val="00752C64"/>
    <w:rsid w:val="0076029A"/>
    <w:rsid w:val="007654E6"/>
    <w:rsid w:val="007660A1"/>
    <w:rsid w:val="0076D376"/>
    <w:rsid w:val="007718DC"/>
    <w:rsid w:val="00773F6F"/>
    <w:rsid w:val="0077485E"/>
    <w:rsid w:val="00774D90"/>
    <w:rsid w:val="00775DF7"/>
    <w:rsid w:val="00785A11"/>
    <w:rsid w:val="00787B61"/>
    <w:rsid w:val="00787E15"/>
    <w:rsid w:val="00792198"/>
    <w:rsid w:val="00793324"/>
    <w:rsid w:val="007A03D3"/>
    <w:rsid w:val="007A364B"/>
    <w:rsid w:val="007B3046"/>
    <w:rsid w:val="007B45DA"/>
    <w:rsid w:val="007C215E"/>
    <w:rsid w:val="007C34AF"/>
    <w:rsid w:val="007C645B"/>
    <w:rsid w:val="007C7413"/>
    <w:rsid w:val="007D6558"/>
    <w:rsid w:val="007D75B2"/>
    <w:rsid w:val="007E473D"/>
    <w:rsid w:val="007E5188"/>
    <w:rsid w:val="007E6D09"/>
    <w:rsid w:val="007F0BB4"/>
    <w:rsid w:val="007F739D"/>
    <w:rsid w:val="008006C5"/>
    <w:rsid w:val="00800D07"/>
    <w:rsid w:val="00800D99"/>
    <w:rsid w:val="00800FA8"/>
    <w:rsid w:val="008100EA"/>
    <w:rsid w:val="00821472"/>
    <w:rsid w:val="00821F90"/>
    <w:rsid w:val="00824340"/>
    <w:rsid w:val="00824874"/>
    <w:rsid w:val="00825B2F"/>
    <w:rsid w:val="00833407"/>
    <w:rsid w:val="008373ED"/>
    <w:rsid w:val="00850E13"/>
    <w:rsid w:val="00853866"/>
    <w:rsid w:val="00864D45"/>
    <w:rsid w:val="00882059"/>
    <w:rsid w:val="00884B88"/>
    <w:rsid w:val="00886EA2"/>
    <w:rsid w:val="00891BAE"/>
    <w:rsid w:val="008A18B5"/>
    <w:rsid w:val="008B1C61"/>
    <w:rsid w:val="008B4BCC"/>
    <w:rsid w:val="008C1616"/>
    <w:rsid w:val="008D4B71"/>
    <w:rsid w:val="008D7EF1"/>
    <w:rsid w:val="008E2296"/>
    <w:rsid w:val="008E47C9"/>
    <w:rsid w:val="008E7FAB"/>
    <w:rsid w:val="008F450E"/>
    <w:rsid w:val="008F52BF"/>
    <w:rsid w:val="008F58F9"/>
    <w:rsid w:val="009109E7"/>
    <w:rsid w:val="00911C19"/>
    <w:rsid w:val="00914208"/>
    <w:rsid w:val="00914B07"/>
    <w:rsid w:val="0091C2B7"/>
    <w:rsid w:val="009215D8"/>
    <w:rsid w:val="00923A2C"/>
    <w:rsid w:val="00923D27"/>
    <w:rsid w:val="00924C77"/>
    <w:rsid w:val="00932E64"/>
    <w:rsid w:val="0093504A"/>
    <w:rsid w:val="009437D3"/>
    <w:rsid w:val="009443B8"/>
    <w:rsid w:val="00947A1F"/>
    <w:rsid w:val="00955B9D"/>
    <w:rsid w:val="00962BEC"/>
    <w:rsid w:val="00967438"/>
    <w:rsid w:val="00975645"/>
    <w:rsid w:val="009764BC"/>
    <w:rsid w:val="0098700B"/>
    <w:rsid w:val="00987BDC"/>
    <w:rsid w:val="00992FB1"/>
    <w:rsid w:val="0099338F"/>
    <w:rsid w:val="00995C85"/>
    <w:rsid w:val="009A3BDA"/>
    <w:rsid w:val="009B211F"/>
    <w:rsid w:val="009B26AC"/>
    <w:rsid w:val="009B6638"/>
    <w:rsid w:val="009B6E20"/>
    <w:rsid w:val="009C0D06"/>
    <w:rsid w:val="009C4CB1"/>
    <w:rsid w:val="009C55B9"/>
    <w:rsid w:val="009D54B3"/>
    <w:rsid w:val="009E28BE"/>
    <w:rsid w:val="009E4113"/>
    <w:rsid w:val="009E42F4"/>
    <w:rsid w:val="009E7B23"/>
    <w:rsid w:val="009F67CC"/>
    <w:rsid w:val="00A0135F"/>
    <w:rsid w:val="00A0304C"/>
    <w:rsid w:val="00A05146"/>
    <w:rsid w:val="00A213EA"/>
    <w:rsid w:val="00A216CA"/>
    <w:rsid w:val="00A3499E"/>
    <w:rsid w:val="00A36773"/>
    <w:rsid w:val="00A417DA"/>
    <w:rsid w:val="00A424C3"/>
    <w:rsid w:val="00A42C80"/>
    <w:rsid w:val="00A43B6B"/>
    <w:rsid w:val="00A55762"/>
    <w:rsid w:val="00A649FB"/>
    <w:rsid w:val="00A65696"/>
    <w:rsid w:val="00A6ABCA"/>
    <w:rsid w:val="00A70B29"/>
    <w:rsid w:val="00A76B82"/>
    <w:rsid w:val="00A832A4"/>
    <w:rsid w:val="00A838F0"/>
    <w:rsid w:val="00A85885"/>
    <w:rsid w:val="00A91583"/>
    <w:rsid w:val="00A92A37"/>
    <w:rsid w:val="00A946AE"/>
    <w:rsid w:val="00A955FC"/>
    <w:rsid w:val="00AA38C0"/>
    <w:rsid w:val="00AA4432"/>
    <w:rsid w:val="00AB2567"/>
    <w:rsid w:val="00AB34A3"/>
    <w:rsid w:val="00AB4604"/>
    <w:rsid w:val="00AB4EC5"/>
    <w:rsid w:val="00AB5621"/>
    <w:rsid w:val="00AC1493"/>
    <w:rsid w:val="00AC1C26"/>
    <w:rsid w:val="00AC6E84"/>
    <w:rsid w:val="00AC72E9"/>
    <w:rsid w:val="00AD031D"/>
    <w:rsid w:val="00AD4003"/>
    <w:rsid w:val="00AD681D"/>
    <w:rsid w:val="00AE5705"/>
    <w:rsid w:val="00AE641E"/>
    <w:rsid w:val="00AF0AA1"/>
    <w:rsid w:val="00AF13F5"/>
    <w:rsid w:val="00AF6401"/>
    <w:rsid w:val="00AF73D2"/>
    <w:rsid w:val="00AF76BB"/>
    <w:rsid w:val="00B0511A"/>
    <w:rsid w:val="00B12687"/>
    <w:rsid w:val="00B25D21"/>
    <w:rsid w:val="00B31F96"/>
    <w:rsid w:val="00B35A7D"/>
    <w:rsid w:val="00B35E43"/>
    <w:rsid w:val="00B51C01"/>
    <w:rsid w:val="00B55BBB"/>
    <w:rsid w:val="00B56FCA"/>
    <w:rsid w:val="00B57A87"/>
    <w:rsid w:val="00B61D98"/>
    <w:rsid w:val="00B67FD8"/>
    <w:rsid w:val="00B7407F"/>
    <w:rsid w:val="00B74211"/>
    <w:rsid w:val="00B7684D"/>
    <w:rsid w:val="00B77F5E"/>
    <w:rsid w:val="00B7C1A8"/>
    <w:rsid w:val="00B83384"/>
    <w:rsid w:val="00B8478A"/>
    <w:rsid w:val="00B85661"/>
    <w:rsid w:val="00B86749"/>
    <w:rsid w:val="00B9188A"/>
    <w:rsid w:val="00B9246C"/>
    <w:rsid w:val="00B93B0E"/>
    <w:rsid w:val="00B954F2"/>
    <w:rsid w:val="00B95665"/>
    <w:rsid w:val="00B96EF9"/>
    <w:rsid w:val="00BA1E37"/>
    <w:rsid w:val="00BA4220"/>
    <w:rsid w:val="00BA5B65"/>
    <w:rsid w:val="00BA653A"/>
    <w:rsid w:val="00BA66E8"/>
    <w:rsid w:val="00BB006E"/>
    <w:rsid w:val="00BB0661"/>
    <w:rsid w:val="00BB1208"/>
    <w:rsid w:val="00BB6609"/>
    <w:rsid w:val="00BC3999"/>
    <w:rsid w:val="00BD63D4"/>
    <w:rsid w:val="00BE0116"/>
    <w:rsid w:val="00BF70B7"/>
    <w:rsid w:val="00C0693C"/>
    <w:rsid w:val="00C201AC"/>
    <w:rsid w:val="00C20F0E"/>
    <w:rsid w:val="00C315E3"/>
    <w:rsid w:val="00C35E6C"/>
    <w:rsid w:val="00C4485A"/>
    <w:rsid w:val="00C44CD4"/>
    <w:rsid w:val="00C51812"/>
    <w:rsid w:val="00C52531"/>
    <w:rsid w:val="00C61745"/>
    <w:rsid w:val="00C63341"/>
    <w:rsid w:val="00C74500"/>
    <w:rsid w:val="00C8179B"/>
    <w:rsid w:val="00C84B14"/>
    <w:rsid w:val="00C8757F"/>
    <w:rsid w:val="00C938FD"/>
    <w:rsid w:val="00C9651A"/>
    <w:rsid w:val="00C965E2"/>
    <w:rsid w:val="00CA4E21"/>
    <w:rsid w:val="00CB3AA4"/>
    <w:rsid w:val="00CB5A32"/>
    <w:rsid w:val="00CB927C"/>
    <w:rsid w:val="00CC2358"/>
    <w:rsid w:val="00CD7159"/>
    <w:rsid w:val="00CD761C"/>
    <w:rsid w:val="00CD7A4B"/>
    <w:rsid w:val="00CE4E34"/>
    <w:rsid w:val="00CE6F63"/>
    <w:rsid w:val="00CE762E"/>
    <w:rsid w:val="00CF0EF1"/>
    <w:rsid w:val="00CF1650"/>
    <w:rsid w:val="00CF2D08"/>
    <w:rsid w:val="00CF6A42"/>
    <w:rsid w:val="00CF7ECE"/>
    <w:rsid w:val="00CFDADA"/>
    <w:rsid w:val="00D04C56"/>
    <w:rsid w:val="00D12798"/>
    <w:rsid w:val="00D14E88"/>
    <w:rsid w:val="00D1721E"/>
    <w:rsid w:val="00D173A8"/>
    <w:rsid w:val="00D22A9A"/>
    <w:rsid w:val="00D2573A"/>
    <w:rsid w:val="00D30F40"/>
    <w:rsid w:val="00D33EF4"/>
    <w:rsid w:val="00D36C8A"/>
    <w:rsid w:val="00D402D7"/>
    <w:rsid w:val="00D402FD"/>
    <w:rsid w:val="00D50138"/>
    <w:rsid w:val="00D53E1A"/>
    <w:rsid w:val="00D5501E"/>
    <w:rsid w:val="00D57CAA"/>
    <w:rsid w:val="00D603C3"/>
    <w:rsid w:val="00D6078C"/>
    <w:rsid w:val="00D70BF1"/>
    <w:rsid w:val="00D70F9D"/>
    <w:rsid w:val="00D72934"/>
    <w:rsid w:val="00D74C7C"/>
    <w:rsid w:val="00D77CB7"/>
    <w:rsid w:val="00D827F1"/>
    <w:rsid w:val="00D854A2"/>
    <w:rsid w:val="00D8619D"/>
    <w:rsid w:val="00D86F9D"/>
    <w:rsid w:val="00D873C4"/>
    <w:rsid w:val="00D91C1D"/>
    <w:rsid w:val="00D91F1D"/>
    <w:rsid w:val="00D923E7"/>
    <w:rsid w:val="00D92E00"/>
    <w:rsid w:val="00D9715C"/>
    <w:rsid w:val="00DA199D"/>
    <w:rsid w:val="00DA2216"/>
    <w:rsid w:val="00DA34A6"/>
    <w:rsid w:val="00DB10D7"/>
    <w:rsid w:val="00DB18E1"/>
    <w:rsid w:val="00DB1EF5"/>
    <w:rsid w:val="00DB2BFF"/>
    <w:rsid w:val="00DB48E9"/>
    <w:rsid w:val="00DB4AC6"/>
    <w:rsid w:val="00DB6E9D"/>
    <w:rsid w:val="00DC220A"/>
    <w:rsid w:val="00DC222E"/>
    <w:rsid w:val="00DC3E7A"/>
    <w:rsid w:val="00DC63F4"/>
    <w:rsid w:val="00DC7910"/>
    <w:rsid w:val="00DD1E7C"/>
    <w:rsid w:val="00DD1FED"/>
    <w:rsid w:val="00DD3757"/>
    <w:rsid w:val="00DD7928"/>
    <w:rsid w:val="00DE6E42"/>
    <w:rsid w:val="00DE7524"/>
    <w:rsid w:val="00DE77CF"/>
    <w:rsid w:val="00DF06A1"/>
    <w:rsid w:val="00DF10A4"/>
    <w:rsid w:val="00DF112D"/>
    <w:rsid w:val="00DF2A03"/>
    <w:rsid w:val="00DF4B29"/>
    <w:rsid w:val="00DF6225"/>
    <w:rsid w:val="00DF7946"/>
    <w:rsid w:val="00E00F42"/>
    <w:rsid w:val="00E0547F"/>
    <w:rsid w:val="00E06853"/>
    <w:rsid w:val="00E215F5"/>
    <w:rsid w:val="00E26A4F"/>
    <w:rsid w:val="00E30011"/>
    <w:rsid w:val="00E3776E"/>
    <w:rsid w:val="00E41567"/>
    <w:rsid w:val="00E42814"/>
    <w:rsid w:val="00E435E5"/>
    <w:rsid w:val="00E46C29"/>
    <w:rsid w:val="00E55D1E"/>
    <w:rsid w:val="00E56872"/>
    <w:rsid w:val="00E61D9C"/>
    <w:rsid w:val="00E62D8D"/>
    <w:rsid w:val="00E62F01"/>
    <w:rsid w:val="00E75BB7"/>
    <w:rsid w:val="00E76432"/>
    <w:rsid w:val="00E837A9"/>
    <w:rsid w:val="00E86329"/>
    <w:rsid w:val="00E9111A"/>
    <w:rsid w:val="00E9195B"/>
    <w:rsid w:val="00E958B4"/>
    <w:rsid w:val="00EA0C81"/>
    <w:rsid w:val="00EA52C0"/>
    <w:rsid w:val="00EB2539"/>
    <w:rsid w:val="00EC25F2"/>
    <w:rsid w:val="00EC502F"/>
    <w:rsid w:val="00EC65FD"/>
    <w:rsid w:val="00ED48F3"/>
    <w:rsid w:val="00ED6B96"/>
    <w:rsid w:val="00EF13FA"/>
    <w:rsid w:val="00EF3B9D"/>
    <w:rsid w:val="00EF61B6"/>
    <w:rsid w:val="00F00174"/>
    <w:rsid w:val="00F07713"/>
    <w:rsid w:val="00F13A65"/>
    <w:rsid w:val="00F146A8"/>
    <w:rsid w:val="00F167D5"/>
    <w:rsid w:val="00F2024B"/>
    <w:rsid w:val="00F214D8"/>
    <w:rsid w:val="00F226B0"/>
    <w:rsid w:val="00F26DC3"/>
    <w:rsid w:val="00F31B11"/>
    <w:rsid w:val="00F416B1"/>
    <w:rsid w:val="00F500BE"/>
    <w:rsid w:val="00F54D2E"/>
    <w:rsid w:val="00F56AC7"/>
    <w:rsid w:val="00F648D2"/>
    <w:rsid w:val="00F708BE"/>
    <w:rsid w:val="00F70AAF"/>
    <w:rsid w:val="00F715C5"/>
    <w:rsid w:val="00F72FB0"/>
    <w:rsid w:val="00F777FA"/>
    <w:rsid w:val="00F8308C"/>
    <w:rsid w:val="00F85731"/>
    <w:rsid w:val="00F8597B"/>
    <w:rsid w:val="00F90A88"/>
    <w:rsid w:val="00F93EA7"/>
    <w:rsid w:val="00F95886"/>
    <w:rsid w:val="00FA0AA0"/>
    <w:rsid w:val="00FA2587"/>
    <w:rsid w:val="00FA5B1B"/>
    <w:rsid w:val="00FA756B"/>
    <w:rsid w:val="00FB613A"/>
    <w:rsid w:val="00FB6CE5"/>
    <w:rsid w:val="00FC3CB6"/>
    <w:rsid w:val="00FC4D7B"/>
    <w:rsid w:val="00FD738A"/>
    <w:rsid w:val="00FE2F84"/>
    <w:rsid w:val="00FE42DA"/>
    <w:rsid w:val="00FF0127"/>
    <w:rsid w:val="00FF2005"/>
    <w:rsid w:val="00FF661D"/>
    <w:rsid w:val="01038229"/>
    <w:rsid w:val="01105000"/>
    <w:rsid w:val="011657C2"/>
    <w:rsid w:val="0136B234"/>
    <w:rsid w:val="013A6BBC"/>
    <w:rsid w:val="013E835B"/>
    <w:rsid w:val="0143781B"/>
    <w:rsid w:val="0154A130"/>
    <w:rsid w:val="015BD972"/>
    <w:rsid w:val="0174F041"/>
    <w:rsid w:val="01A40F91"/>
    <w:rsid w:val="01B4819B"/>
    <w:rsid w:val="01C82CA7"/>
    <w:rsid w:val="01D0A43B"/>
    <w:rsid w:val="01F90459"/>
    <w:rsid w:val="0204A6DC"/>
    <w:rsid w:val="0221744D"/>
    <w:rsid w:val="0231C16C"/>
    <w:rsid w:val="0232966E"/>
    <w:rsid w:val="023B9F9B"/>
    <w:rsid w:val="02515195"/>
    <w:rsid w:val="025660BC"/>
    <w:rsid w:val="0262C86E"/>
    <w:rsid w:val="0265FC80"/>
    <w:rsid w:val="028ACBDD"/>
    <w:rsid w:val="029553EA"/>
    <w:rsid w:val="02BC128A"/>
    <w:rsid w:val="02C2A228"/>
    <w:rsid w:val="02C641BC"/>
    <w:rsid w:val="02DDDCDD"/>
    <w:rsid w:val="03171953"/>
    <w:rsid w:val="035046B1"/>
    <w:rsid w:val="0356206C"/>
    <w:rsid w:val="035AFABF"/>
    <w:rsid w:val="035D9FC0"/>
    <w:rsid w:val="03939F57"/>
    <w:rsid w:val="03978B81"/>
    <w:rsid w:val="039C9C82"/>
    <w:rsid w:val="03A1CD4F"/>
    <w:rsid w:val="03ACD11E"/>
    <w:rsid w:val="03AE2EB1"/>
    <w:rsid w:val="03B7FF17"/>
    <w:rsid w:val="03C6B740"/>
    <w:rsid w:val="03FC072C"/>
    <w:rsid w:val="03FE207C"/>
    <w:rsid w:val="03FF5FEA"/>
    <w:rsid w:val="04018C23"/>
    <w:rsid w:val="0408BB4F"/>
    <w:rsid w:val="041684E4"/>
    <w:rsid w:val="043AB488"/>
    <w:rsid w:val="045AC985"/>
    <w:rsid w:val="0460F58A"/>
    <w:rsid w:val="046B7E2C"/>
    <w:rsid w:val="04AB0D40"/>
    <w:rsid w:val="04F05BA2"/>
    <w:rsid w:val="04F26A3D"/>
    <w:rsid w:val="04F4AC95"/>
    <w:rsid w:val="0512ACF4"/>
    <w:rsid w:val="051767A0"/>
    <w:rsid w:val="051D4C18"/>
    <w:rsid w:val="0525D1F7"/>
    <w:rsid w:val="05263759"/>
    <w:rsid w:val="0545C544"/>
    <w:rsid w:val="05530CAA"/>
    <w:rsid w:val="055AE328"/>
    <w:rsid w:val="056C2189"/>
    <w:rsid w:val="056D701A"/>
    <w:rsid w:val="05738CE6"/>
    <w:rsid w:val="05789BFB"/>
    <w:rsid w:val="05A603C2"/>
    <w:rsid w:val="05AE1E90"/>
    <w:rsid w:val="05AF242E"/>
    <w:rsid w:val="05CAA330"/>
    <w:rsid w:val="05F8210C"/>
    <w:rsid w:val="062C8189"/>
    <w:rsid w:val="063532B9"/>
    <w:rsid w:val="06384974"/>
    <w:rsid w:val="064DD414"/>
    <w:rsid w:val="064ED5FE"/>
    <w:rsid w:val="064FEAB4"/>
    <w:rsid w:val="0659F2B2"/>
    <w:rsid w:val="0669024E"/>
    <w:rsid w:val="068E58A5"/>
    <w:rsid w:val="069E8EBD"/>
    <w:rsid w:val="06AECE26"/>
    <w:rsid w:val="0712D728"/>
    <w:rsid w:val="0723645D"/>
    <w:rsid w:val="074CB5EA"/>
    <w:rsid w:val="07565671"/>
    <w:rsid w:val="075B35CB"/>
    <w:rsid w:val="075DD324"/>
    <w:rsid w:val="07614FDB"/>
    <w:rsid w:val="076EAA83"/>
    <w:rsid w:val="07753678"/>
    <w:rsid w:val="077B6DAE"/>
    <w:rsid w:val="077F31AB"/>
    <w:rsid w:val="077FC243"/>
    <w:rsid w:val="078E72F3"/>
    <w:rsid w:val="07C59A47"/>
    <w:rsid w:val="07DDCEDD"/>
    <w:rsid w:val="07F4B668"/>
    <w:rsid w:val="07FCCA21"/>
    <w:rsid w:val="08062BA0"/>
    <w:rsid w:val="08171E57"/>
    <w:rsid w:val="085761D6"/>
    <w:rsid w:val="0863010E"/>
    <w:rsid w:val="0863DF6D"/>
    <w:rsid w:val="08A01B26"/>
    <w:rsid w:val="08A29F25"/>
    <w:rsid w:val="08B238EC"/>
    <w:rsid w:val="08C5500B"/>
    <w:rsid w:val="08CE7D5C"/>
    <w:rsid w:val="08DA1C94"/>
    <w:rsid w:val="08E60D2A"/>
    <w:rsid w:val="0900206A"/>
    <w:rsid w:val="090370ED"/>
    <w:rsid w:val="09072605"/>
    <w:rsid w:val="090AAE15"/>
    <w:rsid w:val="090C61EC"/>
    <w:rsid w:val="092C827B"/>
    <w:rsid w:val="093E9C2F"/>
    <w:rsid w:val="09528519"/>
    <w:rsid w:val="0960EDC5"/>
    <w:rsid w:val="0969C90D"/>
    <w:rsid w:val="0974CAF9"/>
    <w:rsid w:val="097A7AD0"/>
    <w:rsid w:val="09C1BA7D"/>
    <w:rsid w:val="09C9DDF4"/>
    <w:rsid w:val="09CB713D"/>
    <w:rsid w:val="09E8FD90"/>
    <w:rsid w:val="0A00404E"/>
    <w:rsid w:val="0A008EA9"/>
    <w:rsid w:val="0A02411D"/>
    <w:rsid w:val="0A4875F1"/>
    <w:rsid w:val="0A509199"/>
    <w:rsid w:val="0A5AD6CA"/>
    <w:rsid w:val="0A6D3ED9"/>
    <w:rsid w:val="0AB24084"/>
    <w:rsid w:val="0AB82693"/>
    <w:rsid w:val="0AB85DAA"/>
    <w:rsid w:val="0ADCE5E1"/>
    <w:rsid w:val="0AEB7926"/>
    <w:rsid w:val="0AFFD85D"/>
    <w:rsid w:val="0B11AA86"/>
    <w:rsid w:val="0B11DDF7"/>
    <w:rsid w:val="0B4A5534"/>
    <w:rsid w:val="0B54D43E"/>
    <w:rsid w:val="0B6D841E"/>
    <w:rsid w:val="0B6F7B40"/>
    <w:rsid w:val="0B7500F3"/>
    <w:rsid w:val="0B76C5CE"/>
    <w:rsid w:val="0B7C641A"/>
    <w:rsid w:val="0BAA1803"/>
    <w:rsid w:val="0BB725E9"/>
    <w:rsid w:val="0BFF5A7B"/>
    <w:rsid w:val="0C2BC895"/>
    <w:rsid w:val="0C620898"/>
    <w:rsid w:val="0C650A10"/>
    <w:rsid w:val="0C79026A"/>
    <w:rsid w:val="0C7E9CBC"/>
    <w:rsid w:val="0C818645"/>
    <w:rsid w:val="0C9A284E"/>
    <w:rsid w:val="0C9A343C"/>
    <w:rsid w:val="0CADFCC3"/>
    <w:rsid w:val="0CC83287"/>
    <w:rsid w:val="0D01D37F"/>
    <w:rsid w:val="0D1384CE"/>
    <w:rsid w:val="0D1C287F"/>
    <w:rsid w:val="0D24835B"/>
    <w:rsid w:val="0D2C32AB"/>
    <w:rsid w:val="0D342947"/>
    <w:rsid w:val="0D4B6BB1"/>
    <w:rsid w:val="0D505D1D"/>
    <w:rsid w:val="0D6536D5"/>
    <w:rsid w:val="0D690738"/>
    <w:rsid w:val="0DBAB3EA"/>
    <w:rsid w:val="0DC006A9"/>
    <w:rsid w:val="0DCADB7B"/>
    <w:rsid w:val="0DE72725"/>
    <w:rsid w:val="0DF1BECB"/>
    <w:rsid w:val="0DF98D17"/>
    <w:rsid w:val="0DFD161F"/>
    <w:rsid w:val="0E0371FA"/>
    <w:rsid w:val="0E06FE1C"/>
    <w:rsid w:val="0E08FEF5"/>
    <w:rsid w:val="0E183C07"/>
    <w:rsid w:val="0E2AE62D"/>
    <w:rsid w:val="0E51D6E5"/>
    <w:rsid w:val="0E7D7E9B"/>
    <w:rsid w:val="0E80F9D7"/>
    <w:rsid w:val="0E8E6FA9"/>
    <w:rsid w:val="0E914406"/>
    <w:rsid w:val="0E9D892D"/>
    <w:rsid w:val="0EA07ED6"/>
    <w:rsid w:val="0EABB708"/>
    <w:rsid w:val="0EB8FE07"/>
    <w:rsid w:val="0EBED0B3"/>
    <w:rsid w:val="0EE02321"/>
    <w:rsid w:val="0EE1B880"/>
    <w:rsid w:val="0EFF118D"/>
    <w:rsid w:val="0F251172"/>
    <w:rsid w:val="0F4C17C2"/>
    <w:rsid w:val="0F5D2284"/>
    <w:rsid w:val="0F70A97D"/>
    <w:rsid w:val="0F98B76E"/>
    <w:rsid w:val="0FC24CAF"/>
    <w:rsid w:val="0FC8601D"/>
    <w:rsid w:val="0FE89697"/>
    <w:rsid w:val="10153E27"/>
    <w:rsid w:val="101F7E01"/>
    <w:rsid w:val="103A5BD9"/>
    <w:rsid w:val="10674C0E"/>
    <w:rsid w:val="10791E4B"/>
    <w:rsid w:val="1085333A"/>
    <w:rsid w:val="1087F6DE"/>
    <w:rsid w:val="10A71E34"/>
    <w:rsid w:val="10BFB049"/>
    <w:rsid w:val="10CB1788"/>
    <w:rsid w:val="10E3C0EA"/>
    <w:rsid w:val="10FA2D55"/>
    <w:rsid w:val="11141067"/>
    <w:rsid w:val="11175C2B"/>
    <w:rsid w:val="111FE56C"/>
    <w:rsid w:val="1127040E"/>
    <w:rsid w:val="112ADC9B"/>
    <w:rsid w:val="1172D590"/>
    <w:rsid w:val="11AD8E02"/>
    <w:rsid w:val="11C16DC3"/>
    <w:rsid w:val="11E5C15B"/>
    <w:rsid w:val="11E9E828"/>
    <w:rsid w:val="1209EEDC"/>
    <w:rsid w:val="12175C6C"/>
    <w:rsid w:val="123E4500"/>
    <w:rsid w:val="1282F509"/>
    <w:rsid w:val="12921AA3"/>
    <w:rsid w:val="12B5329D"/>
    <w:rsid w:val="12B93F52"/>
    <w:rsid w:val="12CB2FC3"/>
    <w:rsid w:val="12D8166B"/>
    <w:rsid w:val="12EFECA0"/>
    <w:rsid w:val="12F8A313"/>
    <w:rsid w:val="13074EE4"/>
    <w:rsid w:val="131A5C9F"/>
    <w:rsid w:val="131BBB13"/>
    <w:rsid w:val="1350E3C2"/>
    <w:rsid w:val="138E537A"/>
    <w:rsid w:val="13901335"/>
    <w:rsid w:val="1398ABF1"/>
    <w:rsid w:val="13A01211"/>
    <w:rsid w:val="13D3F940"/>
    <w:rsid w:val="13D532F5"/>
    <w:rsid w:val="13E9F749"/>
    <w:rsid w:val="13F06E80"/>
    <w:rsid w:val="13F07BB2"/>
    <w:rsid w:val="1403DC38"/>
    <w:rsid w:val="144E83F0"/>
    <w:rsid w:val="14532D84"/>
    <w:rsid w:val="1487E528"/>
    <w:rsid w:val="1488B100"/>
    <w:rsid w:val="149204E4"/>
    <w:rsid w:val="149B2155"/>
    <w:rsid w:val="14A3D57A"/>
    <w:rsid w:val="14A66947"/>
    <w:rsid w:val="14B0E60C"/>
    <w:rsid w:val="14EFF4DC"/>
    <w:rsid w:val="14F0E77E"/>
    <w:rsid w:val="14FF892D"/>
    <w:rsid w:val="1500271A"/>
    <w:rsid w:val="152FB95A"/>
    <w:rsid w:val="153B420A"/>
    <w:rsid w:val="1542E0D9"/>
    <w:rsid w:val="157780DD"/>
    <w:rsid w:val="158FBD38"/>
    <w:rsid w:val="15BE9DA0"/>
    <w:rsid w:val="15D21177"/>
    <w:rsid w:val="15DBFCB6"/>
    <w:rsid w:val="1603544D"/>
    <w:rsid w:val="160558E2"/>
    <w:rsid w:val="161A06E3"/>
    <w:rsid w:val="161B950D"/>
    <w:rsid w:val="16285B43"/>
    <w:rsid w:val="1648F1DC"/>
    <w:rsid w:val="165E46BF"/>
    <w:rsid w:val="167A0864"/>
    <w:rsid w:val="168A1C34"/>
    <w:rsid w:val="16D52FAF"/>
    <w:rsid w:val="16D642D1"/>
    <w:rsid w:val="16F1FCE7"/>
    <w:rsid w:val="16FFC25A"/>
    <w:rsid w:val="171A23F7"/>
    <w:rsid w:val="171CFDD5"/>
    <w:rsid w:val="172F80B9"/>
    <w:rsid w:val="174BBDAC"/>
    <w:rsid w:val="177BF38B"/>
    <w:rsid w:val="178A4EBA"/>
    <w:rsid w:val="17A37FB8"/>
    <w:rsid w:val="17A556EF"/>
    <w:rsid w:val="17B3F058"/>
    <w:rsid w:val="17B740E7"/>
    <w:rsid w:val="17B9E6D5"/>
    <w:rsid w:val="17C7E9FA"/>
    <w:rsid w:val="17C8E02D"/>
    <w:rsid w:val="17DD4D98"/>
    <w:rsid w:val="17E63C4F"/>
    <w:rsid w:val="17ED0796"/>
    <w:rsid w:val="17ED1DA9"/>
    <w:rsid w:val="18095AB2"/>
    <w:rsid w:val="180BC07E"/>
    <w:rsid w:val="181B400F"/>
    <w:rsid w:val="181ECF6C"/>
    <w:rsid w:val="182F2997"/>
    <w:rsid w:val="184D9D48"/>
    <w:rsid w:val="1850A332"/>
    <w:rsid w:val="186D17C1"/>
    <w:rsid w:val="187A16BD"/>
    <w:rsid w:val="18818988"/>
    <w:rsid w:val="1887307F"/>
    <w:rsid w:val="18913E3B"/>
    <w:rsid w:val="18A92C47"/>
    <w:rsid w:val="18AB2299"/>
    <w:rsid w:val="18B374D4"/>
    <w:rsid w:val="18CF0A60"/>
    <w:rsid w:val="18E9E871"/>
    <w:rsid w:val="18EA0D53"/>
    <w:rsid w:val="18EBE51F"/>
    <w:rsid w:val="18EF073C"/>
    <w:rsid w:val="18FDBE8E"/>
    <w:rsid w:val="19061632"/>
    <w:rsid w:val="190BD314"/>
    <w:rsid w:val="193FF192"/>
    <w:rsid w:val="1978EBAD"/>
    <w:rsid w:val="1993E904"/>
    <w:rsid w:val="1996090C"/>
    <w:rsid w:val="199A4BBC"/>
    <w:rsid w:val="19A2FB23"/>
    <w:rsid w:val="19C750C1"/>
    <w:rsid w:val="19FEFC36"/>
    <w:rsid w:val="1A0133CC"/>
    <w:rsid w:val="1A0A59FA"/>
    <w:rsid w:val="1A14A200"/>
    <w:rsid w:val="1A217F9C"/>
    <w:rsid w:val="1A36B896"/>
    <w:rsid w:val="1A4CD9AC"/>
    <w:rsid w:val="1A6078B1"/>
    <w:rsid w:val="1A6F2C89"/>
    <w:rsid w:val="1A7F4A82"/>
    <w:rsid w:val="1ABDBEDD"/>
    <w:rsid w:val="1ABE4ABA"/>
    <w:rsid w:val="1AC68AB7"/>
    <w:rsid w:val="1AF43551"/>
    <w:rsid w:val="1AF89467"/>
    <w:rsid w:val="1AFCFD4C"/>
    <w:rsid w:val="1B00C5FB"/>
    <w:rsid w:val="1B0EEC58"/>
    <w:rsid w:val="1B1D290F"/>
    <w:rsid w:val="1B688BEC"/>
    <w:rsid w:val="1B75EE35"/>
    <w:rsid w:val="1BAB94D7"/>
    <w:rsid w:val="1BB08A17"/>
    <w:rsid w:val="1BC3B100"/>
    <w:rsid w:val="1BCF399E"/>
    <w:rsid w:val="1C07A779"/>
    <w:rsid w:val="1C0A7BED"/>
    <w:rsid w:val="1C10CDD8"/>
    <w:rsid w:val="1C238639"/>
    <w:rsid w:val="1C2455DD"/>
    <w:rsid w:val="1C262906"/>
    <w:rsid w:val="1C31EA9A"/>
    <w:rsid w:val="1C3FC44D"/>
    <w:rsid w:val="1C41B708"/>
    <w:rsid w:val="1C837F02"/>
    <w:rsid w:val="1C905422"/>
    <w:rsid w:val="1C97C045"/>
    <w:rsid w:val="1C9D8ED6"/>
    <w:rsid w:val="1CA22422"/>
    <w:rsid w:val="1CDD4508"/>
    <w:rsid w:val="1CF498DB"/>
    <w:rsid w:val="1CFFABCF"/>
    <w:rsid w:val="1D0B93C4"/>
    <w:rsid w:val="1D1B4C6F"/>
    <w:rsid w:val="1D2A3E5A"/>
    <w:rsid w:val="1D41DC09"/>
    <w:rsid w:val="1D5CE8DA"/>
    <w:rsid w:val="1D600541"/>
    <w:rsid w:val="1D8A927F"/>
    <w:rsid w:val="1D8AC38B"/>
    <w:rsid w:val="1D8BA978"/>
    <w:rsid w:val="1D8BAEFE"/>
    <w:rsid w:val="1D998E0B"/>
    <w:rsid w:val="1DCC9564"/>
    <w:rsid w:val="1DDB36E6"/>
    <w:rsid w:val="1DEF0B7A"/>
    <w:rsid w:val="1DF49527"/>
    <w:rsid w:val="1DF70F65"/>
    <w:rsid w:val="1E1D8D80"/>
    <w:rsid w:val="1E21031B"/>
    <w:rsid w:val="1E319F2F"/>
    <w:rsid w:val="1E3923E2"/>
    <w:rsid w:val="1E48FB67"/>
    <w:rsid w:val="1E60C2AD"/>
    <w:rsid w:val="1E8D30CC"/>
    <w:rsid w:val="1EB17797"/>
    <w:rsid w:val="1EBF474E"/>
    <w:rsid w:val="1EEF420A"/>
    <w:rsid w:val="1EF22F54"/>
    <w:rsid w:val="1F06C0D0"/>
    <w:rsid w:val="1F08884B"/>
    <w:rsid w:val="1F0C8979"/>
    <w:rsid w:val="1F1976DE"/>
    <w:rsid w:val="1F1FE69C"/>
    <w:rsid w:val="1F2492BD"/>
    <w:rsid w:val="1F5EE2CA"/>
    <w:rsid w:val="1F653C56"/>
    <w:rsid w:val="1F8403EF"/>
    <w:rsid w:val="1F9C0B7D"/>
    <w:rsid w:val="1FAA7743"/>
    <w:rsid w:val="1FEB02E5"/>
    <w:rsid w:val="1FFD7ECE"/>
    <w:rsid w:val="1FFD9568"/>
    <w:rsid w:val="20152229"/>
    <w:rsid w:val="20292CF2"/>
    <w:rsid w:val="20675DA0"/>
    <w:rsid w:val="2073907F"/>
    <w:rsid w:val="208149E1"/>
    <w:rsid w:val="20A27453"/>
    <w:rsid w:val="20AA8550"/>
    <w:rsid w:val="20AD1341"/>
    <w:rsid w:val="20D7385E"/>
    <w:rsid w:val="20DFD710"/>
    <w:rsid w:val="20E01509"/>
    <w:rsid w:val="20E3DFA2"/>
    <w:rsid w:val="20E41CB8"/>
    <w:rsid w:val="20F0D9F7"/>
    <w:rsid w:val="2130CE66"/>
    <w:rsid w:val="215A3E56"/>
    <w:rsid w:val="21845A25"/>
    <w:rsid w:val="21A71989"/>
    <w:rsid w:val="21AFEC99"/>
    <w:rsid w:val="21C714EE"/>
    <w:rsid w:val="21D008FA"/>
    <w:rsid w:val="21D9BF1B"/>
    <w:rsid w:val="22137E61"/>
    <w:rsid w:val="22221029"/>
    <w:rsid w:val="223BFA73"/>
    <w:rsid w:val="224B983E"/>
    <w:rsid w:val="226BFC8F"/>
    <w:rsid w:val="2273F075"/>
    <w:rsid w:val="229286CE"/>
    <w:rsid w:val="229BA9F8"/>
    <w:rsid w:val="2304B006"/>
    <w:rsid w:val="2314FEFE"/>
    <w:rsid w:val="2322085D"/>
    <w:rsid w:val="232D1B4A"/>
    <w:rsid w:val="232E1D54"/>
    <w:rsid w:val="2336A9C2"/>
    <w:rsid w:val="2348E52A"/>
    <w:rsid w:val="235D360C"/>
    <w:rsid w:val="236225FA"/>
    <w:rsid w:val="2376D6D5"/>
    <w:rsid w:val="2377E9B7"/>
    <w:rsid w:val="2384AE26"/>
    <w:rsid w:val="239DD57D"/>
    <w:rsid w:val="23A20F39"/>
    <w:rsid w:val="23AA7C84"/>
    <w:rsid w:val="23EF16DA"/>
    <w:rsid w:val="24026FAD"/>
    <w:rsid w:val="240F5824"/>
    <w:rsid w:val="24299DE6"/>
    <w:rsid w:val="24439F72"/>
    <w:rsid w:val="2454EA04"/>
    <w:rsid w:val="245F558D"/>
    <w:rsid w:val="24642990"/>
    <w:rsid w:val="24672876"/>
    <w:rsid w:val="2487FCC0"/>
    <w:rsid w:val="24ABD387"/>
    <w:rsid w:val="24B2301E"/>
    <w:rsid w:val="24B54C16"/>
    <w:rsid w:val="24B8C70F"/>
    <w:rsid w:val="25225F07"/>
    <w:rsid w:val="2530C351"/>
    <w:rsid w:val="2533051C"/>
    <w:rsid w:val="2559951A"/>
    <w:rsid w:val="256885E0"/>
    <w:rsid w:val="258B877E"/>
    <w:rsid w:val="25A75F74"/>
    <w:rsid w:val="25C59BEC"/>
    <w:rsid w:val="25C95BE7"/>
    <w:rsid w:val="25EC0C31"/>
    <w:rsid w:val="25EF7C72"/>
    <w:rsid w:val="2624C6D2"/>
    <w:rsid w:val="262565D6"/>
    <w:rsid w:val="26267B3C"/>
    <w:rsid w:val="264747DE"/>
    <w:rsid w:val="264E6381"/>
    <w:rsid w:val="2655DE55"/>
    <w:rsid w:val="26B786B7"/>
    <w:rsid w:val="26CF57DB"/>
    <w:rsid w:val="26E0FFC6"/>
    <w:rsid w:val="26E7D56F"/>
    <w:rsid w:val="26E903B0"/>
    <w:rsid w:val="26EF20B2"/>
    <w:rsid w:val="26FD3174"/>
    <w:rsid w:val="271C43AC"/>
    <w:rsid w:val="272FC6FE"/>
    <w:rsid w:val="273CE9E4"/>
    <w:rsid w:val="274AA2A4"/>
    <w:rsid w:val="274C390A"/>
    <w:rsid w:val="274F2FE0"/>
    <w:rsid w:val="27613CA5"/>
    <w:rsid w:val="27A23ADC"/>
    <w:rsid w:val="27A7944E"/>
    <w:rsid w:val="27AF9BF8"/>
    <w:rsid w:val="27E534AF"/>
    <w:rsid w:val="27E5B95E"/>
    <w:rsid w:val="27F42E7A"/>
    <w:rsid w:val="2801E9F2"/>
    <w:rsid w:val="2803CE24"/>
    <w:rsid w:val="2808F8B2"/>
    <w:rsid w:val="2810D5B3"/>
    <w:rsid w:val="28183D71"/>
    <w:rsid w:val="2833ADC8"/>
    <w:rsid w:val="28566B37"/>
    <w:rsid w:val="286FBD12"/>
    <w:rsid w:val="287589A5"/>
    <w:rsid w:val="28B4E7EC"/>
    <w:rsid w:val="28B4FC6E"/>
    <w:rsid w:val="28C6A57F"/>
    <w:rsid w:val="28E9BD91"/>
    <w:rsid w:val="28F37015"/>
    <w:rsid w:val="29074C49"/>
    <w:rsid w:val="29171239"/>
    <w:rsid w:val="2927B4D7"/>
    <w:rsid w:val="2937002D"/>
    <w:rsid w:val="294F429F"/>
    <w:rsid w:val="29583E62"/>
    <w:rsid w:val="29692EC8"/>
    <w:rsid w:val="29732718"/>
    <w:rsid w:val="29797A61"/>
    <w:rsid w:val="297AE322"/>
    <w:rsid w:val="299E0BE5"/>
    <w:rsid w:val="299FFB9A"/>
    <w:rsid w:val="29DC7461"/>
    <w:rsid w:val="2A23BECE"/>
    <w:rsid w:val="2A624CC3"/>
    <w:rsid w:val="2A76D890"/>
    <w:rsid w:val="2A7DB3B4"/>
    <w:rsid w:val="2A98ACD2"/>
    <w:rsid w:val="2AA670F7"/>
    <w:rsid w:val="2AC23E2D"/>
    <w:rsid w:val="2AF18429"/>
    <w:rsid w:val="2AF20548"/>
    <w:rsid w:val="2B121FF0"/>
    <w:rsid w:val="2B1A9391"/>
    <w:rsid w:val="2B306141"/>
    <w:rsid w:val="2B3F360C"/>
    <w:rsid w:val="2B436D37"/>
    <w:rsid w:val="2B4469C7"/>
    <w:rsid w:val="2B5C1276"/>
    <w:rsid w:val="2BB8C7DF"/>
    <w:rsid w:val="2BC5F823"/>
    <w:rsid w:val="2BD8C354"/>
    <w:rsid w:val="2BE67EE3"/>
    <w:rsid w:val="2BFCB084"/>
    <w:rsid w:val="2C08E7F0"/>
    <w:rsid w:val="2C129676"/>
    <w:rsid w:val="2C337EF4"/>
    <w:rsid w:val="2C501070"/>
    <w:rsid w:val="2C5E4C6E"/>
    <w:rsid w:val="2C63DA50"/>
    <w:rsid w:val="2C640437"/>
    <w:rsid w:val="2C8D63B4"/>
    <w:rsid w:val="2C9383DF"/>
    <w:rsid w:val="2CE68F91"/>
    <w:rsid w:val="2CF8DA17"/>
    <w:rsid w:val="2D1055F6"/>
    <w:rsid w:val="2D13D0A8"/>
    <w:rsid w:val="2D34FF2E"/>
    <w:rsid w:val="2D3C7C2C"/>
    <w:rsid w:val="2D48DC97"/>
    <w:rsid w:val="2D62664B"/>
    <w:rsid w:val="2D657A6C"/>
    <w:rsid w:val="2D67098A"/>
    <w:rsid w:val="2D784481"/>
    <w:rsid w:val="2D79A76C"/>
    <w:rsid w:val="2D9788C0"/>
    <w:rsid w:val="2DA89E04"/>
    <w:rsid w:val="2DA91281"/>
    <w:rsid w:val="2DC5C2B6"/>
    <w:rsid w:val="2DE807F5"/>
    <w:rsid w:val="2DFE451B"/>
    <w:rsid w:val="2E54DAB8"/>
    <w:rsid w:val="2E68B8A2"/>
    <w:rsid w:val="2E6E13B1"/>
    <w:rsid w:val="2E72F87C"/>
    <w:rsid w:val="2E7F1F47"/>
    <w:rsid w:val="2E7F9D89"/>
    <w:rsid w:val="2E87256C"/>
    <w:rsid w:val="2E88D2DB"/>
    <w:rsid w:val="2EA66553"/>
    <w:rsid w:val="2EAEF7D1"/>
    <w:rsid w:val="2ECAA6C9"/>
    <w:rsid w:val="2EE4621C"/>
    <w:rsid w:val="2F06A2FC"/>
    <w:rsid w:val="2F1975A3"/>
    <w:rsid w:val="2F276D54"/>
    <w:rsid w:val="2F28D942"/>
    <w:rsid w:val="2F72038D"/>
    <w:rsid w:val="2F74AF5B"/>
    <w:rsid w:val="2F81D989"/>
    <w:rsid w:val="2F8E49E8"/>
    <w:rsid w:val="2FBBA6AD"/>
    <w:rsid w:val="2FCA8584"/>
    <w:rsid w:val="2FCDB622"/>
    <w:rsid w:val="2FD1679D"/>
    <w:rsid w:val="2FDBBC11"/>
    <w:rsid w:val="3008B56F"/>
    <w:rsid w:val="300E61B6"/>
    <w:rsid w:val="30184D87"/>
    <w:rsid w:val="30325775"/>
    <w:rsid w:val="3046057B"/>
    <w:rsid w:val="304994AD"/>
    <w:rsid w:val="304C2DC8"/>
    <w:rsid w:val="304D3A16"/>
    <w:rsid w:val="307DE630"/>
    <w:rsid w:val="308C63D6"/>
    <w:rsid w:val="308F4A9E"/>
    <w:rsid w:val="309D6501"/>
    <w:rsid w:val="30C7EB49"/>
    <w:rsid w:val="30ECA0CA"/>
    <w:rsid w:val="30EDF829"/>
    <w:rsid w:val="3106A635"/>
    <w:rsid w:val="3112618A"/>
    <w:rsid w:val="3130D308"/>
    <w:rsid w:val="3134DB41"/>
    <w:rsid w:val="313A6FA8"/>
    <w:rsid w:val="314B21C4"/>
    <w:rsid w:val="315A2EB5"/>
    <w:rsid w:val="31666CE5"/>
    <w:rsid w:val="3168DDA5"/>
    <w:rsid w:val="31738647"/>
    <w:rsid w:val="317794D7"/>
    <w:rsid w:val="31901D86"/>
    <w:rsid w:val="31976E27"/>
    <w:rsid w:val="31BBCCB6"/>
    <w:rsid w:val="31D7F930"/>
    <w:rsid w:val="31F3A9E9"/>
    <w:rsid w:val="31F43608"/>
    <w:rsid w:val="3205293B"/>
    <w:rsid w:val="320F7533"/>
    <w:rsid w:val="321E6598"/>
    <w:rsid w:val="32529B4E"/>
    <w:rsid w:val="325B31FB"/>
    <w:rsid w:val="325B40E2"/>
    <w:rsid w:val="32952F90"/>
    <w:rsid w:val="32A80172"/>
    <w:rsid w:val="32DC2646"/>
    <w:rsid w:val="330E85FC"/>
    <w:rsid w:val="3330BF00"/>
    <w:rsid w:val="3339B676"/>
    <w:rsid w:val="335C3042"/>
    <w:rsid w:val="3363EBE7"/>
    <w:rsid w:val="3368EFC5"/>
    <w:rsid w:val="336E0CA3"/>
    <w:rsid w:val="33729D10"/>
    <w:rsid w:val="337ABB97"/>
    <w:rsid w:val="337E090C"/>
    <w:rsid w:val="33922DEC"/>
    <w:rsid w:val="33AE36E0"/>
    <w:rsid w:val="33FEC61A"/>
    <w:rsid w:val="3400AB18"/>
    <w:rsid w:val="340A9A46"/>
    <w:rsid w:val="3426EE3E"/>
    <w:rsid w:val="34274336"/>
    <w:rsid w:val="343CD1AF"/>
    <w:rsid w:val="343D5F45"/>
    <w:rsid w:val="3460FDEB"/>
    <w:rsid w:val="3464FCF8"/>
    <w:rsid w:val="34817ED6"/>
    <w:rsid w:val="349B9269"/>
    <w:rsid w:val="34AD42C2"/>
    <w:rsid w:val="34CABE66"/>
    <w:rsid w:val="34EBE68F"/>
    <w:rsid w:val="34F48CDB"/>
    <w:rsid w:val="3524C28E"/>
    <w:rsid w:val="352687F0"/>
    <w:rsid w:val="3530C556"/>
    <w:rsid w:val="3544CB8E"/>
    <w:rsid w:val="355A6F78"/>
    <w:rsid w:val="355AC248"/>
    <w:rsid w:val="35882ADD"/>
    <w:rsid w:val="359A8B1D"/>
    <w:rsid w:val="35AF34EC"/>
    <w:rsid w:val="35DE6FA2"/>
    <w:rsid w:val="35E8A721"/>
    <w:rsid w:val="35F4F340"/>
    <w:rsid w:val="35F7B12C"/>
    <w:rsid w:val="36246622"/>
    <w:rsid w:val="363DB990"/>
    <w:rsid w:val="36586D28"/>
    <w:rsid w:val="365DE59B"/>
    <w:rsid w:val="3661B8F4"/>
    <w:rsid w:val="3668648B"/>
    <w:rsid w:val="366D99B0"/>
    <w:rsid w:val="36718C5E"/>
    <w:rsid w:val="367EF291"/>
    <w:rsid w:val="36816AE4"/>
    <w:rsid w:val="36946DA0"/>
    <w:rsid w:val="36966035"/>
    <w:rsid w:val="36C08D2D"/>
    <w:rsid w:val="36E62AA9"/>
    <w:rsid w:val="36EA8AA7"/>
    <w:rsid w:val="36EB54DB"/>
    <w:rsid w:val="36F45523"/>
    <w:rsid w:val="370907CD"/>
    <w:rsid w:val="373BDC51"/>
    <w:rsid w:val="375BD33E"/>
    <w:rsid w:val="375CA7C3"/>
    <w:rsid w:val="377D4526"/>
    <w:rsid w:val="378A5751"/>
    <w:rsid w:val="379CC21D"/>
    <w:rsid w:val="37CD9AEF"/>
    <w:rsid w:val="37DDA93F"/>
    <w:rsid w:val="37FF5B2E"/>
    <w:rsid w:val="3807AFD6"/>
    <w:rsid w:val="380D74BC"/>
    <w:rsid w:val="381568A4"/>
    <w:rsid w:val="381EC3B5"/>
    <w:rsid w:val="384CFB36"/>
    <w:rsid w:val="385D94D6"/>
    <w:rsid w:val="388BC702"/>
    <w:rsid w:val="38949C30"/>
    <w:rsid w:val="389CC11B"/>
    <w:rsid w:val="38ABAFA9"/>
    <w:rsid w:val="38C9E8B4"/>
    <w:rsid w:val="38D3E0B8"/>
    <w:rsid w:val="38E2F6C6"/>
    <w:rsid w:val="38EB8728"/>
    <w:rsid w:val="38F93E01"/>
    <w:rsid w:val="3919B50F"/>
    <w:rsid w:val="39346D05"/>
    <w:rsid w:val="3934DB06"/>
    <w:rsid w:val="393FBFFB"/>
    <w:rsid w:val="3940A6B2"/>
    <w:rsid w:val="3940B972"/>
    <w:rsid w:val="394874A7"/>
    <w:rsid w:val="39570EE7"/>
    <w:rsid w:val="3977FDEC"/>
    <w:rsid w:val="39787BFF"/>
    <w:rsid w:val="399420AF"/>
    <w:rsid w:val="399705DB"/>
    <w:rsid w:val="39A4A6F1"/>
    <w:rsid w:val="39A4D670"/>
    <w:rsid w:val="39C0052F"/>
    <w:rsid w:val="39D49239"/>
    <w:rsid w:val="39D7DCC5"/>
    <w:rsid w:val="39F7AFC5"/>
    <w:rsid w:val="39FA3242"/>
    <w:rsid w:val="3A003DD7"/>
    <w:rsid w:val="3A0E80F8"/>
    <w:rsid w:val="3A3E4175"/>
    <w:rsid w:val="3A4A37EC"/>
    <w:rsid w:val="3A519E93"/>
    <w:rsid w:val="3A64FD4A"/>
    <w:rsid w:val="3A7215E1"/>
    <w:rsid w:val="3A8B5DF4"/>
    <w:rsid w:val="3A9FA4E6"/>
    <w:rsid w:val="3AB81EF8"/>
    <w:rsid w:val="3AC166B0"/>
    <w:rsid w:val="3ADABD43"/>
    <w:rsid w:val="3AFD4B0A"/>
    <w:rsid w:val="3B142931"/>
    <w:rsid w:val="3B370BB0"/>
    <w:rsid w:val="3B40A491"/>
    <w:rsid w:val="3B451E41"/>
    <w:rsid w:val="3B61AF13"/>
    <w:rsid w:val="3B682490"/>
    <w:rsid w:val="3B7160BD"/>
    <w:rsid w:val="3B72B9D5"/>
    <w:rsid w:val="3B766FF2"/>
    <w:rsid w:val="3B83DB6B"/>
    <w:rsid w:val="3B982EE1"/>
    <w:rsid w:val="3BA6B7FF"/>
    <w:rsid w:val="3BD5B902"/>
    <w:rsid w:val="3BDD5307"/>
    <w:rsid w:val="3BEF013D"/>
    <w:rsid w:val="3BF00FE8"/>
    <w:rsid w:val="3C3DE6AE"/>
    <w:rsid w:val="3C462CC1"/>
    <w:rsid w:val="3C4931FF"/>
    <w:rsid w:val="3C8221D2"/>
    <w:rsid w:val="3C82CC7D"/>
    <w:rsid w:val="3C899EAD"/>
    <w:rsid w:val="3C94E541"/>
    <w:rsid w:val="3C9796E3"/>
    <w:rsid w:val="3C9BC9FD"/>
    <w:rsid w:val="3CB7EEF1"/>
    <w:rsid w:val="3CC27753"/>
    <w:rsid w:val="3CC5DECA"/>
    <w:rsid w:val="3CC64B6A"/>
    <w:rsid w:val="3CC8859B"/>
    <w:rsid w:val="3CFEC124"/>
    <w:rsid w:val="3D0B1318"/>
    <w:rsid w:val="3D3318CE"/>
    <w:rsid w:val="3D36F64D"/>
    <w:rsid w:val="3D6F5226"/>
    <w:rsid w:val="3D73D6F9"/>
    <w:rsid w:val="3D760CF4"/>
    <w:rsid w:val="3D7ABCD9"/>
    <w:rsid w:val="3D7F28FD"/>
    <w:rsid w:val="3DA7BA14"/>
    <w:rsid w:val="3DA9A643"/>
    <w:rsid w:val="3DCA8AB6"/>
    <w:rsid w:val="3DCDC2FC"/>
    <w:rsid w:val="3DDE6CF8"/>
    <w:rsid w:val="3DFBDBF6"/>
    <w:rsid w:val="3E00805D"/>
    <w:rsid w:val="3E0945D9"/>
    <w:rsid w:val="3E2C6A56"/>
    <w:rsid w:val="3E3B45F4"/>
    <w:rsid w:val="3E3B54C4"/>
    <w:rsid w:val="3E5645FD"/>
    <w:rsid w:val="3E6983F2"/>
    <w:rsid w:val="3E722DAB"/>
    <w:rsid w:val="3E84195F"/>
    <w:rsid w:val="3E9709D2"/>
    <w:rsid w:val="3EA26647"/>
    <w:rsid w:val="3EC16631"/>
    <w:rsid w:val="3EC27A41"/>
    <w:rsid w:val="3EC35D52"/>
    <w:rsid w:val="3EC89E53"/>
    <w:rsid w:val="3ED4A83B"/>
    <w:rsid w:val="3F0244B0"/>
    <w:rsid w:val="3F047FE3"/>
    <w:rsid w:val="3F07E63F"/>
    <w:rsid w:val="3F09B6D6"/>
    <w:rsid w:val="3F2898B4"/>
    <w:rsid w:val="3F308CA9"/>
    <w:rsid w:val="3F309A35"/>
    <w:rsid w:val="3F511BD4"/>
    <w:rsid w:val="3F5EE532"/>
    <w:rsid w:val="3F7169C3"/>
    <w:rsid w:val="3F775B60"/>
    <w:rsid w:val="3F7B82E8"/>
    <w:rsid w:val="3F7EEF95"/>
    <w:rsid w:val="3F89B984"/>
    <w:rsid w:val="3F8D368F"/>
    <w:rsid w:val="3FC4CA59"/>
    <w:rsid w:val="3FC9A699"/>
    <w:rsid w:val="3FE47AEC"/>
    <w:rsid w:val="3FEDDE35"/>
    <w:rsid w:val="3FFE5C43"/>
    <w:rsid w:val="4004B999"/>
    <w:rsid w:val="4007E106"/>
    <w:rsid w:val="400AA367"/>
    <w:rsid w:val="402A0A92"/>
    <w:rsid w:val="40360BDA"/>
    <w:rsid w:val="404644A9"/>
    <w:rsid w:val="404DAF9B"/>
    <w:rsid w:val="40536599"/>
    <w:rsid w:val="4057825A"/>
    <w:rsid w:val="4058F650"/>
    <w:rsid w:val="408009F6"/>
    <w:rsid w:val="40B31C85"/>
    <w:rsid w:val="40C52715"/>
    <w:rsid w:val="40C9AA54"/>
    <w:rsid w:val="40D6AF39"/>
    <w:rsid w:val="40D803FC"/>
    <w:rsid w:val="40DA2116"/>
    <w:rsid w:val="40EC4F11"/>
    <w:rsid w:val="40F42DAA"/>
    <w:rsid w:val="40FBC111"/>
    <w:rsid w:val="40FCA81A"/>
    <w:rsid w:val="41137782"/>
    <w:rsid w:val="4113D324"/>
    <w:rsid w:val="4139ABB9"/>
    <w:rsid w:val="4157760A"/>
    <w:rsid w:val="415BEB9D"/>
    <w:rsid w:val="418972EF"/>
    <w:rsid w:val="41ADA906"/>
    <w:rsid w:val="41BB71FA"/>
    <w:rsid w:val="41D116B4"/>
    <w:rsid w:val="422E3D66"/>
    <w:rsid w:val="424F9D83"/>
    <w:rsid w:val="4263F025"/>
    <w:rsid w:val="428D3E87"/>
    <w:rsid w:val="42B4BC37"/>
    <w:rsid w:val="42DB7CBC"/>
    <w:rsid w:val="42F62462"/>
    <w:rsid w:val="431A3DF5"/>
    <w:rsid w:val="431BA6B2"/>
    <w:rsid w:val="431C0AE8"/>
    <w:rsid w:val="435199EA"/>
    <w:rsid w:val="43676421"/>
    <w:rsid w:val="43809A1F"/>
    <w:rsid w:val="43943F1C"/>
    <w:rsid w:val="4396B65B"/>
    <w:rsid w:val="4399EA68"/>
    <w:rsid w:val="43B9B885"/>
    <w:rsid w:val="43C73888"/>
    <w:rsid w:val="43C9EABC"/>
    <w:rsid w:val="43CA6265"/>
    <w:rsid w:val="43EDEEFB"/>
    <w:rsid w:val="44247067"/>
    <w:rsid w:val="4433CC65"/>
    <w:rsid w:val="4467662C"/>
    <w:rsid w:val="4476AB35"/>
    <w:rsid w:val="44902BDF"/>
    <w:rsid w:val="4492E890"/>
    <w:rsid w:val="44AD15E6"/>
    <w:rsid w:val="44B3EA4A"/>
    <w:rsid w:val="44B9BB85"/>
    <w:rsid w:val="44D3B668"/>
    <w:rsid w:val="44F4FD6B"/>
    <w:rsid w:val="45087B2F"/>
    <w:rsid w:val="4513A4F2"/>
    <w:rsid w:val="4519C62E"/>
    <w:rsid w:val="45217A9C"/>
    <w:rsid w:val="455FA736"/>
    <w:rsid w:val="456439F7"/>
    <w:rsid w:val="456F79DA"/>
    <w:rsid w:val="45880280"/>
    <w:rsid w:val="4588CB4A"/>
    <w:rsid w:val="459A7DC8"/>
    <w:rsid w:val="459B1AB9"/>
    <w:rsid w:val="45A80BAB"/>
    <w:rsid w:val="45D88590"/>
    <w:rsid w:val="45EE04AA"/>
    <w:rsid w:val="460436BF"/>
    <w:rsid w:val="460B15E3"/>
    <w:rsid w:val="463001AA"/>
    <w:rsid w:val="46548A43"/>
    <w:rsid w:val="465625C8"/>
    <w:rsid w:val="4669F6CB"/>
    <w:rsid w:val="467C8A49"/>
    <w:rsid w:val="468C042C"/>
    <w:rsid w:val="468C6A3B"/>
    <w:rsid w:val="46B09419"/>
    <w:rsid w:val="46B7EBDB"/>
    <w:rsid w:val="46C7FBAE"/>
    <w:rsid w:val="46CEA8EC"/>
    <w:rsid w:val="46D0B9B8"/>
    <w:rsid w:val="47096750"/>
    <w:rsid w:val="47167427"/>
    <w:rsid w:val="471B7B97"/>
    <w:rsid w:val="47458894"/>
    <w:rsid w:val="474FF37A"/>
    <w:rsid w:val="47538CA4"/>
    <w:rsid w:val="47719078"/>
    <w:rsid w:val="4777ADC9"/>
    <w:rsid w:val="4779257F"/>
    <w:rsid w:val="478B29A7"/>
    <w:rsid w:val="47A3EBB9"/>
    <w:rsid w:val="47AC450A"/>
    <w:rsid w:val="47D5B5E4"/>
    <w:rsid w:val="47D5F7A8"/>
    <w:rsid w:val="47E407E7"/>
    <w:rsid w:val="47F167D9"/>
    <w:rsid w:val="48022BA0"/>
    <w:rsid w:val="481F41C2"/>
    <w:rsid w:val="482343D9"/>
    <w:rsid w:val="482F4E14"/>
    <w:rsid w:val="4847CFAA"/>
    <w:rsid w:val="485BADF6"/>
    <w:rsid w:val="48A5EE04"/>
    <w:rsid w:val="48D2E482"/>
    <w:rsid w:val="48F19349"/>
    <w:rsid w:val="48F743FE"/>
    <w:rsid w:val="4907DCD1"/>
    <w:rsid w:val="4917D1AA"/>
    <w:rsid w:val="492E3BBA"/>
    <w:rsid w:val="495595AA"/>
    <w:rsid w:val="495792F3"/>
    <w:rsid w:val="49665A59"/>
    <w:rsid w:val="4966959D"/>
    <w:rsid w:val="49712383"/>
    <w:rsid w:val="498A22C0"/>
    <w:rsid w:val="49AFF10E"/>
    <w:rsid w:val="49BC7AFA"/>
    <w:rsid w:val="49CB77D6"/>
    <w:rsid w:val="49D14B9E"/>
    <w:rsid w:val="49F4C182"/>
    <w:rsid w:val="4A0C095D"/>
    <w:rsid w:val="4A1226B7"/>
    <w:rsid w:val="4A4BB841"/>
    <w:rsid w:val="4A65C099"/>
    <w:rsid w:val="4A7485DF"/>
    <w:rsid w:val="4A7525AA"/>
    <w:rsid w:val="4A81BF8C"/>
    <w:rsid w:val="4A8591CF"/>
    <w:rsid w:val="4ABE8F76"/>
    <w:rsid w:val="4AC7470B"/>
    <w:rsid w:val="4ACD9A39"/>
    <w:rsid w:val="4AE8DF42"/>
    <w:rsid w:val="4AEF4370"/>
    <w:rsid w:val="4AF77DB2"/>
    <w:rsid w:val="4B1B0654"/>
    <w:rsid w:val="4B1D8962"/>
    <w:rsid w:val="4B2C86BF"/>
    <w:rsid w:val="4B728BA8"/>
    <w:rsid w:val="4B86067C"/>
    <w:rsid w:val="4BCCD931"/>
    <w:rsid w:val="4BCE71A0"/>
    <w:rsid w:val="4BD1CE52"/>
    <w:rsid w:val="4BE23382"/>
    <w:rsid w:val="4BE35B51"/>
    <w:rsid w:val="4BED2945"/>
    <w:rsid w:val="4BED9FB6"/>
    <w:rsid w:val="4C302EBF"/>
    <w:rsid w:val="4C4D09B8"/>
    <w:rsid w:val="4C7CFD4C"/>
    <w:rsid w:val="4C846FC2"/>
    <w:rsid w:val="4C8853FF"/>
    <w:rsid w:val="4C8D24A9"/>
    <w:rsid w:val="4C97F7C3"/>
    <w:rsid w:val="4CA93BA8"/>
    <w:rsid w:val="4CB18F9F"/>
    <w:rsid w:val="4CD0B8F9"/>
    <w:rsid w:val="4CFB4467"/>
    <w:rsid w:val="4D4DF84C"/>
    <w:rsid w:val="4D53C6F7"/>
    <w:rsid w:val="4D63B24B"/>
    <w:rsid w:val="4D6A3B3D"/>
    <w:rsid w:val="4D6B94ED"/>
    <w:rsid w:val="4D940A3D"/>
    <w:rsid w:val="4D95D89E"/>
    <w:rsid w:val="4DA41111"/>
    <w:rsid w:val="4DA5D0EC"/>
    <w:rsid w:val="4DB6E27A"/>
    <w:rsid w:val="4DB70E43"/>
    <w:rsid w:val="4DBD5233"/>
    <w:rsid w:val="4DBE6795"/>
    <w:rsid w:val="4DDA2AA1"/>
    <w:rsid w:val="4DE02CF6"/>
    <w:rsid w:val="4E01E676"/>
    <w:rsid w:val="4E19A483"/>
    <w:rsid w:val="4E38258D"/>
    <w:rsid w:val="4E388F8B"/>
    <w:rsid w:val="4E6B0F76"/>
    <w:rsid w:val="4E6C6C4E"/>
    <w:rsid w:val="4E7C513D"/>
    <w:rsid w:val="4E82B9C5"/>
    <w:rsid w:val="4E8C2E59"/>
    <w:rsid w:val="4E8F3939"/>
    <w:rsid w:val="4EABC0AD"/>
    <w:rsid w:val="4EBA3C57"/>
    <w:rsid w:val="4EC08C07"/>
    <w:rsid w:val="4EC55285"/>
    <w:rsid w:val="4ED1B95E"/>
    <w:rsid w:val="4F0531AE"/>
    <w:rsid w:val="4F169299"/>
    <w:rsid w:val="4F17D608"/>
    <w:rsid w:val="4F46F7CE"/>
    <w:rsid w:val="4F657217"/>
    <w:rsid w:val="4F8DC69E"/>
    <w:rsid w:val="4FD622E2"/>
    <w:rsid w:val="4FEF2435"/>
    <w:rsid w:val="501A2F4A"/>
    <w:rsid w:val="507D17A2"/>
    <w:rsid w:val="5086B173"/>
    <w:rsid w:val="508FF650"/>
    <w:rsid w:val="509477D7"/>
    <w:rsid w:val="50C7A415"/>
    <w:rsid w:val="50C867CC"/>
    <w:rsid w:val="50E0BE0D"/>
    <w:rsid w:val="512A32F3"/>
    <w:rsid w:val="5141EF02"/>
    <w:rsid w:val="51461018"/>
    <w:rsid w:val="515226EF"/>
    <w:rsid w:val="515D374A"/>
    <w:rsid w:val="51678D74"/>
    <w:rsid w:val="516DB5F6"/>
    <w:rsid w:val="5181A40F"/>
    <w:rsid w:val="518605B9"/>
    <w:rsid w:val="5186DA1B"/>
    <w:rsid w:val="518D814E"/>
    <w:rsid w:val="51931636"/>
    <w:rsid w:val="51A268C1"/>
    <w:rsid w:val="51A2FCBF"/>
    <w:rsid w:val="51A8C7D1"/>
    <w:rsid w:val="51B31B56"/>
    <w:rsid w:val="51BCC0CB"/>
    <w:rsid w:val="51DBFB7A"/>
    <w:rsid w:val="51E929DB"/>
    <w:rsid w:val="51EC1D1B"/>
    <w:rsid w:val="51F5521F"/>
    <w:rsid w:val="52077C04"/>
    <w:rsid w:val="520927ED"/>
    <w:rsid w:val="5222C493"/>
    <w:rsid w:val="523DDC5D"/>
    <w:rsid w:val="5243F96C"/>
    <w:rsid w:val="5257A3A9"/>
    <w:rsid w:val="52597148"/>
    <w:rsid w:val="5271E2FD"/>
    <w:rsid w:val="528FD013"/>
    <w:rsid w:val="52A6CB9F"/>
    <w:rsid w:val="52C136EC"/>
    <w:rsid w:val="52EAD0E7"/>
    <w:rsid w:val="52ED713B"/>
    <w:rsid w:val="53512710"/>
    <w:rsid w:val="5354EEBB"/>
    <w:rsid w:val="535F4D3F"/>
    <w:rsid w:val="537654CC"/>
    <w:rsid w:val="53795942"/>
    <w:rsid w:val="538CFA29"/>
    <w:rsid w:val="53ABE3F7"/>
    <w:rsid w:val="53AC70A3"/>
    <w:rsid w:val="53C9A5CA"/>
    <w:rsid w:val="53CDAF4D"/>
    <w:rsid w:val="53EF7557"/>
    <w:rsid w:val="53F57FB3"/>
    <w:rsid w:val="540ABE28"/>
    <w:rsid w:val="5426D11F"/>
    <w:rsid w:val="543B181D"/>
    <w:rsid w:val="544625A1"/>
    <w:rsid w:val="544AAEE9"/>
    <w:rsid w:val="544FA07D"/>
    <w:rsid w:val="545E20E7"/>
    <w:rsid w:val="5460684F"/>
    <w:rsid w:val="5465CB15"/>
    <w:rsid w:val="54800C3A"/>
    <w:rsid w:val="5481AB73"/>
    <w:rsid w:val="548ACB82"/>
    <w:rsid w:val="54BD1222"/>
    <w:rsid w:val="54C71520"/>
    <w:rsid w:val="54C89000"/>
    <w:rsid w:val="54E172EB"/>
    <w:rsid w:val="54E8BB79"/>
    <w:rsid w:val="5500CCDE"/>
    <w:rsid w:val="55032D87"/>
    <w:rsid w:val="550CF765"/>
    <w:rsid w:val="5525061D"/>
    <w:rsid w:val="552B3BC3"/>
    <w:rsid w:val="554F3949"/>
    <w:rsid w:val="555659EE"/>
    <w:rsid w:val="556C08D5"/>
    <w:rsid w:val="5570479D"/>
    <w:rsid w:val="557489AF"/>
    <w:rsid w:val="557718AE"/>
    <w:rsid w:val="559822D4"/>
    <w:rsid w:val="55A34879"/>
    <w:rsid w:val="55B26177"/>
    <w:rsid w:val="55BF1602"/>
    <w:rsid w:val="55CA1C93"/>
    <w:rsid w:val="55DCA66B"/>
    <w:rsid w:val="55E3D744"/>
    <w:rsid w:val="55E8242D"/>
    <w:rsid w:val="55F4173F"/>
    <w:rsid w:val="55FDC083"/>
    <w:rsid w:val="560CD68B"/>
    <w:rsid w:val="561F0162"/>
    <w:rsid w:val="562F321C"/>
    <w:rsid w:val="5635BC05"/>
    <w:rsid w:val="56493334"/>
    <w:rsid w:val="564D495D"/>
    <w:rsid w:val="56697B34"/>
    <w:rsid w:val="56720A17"/>
    <w:rsid w:val="56C1628A"/>
    <w:rsid w:val="56CDFD3D"/>
    <w:rsid w:val="56CFDCD3"/>
    <w:rsid w:val="56D4BA1F"/>
    <w:rsid w:val="56E8066B"/>
    <w:rsid w:val="56F63E30"/>
    <w:rsid w:val="570A8A5A"/>
    <w:rsid w:val="572D6D6F"/>
    <w:rsid w:val="57386DF5"/>
    <w:rsid w:val="5750E613"/>
    <w:rsid w:val="57512685"/>
    <w:rsid w:val="575264CA"/>
    <w:rsid w:val="5762BA63"/>
    <w:rsid w:val="576D736E"/>
    <w:rsid w:val="57822FB0"/>
    <w:rsid w:val="5783171A"/>
    <w:rsid w:val="578EF581"/>
    <w:rsid w:val="57C163D4"/>
    <w:rsid w:val="57DD3FEA"/>
    <w:rsid w:val="580BED4B"/>
    <w:rsid w:val="58234792"/>
    <w:rsid w:val="58265CB1"/>
    <w:rsid w:val="5826E6CB"/>
    <w:rsid w:val="58463B44"/>
    <w:rsid w:val="584E7E9B"/>
    <w:rsid w:val="5853A599"/>
    <w:rsid w:val="5859EB41"/>
    <w:rsid w:val="587AE4D3"/>
    <w:rsid w:val="58895098"/>
    <w:rsid w:val="5893A66E"/>
    <w:rsid w:val="58A33921"/>
    <w:rsid w:val="58A9E688"/>
    <w:rsid w:val="58A9F085"/>
    <w:rsid w:val="58AF64D6"/>
    <w:rsid w:val="58C14BBF"/>
    <w:rsid w:val="58CBD2C7"/>
    <w:rsid w:val="58DA6764"/>
    <w:rsid w:val="58E6B47C"/>
    <w:rsid w:val="58F6EB8A"/>
    <w:rsid w:val="59058099"/>
    <w:rsid w:val="5915C948"/>
    <w:rsid w:val="592D7E9B"/>
    <w:rsid w:val="5944F8CF"/>
    <w:rsid w:val="5964F1BA"/>
    <w:rsid w:val="597809AC"/>
    <w:rsid w:val="59826E12"/>
    <w:rsid w:val="59830ADE"/>
    <w:rsid w:val="59A0F1AD"/>
    <w:rsid w:val="59A21C94"/>
    <w:rsid w:val="59A5AE61"/>
    <w:rsid w:val="59D4F8E5"/>
    <w:rsid w:val="5A19AD54"/>
    <w:rsid w:val="5A20262A"/>
    <w:rsid w:val="5A49BAE8"/>
    <w:rsid w:val="5A5A8822"/>
    <w:rsid w:val="5A6D56C9"/>
    <w:rsid w:val="5A7D674F"/>
    <w:rsid w:val="5A82400E"/>
    <w:rsid w:val="5A86DAE5"/>
    <w:rsid w:val="5A8DC2CB"/>
    <w:rsid w:val="5ABFF215"/>
    <w:rsid w:val="5AD5FEE8"/>
    <w:rsid w:val="5ADAC549"/>
    <w:rsid w:val="5AE47EE3"/>
    <w:rsid w:val="5AEE437A"/>
    <w:rsid w:val="5B069353"/>
    <w:rsid w:val="5B0B7119"/>
    <w:rsid w:val="5B1AB1C5"/>
    <w:rsid w:val="5B2BD3DA"/>
    <w:rsid w:val="5B3573D0"/>
    <w:rsid w:val="5B3B13D8"/>
    <w:rsid w:val="5B7DDC33"/>
    <w:rsid w:val="5B99B4D6"/>
    <w:rsid w:val="5BA9C372"/>
    <w:rsid w:val="5BCF187C"/>
    <w:rsid w:val="5C2286E0"/>
    <w:rsid w:val="5C2874AB"/>
    <w:rsid w:val="5C53B5D4"/>
    <w:rsid w:val="5C624FE5"/>
    <w:rsid w:val="5C6E7EDF"/>
    <w:rsid w:val="5C7172D9"/>
    <w:rsid w:val="5C7C9086"/>
    <w:rsid w:val="5C96A007"/>
    <w:rsid w:val="5CA32D7F"/>
    <w:rsid w:val="5CB756AF"/>
    <w:rsid w:val="5D377B09"/>
    <w:rsid w:val="5D61537E"/>
    <w:rsid w:val="5D66308F"/>
    <w:rsid w:val="5DC48768"/>
    <w:rsid w:val="5DF268CA"/>
    <w:rsid w:val="5DFF866B"/>
    <w:rsid w:val="5E05ACCA"/>
    <w:rsid w:val="5E0D0785"/>
    <w:rsid w:val="5E21A144"/>
    <w:rsid w:val="5E53C764"/>
    <w:rsid w:val="5E715B55"/>
    <w:rsid w:val="5E7AE85B"/>
    <w:rsid w:val="5E8B005A"/>
    <w:rsid w:val="5EAC23D7"/>
    <w:rsid w:val="5EB739D6"/>
    <w:rsid w:val="5EC6CCE6"/>
    <w:rsid w:val="5EE0F3AF"/>
    <w:rsid w:val="5EF30418"/>
    <w:rsid w:val="5F3C07BD"/>
    <w:rsid w:val="5F571E36"/>
    <w:rsid w:val="5F575AA9"/>
    <w:rsid w:val="5F79B9BD"/>
    <w:rsid w:val="5F832BED"/>
    <w:rsid w:val="5F92158A"/>
    <w:rsid w:val="5F99C750"/>
    <w:rsid w:val="5FB46AEA"/>
    <w:rsid w:val="5FBEBBAE"/>
    <w:rsid w:val="5FD1CC24"/>
    <w:rsid w:val="5FDD5155"/>
    <w:rsid w:val="5FF1107D"/>
    <w:rsid w:val="60006D9C"/>
    <w:rsid w:val="600D3AAB"/>
    <w:rsid w:val="601F4997"/>
    <w:rsid w:val="6047930E"/>
    <w:rsid w:val="6062A199"/>
    <w:rsid w:val="606BE4FD"/>
    <w:rsid w:val="6073D162"/>
    <w:rsid w:val="60808DAB"/>
    <w:rsid w:val="6089963C"/>
    <w:rsid w:val="608D4032"/>
    <w:rsid w:val="60AD903A"/>
    <w:rsid w:val="60B18EC0"/>
    <w:rsid w:val="60CE6E5D"/>
    <w:rsid w:val="60D51238"/>
    <w:rsid w:val="60EC1E76"/>
    <w:rsid w:val="60F2E022"/>
    <w:rsid w:val="60F4D098"/>
    <w:rsid w:val="60F9D603"/>
    <w:rsid w:val="60FAE72B"/>
    <w:rsid w:val="6104B450"/>
    <w:rsid w:val="6106C73A"/>
    <w:rsid w:val="611ADABE"/>
    <w:rsid w:val="615DE20C"/>
    <w:rsid w:val="6180C6CA"/>
    <w:rsid w:val="61911082"/>
    <w:rsid w:val="61B15662"/>
    <w:rsid w:val="61BC644D"/>
    <w:rsid w:val="61E17219"/>
    <w:rsid w:val="61EBA212"/>
    <w:rsid w:val="620791B9"/>
    <w:rsid w:val="622CAF67"/>
    <w:rsid w:val="623C3263"/>
    <w:rsid w:val="6241CF12"/>
    <w:rsid w:val="6249CA2E"/>
    <w:rsid w:val="62608C09"/>
    <w:rsid w:val="6269C87B"/>
    <w:rsid w:val="6286CD47"/>
    <w:rsid w:val="628B1F11"/>
    <w:rsid w:val="628C7FFE"/>
    <w:rsid w:val="62975D11"/>
    <w:rsid w:val="62A0D00D"/>
    <w:rsid w:val="62B24F39"/>
    <w:rsid w:val="62B29E65"/>
    <w:rsid w:val="62C4318F"/>
    <w:rsid w:val="62E57BD2"/>
    <w:rsid w:val="62ED2C8F"/>
    <w:rsid w:val="62F5C0D5"/>
    <w:rsid w:val="62FD90D2"/>
    <w:rsid w:val="62FF9EEE"/>
    <w:rsid w:val="634DEEF9"/>
    <w:rsid w:val="634FD930"/>
    <w:rsid w:val="635350CF"/>
    <w:rsid w:val="635AACE4"/>
    <w:rsid w:val="635F7B5D"/>
    <w:rsid w:val="63605634"/>
    <w:rsid w:val="6385E70B"/>
    <w:rsid w:val="6390BDED"/>
    <w:rsid w:val="63B71B60"/>
    <w:rsid w:val="63DF3FC3"/>
    <w:rsid w:val="63F0A718"/>
    <w:rsid w:val="63F2E59F"/>
    <w:rsid w:val="64059E88"/>
    <w:rsid w:val="640EEA7A"/>
    <w:rsid w:val="643EA1D3"/>
    <w:rsid w:val="6478F921"/>
    <w:rsid w:val="64855682"/>
    <w:rsid w:val="6487CE10"/>
    <w:rsid w:val="6488764A"/>
    <w:rsid w:val="649A104F"/>
    <w:rsid w:val="64B112D0"/>
    <w:rsid w:val="64C183F7"/>
    <w:rsid w:val="64CB6AF4"/>
    <w:rsid w:val="64CF8865"/>
    <w:rsid w:val="653BBD69"/>
    <w:rsid w:val="65432600"/>
    <w:rsid w:val="658D6E54"/>
    <w:rsid w:val="65941C99"/>
    <w:rsid w:val="65983150"/>
    <w:rsid w:val="65B03A1B"/>
    <w:rsid w:val="65DF60AE"/>
    <w:rsid w:val="65E3622B"/>
    <w:rsid w:val="65E3811D"/>
    <w:rsid w:val="65F5F0EE"/>
    <w:rsid w:val="660440B0"/>
    <w:rsid w:val="661BC931"/>
    <w:rsid w:val="662C5C30"/>
    <w:rsid w:val="664D880B"/>
    <w:rsid w:val="665F9EC4"/>
    <w:rsid w:val="666A3F54"/>
    <w:rsid w:val="66A019F0"/>
    <w:rsid w:val="66A77E86"/>
    <w:rsid w:val="66A7D756"/>
    <w:rsid w:val="66A7DAC4"/>
    <w:rsid w:val="66C4DBA0"/>
    <w:rsid w:val="66E31BC7"/>
    <w:rsid w:val="67039E2F"/>
    <w:rsid w:val="67550DEC"/>
    <w:rsid w:val="675C47AE"/>
    <w:rsid w:val="679EAB53"/>
    <w:rsid w:val="67BBAB27"/>
    <w:rsid w:val="67DD4B13"/>
    <w:rsid w:val="67FC438B"/>
    <w:rsid w:val="680A3827"/>
    <w:rsid w:val="6812C8E5"/>
    <w:rsid w:val="68135EA9"/>
    <w:rsid w:val="682934C8"/>
    <w:rsid w:val="683A5446"/>
    <w:rsid w:val="687725C6"/>
    <w:rsid w:val="68A1C19A"/>
    <w:rsid w:val="68BF10AF"/>
    <w:rsid w:val="68E0AFF8"/>
    <w:rsid w:val="68F548BF"/>
    <w:rsid w:val="6918A058"/>
    <w:rsid w:val="691B4520"/>
    <w:rsid w:val="694306EC"/>
    <w:rsid w:val="6954D987"/>
    <w:rsid w:val="69559928"/>
    <w:rsid w:val="695C476D"/>
    <w:rsid w:val="695F3AEF"/>
    <w:rsid w:val="6964C0B8"/>
    <w:rsid w:val="6981CDCF"/>
    <w:rsid w:val="698C6226"/>
    <w:rsid w:val="69F7EAF7"/>
    <w:rsid w:val="6A100050"/>
    <w:rsid w:val="6A315D43"/>
    <w:rsid w:val="6A4991BF"/>
    <w:rsid w:val="6A7EFD6E"/>
    <w:rsid w:val="6A82892F"/>
    <w:rsid w:val="6AACB06F"/>
    <w:rsid w:val="6AC1EF08"/>
    <w:rsid w:val="6AE65DE3"/>
    <w:rsid w:val="6AF7EF8A"/>
    <w:rsid w:val="6B1293D0"/>
    <w:rsid w:val="6B376DBC"/>
    <w:rsid w:val="6B38572D"/>
    <w:rsid w:val="6B784106"/>
    <w:rsid w:val="6B7D5BE2"/>
    <w:rsid w:val="6B810938"/>
    <w:rsid w:val="6B8D8342"/>
    <w:rsid w:val="6B9B0A15"/>
    <w:rsid w:val="6BAEA5F0"/>
    <w:rsid w:val="6BB666DD"/>
    <w:rsid w:val="6BB9E06F"/>
    <w:rsid w:val="6BC19194"/>
    <w:rsid w:val="6BCEF9D0"/>
    <w:rsid w:val="6BD1F741"/>
    <w:rsid w:val="6C50735B"/>
    <w:rsid w:val="6C5359C1"/>
    <w:rsid w:val="6C66FEFA"/>
    <w:rsid w:val="6C6BE6A9"/>
    <w:rsid w:val="6CA5E487"/>
    <w:rsid w:val="6CB46273"/>
    <w:rsid w:val="6CFF2F65"/>
    <w:rsid w:val="6D142A53"/>
    <w:rsid w:val="6D151A06"/>
    <w:rsid w:val="6D313114"/>
    <w:rsid w:val="6D384408"/>
    <w:rsid w:val="6D4BC953"/>
    <w:rsid w:val="6D5602CB"/>
    <w:rsid w:val="6D5FC644"/>
    <w:rsid w:val="6D6889A9"/>
    <w:rsid w:val="6D7CD5FE"/>
    <w:rsid w:val="6D805519"/>
    <w:rsid w:val="6D861D21"/>
    <w:rsid w:val="6D98D0CE"/>
    <w:rsid w:val="6DBCB816"/>
    <w:rsid w:val="6DC31669"/>
    <w:rsid w:val="6DD81C63"/>
    <w:rsid w:val="6DF3F5D1"/>
    <w:rsid w:val="6E10BB12"/>
    <w:rsid w:val="6E1BF0A2"/>
    <w:rsid w:val="6E1FC03D"/>
    <w:rsid w:val="6E371EFB"/>
    <w:rsid w:val="6E375F21"/>
    <w:rsid w:val="6E6AE484"/>
    <w:rsid w:val="6E736202"/>
    <w:rsid w:val="6E74FE5C"/>
    <w:rsid w:val="6E784AA7"/>
    <w:rsid w:val="6E7B3D5F"/>
    <w:rsid w:val="6EB81445"/>
    <w:rsid w:val="6EC0F09B"/>
    <w:rsid w:val="6EC6C5BC"/>
    <w:rsid w:val="6ED1754E"/>
    <w:rsid w:val="6EE2D624"/>
    <w:rsid w:val="6EE79820"/>
    <w:rsid w:val="6F00075D"/>
    <w:rsid w:val="6F1E716D"/>
    <w:rsid w:val="6F2DEA6C"/>
    <w:rsid w:val="6F4ACA03"/>
    <w:rsid w:val="6F4C4C34"/>
    <w:rsid w:val="6F698130"/>
    <w:rsid w:val="6F732DB2"/>
    <w:rsid w:val="6F74BB2E"/>
    <w:rsid w:val="6F85CA72"/>
    <w:rsid w:val="6F901465"/>
    <w:rsid w:val="6F932C69"/>
    <w:rsid w:val="6FA24226"/>
    <w:rsid w:val="6FB52356"/>
    <w:rsid w:val="6FD81087"/>
    <w:rsid w:val="6FE39319"/>
    <w:rsid w:val="6FE9F249"/>
    <w:rsid w:val="6FEBD9BC"/>
    <w:rsid w:val="700FC59B"/>
    <w:rsid w:val="7012508B"/>
    <w:rsid w:val="701696C9"/>
    <w:rsid w:val="702CE3D7"/>
    <w:rsid w:val="70324318"/>
    <w:rsid w:val="70392154"/>
    <w:rsid w:val="703FF2E9"/>
    <w:rsid w:val="704EA0B2"/>
    <w:rsid w:val="707CD309"/>
    <w:rsid w:val="70BA6FDF"/>
    <w:rsid w:val="70C88955"/>
    <w:rsid w:val="70DA1E8B"/>
    <w:rsid w:val="70DF0C3E"/>
    <w:rsid w:val="70FC26A6"/>
    <w:rsid w:val="7111E3F4"/>
    <w:rsid w:val="71203248"/>
    <w:rsid w:val="7129D80A"/>
    <w:rsid w:val="7134D910"/>
    <w:rsid w:val="71379B0E"/>
    <w:rsid w:val="713F2F7C"/>
    <w:rsid w:val="71413EA3"/>
    <w:rsid w:val="715592BB"/>
    <w:rsid w:val="7161C7D1"/>
    <w:rsid w:val="7177D6F1"/>
    <w:rsid w:val="717FD2FC"/>
    <w:rsid w:val="7184F1F2"/>
    <w:rsid w:val="7192D5D0"/>
    <w:rsid w:val="719D7AC6"/>
    <w:rsid w:val="71CF9EA1"/>
    <w:rsid w:val="71E8A84A"/>
    <w:rsid w:val="71EDF098"/>
    <w:rsid w:val="71F14602"/>
    <w:rsid w:val="71F5F320"/>
    <w:rsid w:val="7202D956"/>
    <w:rsid w:val="722BE0A0"/>
    <w:rsid w:val="72361E8F"/>
    <w:rsid w:val="724D5ABF"/>
    <w:rsid w:val="7263EEC5"/>
    <w:rsid w:val="72742AF9"/>
    <w:rsid w:val="72A2B32B"/>
    <w:rsid w:val="72CD4655"/>
    <w:rsid w:val="72D2B7F4"/>
    <w:rsid w:val="72D4864E"/>
    <w:rsid w:val="72D9AC1F"/>
    <w:rsid w:val="72E72E7D"/>
    <w:rsid w:val="7314E3B4"/>
    <w:rsid w:val="7321F1EA"/>
    <w:rsid w:val="732D51B4"/>
    <w:rsid w:val="7368D8BE"/>
    <w:rsid w:val="7370CAE8"/>
    <w:rsid w:val="73937CB5"/>
    <w:rsid w:val="73A29F79"/>
    <w:rsid w:val="73C560BF"/>
    <w:rsid w:val="73D4B5FF"/>
    <w:rsid w:val="73DA7B8D"/>
    <w:rsid w:val="73E233EA"/>
    <w:rsid w:val="73E333BD"/>
    <w:rsid w:val="73E5EB4B"/>
    <w:rsid w:val="73E9A2FE"/>
    <w:rsid w:val="73F1D4FC"/>
    <w:rsid w:val="73FDB196"/>
    <w:rsid w:val="74028F60"/>
    <w:rsid w:val="7403E06C"/>
    <w:rsid w:val="740A407B"/>
    <w:rsid w:val="740BBD52"/>
    <w:rsid w:val="741CBC10"/>
    <w:rsid w:val="7429AB91"/>
    <w:rsid w:val="7456642B"/>
    <w:rsid w:val="7457BA70"/>
    <w:rsid w:val="74600486"/>
    <w:rsid w:val="7470EB39"/>
    <w:rsid w:val="74A55A64"/>
    <w:rsid w:val="74B4DFA3"/>
    <w:rsid w:val="74E1BD93"/>
    <w:rsid w:val="74F6260B"/>
    <w:rsid w:val="74FAE302"/>
    <w:rsid w:val="750F30BD"/>
    <w:rsid w:val="75270877"/>
    <w:rsid w:val="7529E4A2"/>
    <w:rsid w:val="752A3FA1"/>
    <w:rsid w:val="7537FA51"/>
    <w:rsid w:val="754A9749"/>
    <w:rsid w:val="755E2065"/>
    <w:rsid w:val="756D26FA"/>
    <w:rsid w:val="756EEB82"/>
    <w:rsid w:val="75741EC2"/>
    <w:rsid w:val="7576C2AB"/>
    <w:rsid w:val="757DB49A"/>
    <w:rsid w:val="7588FB4C"/>
    <w:rsid w:val="759216EF"/>
    <w:rsid w:val="75A91C32"/>
    <w:rsid w:val="75B01DB6"/>
    <w:rsid w:val="75C4F3E5"/>
    <w:rsid w:val="75D74974"/>
    <w:rsid w:val="75EABD05"/>
    <w:rsid w:val="76110CE0"/>
    <w:rsid w:val="761BDBF7"/>
    <w:rsid w:val="761D9B61"/>
    <w:rsid w:val="762186D2"/>
    <w:rsid w:val="762D9E98"/>
    <w:rsid w:val="763B913B"/>
    <w:rsid w:val="763D8C88"/>
    <w:rsid w:val="763F66BC"/>
    <w:rsid w:val="7646E5C5"/>
    <w:rsid w:val="7668E7D0"/>
    <w:rsid w:val="767B7C88"/>
    <w:rsid w:val="7697DAB2"/>
    <w:rsid w:val="76A5F224"/>
    <w:rsid w:val="76AF1D8F"/>
    <w:rsid w:val="76CE169B"/>
    <w:rsid w:val="76E48EC2"/>
    <w:rsid w:val="76EB0493"/>
    <w:rsid w:val="76F67176"/>
    <w:rsid w:val="770DFA54"/>
    <w:rsid w:val="7713F5FD"/>
    <w:rsid w:val="7720F75D"/>
    <w:rsid w:val="77447523"/>
    <w:rsid w:val="774C4BC6"/>
    <w:rsid w:val="7755799D"/>
    <w:rsid w:val="775E03C7"/>
    <w:rsid w:val="77630CB6"/>
    <w:rsid w:val="7764C12A"/>
    <w:rsid w:val="77693916"/>
    <w:rsid w:val="77B9353A"/>
    <w:rsid w:val="77C8367A"/>
    <w:rsid w:val="77CBDC57"/>
    <w:rsid w:val="77D0CA4C"/>
    <w:rsid w:val="77E2120A"/>
    <w:rsid w:val="77E42B8C"/>
    <w:rsid w:val="78194234"/>
    <w:rsid w:val="7823E60F"/>
    <w:rsid w:val="783393D7"/>
    <w:rsid w:val="7837BA01"/>
    <w:rsid w:val="785031FF"/>
    <w:rsid w:val="785CD501"/>
    <w:rsid w:val="7863DBA6"/>
    <w:rsid w:val="788ED759"/>
    <w:rsid w:val="7899E800"/>
    <w:rsid w:val="78B62098"/>
    <w:rsid w:val="78BDAA02"/>
    <w:rsid w:val="78CF8527"/>
    <w:rsid w:val="78E630A4"/>
    <w:rsid w:val="78F790E0"/>
    <w:rsid w:val="78FEE22E"/>
    <w:rsid w:val="79630647"/>
    <w:rsid w:val="796F9A12"/>
    <w:rsid w:val="797FF240"/>
    <w:rsid w:val="7998AA54"/>
    <w:rsid w:val="79A45C44"/>
    <w:rsid w:val="79BF7ADC"/>
    <w:rsid w:val="79C2B4A8"/>
    <w:rsid w:val="79CF3CD4"/>
    <w:rsid w:val="79D12765"/>
    <w:rsid w:val="79DF789C"/>
    <w:rsid w:val="79E78D66"/>
    <w:rsid w:val="79FD874C"/>
    <w:rsid w:val="7A25B8AA"/>
    <w:rsid w:val="7A277724"/>
    <w:rsid w:val="7A2CFDD2"/>
    <w:rsid w:val="7A3A121F"/>
    <w:rsid w:val="7A48918C"/>
    <w:rsid w:val="7A4A4F30"/>
    <w:rsid w:val="7A5A574A"/>
    <w:rsid w:val="7A729C79"/>
    <w:rsid w:val="7A81E0CE"/>
    <w:rsid w:val="7A9671ED"/>
    <w:rsid w:val="7AA60072"/>
    <w:rsid w:val="7AA6C6DE"/>
    <w:rsid w:val="7AB074D6"/>
    <w:rsid w:val="7ABBE8B9"/>
    <w:rsid w:val="7AD05236"/>
    <w:rsid w:val="7AE7C914"/>
    <w:rsid w:val="7AEFB7E4"/>
    <w:rsid w:val="7B196C58"/>
    <w:rsid w:val="7B1C0045"/>
    <w:rsid w:val="7B32F5D1"/>
    <w:rsid w:val="7B3CD290"/>
    <w:rsid w:val="7B3FD6F1"/>
    <w:rsid w:val="7B452B3E"/>
    <w:rsid w:val="7B5B9777"/>
    <w:rsid w:val="7B60C549"/>
    <w:rsid w:val="7B7CA3D0"/>
    <w:rsid w:val="7B983201"/>
    <w:rsid w:val="7BBFD99A"/>
    <w:rsid w:val="7BCD0097"/>
    <w:rsid w:val="7BE26DA1"/>
    <w:rsid w:val="7BECC299"/>
    <w:rsid w:val="7BF8EDB0"/>
    <w:rsid w:val="7C1E678B"/>
    <w:rsid w:val="7C22C7A8"/>
    <w:rsid w:val="7C2DCABE"/>
    <w:rsid w:val="7C4335E1"/>
    <w:rsid w:val="7C437E37"/>
    <w:rsid w:val="7C493882"/>
    <w:rsid w:val="7C676CBA"/>
    <w:rsid w:val="7C765178"/>
    <w:rsid w:val="7C8CA82D"/>
    <w:rsid w:val="7CCB7108"/>
    <w:rsid w:val="7CD011EA"/>
    <w:rsid w:val="7CD4A579"/>
    <w:rsid w:val="7CE20AB5"/>
    <w:rsid w:val="7CF5196C"/>
    <w:rsid w:val="7D5A6CBE"/>
    <w:rsid w:val="7D5B06F1"/>
    <w:rsid w:val="7D60CE64"/>
    <w:rsid w:val="7D64EC27"/>
    <w:rsid w:val="7D7049DB"/>
    <w:rsid w:val="7D77813C"/>
    <w:rsid w:val="7D8ACB62"/>
    <w:rsid w:val="7D9AB1CA"/>
    <w:rsid w:val="7DC11CE8"/>
    <w:rsid w:val="7DCA9E5C"/>
    <w:rsid w:val="7DCEA702"/>
    <w:rsid w:val="7E293753"/>
    <w:rsid w:val="7E638604"/>
    <w:rsid w:val="7E63989E"/>
    <w:rsid w:val="7E66B145"/>
    <w:rsid w:val="7E706377"/>
    <w:rsid w:val="7E763F43"/>
    <w:rsid w:val="7E76E541"/>
    <w:rsid w:val="7EA8CA24"/>
    <w:rsid w:val="7EB73191"/>
    <w:rsid w:val="7EC790B3"/>
    <w:rsid w:val="7ED16260"/>
    <w:rsid w:val="7EEFDEC2"/>
    <w:rsid w:val="7F0241C4"/>
    <w:rsid w:val="7F05C7F5"/>
    <w:rsid w:val="7F0EA29B"/>
    <w:rsid w:val="7F1BDEA8"/>
    <w:rsid w:val="7F29E005"/>
    <w:rsid w:val="7F43EACA"/>
    <w:rsid w:val="7F49BBE0"/>
    <w:rsid w:val="7F680C6E"/>
    <w:rsid w:val="7F725781"/>
    <w:rsid w:val="7F91326B"/>
    <w:rsid w:val="7FA989E7"/>
    <w:rsid w:val="7FB6097B"/>
    <w:rsid w:val="7FC7386A"/>
    <w:rsid w:val="7FE2A650"/>
    <w:rsid w:val="7FEF0769"/>
    <w:rsid w:val="7FFE08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ADE5"/>
  <w15:chartTrackingRefBased/>
  <w15:docId w15:val="{BD514CBC-5BAF-44AC-B6FD-69E0D724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link w:val="Kop1Char"/>
    <w:uiPriority w:val="9"/>
    <w:qFormat/>
    <w:rsid w:val="090AAE15"/>
    <w:pPr>
      <w:keepNext/>
      <w:keepLines/>
      <w:spacing w:before="360" w:after="80"/>
      <w:outlineLvl w:val="0"/>
    </w:pPr>
    <w:rPr>
      <w:rFonts w:ascii="Verdana" w:eastAsiaTheme="majorEastAsia" w:hAnsi="Verdana" w:cstheme="majorBidi"/>
      <w:b/>
      <w:bCs/>
      <w:color w:val="000000" w:themeColor="text1"/>
      <w:sz w:val="20"/>
      <w:szCs w:val="20"/>
    </w:rPr>
  </w:style>
  <w:style w:type="paragraph" w:styleId="Kop2">
    <w:name w:val="heading 2"/>
    <w:link w:val="Kop2Char"/>
    <w:uiPriority w:val="9"/>
    <w:unhideWhenUsed/>
    <w:qFormat/>
    <w:rsid w:val="0712D728"/>
    <w:pPr>
      <w:keepNext/>
      <w:keepLines/>
      <w:spacing w:before="160" w:after="80"/>
      <w:outlineLvl w:val="1"/>
    </w:pPr>
    <w:rPr>
      <w:rFonts w:ascii="Verdana" w:eastAsiaTheme="majorEastAsia" w:hAnsi="Verdana" w:cstheme="majorBidi"/>
      <w:i/>
      <w:iCs/>
      <w:u w:val="single"/>
    </w:rPr>
  </w:style>
  <w:style w:type="paragraph" w:styleId="Kop3">
    <w:name w:val="heading 3"/>
    <w:link w:val="Kop3Char"/>
    <w:uiPriority w:val="9"/>
    <w:semiHidden/>
    <w:unhideWhenUsed/>
    <w:qFormat/>
    <w:rsid w:val="0712D7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0712D728"/>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0712D728"/>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0712D728"/>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0712D728"/>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712D728"/>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0712D728"/>
    <w:pPr>
      <w:keepNext/>
      <w:keepLines/>
      <w:spacing w:after="0"/>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90AAE15"/>
    <w:rPr>
      <w:rFonts w:asciiTheme="minorHAnsi" w:eastAsiaTheme="majorEastAsia" w:hAnsiTheme="minorHAnsi" w:cstheme="majorBidi"/>
      <w:b/>
      <w:bCs/>
      <w:color w:val="000000" w:themeColor="text1"/>
      <w:sz w:val="20"/>
      <w:szCs w:val="20"/>
    </w:rPr>
  </w:style>
  <w:style w:type="character" w:customStyle="1" w:styleId="Kop2Char">
    <w:name w:val="Kop 2 Char"/>
    <w:basedOn w:val="Standaardalinea-lettertype"/>
    <w:link w:val="Kop2"/>
    <w:uiPriority w:val="9"/>
    <w:rsid w:val="00452706"/>
    <w:rPr>
      <w:rFonts w:ascii="Verdana" w:eastAsiaTheme="majorEastAsia" w:hAnsi="Verdana" w:cstheme="majorBidi"/>
      <w:i/>
      <w:szCs w:val="32"/>
      <w:u w:val="single"/>
    </w:rPr>
  </w:style>
  <w:style w:type="character" w:customStyle="1" w:styleId="Kop3Char">
    <w:name w:val="Kop 3 Char"/>
    <w:basedOn w:val="Standaardalinea-lettertype"/>
    <w:link w:val="Kop3"/>
    <w:uiPriority w:val="9"/>
    <w:semiHidden/>
    <w:rsid w:val="00B25D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D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D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D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D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D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D21"/>
    <w:rPr>
      <w:rFonts w:eastAsiaTheme="majorEastAsia" w:cstheme="majorBidi"/>
      <w:color w:val="272727" w:themeColor="text1" w:themeTint="D8"/>
    </w:rPr>
  </w:style>
  <w:style w:type="paragraph" w:styleId="Titel">
    <w:name w:val="Title"/>
    <w:link w:val="TitelChar"/>
    <w:uiPriority w:val="10"/>
    <w:qFormat/>
    <w:rsid w:val="0712D728"/>
    <w:pPr>
      <w:spacing w:after="80" w:line="240" w:lineRule="auto"/>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B25D21"/>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0712D728"/>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B25D21"/>
    <w:rPr>
      <w:rFonts w:eastAsiaTheme="majorEastAsia" w:cstheme="majorBidi"/>
      <w:color w:val="595959" w:themeColor="text1" w:themeTint="A6"/>
      <w:spacing w:val="15"/>
      <w:sz w:val="28"/>
      <w:szCs w:val="28"/>
    </w:rPr>
  </w:style>
  <w:style w:type="paragraph" w:styleId="Citaat">
    <w:name w:val="Quote"/>
    <w:link w:val="CitaatChar"/>
    <w:uiPriority w:val="29"/>
    <w:qFormat/>
    <w:rsid w:val="0712D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D21"/>
    <w:rPr>
      <w:i/>
      <w:iCs/>
      <w:color w:val="404040" w:themeColor="text1" w:themeTint="BF"/>
    </w:rPr>
  </w:style>
  <w:style w:type="paragraph" w:styleId="Lijstalinea">
    <w:name w:val="List Paragraph"/>
    <w:uiPriority w:val="34"/>
    <w:qFormat/>
    <w:rsid w:val="0712D728"/>
    <w:pPr>
      <w:ind w:left="720"/>
      <w:contextualSpacing/>
    </w:pPr>
  </w:style>
  <w:style w:type="character" w:styleId="Intensievebenadrukking">
    <w:name w:val="Intense Emphasis"/>
    <w:basedOn w:val="Standaardalinea-lettertype"/>
    <w:uiPriority w:val="21"/>
    <w:qFormat/>
    <w:rsid w:val="00B25D21"/>
    <w:rPr>
      <w:i/>
      <w:iCs/>
      <w:color w:val="0F4761" w:themeColor="accent1" w:themeShade="BF"/>
    </w:rPr>
  </w:style>
  <w:style w:type="paragraph" w:styleId="Duidelijkcitaat">
    <w:name w:val="Intense Quote"/>
    <w:link w:val="DuidelijkcitaatChar"/>
    <w:uiPriority w:val="30"/>
    <w:qFormat/>
    <w:rsid w:val="0712D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D21"/>
    <w:rPr>
      <w:i/>
      <w:iCs/>
      <w:color w:val="0F4761" w:themeColor="accent1" w:themeShade="BF"/>
    </w:rPr>
  </w:style>
  <w:style w:type="character" w:styleId="Intensieveverwijzing">
    <w:name w:val="Intense Reference"/>
    <w:basedOn w:val="Standaardalinea-lettertype"/>
    <w:uiPriority w:val="32"/>
    <w:qFormat/>
    <w:rsid w:val="00B25D21"/>
    <w:rPr>
      <w:b/>
      <w:bCs/>
      <w:smallCaps/>
      <w:color w:val="0F4761" w:themeColor="accent1" w:themeShade="BF"/>
      <w:spacing w:val="5"/>
    </w:rPr>
  </w:style>
  <w:style w:type="paragraph" w:styleId="Voettekst">
    <w:name w:val="footer"/>
    <w:link w:val="VoettekstChar"/>
    <w:uiPriority w:val="99"/>
    <w:unhideWhenUsed/>
    <w:rsid w:val="0712D7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5D21"/>
  </w:style>
  <w:style w:type="paragraph" w:styleId="Kopvaninhoudsopgave">
    <w:name w:val="TOC Heading"/>
    <w:basedOn w:val="Kop1"/>
    <w:next w:val="Standaard"/>
    <w:uiPriority w:val="39"/>
    <w:unhideWhenUsed/>
    <w:qFormat/>
    <w:rsid w:val="090AAE15"/>
    <w:pPr>
      <w:spacing w:before="240" w:after="0"/>
    </w:pPr>
    <w:rPr>
      <w:rFonts w:asciiTheme="majorHAnsi" w:hAnsiTheme="majorHAnsi"/>
      <w:b w:val="0"/>
      <w:bCs w:val="0"/>
      <w:color w:val="0F4761" w:themeColor="accent1" w:themeShade="BF"/>
      <w:sz w:val="32"/>
      <w:szCs w:val="32"/>
      <w:lang w:eastAsia="nl-NL"/>
    </w:rPr>
  </w:style>
  <w:style w:type="paragraph" w:styleId="Inhopg1">
    <w:name w:val="toc 1"/>
    <w:uiPriority w:val="39"/>
    <w:unhideWhenUsed/>
    <w:rsid w:val="0712D728"/>
    <w:pPr>
      <w:spacing w:after="100"/>
    </w:pPr>
  </w:style>
  <w:style w:type="paragraph" w:styleId="Inhopg2">
    <w:name w:val="toc 2"/>
    <w:uiPriority w:val="39"/>
    <w:unhideWhenUsed/>
    <w:rsid w:val="0712D728"/>
    <w:pPr>
      <w:spacing w:after="100"/>
      <w:ind w:left="220"/>
    </w:pPr>
  </w:style>
  <w:style w:type="character" w:styleId="Hyperlink">
    <w:name w:val="Hyperlink"/>
    <w:basedOn w:val="Standaardalinea-lettertype"/>
    <w:uiPriority w:val="99"/>
    <w:unhideWhenUsed/>
    <w:rsid w:val="00651EE5"/>
    <w:rPr>
      <w:color w:val="467886" w:themeColor="hyperlink"/>
      <w:u w:val="single"/>
    </w:rPr>
  </w:style>
  <w:style w:type="character" w:styleId="Verwijzingopmerking">
    <w:name w:val="annotation reference"/>
    <w:basedOn w:val="Standaardalinea-lettertype"/>
    <w:uiPriority w:val="99"/>
    <w:semiHidden/>
    <w:unhideWhenUsed/>
    <w:rsid w:val="006E1B44"/>
    <w:rPr>
      <w:sz w:val="16"/>
      <w:szCs w:val="16"/>
    </w:rPr>
  </w:style>
  <w:style w:type="paragraph" w:styleId="Tekstopmerking">
    <w:name w:val="annotation text"/>
    <w:link w:val="TekstopmerkingChar"/>
    <w:uiPriority w:val="99"/>
    <w:unhideWhenUsed/>
    <w:rsid w:val="0712D728"/>
    <w:pPr>
      <w:spacing w:line="240" w:lineRule="auto"/>
    </w:pPr>
    <w:rPr>
      <w:sz w:val="20"/>
      <w:szCs w:val="20"/>
    </w:rPr>
  </w:style>
  <w:style w:type="character" w:customStyle="1" w:styleId="TekstopmerkingChar">
    <w:name w:val="Tekst opmerking Char"/>
    <w:basedOn w:val="Standaardalinea-lettertype"/>
    <w:link w:val="Tekstopmerking"/>
    <w:uiPriority w:val="99"/>
    <w:rsid w:val="006E1B44"/>
    <w:rPr>
      <w:sz w:val="20"/>
      <w:szCs w:val="20"/>
    </w:rPr>
  </w:style>
  <w:style w:type="paragraph" w:styleId="Onderwerpvanopmerking">
    <w:name w:val="annotation subject"/>
    <w:basedOn w:val="Tekstopmerking"/>
    <w:next w:val="Tekstopmerking"/>
    <w:link w:val="OnderwerpvanopmerkingChar"/>
    <w:uiPriority w:val="99"/>
    <w:semiHidden/>
    <w:unhideWhenUsed/>
    <w:rsid w:val="006E1B44"/>
    <w:rPr>
      <w:b/>
      <w:bCs/>
    </w:rPr>
  </w:style>
  <w:style w:type="character" w:customStyle="1" w:styleId="OnderwerpvanopmerkingChar">
    <w:name w:val="Onderwerp van opmerking Char"/>
    <w:basedOn w:val="TekstopmerkingChar"/>
    <w:link w:val="Onderwerpvanopmerking"/>
    <w:uiPriority w:val="99"/>
    <w:semiHidden/>
    <w:rsid w:val="006E1B44"/>
    <w:rPr>
      <w:b/>
      <w:bCs/>
      <w:sz w:val="20"/>
      <w:szCs w:val="20"/>
    </w:rPr>
  </w:style>
  <w:style w:type="paragraph" w:styleId="Koptekst">
    <w:name w:val="header"/>
    <w:uiPriority w:val="99"/>
    <w:unhideWhenUsed/>
    <w:rsid w:val="0712D728"/>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C74500"/>
    <w:pPr>
      <w:spacing w:after="0" w:line="240" w:lineRule="auto"/>
    </w:pPr>
  </w:style>
  <w:style w:type="paragraph" w:styleId="Voetnoottekst">
    <w:name w:val="footnote text"/>
    <w:basedOn w:val="Standaard"/>
    <w:uiPriority w:val="99"/>
    <w:semiHidden/>
    <w:unhideWhenUsed/>
    <w:rsid w:val="6BC19194"/>
    <w:pPr>
      <w:spacing w:after="0" w:line="240" w:lineRule="auto"/>
    </w:pPr>
    <w:rPr>
      <w:sz w:val="20"/>
      <w:szCs w:val="20"/>
    </w:rPr>
  </w:style>
  <w:style w:type="character" w:styleId="Voetnootmarkering">
    <w:name w:val="footnote reference"/>
    <w:basedOn w:val="Standaardalinea-lettertype"/>
    <w:uiPriority w:val="99"/>
    <w:semiHidden/>
    <w:unhideWhenUsed/>
    <w:rsid w:val="6BC19194"/>
    <w:rPr>
      <w:vertAlign w:val="superscript"/>
    </w:rPr>
  </w:style>
  <w:style w:type="character" w:styleId="Onopgelostemelding">
    <w:name w:val="Unresolved Mention"/>
    <w:basedOn w:val="Standaardalinea-lettertype"/>
    <w:uiPriority w:val="99"/>
    <w:semiHidden/>
    <w:unhideWhenUsed/>
    <w:rsid w:val="00634395"/>
    <w:rPr>
      <w:color w:val="605E5C"/>
      <w:shd w:val="clear" w:color="auto" w:fill="E1DFDD"/>
    </w:rPr>
  </w:style>
  <w:style w:type="paragraph" w:styleId="Eindnoottekst">
    <w:name w:val="endnote text"/>
    <w:basedOn w:val="Standaard"/>
    <w:link w:val="EindnoottekstChar"/>
    <w:uiPriority w:val="99"/>
    <w:semiHidden/>
    <w:unhideWhenUsed/>
    <w:rsid w:val="0027309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27309C"/>
    <w:rPr>
      <w:sz w:val="20"/>
      <w:szCs w:val="20"/>
    </w:rPr>
  </w:style>
  <w:style w:type="character" w:styleId="Eindnootmarkering">
    <w:name w:val="endnote reference"/>
    <w:basedOn w:val="Standaardalinea-lettertype"/>
    <w:uiPriority w:val="99"/>
    <w:semiHidden/>
    <w:unhideWhenUsed/>
    <w:rsid w:val="0027309C"/>
    <w:rPr>
      <w:vertAlign w:val="superscript"/>
    </w:rPr>
  </w:style>
  <w:style w:type="character" w:styleId="GevolgdeHyperlink">
    <w:name w:val="FollowedHyperlink"/>
    <w:basedOn w:val="Standaardalinea-lettertype"/>
    <w:uiPriority w:val="99"/>
    <w:semiHidden/>
    <w:unhideWhenUsed/>
    <w:rsid w:val="002730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23</ap:Pages>
  <ap:Words>6769</ap:Words>
  <ap:Characters>37233</ap:Characters>
  <ap:DocSecurity>4</ap:DocSecurity>
  <ap:Lines>310</ap:Lines>
  <ap:Paragraphs>87</ap:Paragraphs>
  <ap:ScaleCrop>false</ap:ScaleCrop>
  <ap:LinksUpToDate>false</ap:LinksUpToDate>
  <ap:CharactersWithSpaces>43915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2026-06-26T13:46:00.0000000Z</dcterms:created>
  <dcterms:modified xsi:type="dcterms:W3CDTF">2026-06-26T13:46:00.0000000Z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57c89ef1,effedbb,b69adca</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0x010100798435D14167B14B905BFBCA725FF62F</vt:lpwstr>
  </property>
  <property fmtid="{D5CDD505-2E9C-101B-9397-08002B2CF9AE}" pid="6" name="MediaServiceImageTags">
    <vt:lpwstr/>
  </property>
</Properties>
</file>