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16F9" w:rsidP="00E716F9" w:rsidRDefault="00E716F9" w14:paraId="0EDEF915" w14:textId="77777777">
      <w:pPr>
        <w:spacing w:after="160"/>
      </w:pPr>
      <w:r>
        <w:t xml:space="preserve">Geachte Voorzitter, </w:t>
      </w:r>
    </w:p>
    <w:p w:rsidRPr="00963BFF" w:rsidR="00710F22" w:rsidP="00710F22" w:rsidRDefault="00710F22" w14:paraId="2712FF7F" w14:textId="77777777">
      <w:pPr>
        <w:spacing w:after="160"/>
        <w:rPr>
          <w:szCs w:val="18"/>
        </w:rPr>
      </w:pPr>
      <w:bookmarkStart w:name="_Hlk230112375" w:id="0"/>
      <w:r w:rsidRPr="00963BFF">
        <w:rPr>
          <w:szCs w:val="18"/>
        </w:rPr>
        <w:t xml:space="preserve">De Wetenschappelijke Klimaatraad (WKR) heeft op 26 maart 2026 het advies </w:t>
      </w:r>
      <w:r>
        <w:rPr>
          <w:szCs w:val="18"/>
        </w:rPr>
        <w:t>‘</w:t>
      </w:r>
      <w:r w:rsidRPr="00963BFF">
        <w:rPr>
          <w:szCs w:val="18"/>
        </w:rPr>
        <w:t>Circulair versterkt</w:t>
      </w:r>
      <w:r>
        <w:rPr>
          <w:szCs w:val="18"/>
        </w:rPr>
        <w:t>’</w:t>
      </w:r>
      <w:r w:rsidRPr="00963BFF">
        <w:t xml:space="preserve"> </w:t>
      </w:r>
      <w:r w:rsidRPr="00963BFF">
        <w:rPr>
          <w:szCs w:val="18"/>
        </w:rPr>
        <w:t>uitgebracht.</w:t>
      </w:r>
      <w:r w:rsidRPr="00963BFF">
        <w:rPr>
          <w:szCs w:val="18"/>
          <w:vertAlign w:val="superscript"/>
        </w:rPr>
        <w:footnoteReference w:id="1"/>
      </w:r>
      <w:r w:rsidRPr="00963BFF">
        <w:rPr>
          <w:szCs w:val="18"/>
        </w:rPr>
        <w:t xml:space="preserve"> </w:t>
      </w:r>
      <w:r>
        <w:rPr>
          <w:szCs w:val="18"/>
        </w:rPr>
        <w:t>Het advies is opgesteld op verzoek van het vorige kabinet, met als aanleiding de vraag w</w:t>
      </w:r>
      <w:r w:rsidRPr="00D71A88">
        <w:rPr>
          <w:szCs w:val="18"/>
        </w:rPr>
        <w:t>elk beleid gericht op het verduurzamen van het materialensysteem noodzakelijk</w:t>
      </w:r>
      <w:r>
        <w:rPr>
          <w:szCs w:val="18"/>
        </w:rPr>
        <w:t xml:space="preserve"> is</w:t>
      </w:r>
      <w:r w:rsidRPr="00D71A88">
        <w:rPr>
          <w:szCs w:val="18"/>
        </w:rPr>
        <w:t xml:space="preserve">, </w:t>
      </w:r>
      <w:r>
        <w:rPr>
          <w:szCs w:val="18"/>
        </w:rPr>
        <w:t xml:space="preserve">mede </w:t>
      </w:r>
      <w:r w:rsidRPr="00D71A88">
        <w:rPr>
          <w:szCs w:val="18"/>
        </w:rPr>
        <w:t>gelet op de samenhang met andere maatschappelijke opgaven</w:t>
      </w:r>
      <w:r>
        <w:rPr>
          <w:szCs w:val="18"/>
        </w:rPr>
        <w:t xml:space="preserve">. </w:t>
      </w:r>
      <w:r w:rsidRPr="00963BFF">
        <w:rPr>
          <w:szCs w:val="18"/>
        </w:rPr>
        <w:t>De WKR adviseert in het rapport hoe het circulaire beleid kan worden doorontwikkeld, en hoe dit kan bijdragen aan het behalen van de Nederlandse klimaatdoelen en het versterken van onze strategische autonomie.</w:t>
      </w:r>
    </w:p>
    <w:p w:rsidRPr="00963BFF" w:rsidR="00710F22" w:rsidP="00710F22" w:rsidRDefault="00710F22" w14:paraId="1EE07B63" w14:textId="77777777">
      <w:pPr>
        <w:spacing w:after="160"/>
        <w:rPr>
          <w:szCs w:val="18"/>
        </w:rPr>
      </w:pPr>
      <w:r w:rsidRPr="00963BFF">
        <w:rPr>
          <w:szCs w:val="18"/>
        </w:rPr>
        <w:t>Graag reageer ik, mede namens de minister van VRO</w:t>
      </w:r>
      <w:r>
        <w:rPr>
          <w:rStyle w:val="Voetnootmarkering"/>
          <w:szCs w:val="18"/>
        </w:rPr>
        <w:footnoteReference w:id="2"/>
      </w:r>
      <w:r>
        <w:rPr>
          <w:szCs w:val="18"/>
        </w:rPr>
        <w:t>,</w:t>
      </w:r>
      <w:r w:rsidRPr="00963BFF">
        <w:rPr>
          <w:szCs w:val="18"/>
        </w:rPr>
        <w:t xml:space="preserve"> de minister van IenW</w:t>
      </w:r>
      <w:r>
        <w:rPr>
          <w:rStyle w:val="Voetnootmarkering"/>
          <w:szCs w:val="18"/>
        </w:rPr>
        <w:footnoteReference w:id="3"/>
      </w:r>
      <w:r>
        <w:rPr>
          <w:szCs w:val="18"/>
        </w:rPr>
        <w:t>, en de staatssecretaris van IenW</w:t>
      </w:r>
      <w:r w:rsidRPr="00963BFF">
        <w:rPr>
          <w:szCs w:val="18"/>
        </w:rPr>
        <w:t>, op het advies van de WKR. Het kabinet is de raad erkentelijk voor het advies</w:t>
      </w:r>
      <w:r>
        <w:rPr>
          <w:szCs w:val="18"/>
        </w:rPr>
        <w:t>rapport</w:t>
      </w:r>
      <w:r w:rsidRPr="00963BFF">
        <w:rPr>
          <w:szCs w:val="18"/>
        </w:rPr>
        <w:t xml:space="preserve">, </w:t>
      </w:r>
      <w:r>
        <w:rPr>
          <w:szCs w:val="18"/>
        </w:rPr>
        <w:t xml:space="preserve">en wil dit, samen met de adviezen over spullen van het Burgerberaad Klimaat, gebruiken bij </w:t>
      </w:r>
      <w:r w:rsidRPr="00963BFF">
        <w:rPr>
          <w:szCs w:val="18"/>
        </w:rPr>
        <w:t xml:space="preserve">de doorontwikkeling van het circulaire beleid. </w:t>
      </w:r>
      <w:r>
        <w:rPr>
          <w:szCs w:val="18"/>
        </w:rPr>
        <w:t xml:space="preserve">De grondstoffentransitie is immers niet alleen essentieel voor onze strategische autonomie, maar ook een onmisbaar onderdeel van het klimaatbeleid. </w:t>
      </w:r>
      <w:r w:rsidRPr="00963BFF">
        <w:rPr>
          <w:szCs w:val="18"/>
        </w:rPr>
        <w:t>Hieronder is uiteengezet hoe aan de aanbevelingen opvolging gegeven wordt.</w:t>
      </w:r>
    </w:p>
    <w:p w:rsidRPr="00DD6DC4" w:rsidR="00710F22" w:rsidP="00710F22" w:rsidRDefault="00710F22" w14:paraId="24EA4D0C" w14:textId="77777777">
      <w:pPr>
        <w:spacing w:after="160"/>
        <w:rPr>
          <w:i/>
          <w:iCs/>
          <w:szCs w:val="18"/>
        </w:rPr>
      </w:pPr>
      <w:r w:rsidRPr="00DD6DC4">
        <w:rPr>
          <w:i/>
          <w:iCs/>
          <w:szCs w:val="18"/>
        </w:rPr>
        <w:t>WKR: niet alleen productiegericht, maar ook functiegericht beleid</w:t>
      </w:r>
    </w:p>
    <w:p w:rsidRPr="00963BFF" w:rsidR="00710F22" w:rsidP="00710F22" w:rsidRDefault="00710F22" w14:paraId="4B9A9528" w14:textId="77777777">
      <w:pPr>
        <w:spacing w:after="160"/>
        <w:rPr>
          <w:szCs w:val="18"/>
        </w:rPr>
      </w:pPr>
      <w:r w:rsidRPr="00963BFF">
        <w:rPr>
          <w:szCs w:val="18"/>
        </w:rPr>
        <w:t xml:space="preserve">Het WKR-advies beschrijft hoe de CO2-emissies die ontstaan door het gebruik van materialen kunnen worden </w:t>
      </w:r>
      <w:r>
        <w:rPr>
          <w:szCs w:val="18"/>
        </w:rPr>
        <w:t>gereduceerd</w:t>
      </w:r>
      <w:r w:rsidRPr="00963BFF">
        <w:rPr>
          <w:szCs w:val="18"/>
        </w:rPr>
        <w:t xml:space="preserve"> met circulaire</w:t>
      </w:r>
      <w:r>
        <w:rPr>
          <w:szCs w:val="18"/>
        </w:rPr>
        <w:t xml:space="preserve"> </w:t>
      </w:r>
      <w:r w:rsidRPr="00963BFF">
        <w:rPr>
          <w:szCs w:val="18"/>
        </w:rPr>
        <w:t xml:space="preserve">economiebeleid. Door het beleid te richten op de producten die zorgen voor veel CO2-uitstoot, zoals auto’s, woningen, kleding, en verpakkingen, kan er veel klimaatwinst worden geboekt. Daarbij moeten we niet alleen kijken naar hoe die producten ontworpen en gemaakt worden, maar ook naar de behoefte waarin die producten voorzien. Daarbij adviseert de WKR om voor productgroepen ook functiegericht beleid te maken. Bijvoorbeeld: richt niet alleen beleid op de productie auto’s, maar </w:t>
      </w:r>
      <w:r>
        <w:rPr>
          <w:szCs w:val="18"/>
        </w:rPr>
        <w:t xml:space="preserve">kijk ook naar gebruik. </w:t>
      </w:r>
      <w:r w:rsidRPr="00963BFF">
        <w:rPr>
          <w:szCs w:val="18"/>
        </w:rPr>
        <w:t>Zet niet alleen in op de bouw van nieuwe huizen met duurzame materialen als hout, maar zorg ook dat bestaande gebouwen beter worden benut om het woningtekort op te lossen.</w:t>
      </w:r>
    </w:p>
    <w:p w:rsidRPr="00963BFF" w:rsidR="00710F22" w:rsidP="00710F22" w:rsidRDefault="00710F22" w14:paraId="04590A88" w14:textId="77777777">
      <w:pPr>
        <w:spacing w:after="160"/>
        <w:rPr>
          <w:szCs w:val="18"/>
        </w:rPr>
      </w:pPr>
      <w:r w:rsidRPr="00963BFF">
        <w:rPr>
          <w:szCs w:val="18"/>
        </w:rPr>
        <w:t xml:space="preserve">Daarnaast doet de WKR aanbevelingen over doorontwikkeling van het beleid. De voorgestelde aanpak voor productgroepen maakt dat het </w:t>
      </w:r>
      <w:r>
        <w:rPr>
          <w:szCs w:val="18"/>
        </w:rPr>
        <w:t>circulaire economiebeleid</w:t>
      </w:r>
      <w:r w:rsidRPr="00963BFF">
        <w:rPr>
          <w:szCs w:val="18"/>
        </w:rPr>
        <w:t xml:space="preserve"> vaak raakt aan andere beleidsterreinen (zoals mobiliteit en volkshuisvesting). Volgens het WKR-advies ontbreekt het aan voldoende doorzettingsmacht, afrekenbare verantwoordelijkheden en structurele middelen om deze samenhang te borgen. De WKR adviseert het kabinet om de regie op de transitie met meer en structurele middelen te versterken en de </w:t>
      </w:r>
      <w:proofErr w:type="spellStart"/>
      <w:r w:rsidRPr="00963BFF">
        <w:rPr>
          <w:szCs w:val="18"/>
        </w:rPr>
        <w:t>governance</w:t>
      </w:r>
      <w:proofErr w:type="spellEnd"/>
      <w:r w:rsidRPr="00963BFF">
        <w:rPr>
          <w:szCs w:val="18"/>
        </w:rPr>
        <w:t xml:space="preserve"> hierop in te richten, bijvoorbeeld door een sterker mandaat voor de coördinerende bewindspersoon te creëren.</w:t>
      </w:r>
    </w:p>
    <w:p w:rsidRPr="00DD6DC4" w:rsidR="00710F22" w:rsidP="00710F22" w:rsidRDefault="00710F22" w14:paraId="66F5C591" w14:textId="77777777">
      <w:pPr>
        <w:spacing w:after="160"/>
        <w:rPr>
          <w:i/>
          <w:iCs/>
          <w:szCs w:val="18"/>
        </w:rPr>
      </w:pPr>
      <w:r w:rsidRPr="00DD6DC4">
        <w:rPr>
          <w:i/>
          <w:iCs/>
          <w:szCs w:val="18"/>
        </w:rPr>
        <w:t>Kabinetsreactie</w:t>
      </w:r>
    </w:p>
    <w:p w:rsidRPr="00963BFF" w:rsidR="00710F22" w:rsidP="00710F22" w:rsidRDefault="00710F22" w14:paraId="7DA9346C" w14:textId="77777777">
      <w:pPr>
        <w:spacing w:after="160"/>
        <w:rPr>
          <w:szCs w:val="18"/>
          <w:shd w:val="clear" w:color="auto" w:fill="FFFF00"/>
        </w:rPr>
      </w:pPr>
      <w:r w:rsidRPr="00963BFF">
        <w:rPr>
          <w:szCs w:val="18"/>
        </w:rPr>
        <w:t xml:space="preserve">Het kabinet </w:t>
      </w:r>
      <w:r>
        <w:rPr>
          <w:szCs w:val="18"/>
        </w:rPr>
        <w:t>omarmt</w:t>
      </w:r>
      <w:r w:rsidRPr="00963BFF">
        <w:rPr>
          <w:szCs w:val="18"/>
        </w:rPr>
        <w:t xml:space="preserve"> het advies </w:t>
      </w:r>
      <w:r>
        <w:rPr>
          <w:szCs w:val="18"/>
        </w:rPr>
        <w:t>en wil hier graag opvolging aan geven</w:t>
      </w:r>
      <w:r w:rsidRPr="00963BFF">
        <w:rPr>
          <w:szCs w:val="18"/>
        </w:rPr>
        <w:t xml:space="preserve">. </w:t>
      </w:r>
      <w:r>
        <w:rPr>
          <w:szCs w:val="18"/>
        </w:rPr>
        <w:t>H</w:t>
      </w:r>
      <w:r w:rsidRPr="00963BFF">
        <w:rPr>
          <w:szCs w:val="18"/>
        </w:rPr>
        <w:t xml:space="preserve">et kabinet </w:t>
      </w:r>
      <w:r>
        <w:rPr>
          <w:szCs w:val="18"/>
        </w:rPr>
        <w:t xml:space="preserve">ziet </w:t>
      </w:r>
      <w:r w:rsidRPr="00963BFF">
        <w:rPr>
          <w:szCs w:val="18"/>
        </w:rPr>
        <w:t xml:space="preserve">sommige aanbevelingen als aanmoediging van het reeds ingezette beleid, bijvoorbeeld wat betreft de inzet gericht op verduurzaming van productie van plastic </w:t>
      </w:r>
      <w:r>
        <w:rPr>
          <w:szCs w:val="18"/>
        </w:rPr>
        <w:t>en</w:t>
      </w:r>
      <w:r w:rsidRPr="00963BFF">
        <w:rPr>
          <w:szCs w:val="18"/>
        </w:rPr>
        <w:t xml:space="preserve"> auto’s. </w:t>
      </w:r>
      <w:r>
        <w:rPr>
          <w:szCs w:val="18"/>
        </w:rPr>
        <w:t xml:space="preserve">Tegelijkertijd </w:t>
      </w:r>
      <w:r w:rsidRPr="00963BFF">
        <w:rPr>
          <w:szCs w:val="18"/>
        </w:rPr>
        <w:t xml:space="preserve">wil het kabinet </w:t>
      </w:r>
      <w:r>
        <w:rPr>
          <w:szCs w:val="18"/>
        </w:rPr>
        <w:t>de</w:t>
      </w:r>
      <w:r w:rsidRPr="00963BFF">
        <w:rPr>
          <w:szCs w:val="18"/>
        </w:rPr>
        <w:t xml:space="preserve"> adviezen aangrijpen om tot scherpere ambities in het circulaire beleid te komen, zoals de doorontwikkeling van de </w:t>
      </w:r>
      <w:proofErr w:type="spellStart"/>
      <w:r w:rsidRPr="00963BFF">
        <w:rPr>
          <w:szCs w:val="18"/>
        </w:rPr>
        <w:t>governance</w:t>
      </w:r>
      <w:proofErr w:type="spellEnd"/>
      <w:r w:rsidRPr="00963BFF">
        <w:rPr>
          <w:szCs w:val="18"/>
        </w:rPr>
        <w:t xml:space="preserve"> van het circulaire beleid. </w:t>
      </w:r>
      <w:r>
        <w:rPr>
          <w:szCs w:val="18"/>
        </w:rPr>
        <w:t>Het gaat daarbij ook om</w:t>
      </w:r>
      <w:r w:rsidRPr="00963BFF">
        <w:rPr>
          <w:szCs w:val="18"/>
        </w:rPr>
        <w:t xml:space="preserve"> het versterken van </w:t>
      </w:r>
      <w:r>
        <w:rPr>
          <w:szCs w:val="18"/>
        </w:rPr>
        <w:t xml:space="preserve">de </w:t>
      </w:r>
      <w:r w:rsidRPr="00963BFF">
        <w:rPr>
          <w:szCs w:val="18"/>
        </w:rPr>
        <w:t>coördinerend</w:t>
      </w:r>
      <w:r>
        <w:rPr>
          <w:szCs w:val="18"/>
        </w:rPr>
        <w:t>e rol van de verantwoordelijk</w:t>
      </w:r>
      <w:r w:rsidRPr="00963BFF">
        <w:rPr>
          <w:szCs w:val="18"/>
        </w:rPr>
        <w:t xml:space="preserve"> bewindspersoon </w:t>
      </w:r>
      <w:r>
        <w:rPr>
          <w:szCs w:val="18"/>
        </w:rPr>
        <w:t>teneinde</w:t>
      </w:r>
      <w:r w:rsidRPr="00963BFF">
        <w:rPr>
          <w:szCs w:val="18"/>
        </w:rPr>
        <w:t xml:space="preserve"> andere departementen </w:t>
      </w:r>
      <w:r>
        <w:rPr>
          <w:szCs w:val="18"/>
        </w:rPr>
        <w:t>mede-eigenaar</w:t>
      </w:r>
      <w:r w:rsidRPr="00963BFF">
        <w:rPr>
          <w:szCs w:val="18"/>
        </w:rPr>
        <w:t xml:space="preserve"> te </w:t>
      </w:r>
      <w:r>
        <w:rPr>
          <w:szCs w:val="18"/>
        </w:rPr>
        <w:t xml:space="preserve">maken </w:t>
      </w:r>
      <w:r w:rsidRPr="00963BFF">
        <w:rPr>
          <w:szCs w:val="18"/>
        </w:rPr>
        <w:t xml:space="preserve">voor de circulaire transitie in de </w:t>
      </w:r>
      <w:r>
        <w:rPr>
          <w:szCs w:val="18"/>
        </w:rPr>
        <w:t>betreffende</w:t>
      </w:r>
      <w:r w:rsidRPr="00963BFF">
        <w:rPr>
          <w:szCs w:val="18"/>
        </w:rPr>
        <w:t xml:space="preserve"> sector</w:t>
      </w:r>
      <w:r>
        <w:rPr>
          <w:szCs w:val="18"/>
        </w:rPr>
        <w:t>en, zoals op het gebied van klimaat en energie</w:t>
      </w:r>
      <w:r w:rsidRPr="00963BFF">
        <w:rPr>
          <w:szCs w:val="18"/>
        </w:rPr>
        <w:t xml:space="preserve">. </w:t>
      </w:r>
      <w:r>
        <w:rPr>
          <w:szCs w:val="18"/>
        </w:rPr>
        <w:t xml:space="preserve">Omdat elke verantwoordelijke bewindspersoon moet afwegen waar de kansen liggen, mede in het licht van de eigen sectorale opgaven en vanwege de samenhang tussen opgaven, zoals milieu en plastic of </w:t>
      </w:r>
      <w:proofErr w:type="spellStart"/>
      <w:r>
        <w:rPr>
          <w:szCs w:val="18"/>
        </w:rPr>
        <w:t>biogrondstoffen</w:t>
      </w:r>
      <w:proofErr w:type="spellEnd"/>
      <w:r>
        <w:rPr>
          <w:szCs w:val="18"/>
        </w:rPr>
        <w:t xml:space="preserve"> en de bouw, is de betrokkenheid van meerdere bewindspersonen onmisbaar om voortgang te maken in de circulaire economie. </w:t>
      </w:r>
    </w:p>
    <w:p w:rsidRPr="00DD6DC4" w:rsidR="00710F22" w:rsidP="00710F22" w:rsidRDefault="00710F22" w14:paraId="5F4D10E3" w14:textId="77777777">
      <w:pPr>
        <w:spacing w:after="160"/>
        <w:rPr>
          <w:i/>
          <w:iCs/>
          <w:szCs w:val="18"/>
        </w:rPr>
      </w:pPr>
      <w:r w:rsidRPr="00DD6DC4">
        <w:rPr>
          <w:i/>
          <w:iCs/>
          <w:szCs w:val="18"/>
        </w:rPr>
        <w:t xml:space="preserve">Reactie per aanbeveling </w:t>
      </w:r>
    </w:p>
    <w:p w:rsidR="00710F22" w:rsidP="00710F22" w:rsidRDefault="00710F22" w14:paraId="2A8DC5D5" w14:textId="77777777">
      <w:pPr>
        <w:spacing w:after="160"/>
        <w:rPr>
          <w:szCs w:val="18"/>
        </w:rPr>
      </w:pPr>
      <w:r w:rsidRPr="00963BFF">
        <w:rPr>
          <w:szCs w:val="18"/>
        </w:rPr>
        <w:t>Hieronder volgt de reactie op de vijf aanbevelingen uit het WKR-advies.</w:t>
      </w:r>
    </w:p>
    <w:p w:rsidRPr="00BA2A58" w:rsidR="00710F22" w:rsidP="00710F22" w:rsidRDefault="00710F22" w14:paraId="1BEB4F67" w14:textId="77777777">
      <w:pPr>
        <w:spacing w:after="160"/>
        <w:rPr>
          <w:i/>
          <w:szCs w:val="18"/>
          <w:u w:val="single"/>
        </w:rPr>
      </w:pPr>
      <w:r w:rsidRPr="00963BFF">
        <w:rPr>
          <w:i/>
          <w:iCs/>
          <w:szCs w:val="18"/>
          <w:u w:val="single"/>
        </w:rPr>
        <w:t>Aanbeveling 1</w:t>
      </w:r>
      <w:r>
        <w:rPr>
          <w:i/>
          <w:iCs/>
          <w:szCs w:val="18"/>
          <w:u w:val="single"/>
        </w:rPr>
        <w:t>: ontwikkel functie- en productiegericht beleid voor productgroepen</w:t>
      </w:r>
    </w:p>
    <w:p w:rsidRPr="00963BFF" w:rsidR="00710F22" w:rsidP="00710F22" w:rsidRDefault="00710F22" w14:paraId="2D51DFC9" w14:textId="77777777">
      <w:pPr>
        <w:spacing w:after="160"/>
        <w:rPr>
          <w:szCs w:val="18"/>
        </w:rPr>
      </w:pPr>
      <w:r w:rsidRPr="00067E67">
        <w:rPr>
          <w:i/>
          <w:iCs/>
          <w:noProof/>
          <w:szCs w:val="18"/>
        </w:rPr>
        <mc:AlternateContent>
          <mc:Choice Requires="wps">
            <w:drawing>
              <wp:inline distT="0" distB="0" distL="0" distR="0" wp14:anchorId="22D0B841" wp14:editId="3C39578D">
                <wp:extent cx="5586046" cy="1404620"/>
                <wp:effectExtent l="0" t="0" r="15240" b="19050"/>
                <wp:docPr id="25710878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6046" cy="1404620"/>
                        </a:xfrm>
                        <a:prstGeom prst="rect">
                          <a:avLst/>
                        </a:prstGeom>
                        <a:solidFill>
                          <a:srgbClr val="FFFFFF"/>
                        </a:solidFill>
                        <a:ln w="9525">
                          <a:solidFill>
                            <a:srgbClr val="000000"/>
                          </a:solidFill>
                          <a:miter lim="800000"/>
                          <a:headEnd/>
                          <a:tailEnd/>
                        </a:ln>
                      </wps:spPr>
                      <wps:txbx>
                        <w:txbxContent>
                          <w:p w:rsidR="00710F22" w:rsidP="00710F22" w:rsidRDefault="00710F22" w14:paraId="79C7F0F6" w14:textId="77777777">
                            <w:r w:rsidRPr="00963BFF">
                              <w:rPr>
                                <w:szCs w:val="18"/>
                              </w:rPr>
                              <w:t xml:space="preserve">Ontwikkel voor productgroepen die zorgen voor veel uitstoot van broeikasgassen beleid dat stuurt op het invullen van behoeften met minder of duurzamere producten (functiegericht beleid) én beleid dat stuurt op het maken van producten met minder of duurzamere materialen (productiegericht beleid). Formuleer per productgroep meetbare </w:t>
                            </w:r>
                            <w:proofErr w:type="spellStart"/>
                            <w:r w:rsidRPr="00963BFF">
                              <w:rPr>
                                <w:szCs w:val="18"/>
                              </w:rPr>
                              <w:t>langetermijn</w:t>
                            </w:r>
                            <w:proofErr w:type="spellEnd"/>
                            <w:r w:rsidRPr="00963BFF">
                              <w:rPr>
                                <w:szCs w:val="18"/>
                              </w:rPr>
                              <w:t>- en tussentijdse doelen, met effectieve instrumenten en adequate financiële middelen om die doelen te halen.</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w14:anchorId="22D0B841">
                <v:stroke joinstyle="miter"/>
                <v:path gradientshapeok="t" o:connecttype="rect"/>
              </v:shapetype>
              <v:shape id="Tekstvak 2" style="width:439.85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">
                <v:textbox style="mso-fit-shape-to-text:t">
                  <w:txbxContent>
                    <w:p w:rsidR="00710F22" w:rsidP="00710F22" w:rsidRDefault="00710F22" w14:paraId="79C7F0F6" w14:textId="77777777">
                      <w:r w:rsidRPr="00963BFF">
                        <w:rPr>
                          <w:szCs w:val="18"/>
                        </w:rPr>
                        <w:t xml:space="preserve">Ontwikkel voor productgroepen die zorgen voor veel uitstoot van broeikasgassen beleid dat stuurt op het invullen van behoeften met minder of duurzamere producten (functiegericht beleid) én beleid dat stuurt op het maken van producten met minder of duurzamere materialen (productiegericht beleid). Formuleer per productgroep meetbare </w:t>
                      </w:r>
                      <w:proofErr w:type="spellStart"/>
                      <w:r w:rsidRPr="00963BFF">
                        <w:rPr>
                          <w:szCs w:val="18"/>
                        </w:rPr>
                        <w:t>langetermijn</w:t>
                      </w:r>
                      <w:proofErr w:type="spellEnd"/>
                      <w:r w:rsidRPr="00963BFF">
                        <w:rPr>
                          <w:szCs w:val="18"/>
                        </w:rPr>
                        <w:t>- en tussentijdse doelen, met effectieve instrumenten en adequate financiële middelen om die doelen te halen.</w:t>
                      </w:r>
                    </w:p>
                  </w:txbxContent>
                </v:textbox>
                <w10:anchorlock/>
              </v:shape>
            </w:pict>
          </mc:Fallback>
        </mc:AlternateContent>
      </w:r>
    </w:p>
    <w:p w:rsidR="00710F22" w:rsidP="00710F22" w:rsidRDefault="00710F22" w14:paraId="3902F2CB" w14:textId="77777777">
      <w:pPr>
        <w:spacing w:after="160"/>
        <w:rPr>
          <w:rFonts w:eastAsia="Calibri" w:cs="Calibri"/>
          <w:szCs w:val="18"/>
        </w:rPr>
      </w:pPr>
      <w:r w:rsidRPr="00963BFF">
        <w:rPr>
          <w:rFonts w:eastAsia="Calibri" w:cs="Calibri"/>
          <w:szCs w:val="18"/>
        </w:rPr>
        <w:t xml:space="preserve">Het </w:t>
      </w:r>
      <w:r w:rsidRPr="00F1420B">
        <w:rPr>
          <w:rFonts w:eastAsia="Calibri" w:cs="Calibri"/>
          <w:szCs w:val="18"/>
        </w:rPr>
        <w:t>Nationaal Programma Circulaire Economie (NPCE)</w:t>
      </w:r>
      <w:r w:rsidRPr="00963BFF">
        <w:rPr>
          <w:rFonts w:eastAsia="Calibri" w:cs="Calibri"/>
          <w:szCs w:val="18"/>
        </w:rPr>
        <w:t xml:space="preserve"> 2025 bevat een nieuwe set aan nationale CE-doelen voor 2035. Het PBL stelt immers dat het </w:t>
      </w:r>
      <w:r>
        <w:rPr>
          <w:rFonts w:eastAsia="Calibri" w:cs="Calibri"/>
          <w:szCs w:val="18"/>
        </w:rPr>
        <w:t>circulaire economiebeleid</w:t>
      </w:r>
      <w:r w:rsidRPr="00963BFF">
        <w:rPr>
          <w:rFonts w:eastAsia="Calibri" w:cs="Calibri"/>
          <w:szCs w:val="18"/>
        </w:rPr>
        <w:t xml:space="preserve"> niet met één enkel doel kan worden gestuurd, omdat grondstoffen door verschillende fasen gaan (winning, verwerking, gebruik, afval) die elk een eigen circulaire strategie vereisen</w:t>
      </w:r>
      <w:r>
        <w:rPr>
          <w:rFonts w:eastAsia="Calibri" w:cs="Calibri"/>
          <w:szCs w:val="18"/>
        </w:rPr>
        <w:t>. A</w:t>
      </w:r>
      <w:r w:rsidRPr="00963BFF">
        <w:rPr>
          <w:rFonts w:eastAsia="Calibri" w:cs="Calibri"/>
          <w:szCs w:val="18"/>
        </w:rPr>
        <w:t xml:space="preserve">lleen een geïntegreerde aanpak verbetert leveringszekerheid en vermindert milieubelasting effectief. Om die reden zijn de nationale CE-doelen gerelateerd aan de circulariteitsstrategieën. Daardoor bieden deze doelen meer </w:t>
      </w:r>
      <w:r w:rsidRPr="00F1420B">
        <w:rPr>
          <w:rFonts w:eastAsia="Calibri" w:cs="Calibri"/>
          <w:szCs w:val="18"/>
        </w:rPr>
        <w:t>perspectief en handvatten voor bedrijven</w:t>
      </w:r>
      <w:r>
        <w:rPr>
          <w:rFonts w:eastAsia="Calibri" w:cs="Calibri"/>
          <w:szCs w:val="18"/>
        </w:rPr>
        <w:t>, maatschappelijke organisaties</w:t>
      </w:r>
      <w:r w:rsidRPr="00F1420B">
        <w:rPr>
          <w:rFonts w:eastAsia="Calibri" w:cs="Calibri"/>
          <w:szCs w:val="18"/>
        </w:rPr>
        <w:t xml:space="preserve"> en medeoverheden. Bij deze doelen is ook een dashboard ontwikkeld zodat we niet enkel op kilo’s grondstoffen sturen, maar daarbij de effecten in beeld hebben op CO2, landgebruik, watergebruik en leveringsrisico’s van grondstoffen. </w:t>
      </w:r>
    </w:p>
    <w:p w:rsidRPr="001A37A3" w:rsidR="00710F22" w:rsidP="00710F22" w:rsidRDefault="00710F22" w14:paraId="4129283E" w14:textId="77777777">
      <w:pPr>
        <w:rPr>
          <w:rFonts w:eastAsia="Calibri" w:cs="Calibri"/>
          <w:szCs w:val="18"/>
        </w:rPr>
      </w:pPr>
      <w:r w:rsidRPr="001A37A3">
        <w:rPr>
          <w:rFonts w:eastAsia="Calibri" w:cs="Calibri"/>
          <w:szCs w:val="18"/>
        </w:rPr>
        <w:t xml:space="preserve">De doelen voor 2035 uit het NPCE 25 zijn: </w:t>
      </w:r>
    </w:p>
    <w:p w:rsidRPr="001A37A3" w:rsidR="00710F22" w:rsidP="00710F22" w:rsidRDefault="00710F22" w14:paraId="62F9ABD6" w14:textId="77777777">
      <w:pPr>
        <w:pStyle w:val="Lijstalinea"/>
        <w:numPr>
          <w:ilvl w:val="0"/>
          <w:numId w:val="16"/>
        </w:numPr>
        <w:spacing w:line="240" w:lineRule="atLeast"/>
        <w:rPr>
          <w:rFonts w:ascii="Verdana" w:hAnsi="Verdana"/>
          <w:sz w:val="18"/>
          <w:szCs w:val="18"/>
        </w:rPr>
      </w:pPr>
      <w:r w:rsidRPr="001A37A3">
        <w:rPr>
          <w:rFonts w:ascii="Verdana" w:hAnsi="Verdana"/>
          <w:sz w:val="18"/>
          <w:szCs w:val="18"/>
        </w:rPr>
        <w:t>In 2035 wordt minimaal 82% van het Nederlandse afval gerecycled en minimaal 15% wordt hoogwaardig gerecycled;</w:t>
      </w:r>
    </w:p>
    <w:p w:rsidRPr="001A37A3" w:rsidR="00710F22" w:rsidP="00710F22" w:rsidRDefault="00710F22" w14:paraId="1F421E5D" w14:textId="77777777">
      <w:pPr>
        <w:pStyle w:val="Lijstalinea"/>
        <w:numPr>
          <w:ilvl w:val="0"/>
          <w:numId w:val="16"/>
        </w:numPr>
        <w:spacing w:line="240" w:lineRule="atLeast"/>
        <w:rPr>
          <w:rFonts w:ascii="Verdana" w:hAnsi="Verdana"/>
          <w:sz w:val="18"/>
          <w:szCs w:val="18"/>
        </w:rPr>
      </w:pPr>
      <w:r w:rsidRPr="001A37A3">
        <w:rPr>
          <w:rFonts w:ascii="Verdana" w:hAnsi="Verdana"/>
          <w:sz w:val="18"/>
          <w:szCs w:val="18"/>
        </w:rPr>
        <w:t xml:space="preserve">Het aandeel duurzame </w:t>
      </w:r>
      <w:proofErr w:type="spellStart"/>
      <w:r w:rsidRPr="001A37A3">
        <w:rPr>
          <w:rFonts w:ascii="Verdana" w:hAnsi="Verdana"/>
          <w:sz w:val="18"/>
          <w:szCs w:val="18"/>
        </w:rPr>
        <w:t>biogrondstoffen</w:t>
      </w:r>
      <w:proofErr w:type="spellEnd"/>
      <w:r w:rsidRPr="001A37A3">
        <w:rPr>
          <w:rFonts w:ascii="Verdana" w:hAnsi="Verdana"/>
          <w:sz w:val="18"/>
          <w:szCs w:val="18"/>
        </w:rPr>
        <w:t xml:space="preserve"> en secundaire grondstoffen binnen ons totale grondstoffengebruik</w:t>
      </w:r>
      <w:r w:rsidRPr="001A37A3">
        <w:rPr>
          <w:rStyle w:val="Voetnootmarkering"/>
          <w:rFonts w:ascii="Verdana" w:hAnsi="Verdana"/>
          <w:sz w:val="18"/>
          <w:szCs w:val="18"/>
        </w:rPr>
        <w:footnoteReference w:id="4"/>
      </w:r>
      <w:r w:rsidRPr="001A37A3">
        <w:rPr>
          <w:rFonts w:ascii="Verdana" w:hAnsi="Verdana"/>
          <w:sz w:val="18"/>
          <w:szCs w:val="18"/>
        </w:rPr>
        <w:t xml:space="preserve"> is in 2035 minimaal 55%;</w:t>
      </w:r>
    </w:p>
    <w:p w:rsidRPr="001A37A3" w:rsidR="00710F22" w:rsidP="00710F22" w:rsidRDefault="00710F22" w14:paraId="4693A5A9" w14:textId="77777777">
      <w:pPr>
        <w:pStyle w:val="Lijstalinea"/>
        <w:numPr>
          <w:ilvl w:val="0"/>
          <w:numId w:val="16"/>
        </w:numPr>
        <w:spacing w:line="240" w:lineRule="atLeast"/>
        <w:rPr>
          <w:rFonts w:ascii="Verdana" w:hAnsi="Verdana"/>
          <w:sz w:val="18"/>
          <w:szCs w:val="18"/>
        </w:rPr>
      </w:pPr>
      <w:r w:rsidRPr="001A37A3">
        <w:rPr>
          <w:rFonts w:ascii="Verdana" w:hAnsi="Verdana"/>
          <w:sz w:val="18"/>
          <w:szCs w:val="18"/>
        </w:rPr>
        <w:t>Het grondstoffengebruik in 2035 is 15% lager dan in 2016</w:t>
      </w:r>
    </w:p>
    <w:p w:rsidRPr="00BA2A58" w:rsidR="00710F22" w:rsidP="00710F22" w:rsidRDefault="00710F22" w14:paraId="29471000" w14:textId="77777777">
      <w:pPr>
        <w:spacing w:after="160"/>
        <w:rPr>
          <w:i/>
          <w:szCs w:val="18"/>
        </w:rPr>
      </w:pPr>
      <w:r w:rsidRPr="001A37A3">
        <w:rPr>
          <w:rFonts w:eastAsia="Calibri" w:cs="Calibri"/>
          <w:szCs w:val="18"/>
        </w:rPr>
        <w:t>Het NPCE 2025 geeft ook aan dat een doorvertaling van de nationale doelen nodig is naar productgroepen. We zijn gestart met een pilot voor de productgroep meubels om aan de hand van dezelfde systematiek die bij de nationale doelen is gebruikt, vergelijkbare doelen voor meubels te formuleren. Als uit de pilot blijkt dat dit goed werkt, zullen we dit jaar verder gaan met de productgroep elektrische en elektronische apparaten. Het kabinet streeft ernaar om op termijn voor</w:t>
      </w:r>
      <w:r w:rsidRPr="00963BFF">
        <w:rPr>
          <w:rFonts w:eastAsia="Calibri" w:cs="Calibri"/>
          <w:szCs w:val="18"/>
        </w:rPr>
        <w:t xml:space="preserve"> alle productgroepen vergelijkbare doelen </w:t>
      </w:r>
      <w:r>
        <w:rPr>
          <w:rFonts w:eastAsia="Calibri" w:cs="Calibri"/>
          <w:szCs w:val="18"/>
        </w:rPr>
        <w:t>vast te stellen</w:t>
      </w:r>
      <w:r w:rsidRPr="00963BFF">
        <w:rPr>
          <w:rFonts w:eastAsia="Calibri" w:cs="Calibri"/>
          <w:szCs w:val="18"/>
        </w:rPr>
        <w:t xml:space="preserve">, zodat we de voortgang en bijdrage aan de nationale doelen in beeld kunnen brengen. Dit sluit aan bij de aanbeveling van de WKR om meetbare </w:t>
      </w:r>
      <w:proofErr w:type="spellStart"/>
      <w:r w:rsidRPr="00963BFF">
        <w:rPr>
          <w:rFonts w:eastAsia="Calibri" w:cs="Calibri"/>
          <w:szCs w:val="18"/>
        </w:rPr>
        <w:t>langetermijn</w:t>
      </w:r>
      <w:proofErr w:type="spellEnd"/>
      <w:r w:rsidRPr="00963BFF">
        <w:rPr>
          <w:rFonts w:eastAsia="Calibri" w:cs="Calibri"/>
          <w:szCs w:val="18"/>
        </w:rPr>
        <w:t xml:space="preserve">- en tussentijdse doelen te formuleren. </w:t>
      </w:r>
      <w:r>
        <w:rPr>
          <w:rFonts w:eastAsia="Calibri" w:cs="Calibri"/>
          <w:szCs w:val="18"/>
        </w:rPr>
        <w:t xml:space="preserve">Voor het bereiken van deze doelen bekijkt </w:t>
      </w:r>
      <w:r w:rsidRPr="00F212A5">
        <w:rPr>
          <w:rFonts w:eastAsia="Calibri" w:cs="Calibri"/>
          <w:szCs w:val="18"/>
        </w:rPr>
        <w:t xml:space="preserve">het kabinet </w:t>
      </w:r>
      <w:r>
        <w:rPr>
          <w:rFonts w:eastAsia="Calibri" w:cs="Calibri"/>
          <w:szCs w:val="18"/>
        </w:rPr>
        <w:t xml:space="preserve">per productgroep </w:t>
      </w:r>
      <w:r w:rsidRPr="004F4E44">
        <w:rPr>
          <w:rFonts w:eastAsia="Calibri" w:cs="Calibri"/>
          <w:szCs w:val="18"/>
        </w:rPr>
        <w:t xml:space="preserve">welk functiegericht en productiegericht beleid al in gang is gezet en wat er aanvullend </w:t>
      </w:r>
      <w:r>
        <w:rPr>
          <w:rFonts w:eastAsia="Calibri" w:cs="Calibri"/>
          <w:szCs w:val="18"/>
        </w:rPr>
        <w:t xml:space="preserve">nodig is, daarbij gebruikmakend van de </w:t>
      </w:r>
      <w:r w:rsidRPr="00F212A5">
        <w:rPr>
          <w:rFonts w:eastAsia="Calibri" w:cs="Calibri"/>
          <w:szCs w:val="18"/>
        </w:rPr>
        <w:t xml:space="preserve">vier centrale </w:t>
      </w:r>
      <w:r>
        <w:rPr>
          <w:rFonts w:eastAsia="Calibri" w:cs="Calibri"/>
          <w:szCs w:val="18"/>
        </w:rPr>
        <w:t>NPCE-</w:t>
      </w:r>
      <w:r w:rsidRPr="00F212A5">
        <w:rPr>
          <w:rFonts w:eastAsia="Calibri" w:cs="Calibri"/>
          <w:szCs w:val="18"/>
        </w:rPr>
        <w:t>strategieën, of "knoppen"</w:t>
      </w:r>
      <w:r>
        <w:rPr>
          <w:rFonts w:eastAsia="Calibri" w:cs="Calibri"/>
          <w:szCs w:val="18"/>
        </w:rPr>
        <w:t xml:space="preserve">, </w:t>
      </w:r>
      <w:r w:rsidRPr="00F212A5">
        <w:rPr>
          <w:rFonts w:eastAsia="Calibri" w:cs="Calibri"/>
          <w:szCs w:val="18"/>
        </w:rPr>
        <w:t>om het grondstoffengebruik te verduurzamen</w:t>
      </w:r>
      <w:r>
        <w:rPr>
          <w:rFonts w:eastAsia="Calibri" w:cs="Calibri"/>
          <w:szCs w:val="18"/>
        </w:rPr>
        <w:t>.</w:t>
      </w:r>
    </w:p>
    <w:p w:rsidRPr="00BA2A58" w:rsidR="00710F22" w:rsidP="00710F22" w:rsidRDefault="00710F22" w14:paraId="263D8E0B" w14:textId="77777777">
      <w:pPr>
        <w:spacing w:after="160"/>
        <w:rPr>
          <w:i/>
          <w:szCs w:val="18"/>
          <w:u w:val="single"/>
        </w:rPr>
      </w:pPr>
      <w:r w:rsidRPr="00963BFF">
        <w:rPr>
          <w:i/>
          <w:iCs/>
          <w:szCs w:val="18"/>
          <w:u w:val="single"/>
        </w:rPr>
        <w:t>Aanbeveling 2a</w:t>
      </w:r>
      <w:r>
        <w:rPr>
          <w:i/>
          <w:iCs/>
          <w:szCs w:val="18"/>
          <w:u w:val="single"/>
        </w:rPr>
        <w:t>:</w:t>
      </w:r>
      <w:r w:rsidRPr="00963BFF">
        <w:rPr>
          <w:i/>
          <w:iCs/>
          <w:szCs w:val="18"/>
          <w:u w:val="single"/>
        </w:rPr>
        <w:t xml:space="preserve"> Voer functie- en productiegericht beleid voor auto’s </w:t>
      </w:r>
    </w:p>
    <w:p w:rsidR="00710F22" w:rsidP="00710F22" w:rsidRDefault="00710F22" w14:paraId="227EFEC2" w14:textId="77777777">
      <w:pPr>
        <w:spacing w:after="160"/>
        <w:rPr>
          <w:rFonts w:ascii="Cambria Math" w:hAnsi="Cambria Math" w:cs="Cambria Math"/>
          <w:szCs w:val="18"/>
        </w:rPr>
      </w:pPr>
      <w:r w:rsidRPr="00753EE3">
        <w:rPr>
          <w:rFonts w:ascii="Cambria Math" w:hAnsi="Cambria Math" w:cs="Cambria Math"/>
          <w:noProof/>
          <w:szCs w:val="18"/>
        </w:rPr>
        <mc:AlternateContent>
          <mc:Choice Requires="wps">
            <w:drawing>
              <wp:inline distT="0" distB="0" distL="0" distR="0" wp14:anchorId="7EE09010" wp14:editId="0803BFD6">
                <wp:extent cx="5451231" cy="1404620"/>
                <wp:effectExtent l="0" t="0" r="16510" b="17780"/>
                <wp:docPr id="55877800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231" cy="1404620"/>
                        </a:xfrm>
                        <a:prstGeom prst="rect">
                          <a:avLst/>
                        </a:prstGeom>
                        <a:solidFill>
                          <a:srgbClr val="FFFFFF"/>
                        </a:solidFill>
                        <a:ln w="9525">
                          <a:solidFill>
                            <a:srgbClr val="000000"/>
                          </a:solidFill>
                          <a:miter lim="800000"/>
                          <a:headEnd/>
                          <a:tailEnd/>
                        </a:ln>
                      </wps:spPr>
                      <wps:txbx>
                        <w:txbxContent>
                          <w:p w:rsidR="00710F22" w:rsidP="00710F22" w:rsidRDefault="00710F22" w14:paraId="06740F12" w14:textId="77777777">
                            <w:r w:rsidRPr="00963BFF">
                              <w:rPr>
                                <w:szCs w:val="18"/>
                              </w:rPr>
                              <w:t>Functiegericht: Voer beleid gericht op het invullen van de mobiliteitsbehoefte met zo veel mogelijk openbaar vervoer, de fiets en deelmobiliteit. Vergroot de bereikbaarheid van voorzieningen zonder auto en zet in op het verminderen van het aantal auto</w:t>
                            </w:r>
                            <w:r w:rsidRPr="00963BFF">
                              <w:rPr>
                                <w:rFonts w:cs="Calibri"/>
                                <w:szCs w:val="18"/>
                              </w:rPr>
                              <w:t>’</w:t>
                            </w:r>
                            <w:r w:rsidRPr="00963BFF">
                              <w:rPr>
                                <w:szCs w:val="18"/>
                              </w:rPr>
                              <w:t xml:space="preserve">s met restrictief parkeerbeleid. </w:t>
                            </w:r>
                          </w:p>
                        </w:txbxContent>
                      </wps:txbx>
                      <wps:bodyPr rot="0" vert="horz" wrap="square" lIns="91440" tIns="45720" rIns="91440" bIns="45720" anchor="t" anchorCtr="0">
                        <a:spAutoFit/>
                      </wps:bodyPr>
                    </wps:wsp>
                  </a:graphicData>
                </a:graphic>
              </wp:inline>
            </w:drawing>
          </mc:Choice>
          <mc:Fallback>
            <w:pict>
              <v:shape id="_x0000_s1027" style="width:42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" w14:anchorId="7EE09010">
                <v:textbox style="mso-fit-shape-to-text:t">
                  <w:txbxContent>
                    <w:p w:rsidR="00710F22" w:rsidP="00710F22" w:rsidRDefault="00710F22" w14:paraId="06740F12" w14:textId="77777777">
                      <w:r w:rsidRPr="00963BFF">
                        <w:rPr>
                          <w:szCs w:val="18"/>
                        </w:rPr>
                        <w:t>Functiegericht: Voer beleid gericht op het invullen van de mobiliteitsbehoefte met zo veel mogelijk openbaar vervoer, de fiets en deelmobiliteit. Vergroot de bereikbaarheid van voorzieningen zonder auto en zet in op het verminderen van het aantal auto</w:t>
                      </w:r>
                      <w:r w:rsidRPr="00963BFF">
                        <w:rPr>
                          <w:rFonts w:cs="Calibri"/>
                          <w:szCs w:val="18"/>
                        </w:rPr>
                        <w:t>’</w:t>
                      </w:r>
                      <w:r w:rsidRPr="00963BFF">
                        <w:rPr>
                          <w:szCs w:val="18"/>
                        </w:rPr>
                        <w:t xml:space="preserve">s met restrictief parkeerbeleid. </w:t>
                      </w:r>
                    </w:p>
                  </w:txbxContent>
                </v:textbox>
                <w10:anchorlock/>
              </v:shape>
            </w:pict>
          </mc:Fallback>
        </mc:AlternateContent>
      </w:r>
    </w:p>
    <w:p w:rsidR="00710F22" w:rsidP="00710F22" w:rsidRDefault="00710F22" w14:paraId="7D002C3E" w14:textId="77777777">
      <w:pPr>
        <w:spacing w:after="160"/>
        <w:rPr>
          <w:rFonts w:eastAsia="Verdana" w:cs="Verdana"/>
          <w:szCs w:val="18"/>
        </w:rPr>
      </w:pPr>
      <w:r w:rsidRPr="00753EE3">
        <w:rPr>
          <w:rFonts w:eastAsia="Verdana" w:cs="Verdana"/>
          <w:szCs w:val="18"/>
        </w:rPr>
        <w:t xml:space="preserve">Het kabinet deelt de visie dat </w:t>
      </w:r>
      <w:r>
        <w:rPr>
          <w:rFonts w:eastAsia="Verdana" w:cs="Verdana"/>
          <w:szCs w:val="18"/>
        </w:rPr>
        <w:t xml:space="preserve">we </w:t>
      </w:r>
      <w:r w:rsidRPr="00753EE3">
        <w:rPr>
          <w:rFonts w:eastAsia="Verdana" w:cs="Verdana"/>
          <w:szCs w:val="18"/>
        </w:rPr>
        <w:t xml:space="preserve">de bereikbaarheid van maatschappelijke voorzieningen in heel Nederland toekomstbestendig </w:t>
      </w:r>
      <w:r w:rsidRPr="00E57C96">
        <w:rPr>
          <w:rFonts w:eastAsia="Verdana" w:cs="Verdana"/>
          <w:szCs w:val="18"/>
        </w:rPr>
        <w:t>moeten borgen. Zoals aangegeven in he</w:t>
      </w:r>
      <w:r>
        <w:rPr>
          <w:rFonts w:eastAsia="Verdana" w:cs="Verdana"/>
          <w:szCs w:val="18"/>
        </w:rPr>
        <w:t>t</w:t>
      </w:r>
      <w:r w:rsidRPr="00E57C96">
        <w:rPr>
          <w:rFonts w:eastAsia="Verdana" w:cs="Verdana"/>
          <w:szCs w:val="18"/>
        </w:rPr>
        <w:t xml:space="preserve"> Coalitieakkoord stimuleert het kabinet het gebruik van deelauto’s, fiets en openbaar vervoer met inachtneming van de regionale context om op deze manier in de mobiliteitsbehoefte te voorzien. In lijn met de Mobiliteitsvisie 2050 werkt het kabinet dit uit voor integraal bereikbaarheidsbeleid. Het kabinet zet in op de juiste modaliteit op juiste plaats en tijd. </w:t>
      </w:r>
      <w:r w:rsidRPr="00E57C96">
        <w:t>De inrichting van het mobiliteitssysteem is een veelzijdige opgave waarbij naast het aspect</w:t>
      </w:r>
      <w:r w:rsidRPr="0086524D">
        <w:t xml:space="preserve"> van materiaalgebruik ook waarden spelen als betaalbaarheid, toegankelijkheid en kwaliteit (waaronder verkeersveiligheid, duurzaamheid, leefbaarheid en robuustheid van de prestaties)</w:t>
      </w:r>
      <w:r w:rsidRPr="00D5396B">
        <w:t>.</w:t>
      </w:r>
      <w:r>
        <w:t xml:space="preserve"> </w:t>
      </w:r>
      <w:r>
        <w:rPr>
          <w:rFonts w:eastAsia="Verdana" w:cs="Verdana"/>
          <w:szCs w:val="18"/>
        </w:rPr>
        <w:t>Deelmobiliteit, OV en actieve mobiliteit</w:t>
      </w:r>
      <w:r>
        <w:rPr>
          <w:rStyle w:val="Voetnootmarkering"/>
          <w:rFonts w:eastAsia="Verdana" w:cs="Verdana"/>
          <w:szCs w:val="18"/>
        </w:rPr>
        <w:footnoteReference w:id="5"/>
      </w:r>
      <w:r>
        <w:rPr>
          <w:rFonts w:eastAsia="Verdana" w:cs="Verdana"/>
          <w:szCs w:val="18"/>
        </w:rPr>
        <w:t xml:space="preserve"> zijn – naast de auto – vervoersmodaliteiten die elkaar aanvullen in dat bredere systeem, waarbij gebruik sterk afhangt van persoonlijke situaties en afwegingen. </w:t>
      </w:r>
      <w:r w:rsidRPr="001A593C">
        <w:rPr>
          <w:rFonts w:eastAsia="Verdana" w:cs="Verdana"/>
          <w:szCs w:val="18"/>
        </w:rPr>
        <w:t xml:space="preserve">Het kabinet verkent daarbij ook de mogelijkheden van publieke mobiliteit om het mobiliteitssysteem te versterken en toegankelijker te maken. Publieke mobiliteit integreert doelgroepenvervoer en openbaar vervoer in een gedeeltelijk </w:t>
      </w:r>
      <w:proofErr w:type="spellStart"/>
      <w:r w:rsidRPr="001A593C">
        <w:rPr>
          <w:rFonts w:eastAsia="Verdana" w:cs="Verdana"/>
          <w:szCs w:val="18"/>
        </w:rPr>
        <w:t>vraaggestuurd</w:t>
      </w:r>
      <w:proofErr w:type="spellEnd"/>
      <w:r w:rsidRPr="001A593C">
        <w:rPr>
          <w:rFonts w:eastAsia="Verdana" w:cs="Verdana"/>
          <w:szCs w:val="18"/>
        </w:rPr>
        <w:t xml:space="preserve"> systeem dat van ’s ochtends vroeg tot ’s avonds laat toegankelijk is, waardoor voor reizigers de vervoersmogelijkheden en de bereikbaarheid van voorzieningen, zeker op regionaal niveau, kunnen toenemen. Het kabinet ziet daarom kansen om de keuzevrijheid voor modaliteiten te vergroten met de inzet van publieke mobiliteit. De staatssecretaris van IenW zal u hierover binnenkort nader informeren.</w:t>
      </w:r>
    </w:p>
    <w:p w:rsidRPr="00963BFF" w:rsidR="00710F22" w:rsidP="00710F22" w:rsidRDefault="00710F22" w14:paraId="0AAE4994" w14:textId="77777777">
      <w:pPr>
        <w:spacing w:after="160"/>
        <w:rPr>
          <w:szCs w:val="18"/>
        </w:rPr>
      </w:pPr>
      <w:r>
        <w:rPr>
          <w:rFonts w:eastAsia="Verdana" w:cs="Verdana"/>
          <w:szCs w:val="18"/>
        </w:rPr>
        <w:t xml:space="preserve">De inrichting van het mobiliteitssysteem is daarnaast een gedeelde verantwoordelijkheid. Naast de verantwoordelijkheid van het Rijk voor de hoofdnetwerken, kijkt het kabinet ook gebiedsgericht naar mobiliteit, zoals ook onderschreven in het advies. </w:t>
      </w:r>
      <w:r w:rsidRPr="00753EE3">
        <w:rPr>
          <w:rFonts w:eastAsia="Verdana" w:cs="Verdana"/>
          <w:szCs w:val="18"/>
        </w:rPr>
        <w:t>Provincies, vervoerregio’s en gemeenten spelen als medeoverheden een cruciale rol om met regionale buslijnen, parkeerbeleid en ruimtelijke inrichting, de juiste mobiliteit op de juiste plaats en tijd te faciliteren en stimuleren.</w:t>
      </w:r>
    </w:p>
    <w:p w:rsidRPr="00753EE3" w:rsidR="00710F22" w:rsidP="00710F22" w:rsidRDefault="00710F22" w14:paraId="5B495A67" w14:textId="77777777">
      <w:pPr>
        <w:spacing w:after="160"/>
        <w:rPr>
          <w:rFonts w:eastAsia="Verdana" w:cs="Verdana"/>
          <w:szCs w:val="18"/>
        </w:rPr>
      </w:pPr>
      <w:r w:rsidRPr="00753EE3">
        <w:rPr>
          <w:rFonts w:eastAsia="Verdana" w:cs="Verdana"/>
          <w:noProof/>
          <w:szCs w:val="18"/>
        </w:rPr>
        <mc:AlternateContent>
          <mc:Choice Requires="wps">
            <w:drawing>
              <wp:inline distT="0" distB="0" distL="0" distR="0" wp14:anchorId="12E31856" wp14:editId="2D29596F">
                <wp:extent cx="5609492" cy="1043354"/>
                <wp:effectExtent l="0" t="0" r="10795" b="23495"/>
                <wp:docPr id="107284220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9492" cy="1043354"/>
                        </a:xfrm>
                        <a:prstGeom prst="rect">
                          <a:avLst/>
                        </a:prstGeom>
                        <a:solidFill>
                          <a:srgbClr val="FFFFFF"/>
                        </a:solidFill>
                        <a:ln w="9525">
                          <a:solidFill>
                            <a:srgbClr val="000000"/>
                          </a:solidFill>
                          <a:miter lim="800000"/>
                          <a:headEnd/>
                          <a:tailEnd/>
                        </a:ln>
                      </wps:spPr>
                      <wps:txbx>
                        <w:txbxContent>
                          <w:p w:rsidRPr="00753EE3" w:rsidR="00710F22" w:rsidP="00710F22" w:rsidRDefault="00710F22" w14:paraId="2D72E933" w14:textId="77777777">
                            <w:pPr>
                              <w:rPr>
                                <w:szCs w:val="18"/>
                              </w:rPr>
                            </w:pPr>
                            <w:r w:rsidRPr="00963BFF">
                              <w:rPr>
                                <w:szCs w:val="18"/>
                              </w:rPr>
                              <w:t>Productiegericht: Voer beleid gericht op het produceren van auto</w:t>
                            </w:r>
                            <w:r w:rsidRPr="00963BFF">
                              <w:rPr>
                                <w:rFonts w:cs="Calibri"/>
                                <w:szCs w:val="18"/>
                              </w:rPr>
                              <w:t>’</w:t>
                            </w:r>
                            <w:r w:rsidRPr="00963BFF">
                              <w:rPr>
                                <w:szCs w:val="18"/>
                              </w:rPr>
                              <w:t>s met minder en duurzamere materialen. Voer hiertoe een progressieve aanschaf- en gebruiksbelasting in voor auto’s waarbij de broeikasgasemissies gerelateerd aan het materiaalgebruik worden meegerekend. Zet daarnaast binnen de EU in op normen voor duurzaam of secundair materiaalgebruik en de levensduur van auto’s in de Verordening Circulaire Voertuigen in lijn met klimaatneutraliteit in 2050.</w:t>
                            </w:r>
                            <w:r w:rsidRPr="00963BFF">
                              <w:rPr>
                                <w:rFonts w:eastAsia="Calibri" w:cs="Calibri"/>
                                <w:szCs w:val="18"/>
                              </w:rPr>
                              <w:t xml:space="preserve"> </w:t>
                            </w:r>
                          </w:p>
                        </w:txbxContent>
                      </wps:txbx>
                      <wps:bodyPr rot="0" vert="horz" wrap="square" lIns="91440" tIns="45720" rIns="91440" bIns="45720" anchor="t" anchorCtr="0">
                        <a:noAutofit/>
                      </wps:bodyPr>
                    </wps:wsp>
                  </a:graphicData>
                </a:graphic>
              </wp:inline>
            </w:drawing>
          </mc:Choice>
          <mc:Fallback>
            <w:pict>
              <v:shape id="_x0000_s1028" style="width:441.7pt;height:82.1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" w14:anchorId="12E31856">
                <v:textbox>
                  <w:txbxContent>
                    <w:p w:rsidRPr="00753EE3" w:rsidR="00710F22" w:rsidP="00710F22" w:rsidRDefault="00710F22" w14:paraId="2D72E933" w14:textId="77777777">
                      <w:pPr>
                        <w:rPr>
                          <w:szCs w:val="18"/>
                        </w:rPr>
                      </w:pPr>
                      <w:r w:rsidRPr="00963BFF">
                        <w:rPr>
                          <w:szCs w:val="18"/>
                        </w:rPr>
                        <w:t>Productiegericht: Voer beleid gericht op het produceren van auto</w:t>
                      </w:r>
                      <w:r w:rsidRPr="00963BFF">
                        <w:rPr>
                          <w:rFonts w:cs="Calibri"/>
                          <w:szCs w:val="18"/>
                        </w:rPr>
                        <w:t>’</w:t>
                      </w:r>
                      <w:r w:rsidRPr="00963BFF">
                        <w:rPr>
                          <w:szCs w:val="18"/>
                        </w:rPr>
                        <w:t>s met minder en duurzamere materialen. Voer hiertoe een progressieve aanschaf- en gebruiksbelasting in voor auto’s waarbij de broeikasgasemissies gerelateerd aan het materiaalgebruik worden meegerekend. Zet daarnaast binnen de EU in op normen voor duurzaam of secundair materiaalgebruik en de levensduur van auto’s in de Verordening Circulaire Voertuigen in lijn met klimaatneutraliteit in 2050.</w:t>
                      </w:r>
                      <w:r w:rsidRPr="00963BFF">
                        <w:rPr>
                          <w:rFonts w:eastAsia="Calibri" w:cs="Calibri"/>
                          <w:szCs w:val="18"/>
                        </w:rPr>
                        <w:t xml:space="preserve"> </w:t>
                      </w:r>
                    </w:p>
                  </w:txbxContent>
                </v:textbox>
                <w10:anchorlock/>
              </v:shape>
            </w:pict>
          </mc:Fallback>
        </mc:AlternateContent>
      </w:r>
    </w:p>
    <w:p w:rsidRPr="00BA2A58" w:rsidR="00710F22" w:rsidP="00710F22" w:rsidRDefault="00710F22" w14:paraId="281DFEA1" w14:textId="77777777">
      <w:pPr>
        <w:spacing w:after="160"/>
        <w:rPr>
          <w:rFonts w:eastAsia="Calibri" w:cs="Calibri"/>
          <w:i/>
          <w:szCs w:val="18"/>
        </w:rPr>
      </w:pPr>
      <w:r w:rsidRPr="00963BFF">
        <w:rPr>
          <w:szCs w:val="18"/>
        </w:rPr>
        <w:t xml:space="preserve">Beleid dat zich richt op de ontwerpeisen van producten (zoals materiaalgebruik) is vanwege de interne markt vooral effectief als </w:t>
      </w:r>
      <w:r>
        <w:rPr>
          <w:szCs w:val="18"/>
        </w:rPr>
        <w:t xml:space="preserve">wij </w:t>
      </w:r>
      <w:r w:rsidRPr="00963BFF">
        <w:rPr>
          <w:szCs w:val="18"/>
        </w:rPr>
        <w:t xml:space="preserve">dit op EU-niveau </w:t>
      </w:r>
      <w:r>
        <w:rPr>
          <w:szCs w:val="18"/>
        </w:rPr>
        <w:t>invoeren</w:t>
      </w:r>
      <w:r w:rsidRPr="00963BFF">
        <w:rPr>
          <w:szCs w:val="18"/>
        </w:rPr>
        <w:t xml:space="preserve">. Daarom heeft Nederland zich tijdens de onderhandelingen van de Circulaire Voertuigenverordening ingezet voor ambitieuze doelstellingen voor de toepassing van gerecycled plastic in voertuigen. </w:t>
      </w:r>
      <w:r>
        <w:rPr>
          <w:szCs w:val="18"/>
        </w:rPr>
        <w:t xml:space="preserve">Die zijn opgenomen in de verordening. </w:t>
      </w:r>
      <w:r w:rsidRPr="00963BFF">
        <w:rPr>
          <w:szCs w:val="18"/>
        </w:rPr>
        <w:t xml:space="preserve">Verder zal in de toekomst ook worden voorzien in verplichte recyclaattoepassingen voor andere materialen zoals staal en aluminium. Nederland zal zich tijdens het bepalen van deze doelstellingen opnieuw volop </w:t>
      </w:r>
      <w:r>
        <w:rPr>
          <w:szCs w:val="18"/>
        </w:rPr>
        <w:t>inzetten</w:t>
      </w:r>
      <w:r w:rsidRPr="00963BFF">
        <w:rPr>
          <w:szCs w:val="18"/>
        </w:rPr>
        <w:t xml:space="preserve"> voor ambitieuze doelstellingen. De verordening bevat ook bepalingen die de levensduur van voertuigen verlengen, door bijvoorbeeld het bevorderen van reparatie. </w:t>
      </w:r>
    </w:p>
    <w:p w:rsidRPr="00E57C96" w:rsidR="00710F22" w:rsidP="00710F22" w:rsidRDefault="00710F22" w14:paraId="21BE3ED5" w14:textId="77777777">
      <w:pPr>
        <w:spacing w:after="160"/>
        <w:rPr>
          <w:szCs w:val="18"/>
        </w:rPr>
      </w:pPr>
      <w:r w:rsidRPr="00963BFF">
        <w:rPr>
          <w:szCs w:val="18"/>
        </w:rPr>
        <w:t xml:space="preserve">Voor autowrakken geldt er al een uitgebreide producentenverantwoordelijkheid (UPV), waarbij producenten van auto’s financieel en organisatorisch verantwoordelijk zijn voor het afvalbeheer van producten die zij op de markt brengen. </w:t>
      </w:r>
      <w:r>
        <w:rPr>
          <w:szCs w:val="18"/>
        </w:rPr>
        <w:t>De</w:t>
      </w:r>
      <w:r w:rsidRPr="00963BFF">
        <w:rPr>
          <w:szCs w:val="18"/>
        </w:rPr>
        <w:t xml:space="preserve"> Circulaire Voertuigenverordening </w:t>
      </w:r>
      <w:r>
        <w:rPr>
          <w:szCs w:val="18"/>
        </w:rPr>
        <w:t>verduidelijkt</w:t>
      </w:r>
      <w:r w:rsidRPr="00963BFF">
        <w:rPr>
          <w:szCs w:val="18"/>
        </w:rPr>
        <w:t xml:space="preserve"> de bepalingen hiervoor, zo ook voor </w:t>
      </w:r>
      <w:proofErr w:type="spellStart"/>
      <w:r w:rsidRPr="00963BFF">
        <w:rPr>
          <w:szCs w:val="18"/>
        </w:rPr>
        <w:t>eco</w:t>
      </w:r>
      <w:proofErr w:type="spellEnd"/>
      <w:r w:rsidRPr="00963BFF">
        <w:rPr>
          <w:szCs w:val="18"/>
        </w:rPr>
        <w:t xml:space="preserve">-modulatie. Dit houdt concreet in dat de bijdrage voor het afvalbeheer die producenten moeten </w:t>
      </w:r>
      <w:r w:rsidRPr="0088158A">
        <w:rPr>
          <w:szCs w:val="18"/>
        </w:rPr>
        <w:t>afdragen</w:t>
      </w:r>
      <w:r w:rsidRPr="00963BFF">
        <w:rPr>
          <w:szCs w:val="18"/>
        </w:rPr>
        <w:t xml:space="preserve"> afhankelijk is van bijvoorbeeld het gewicht van het voertuig en het aandeel gerecyclede materialen. </w:t>
      </w:r>
      <w:r>
        <w:rPr>
          <w:szCs w:val="18"/>
        </w:rPr>
        <w:t>Dit stimuleert</w:t>
      </w:r>
      <w:r w:rsidRPr="00963BFF">
        <w:rPr>
          <w:szCs w:val="18"/>
        </w:rPr>
        <w:t xml:space="preserve"> duurzaam of secundair materiaal of zelf</w:t>
      </w:r>
      <w:r>
        <w:rPr>
          <w:szCs w:val="18"/>
        </w:rPr>
        <w:t>s</w:t>
      </w:r>
      <w:r w:rsidRPr="00963BFF">
        <w:rPr>
          <w:szCs w:val="18"/>
        </w:rPr>
        <w:t xml:space="preserve"> minder materiaalgebruik door </w:t>
      </w:r>
      <w:r w:rsidRPr="00E57C96">
        <w:rPr>
          <w:szCs w:val="18"/>
        </w:rPr>
        <w:t xml:space="preserve">een lagere bijdrage voor het afvalbeheer. </w:t>
      </w:r>
    </w:p>
    <w:p w:rsidRPr="0088158A" w:rsidR="00710F22" w:rsidP="00710F22" w:rsidRDefault="00710F22" w14:paraId="1A7D2AC7" w14:textId="77777777">
      <w:pPr>
        <w:spacing w:after="160"/>
        <w:rPr>
          <w:szCs w:val="18"/>
        </w:rPr>
      </w:pPr>
      <w:r w:rsidRPr="00E57C96">
        <w:rPr>
          <w:szCs w:val="18"/>
        </w:rPr>
        <w:t>Bij het gebruik van het OV is het materiaalgebruik per reizigerskilometer lager dan van een auto. Bovendien heeft de OV sector in juni 2025 het Convenant Circulair Openbaar Vervoer (CCOV) ondertekend, waarbij partijen zich collectief en individueel zullen inzetten voor het bereiken van een volledig circulair OV.</w:t>
      </w:r>
    </w:p>
    <w:p w:rsidR="00710F22" w:rsidP="00710F22" w:rsidRDefault="00710F22" w14:paraId="4EDECD03" w14:textId="77777777">
      <w:pPr>
        <w:spacing w:after="160"/>
        <w:rPr>
          <w:szCs w:val="18"/>
        </w:rPr>
      </w:pPr>
      <w:r w:rsidRPr="009D0BF5">
        <w:rPr>
          <w:szCs w:val="18"/>
        </w:rPr>
        <w:t>Het kabinet</w:t>
      </w:r>
      <w:r>
        <w:rPr>
          <w:szCs w:val="18"/>
        </w:rPr>
        <w:t xml:space="preserve"> heeft kennis genomen van de aanbevelingen van de WKR om via </w:t>
      </w:r>
      <w:r w:rsidRPr="00222F38">
        <w:rPr>
          <w:szCs w:val="18"/>
        </w:rPr>
        <w:t>de motorrijtuigenbelasting (MRB) en de</w:t>
      </w:r>
      <w:r>
        <w:rPr>
          <w:szCs w:val="18"/>
        </w:rPr>
        <w:t xml:space="preserve"> </w:t>
      </w:r>
      <w:r w:rsidRPr="00222F38">
        <w:rPr>
          <w:szCs w:val="18"/>
        </w:rPr>
        <w:t>aanschafbelasting van personenauto’s en motorrijwielen</w:t>
      </w:r>
      <w:r>
        <w:rPr>
          <w:szCs w:val="18"/>
        </w:rPr>
        <w:t xml:space="preserve"> </w:t>
      </w:r>
      <w:r w:rsidRPr="00222F38">
        <w:rPr>
          <w:szCs w:val="18"/>
        </w:rPr>
        <w:t>(BPM)</w:t>
      </w:r>
      <w:r>
        <w:rPr>
          <w:szCs w:val="18"/>
        </w:rPr>
        <w:t xml:space="preserve"> te sturen op productie van duurzame auto’s en om het gebruik van duurzame materialen te stimuleren, door bij beide instrumenten sterker te differentiëren naar gewicht of uitstoot door materiaalgebruik.</w:t>
      </w:r>
      <w:r w:rsidRPr="009D0BF5">
        <w:rPr>
          <w:szCs w:val="18"/>
        </w:rPr>
        <w:t xml:space="preserve"> </w:t>
      </w:r>
      <w:r>
        <w:rPr>
          <w:szCs w:val="18"/>
        </w:rPr>
        <w:t xml:space="preserve">Het kabinet zal deze aanbevelingen in de toekomst in ogenschouw nemen bij de doorontwikkeling van deze belastingen, waarbij een eventuele herziening niet ten koste zal gaan van de inzet om elektrisch rijden fiscaal aantrekkelijk te houden. Daarnaast onderzoekt het kabinet of een toekomstbestendige hervorming van de autobelasting naar oppervlakte of omvang binnen de motorrijtuigenbelasting mogelijk is, waarbij voorwaarde is dat automobilisten er niet op achteruit mogen gaan. </w:t>
      </w:r>
    </w:p>
    <w:p w:rsidRPr="00BA2A58" w:rsidR="00710F22" w:rsidP="00710F22" w:rsidRDefault="00710F22" w14:paraId="546BD92F" w14:textId="77777777">
      <w:pPr>
        <w:spacing w:after="160"/>
        <w:rPr>
          <w:i/>
          <w:szCs w:val="18"/>
          <w:u w:val="single"/>
        </w:rPr>
      </w:pPr>
      <w:r w:rsidRPr="00963BFF">
        <w:rPr>
          <w:i/>
          <w:iCs/>
          <w:szCs w:val="18"/>
          <w:u w:val="single"/>
        </w:rPr>
        <w:t>Aanbeveling 2b Voer</w:t>
      </w:r>
      <w:r>
        <w:rPr>
          <w:i/>
          <w:iCs/>
          <w:szCs w:val="18"/>
          <w:u w:val="single"/>
        </w:rPr>
        <w:t xml:space="preserve"> </w:t>
      </w:r>
      <w:r w:rsidRPr="00963BFF">
        <w:rPr>
          <w:i/>
          <w:iCs/>
          <w:szCs w:val="18"/>
          <w:u w:val="single"/>
        </w:rPr>
        <w:t xml:space="preserve">functie- en productiegericht beleid voor woningen </w:t>
      </w:r>
    </w:p>
    <w:p w:rsidRPr="0031341D" w:rsidR="00710F22" w:rsidP="00710F22" w:rsidRDefault="00710F22" w14:paraId="4877CBE5" w14:textId="77777777">
      <w:pPr>
        <w:spacing w:after="160"/>
        <w:rPr>
          <w:szCs w:val="18"/>
          <w:u w:val="single"/>
        </w:rPr>
      </w:pPr>
      <w:r w:rsidRPr="00067E67">
        <w:rPr>
          <w:noProof/>
          <w:szCs w:val="18"/>
        </w:rPr>
        <mc:AlternateContent>
          <mc:Choice Requires="wps">
            <w:drawing>
              <wp:inline distT="0" distB="0" distL="0" distR="0" wp14:anchorId="2658C806" wp14:editId="36FE59B5">
                <wp:extent cx="6019800" cy="1404620"/>
                <wp:effectExtent l="0" t="0" r="19050" b="17780"/>
                <wp:docPr id="48080169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404620"/>
                        </a:xfrm>
                        <a:prstGeom prst="rect">
                          <a:avLst/>
                        </a:prstGeom>
                        <a:solidFill>
                          <a:srgbClr val="FFFFFF"/>
                        </a:solidFill>
                        <a:ln w="9525">
                          <a:solidFill>
                            <a:srgbClr val="000000"/>
                          </a:solidFill>
                          <a:miter lim="800000"/>
                          <a:headEnd/>
                          <a:tailEnd/>
                        </a:ln>
                      </wps:spPr>
                      <wps:txbx>
                        <w:txbxContent>
                          <w:p w:rsidRPr="00067E67" w:rsidR="00710F22" w:rsidP="00710F22" w:rsidRDefault="00710F22" w14:paraId="2C692431" w14:textId="77777777">
                            <w:pPr>
                              <w:rPr>
                                <w:szCs w:val="18"/>
                              </w:rPr>
                            </w:pPr>
                            <w:r w:rsidRPr="00067E67">
                              <w:rPr>
                                <w:szCs w:val="18"/>
                              </w:rPr>
                              <w:t>Functiegericht: Realiseer meer woonruimte door beter gebruik te maken van bestaande gebouwen. Maximaliseer hiertoe de inzet van optoppen, opsplitsen, transformeren, doorstromen en woningdelen. Stel voor deze strategie</w:t>
                            </w:r>
                            <w:r w:rsidRPr="00067E67">
                              <w:rPr>
                                <w:rFonts w:cs="Calibri"/>
                                <w:szCs w:val="18"/>
                              </w:rPr>
                              <w:t>ë</w:t>
                            </w:r>
                            <w:r w:rsidRPr="00067E67">
                              <w:rPr>
                                <w:szCs w:val="18"/>
                              </w:rPr>
                              <w:t>n ambitieuze doelen en ontwikkel sterkere, samenhangende instrumenten om ze op te schalen, zoals normering, subsidies en fiscale vrijstellingen.</w:t>
                            </w:r>
                          </w:p>
                        </w:txbxContent>
                      </wps:txbx>
                      <wps:bodyPr rot="0" vert="horz" wrap="square" lIns="91440" tIns="45720" rIns="91440" bIns="45720" anchor="t" anchorCtr="0">
                        <a:spAutoFit/>
                      </wps:bodyPr>
                    </wps:wsp>
                  </a:graphicData>
                </a:graphic>
              </wp:inline>
            </w:drawing>
          </mc:Choice>
          <mc:Fallback>
            <w:pict>
              <v:shape id="_x0000_s1029" style="width:474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" w14:anchorId="2658C806">
                <v:textbox style="mso-fit-shape-to-text:t">
                  <w:txbxContent>
                    <w:p w:rsidRPr="00067E67" w:rsidR="00710F22" w:rsidP="00710F22" w:rsidRDefault="00710F22" w14:paraId="2C692431" w14:textId="77777777">
                      <w:pPr>
                        <w:rPr>
                          <w:szCs w:val="18"/>
                        </w:rPr>
                      </w:pPr>
                      <w:r w:rsidRPr="00067E67">
                        <w:rPr>
                          <w:szCs w:val="18"/>
                        </w:rPr>
                        <w:t>Functiegericht: Realiseer meer woonruimte door beter gebruik te maken van bestaande gebouwen. Maximaliseer hiertoe de inzet van optoppen, opsplitsen, transformeren, doorstromen en woningdelen. Stel voor deze strategie</w:t>
                      </w:r>
                      <w:r w:rsidRPr="00067E67">
                        <w:rPr>
                          <w:rFonts w:cs="Calibri"/>
                          <w:szCs w:val="18"/>
                        </w:rPr>
                        <w:t>ë</w:t>
                      </w:r>
                      <w:r w:rsidRPr="00067E67">
                        <w:rPr>
                          <w:szCs w:val="18"/>
                        </w:rPr>
                        <w:t>n ambitieuze doelen en ontwikkel sterkere, samenhangende instrumenten om ze op te schalen, zoals normering, subsidies en fiscale vrijstellingen.</w:t>
                      </w:r>
                    </w:p>
                  </w:txbxContent>
                </v:textbox>
                <w10:anchorlock/>
              </v:shape>
            </w:pict>
          </mc:Fallback>
        </mc:AlternateContent>
      </w:r>
    </w:p>
    <w:p w:rsidRPr="00963BFF" w:rsidR="00710F22" w:rsidP="00710F22" w:rsidRDefault="00710F22" w14:paraId="36D5F8A4" w14:textId="77777777">
      <w:pPr>
        <w:spacing w:after="160"/>
        <w:rPr>
          <w:szCs w:val="18"/>
        </w:rPr>
      </w:pPr>
      <w:r w:rsidRPr="00963BFF">
        <w:rPr>
          <w:szCs w:val="18"/>
        </w:rPr>
        <w:t xml:space="preserve">Het opschalen van Beter Benutten van bestaande gebouwen, waaronder meer optoppen, splitsen, transformeren, woningdelen en het bevorderen van doorstroming onderdeel van uitmaken, is een belangrijke prioriteit voor dit kabinet. Beter Benutten biedt niet alleen een mogelijkheid om snel de woningnood tegen te gaan, maar bevordert ook het efficiënt gebruik van ruimte en materialen. Zo zorgt het veelal voor een verlengde levensduur van gebouwen en voegen we met </w:t>
      </w:r>
      <w:r>
        <w:rPr>
          <w:szCs w:val="18"/>
        </w:rPr>
        <w:t>B</w:t>
      </w:r>
      <w:r w:rsidRPr="00963BFF">
        <w:rPr>
          <w:szCs w:val="18"/>
        </w:rPr>
        <w:t xml:space="preserve">eter </w:t>
      </w:r>
      <w:r>
        <w:rPr>
          <w:szCs w:val="18"/>
        </w:rPr>
        <w:t>B</w:t>
      </w:r>
      <w:r w:rsidRPr="00963BFF">
        <w:rPr>
          <w:szCs w:val="18"/>
        </w:rPr>
        <w:t>enutten woningen en woonplekken toe op locaties waar infrastructuur en voorzieningen al aanwezig zijn. Daarom is Beter Benutten een van de prioriteiten van de Ministeriële Taskforce Versnelling Woningbouw. Eén van de eerste resultaten van de Taskforce is de lancering van de Landelijke Aanpak Beter Benutten.</w:t>
      </w:r>
      <w:r w:rsidRPr="00963BFF">
        <w:rPr>
          <w:rStyle w:val="Voetnootmarkering"/>
          <w:szCs w:val="18"/>
        </w:rPr>
        <w:footnoteReference w:id="6"/>
      </w:r>
      <w:r w:rsidRPr="00963BFF">
        <w:rPr>
          <w:szCs w:val="18"/>
        </w:rPr>
        <w:t xml:space="preserve"> Dit is een samenhangende aanpak rondom zes ambitieuze doorbraakopgaven, waaronder het toepassen van gerichte sturing, het wegnemen van juridische belemmeringen en het verbeteren van financiële ondersteuning. </w:t>
      </w:r>
      <w:r w:rsidRPr="00DD6DC4">
        <w:rPr>
          <w:szCs w:val="18"/>
        </w:rPr>
        <w:t xml:space="preserve">Resultaat van deze aanpak is dat er jaarlijks 15.000 woningen worden gerealiseerd door de bestaande voorraad beter te benutten. </w:t>
      </w:r>
      <w:r w:rsidRPr="00963BFF">
        <w:rPr>
          <w:szCs w:val="18"/>
        </w:rPr>
        <w:t xml:space="preserve">Hiermee geeft het kabinet ook invulling aan de </w:t>
      </w:r>
      <w:r>
        <w:rPr>
          <w:szCs w:val="18"/>
        </w:rPr>
        <w:t>afspraken</w:t>
      </w:r>
      <w:r w:rsidRPr="00963BFF">
        <w:rPr>
          <w:szCs w:val="18"/>
        </w:rPr>
        <w:t xml:space="preserve"> voor Beter Benutten zoals die in het Coalitieakkoord zijn opgenomen, inclusief de verplichting aan gemeenten om helder beleid op papier te zetten onder welke omstandigheden initiatiefnemers mogen optoppen en splitsen.</w:t>
      </w:r>
    </w:p>
    <w:p w:rsidRPr="00882271" w:rsidR="00710F22" w:rsidP="00710F22" w:rsidRDefault="00710F22" w14:paraId="49B08D5C" w14:textId="77777777">
      <w:pPr>
        <w:spacing w:after="160"/>
        <w:rPr>
          <w:szCs w:val="18"/>
        </w:rPr>
      </w:pPr>
      <w:r w:rsidRPr="00882271">
        <w:rPr>
          <w:szCs w:val="18"/>
        </w:rPr>
        <w:t>Het huidige partnerbegrip in de AOW is één van de belemmeringen voor mensen om samen te gaan wonen en mantelzorg te verlenen aan elkaar, blijkt uit een onderzoek over het AOW-partnerbegrip van SZW. Daarnaast zijn er signalen over de uitvoerbaarheid door de SVB, omdat het voor hen complex is om de gezamenlijke huishouding tussen samenwonende AOW’ers te beoordelen. Uit de MKBA AOW – wonen en zorg blijkt dat het objectief partnerbegrip de potentie van woningdelen kan vergroten. De regering werkt de komende maanden aan</w:t>
      </w:r>
      <w:r>
        <w:rPr>
          <w:szCs w:val="18"/>
        </w:rPr>
        <w:t xml:space="preserve"> </w:t>
      </w:r>
      <w:r w:rsidRPr="003142B4">
        <w:rPr>
          <w:szCs w:val="18"/>
        </w:rPr>
        <w:t>opties voor harmonisering van het aantal leefvormvarianten in de AOW, inclusief (indien nodig)</w:t>
      </w:r>
      <w:r w:rsidRPr="003142B4" w:rsidDel="003142B4">
        <w:rPr>
          <w:szCs w:val="18"/>
        </w:rPr>
        <w:t xml:space="preserve"> </w:t>
      </w:r>
      <w:r w:rsidRPr="00882271">
        <w:rPr>
          <w:szCs w:val="18"/>
        </w:rPr>
        <w:t xml:space="preserve">dekking. Dit is in lijn met de motie </w:t>
      </w:r>
      <w:r w:rsidRPr="00D3070E">
        <w:rPr>
          <w:szCs w:val="18"/>
        </w:rPr>
        <w:t>Van Ark/</w:t>
      </w:r>
      <w:proofErr w:type="spellStart"/>
      <w:r w:rsidRPr="00D3070E">
        <w:rPr>
          <w:szCs w:val="18"/>
        </w:rPr>
        <w:t>Neijenhuis</w:t>
      </w:r>
      <w:proofErr w:type="spellEnd"/>
      <w:r>
        <w:rPr>
          <w:rStyle w:val="Voetnootmarkering"/>
          <w:szCs w:val="18"/>
        </w:rPr>
        <w:footnoteReference w:id="7"/>
      </w:r>
      <w:r w:rsidRPr="00882271">
        <w:rPr>
          <w:szCs w:val="18"/>
        </w:rPr>
        <w:t>, ingediend tijdens de Begrotingsbehandeling SZW. Na de zomer wordt</w:t>
      </w:r>
      <w:r>
        <w:rPr>
          <w:szCs w:val="18"/>
        </w:rPr>
        <w:t xml:space="preserve"> de Tweede Kamer </w:t>
      </w:r>
      <w:r w:rsidRPr="00882271">
        <w:rPr>
          <w:szCs w:val="18"/>
        </w:rPr>
        <w:t>hierover geïnformeerd</w:t>
      </w:r>
      <w:r w:rsidRPr="00F008CF">
        <w:rPr>
          <w:szCs w:val="18"/>
        </w:rPr>
        <w:t>.</w:t>
      </w:r>
      <w:r>
        <w:rPr>
          <w:szCs w:val="18"/>
        </w:rPr>
        <w:t xml:space="preserve"> </w:t>
      </w:r>
    </w:p>
    <w:p w:rsidRPr="00963BFF" w:rsidR="00710F22" w:rsidP="00710F22" w:rsidRDefault="00710F22" w14:paraId="152BDDD6" w14:textId="77777777">
      <w:pPr>
        <w:spacing w:after="160"/>
        <w:rPr>
          <w:szCs w:val="18"/>
        </w:rPr>
      </w:pPr>
      <w:r w:rsidRPr="00067E67">
        <w:rPr>
          <w:noProof/>
          <w:szCs w:val="18"/>
        </w:rPr>
        <mc:AlternateContent>
          <mc:Choice Requires="wps">
            <w:drawing>
              <wp:inline distT="0" distB="0" distL="0" distR="0" wp14:anchorId="56C45230" wp14:editId="4491E8AF">
                <wp:extent cx="5760720" cy="766881"/>
                <wp:effectExtent l="0" t="0" r="11430" b="20320"/>
                <wp:docPr id="497430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766881"/>
                        </a:xfrm>
                        <a:prstGeom prst="rect">
                          <a:avLst/>
                        </a:prstGeom>
                        <a:solidFill>
                          <a:srgbClr val="FFFFFF"/>
                        </a:solidFill>
                        <a:ln w="9525">
                          <a:solidFill>
                            <a:srgbClr val="000000"/>
                          </a:solidFill>
                          <a:miter lim="800000"/>
                          <a:headEnd/>
                          <a:tailEnd/>
                        </a:ln>
                      </wps:spPr>
                      <wps:txbx>
                        <w:txbxContent>
                          <w:p w:rsidRPr="00067E67" w:rsidR="00710F22" w:rsidP="00710F22" w:rsidRDefault="00710F22" w14:paraId="589E3D66" w14:textId="77777777">
                            <w:pPr>
                              <w:rPr>
                                <w:szCs w:val="18"/>
                              </w:rPr>
                            </w:pPr>
                            <w:r w:rsidRPr="00067E67">
                              <w:rPr>
                                <w:szCs w:val="18"/>
                              </w:rPr>
                              <w:t>Productiegericht: Vergroot de ambitie voor bouwen met hout en andere duurzame materialen, zodat binnen tien jaar het gebruik van CO2-intensieve materialen verregaand is teruggedrongen. Verscherp daartoe de Milieuprestatie Gebouwen (MPG) en verwerk daarin de positieve duurzaamheidsfactoren van (</w:t>
                            </w:r>
                            <w:proofErr w:type="spellStart"/>
                            <w:r w:rsidRPr="00067E67">
                              <w:rPr>
                                <w:szCs w:val="18"/>
                              </w:rPr>
                              <w:t>biobased</w:t>
                            </w:r>
                            <w:proofErr w:type="spellEnd"/>
                            <w:r w:rsidRPr="00067E67">
                              <w:rPr>
                                <w:szCs w:val="18"/>
                              </w:rPr>
                              <w:t>) materiaal. Borg hierbij de duurzame herkomst van deze materialen.</w:t>
                            </w:r>
                          </w:p>
                        </w:txbxContent>
                      </wps:txbx>
                      <wps:bodyPr rot="0" vert="horz" wrap="square" lIns="91440" tIns="45720" rIns="91440" bIns="45720" anchor="t" anchorCtr="0">
                        <a:spAutoFit/>
                      </wps:bodyPr>
                    </wps:wsp>
                  </a:graphicData>
                </a:graphic>
              </wp:inline>
            </w:drawing>
          </mc:Choice>
          <mc:Fallback>
            <w:pict>
              <v:shape id="_x0000_s1030" style="width:453.6pt;height:60.4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" w14:anchorId="56C45230">
                <v:textbox style="mso-fit-shape-to-text:t">
                  <w:txbxContent>
                    <w:p w:rsidRPr="00067E67" w:rsidR="00710F22" w:rsidP="00710F22" w:rsidRDefault="00710F22" w14:paraId="589E3D66" w14:textId="77777777">
                      <w:pPr>
                        <w:rPr>
                          <w:szCs w:val="18"/>
                        </w:rPr>
                      </w:pPr>
                      <w:r w:rsidRPr="00067E67">
                        <w:rPr>
                          <w:szCs w:val="18"/>
                        </w:rPr>
                        <w:t>Productiegericht: Vergroot de ambitie voor bouwen met hout en andere duurzame materialen, zodat binnen tien jaar het gebruik van CO2-intensieve materialen verregaand is teruggedrongen. Verscherp daartoe de Milieuprestatie Gebouwen (MPG) en verwerk daarin de positieve duurzaamheidsfactoren van (</w:t>
                      </w:r>
                      <w:proofErr w:type="spellStart"/>
                      <w:r w:rsidRPr="00067E67">
                        <w:rPr>
                          <w:szCs w:val="18"/>
                        </w:rPr>
                        <w:t>biobased</w:t>
                      </w:r>
                      <w:proofErr w:type="spellEnd"/>
                      <w:r w:rsidRPr="00067E67">
                        <w:rPr>
                          <w:szCs w:val="18"/>
                        </w:rPr>
                        <w:t>) materiaal. Borg hierbij de duurzame herkomst van deze materialen.</w:t>
                      </w:r>
                    </w:p>
                  </w:txbxContent>
                </v:textbox>
                <w10:anchorlock/>
              </v:shape>
            </w:pict>
          </mc:Fallback>
        </mc:AlternateContent>
      </w:r>
    </w:p>
    <w:p w:rsidRPr="00BA2A58" w:rsidR="00710F22" w:rsidP="00710F22" w:rsidRDefault="00710F22" w14:paraId="4EEA254C" w14:textId="77777777">
      <w:pPr>
        <w:spacing w:after="160"/>
        <w:rPr>
          <w:rFonts w:eastAsiaTheme="minorEastAsia"/>
          <w:i/>
          <w:szCs w:val="18"/>
        </w:rPr>
      </w:pPr>
      <w:r w:rsidRPr="00963BFF">
        <w:rPr>
          <w:szCs w:val="18"/>
        </w:rPr>
        <w:t xml:space="preserve">De aanbevelingen van de WKR ondersteunen het ingezette beleid </w:t>
      </w:r>
      <w:r>
        <w:rPr>
          <w:szCs w:val="18"/>
        </w:rPr>
        <w:t xml:space="preserve">op </w:t>
      </w:r>
      <w:r w:rsidRPr="00963BFF">
        <w:rPr>
          <w:szCs w:val="18"/>
        </w:rPr>
        <w:t xml:space="preserve">circulaire economie voor gebouwen (woningen en utiliteitsgebouwen) dat gericht is op </w:t>
      </w:r>
      <w:r>
        <w:rPr>
          <w:szCs w:val="18"/>
        </w:rPr>
        <w:t xml:space="preserve">verlaging van </w:t>
      </w:r>
      <w:r w:rsidRPr="00963BFF">
        <w:rPr>
          <w:szCs w:val="18"/>
        </w:rPr>
        <w:t>de milieu-impact van de gebouwde omgeving en van de toegepaste materialen, inclusief verlaging van CO2-emissies</w:t>
      </w:r>
      <w:r w:rsidRPr="00DD6DC4">
        <w:rPr>
          <w:rStyle w:val="Voetnootmarkering"/>
          <w:szCs w:val="18"/>
        </w:rPr>
        <w:footnoteReference w:id="8"/>
      </w:r>
      <w:r w:rsidRPr="00963BFF">
        <w:rPr>
          <w:szCs w:val="18"/>
        </w:rPr>
        <w:t>.</w:t>
      </w:r>
      <w:r>
        <w:rPr>
          <w:szCs w:val="18"/>
        </w:rPr>
        <w:t xml:space="preserve"> Het kabinet heeft d</w:t>
      </w:r>
      <w:r w:rsidRPr="00963BFF">
        <w:rPr>
          <w:szCs w:val="18"/>
        </w:rPr>
        <w:t xml:space="preserve">e Milieuprestatie Gebouwen (MPG) </w:t>
      </w:r>
      <w:r>
        <w:rPr>
          <w:szCs w:val="18"/>
        </w:rPr>
        <w:t xml:space="preserve">daarvoor </w:t>
      </w:r>
      <w:r w:rsidRPr="00963BFF">
        <w:rPr>
          <w:szCs w:val="18"/>
        </w:rPr>
        <w:t xml:space="preserve">ingevoerd en </w:t>
      </w:r>
      <w:r>
        <w:rPr>
          <w:szCs w:val="18"/>
        </w:rPr>
        <w:t>heeft deze in</w:t>
      </w:r>
      <w:r w:rsidRPr="00963BFF">
        <w:rPr>
          <w:szCs w:val="18"/>
        </w:rPr>
        <w:t xml:space="preserve"> 2021 aangescherpt voor woningen en kantoren. </w:t>
      </w:r>
      <w:r w:rsidRPr="00963BFF">
        <w:rPr>
          <w:rFonts w:eastAsiaTheme="minorEastAsia"/>
          <w:szCs w:val="18"/>
        </w:rPr>
        <w:t>Per 1 juli 2026 wordt de eis voor kantoorfuncties scherper gesteld</w:t>
      </w:r>
      <w:r>
        <w:rPr>
          <w:rFonts w:eastAsiaTheme="minorEastAsia"/>
          <w:szCs w:val="18"/>
        </w:rPr>
        <w:t xml:space="preserve"> en</w:t>
      </w:r>
      <w:r w:rsidRPr="00963BFF">
        <w:rPr>
          <w:rFonts w:eastAsiaTheme="minorEastAsia"/>
          <w:szCs w:val="18"/>
        </w:rPr>
        <w:t xml:space="preserve"> </w:t>
      </w:r>
      <w:r>
        <w:rPr>
          <w:rFonts w:eastAsiaTheme="minorEastAsia"/>
          <w:szCs w:val="18"/>
        </w:rPr>
        <w:t>v</w:t>
      </w:r>
      <w:r w:rsidRPr="00963BFF">
        <w:rPr>
          <w:rFonts w:eastAsiaTheme="minorEastAsia"/>
          <w:szCs w:val="18"/>
        </w:rPr>
        <w:t xml:space="preserve">oor de andere gebruiksfuncties wordt een eis geïntroduceerd. Een eerder door de minister van VRO voorgestelde scherpere eis voor woonfuncties is ingetrokken vanwege mogelijke effecten in bepaalde segmenten van de nieuwbouw op de woningbouwopgave en de betaalbaarheid. </w:t>
      </w:r>
      <w:r w:rsidRPr="0031341D">
        <w:rPr>
          <w:rFonts w:eastAsiaTheme="minorEastAsia"/>
          <w:szCs w:val="18"/>
        </w:rPr>
        <w:t xml:space="preserve">De evaluatie van het instrument MPG ontvangt </w:t>
      </w:r>
      <w:r>
        <w:rPr>
          <w:rFonts w:eastAsiaTheme="minorEastAsia"/>
          <w:szCs w:val="18"/>
        </w:rPr>
        <w:t>de</w:t>
      </w:r>
      <w:r w:rsidRPr="0031341D">
        <w:rPr>
          <w:rFonts w:eastAsiaTheme="minorEastAsia"/>
          <w:szCs w:val="18"/>
        </w:rPr>
        <w:t xml:space="preserve"> Kamer na de zomer.</w:t>
      </w:r>
      <w:r w:rsidRPr="00963BFF">
        <w:rPr>
          <w:rFonts w:eastAsiaTheme="minorEastAsia"/>
          <w:i/>
          <w:iCs/>
          <w:szCs w:val="18"/>
        </w:rPr>
        <w:t xml:space="preserve"> </w:t>
      </w:r>
    </w:p>
    <w:p w:rsidRPr="00BA2A58" w:rsidR="00710F22" w:rsidP="00710F22" w:rsidRDefault="00710F22" w14:paraId="07A5A430" w14:textId="77777777">
      <w:pPr>
        <w:spacing w:after="160"/>
        <w:rPr>
          <w:rFonts w:eastAsiaTheme="minorEastAsia"/>
          <w:szCs w:val="18"/>
        </w:rPr>
      </w:pPr>
      <w:r w:rsidRPr="00963BFF">
        <w:rPr>
          <w:rFonts w:eastAsiaTheme="minorEastAsia"/>
          <w:szCs w:val="18"/>
        </w:rPr>
        <w:t xml:space="preserve">Uiterlijk 1 januari 2027 zal elke lidstaat een zogeheten Routekaart </w:t>
      </w:r>
      <w:proofErr w:type="spellStart"/>
      <w:r w:rsidRPr="00963BFF">
        <w:rPr>
          <w:rFonts w:eastAsiaTheme="minorEastAsia"/>
          <w:szCs w:val="18"/>
        </w:rPr>
        <w:t>wlc-gwp</w:t>
      </w:r>
      <w:proofErr w:type="spellEnd"/>
      <w:r w:rsidRPr="00963BFF">
        <w:rPr>
          <w:rStyle w:val="Voetnootmarkering"/>
          <w:rFonts w:eastAsiaTheme="minorEastAsia"/>
          <w:szCs w:val="18"/>
        </w:rPr>
        <w:footnoteReference w:id="9"/>
      </w:r>
      <w:r w:rsidRPr="00963BFF">
        <w:rPr>
          <w:rFonts w:eastAsiaTheme="minorEastAsia"/>
          <w:szCs w:val="18"/>
        </w:rPr>
        <w:t xml:space="preserve"> publiceren en aan de Europese Commissie aanbieden, met daarin de beleidsactie om de </w:t>
      </w:r>
      <w:proofErr w:type="spellStart"/>
      <w:r w:rsidRPr="00963BFF">
        <w:rPr>
          <w:rFonts w:eastAsiaTheme="minorEastAsia"/>
          <w:szCs w:val="18"/>
        </w:rPr>
        <w:t>wlc-gwp</w:t>
      </w:r>
      <w:proofErr w:type="spellEnd"/>
      <w:r w:rsidRPr="00963BFF">
        <w:rPr>
          <w:rFonts w:eastAsiaTheme="minorEastAsia"/>
          <w:szCs w:val="18"/>
        </w:rPr>
        <w:t xml:space="preserve"> voor nieuwbouw</w:t>
      </w:r>
      <w:r>
        <w:rPr>
          <w:rFonts w:eastAsiaTheme="minorEastAsia"/>
          <w:szCs w:val="18"/>
        </w:rPr>
        <w:t xml:space="preserve"> in 2050 </w:t>
      </w:r>
      <w:r w:rsidRPr="00963BFF">
        <w:rPr>
          <w:rFonts w:eastAsiaTheme="minorEastAsia"/>
          <w:szCs w:val="18"/>
        </w:rPr>
        <w:t>te verlagen richting klimaatneutraal. Met het Programma Innovatie en Opschaling Woningbouw</w:t>
      </w:r>
      <w:r w:rsidRPr="00963BFF">
        <w:rPr>
          <w:rStyle w:val="Voetnootmarkering"/>
          <w:rFonts w:eastAsiaTheme="minorEastAsia"/>
          <w:szCs w:val="18"/>
        </w:rPr>
        <w:footnoteReference w:id="10"/>
      </w:r>
      <w:r w:rsidRPr="00963BFF">
        <w:rPr>
          <w:rFonts w:eastAsiaTheme="minorEastAsia"/>
          <w:szCs w:val="18"/>
        </w:rPr>
        <w:t xml:space="preserve"> wordt gestreefd </w:t>
      </w:r>
      <w:r w:rsidRPr="00963BFF">
        <w:rPr>
          <w:rFonts w:eastAsia="Calibri" w:cs="Calibri"/>
          <w:szCs w:val="18"/>
        </w:rPr>
        <w:t>de industriële woningbouw op te schalen naar 50</w:t>
      </w:r>
      <w:r>
        <w:rPr>
          <w:rFonts w:eastAsia="Calibri" w:cs="Calibri"/>
          <w:szCs w:val="18"/>
        </w:rPr>
        <w:t xml:space="preserve"> procent</w:t>
      </w:r>
      <w:r w:rsidRPr="00963BFF">
        <w:rPr>
          <w:rFonts w:eastAsia="Calibri" w:cs="Calibri"/>
          <w:szCs w:val="18"/>
        </w:rPr>
        <w:t xml:space="preserve"> van de woningbouw in 2030</w:t>
      </w:r>
      <w:r>
        <w:rPr>
          <w:rFonts w:eastAsia="Calibri" w:cs="Calibri"/>
          <w:szCs w:val="18"/>
        </w:rPr>
        <w:t>,</w:t>
      </w:r>
      <w:r w:rsidRPr="00963BFF">
        <w:rPr>
          <w:rFonts w:eastAsia="Calibri" w:cs="Calibri"/>
          <w:szCs w:val="18"/>
        </w:rPr>
        <w:t xml:space="preserve"> </w:t>
      </w:r>
      <w:r>
        <w:rPr>
          <w:rFonts w:eastAsia="Calibri" w:cs="Calibri"/>
          <w:szCs w:val="18"/>
        </w:rPr>
        <w:t>waardoor we niet alleen</w:t>
      </w:r>
      <w:r w:rsidRPr="00963BFF">
        <w:rPr>
          <w:rFonts w:eastAsia="Calibri" w:cs="Calibri"/>
          <w:szCs w:val="18"/>
        </w:rPr>
        <w:t xml:space="preserve"> sneller </w:t>
      </w:r>
      <w:r>
        <w:rPr>
          <w:rFonts w:eastAsia="Calibri" w:cs="Calibri"/>
          <w:szCs w:val="18"/>
        </w:rPr>
        <w:t xml:space="preserve">maar </w:t>
      </w:r>
      <w:r w:rsidRPr="00963BFF">
        <w:rPr>
          <w:rFonts w:eastAsia="Calibri" w:cs="Calibri"/>
          <w:szCs w:val="18"/>
        </w:rPr>
        <w:t xml:space="preserve">ook schoner </w:t>
      </w:r>
      <w:r>
        <w:rPr>
          <w:rFonts w:eastAsia="Calibri" w:cs="Calibri"/>
          <w:szCs w:val="18"/>
        </w:rPr>
        <w:t>bouwen</w:t>
      </w:r>
      <w:r w:rsidRPr="00963BFF">
        <w:rPr>
          <w:rFonts w:eastAsia="Calibri" w:cs="Calibri"/>
          <w:szCs w:val="18"/>
        </w:rPr>
        <w:t xml:space="preserve">. </w:t>
      </w:r>
      <w:r w:rsidRPr="00963BFF">
        <w:rPr>
          <w:rFonts w:eastAsiaTheme="minorEastAsia"/>
          <w:szCs w:val="18"/>
        </w:rPr>
        <w:t>Daarnaast wordt</w:t>
      </w:r>
      <w:r>
        <w:rPr>
          <w:rFonts w:eastAsiaTheme="minorEastAsia"/>
          <w:szCs w:val="18"/>
        </w:rPr>
        <w:t xml:space="preserve"> </w:t>
      </w:r>
      <w:r w:rsidRPr="00963BFF">
        <w:rPr>
          <w:rFonts w:eastAsiaTheme="minorEastAsia"/>
          <w:szCs w:val="18"/>
        </w:rPr>
        <w:t xml:space="preserve">– mede gezien het Coalitieakkoord </w:t>
      </w:r>
      <w:r>
        <w:rPr>
          <w:rFonts w:eastAsiaTheme="minorEastAsia"/>
          <w:szCs w:val="18"/>
        </w:rPr>
        <w:t>–</w:t>
      </w:r>
      <w:r w:rsidRPr="00963BFF">
        <w:rPr>
          <w:rFonts w:eastAsiaTheme="minorEastAsia"/>
          <w:szCs w:val="18"/>
        </w:rPr>
        <w:t xml:space="preserve"> de</w:t>
      </w:r>
      <w:r>
        <w:rPr>
          <w:rFonts w:eastAsiaTheme="minorEastAsia"/>
          <w:szCs w:val="18"/>
        </w:rPr>
        <w:t xml:space="preserve"> </w:t>
      </w:r>
      <w:r w:rsidRPr="00963BFF">
        <w:rPr>
          <w:rFonts w:eastAsiaTheme="minorEastAsia"/>
          <w:szCs w:val="18"/>
        </w:rPr>
        <w:t xml:space="preserve">uitvoering van de Nationale Aanpak </w:t>
      </w:r>
      <w:proofErr w:type="spellStart"/>
      <w:r w:rsidRPr="00963BFF">
        <w:rPr>
          <w:rFonts w:eastAsiaTheme="minorEastAsia"/>
          <w:szCs w:val="18"/>
        </w:rPr>
        <w:t>Biobased</w:t>
      </w:r>
      <w:proofErr w:type="spellEnd"/>
      <w:r w:rsidRPr="00963BFF">
        <w:rPr>
          <w:rFonts w:eastAsiaTheme="minorEastAsia"/>
          <w:szCs w:val="18"/>
        </w:rPr>
        <w:t xml:space="preserve"> Bouwen</w:t>
      </w:r>
      <w:r w:rsidRPr="00963BFF">
        <w:rPr>
          <w:rStyle w:val="Voetnootmarkering"/>
          <w:rFonts w:eastAsiaTheme="minorEastAsia"/>
          <w:szCs w:val="18"/>
        </w:rPr>
        <w:footnoteReference w:id="11"/>
      </w:r>
      <w:r w:rsidRPr="00963BFF">
        <w:rPr>
          <w:rFonts w:eastAsiaTheme="minorEastAsia"/>
          <w:szCs w:val="18"/>
        </w:rPr>
        <w:t>,</w:t>
      </w:r>
      <w:r>
        <w:rPr>
          <w:rFonts w:eastAsiaTheme="minorEastAsia"/>
          <w:szCs w:val="18"/>
        </w:rPr>
        <w:t xml:space="preserve"> </w:t>
      </w:r>
      <w:r w:rsidRPr="00963BFF">
        <w:rPr>
          <w:rFonts w:eastAsiaTheme="minorEastAsia"/>
          <w:szCs w:val="18"/>
        </w:rPr>
        <w:t>het Bouwmaterialenakkoord</w:t>
      </w:r>
      <w:r w:rsidRPr="00963BFF">
        <w:rPr>
          <w:rStyle w:val="Voetnootmarkering"/>
          <w:rFonts w:eastAsiaTheme="minorEastAsia"/>
          <w:szCs w:val="18"/>
        </w:rPr>
        <w:footnoteReference w:id="12"/>
      </w:r>
      <w:r>
        <w:rPr>
          <w:rFonts w:eastAsiaTheme="minorEastAsia"/>
          <w:szCs w:val="18"/>
        </w:rPr>
        <w:t>,</w:t>
      </w:r>
      <w:r w:rsidRPr="00963BFF">
        <w:rPr>
          <w:rFonts w:eastAsiaTheme="minorEastAsia"/>
          <w:szCs w:val="18"/>
        </w:rPr>
        <w:t xml:space="preserve"> en van de Aanpak Circulair Slopen en Hergebruik</w:t>
      </w:r>
      <w:r w:rsidRPr="00963BFF">
        <w:rPr>
          <w:rStyle w:val="Voetnootmarkering"/>
          <w:rFonts w:eastAsiaTheme="minorEastAsia"/>
          <w:szCs w:val="18"/>
        </w:rPr>
        <w:footnoteReference w:id="13"/>
      </w:r>
      <w:r w:rsidRPr="00963BFF">
        <w:rPr>
          <w:rFonts w:eastAsiaTheme="minorEastAsia"/>
          <w:szCs w:val="18"/>
        </w:rPr>
        <w:t xml:space="preserve"> voortgezet om te zorgen voor meer beschikbaarheid van bouwmaterialen</w:t>
      </w:r>
      <w:r>
        <w:rPr>
          <w:rFonts w:eastAsiaTheme="minorEastAsia"/>
          <w:szCs w:val="18"/>
        </w:rPr>
        <w:t>,</w:t>
      </w:r>
      <w:r w:rsidRPr="00963BFF">
        <w:rPr>
          <w:rFonts w:eastAsiaTheme="minorEastAsia"/>
          <w:szCs w:val="18"/>
        </w:rPr>
        <w:t xml:space="preserve"> met minder milieu-impact</w:t>
      </w:r>
      <w:r>
        <w:rPr>
          <w:rFonts w:eastAsiaTheme="minorEastAsia"/>
          <w:szCs w:val="18"/>
        </w:rPr>
        <w:t>,</w:t>
      </w:r>
      <w:r w:rsidRPr="00963BFF">
        <w:rPr>
          <w:rFonts w:eastAsiaTheme="minorEastAsia"/>
          <w:szCs w:val="18"/>
        </w:rPr>
        <w:t xml:space="preserve"> en minder emissies. </w:t>
      </w:r>
    </w:p>
    <w:p w:rsidRPr="00BA2A58" w:rsidR="00710F22" w:rsidP="00710F22" w:rsidRDefault="00710F22" w14:paraId="7898752A" w14:textId="77777777">
      <w:pPr>
        <w:spacing w:after="160"/>
        <w:rPr>
          <w:i/>
          <w:szCs w:val="18"/>
          <w:u w:val="single"/>
        </w:rPr>
      </w:pPr>
      <w:r w:rsidRPr="00963BFF">
        <w:rPr>
          <w:i/>
          <w:iCs/>
          <w:szCs w:val="18"/>
          <w:u w:val="single"/>
        </w:rPr>
        <w:t>Aanbeveling 2c</w:t>
      </w:r>
      <w:r>
        <w:rPr>
          <w:i/>
          <w:iCs/>
          <w:szCs w:val="18"/>
          <w:u w:val="single"/>
        </w:rPr>
        <w:t>:</w:t>
      </w:r>
      <w:r w:rsidRPr="00963BFF">
        <w:rPr>
          <w:i/>
          <w:iCs/>
          <w:szCs w:val="18"/>
          <w:u w:val="single"/>
        </w:rPr>
        <w:t xml:space="preserve"> Voer</w:t>
      </w:r>
      <w:r>
        <w:rPr>
          <w:i/>
          <w:iCs/>
          <w:szCs w:val="18"/>
          <w:u w:val="single"/>
        </w:rPr>
        <w:t xml:space="preserve"> </w:t>
      </w:r>
      <w:r w:rsidRPr="00963BFF">
        <w:rPr>
          <w:i/>
          <w:iCs/>
          <w:szCs w:val="18"/>
          <w:u w:val="single"/>
        </w:rPr>
        <w:t xml:space="preserve">functie- en productiegericht beleid voor kleding </w:t>
      </w:r>
    </w:p>
    <w:p w:rsidR="00710F22" w:rsidP="00710F22" w:rsidRDefault="00710F22" w14:paraId="0BD3C126" w14:textId="77777777">
      <w:pPr>
        <w:spacing w:after="160"/>
        <w:rPr>
          <w:rFonts w:ascii="Cambria Math" w:hAnsi="Cambria Math" w:cs="Cambria Math"/>
          <w:szCs w:val="18"/>
        </w:rPr>
      </w:pPr>
      <w:r w:rsidRPr="00EC0C9A">
        <w:rPr>
          <w:rFonts w:ascii="Cambria Math" w:hAnsi="Cambria Math" w:cs="Cambria Math"/>
          <w:noProof/>
          <w:szCs w:val="18"/>
        </w:rPr>
        <mc:AlternateContent>
          <mc:Choice Requires="wps">
            <w:drawing>
              <wp:inline distT="0" distB="0" distL="0" distR="0" wp14:anchorId="2C9854F9" wp14:editId="6B008E4D">
                <wp:extent cx="5716858" cy="1404620"/>
                <wp:effectExtent l="0" t="0" r="17780" b="20320"/>
                <wp:docPr id="5844700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858" cy="1404620"/>
                        </a:xfrm>
                        <a:prstGeom prst="rect">
                          <a:avLst/>
                        </a:prstGeom>
                        <a:solidFill>
                          <a:srgbClr val="FFFFFF"/>
                        </a:solidFill>
                        <a:ln w="9525">
                          <a:solidFill>
                            <a:srgbClr val="000000"/>
                          </a:solidFill>
                          <a:miter lim="800000"/>
                          <a:headEnd/>
                          <a:tailEnd/>
                        </a:ln>
                      </wps:spPr>
                      <wps:txbx>
                        <w:txbxContent>
                          <w:p w:rsidRPr="00963BFF" w:rsidR="00710F22" w:rsidP="00710F22" w:rsidRDefault="00710F22" w14:paraId="49A6447A" w14:textId="77777777">
                            <w:pPr>
                              <w:rPr>
                                <w:szCs w:val="18"/>
                              </w:rPr>
                            </w:pPr>
                            <w:r w:rsidRPr="00963BFF">
                              <w:rPr>
                                <w:szCs w:val="18"/>
                              </w:rPr>
                              <w:t xml:space="preserve">Functiegericht: Neem maatregelen die overconsumptie ontmoedigen en de gebruiksduur van kleding verlengen, zoals reparatievouchers en het vergroten van het aandeel tweedehandskleding in de consumptie. Combineer dit met verplichte retourkosten bij online aankopen en een nationale heffing op kleding met een korte levensduur. </w:t>
                            </w:r>
                          </w:p>
                          <w:p w:rsidRPr="00963BFF" w:rsidR="00710F22" w:rsidP="00710F22" w:rsidRDefault="00710F22" w14:paraId="0A9DCEAC" w14:textId="77777777">
                            <w:pPr>
                              <w:rPr>
                                <w:szCs w:val="18"/>
                              </w:rPr>
                            </w:pPr>
                            <w:r w:rsidRPr="00963BFF">
                              <w:rPr>
                                <w:szCs w:val="18"/>
                              </w:rPr>
                              <w:t xml:space="preserve">Productiegericht: Versterk het beleid gericht op het produceren van kleding met duurzame materialen en een lange levensduur. Differentieer de bijdrage van producenten aan de Uitgebreide Producenten Verantwoordelijkheid op basis van milieu-impact. Zet in op ambitieuze normen voor repareerbaarheid en duurzaam materiaalgebruik van kleding via de Europese </w:t>
                            </w:r>
                            <w:proofErr w:type="spellStart"/>
                            <w:r w:rsidRPr="00963BFF">
                              <w:rPr>
                                <w:szCs w:val="18"/>
                              </w:rPr>
                              <w:t>Ecodesign</w:t>
                            </w:r>
                            <w:proofErr w:type="spellEnd"/>
                            <w:r w:rsidRPr="00963BFF">
                              <w:rPr>
                                <w:szCs w:val="18"/>
                              </w:rPr>
                              <w:t>-verordening. Richt deze normen op een lagere emissie-intensiteit en een toenemend aandeel gerecyclede en duurzame (</w:t>
                            </w:r>
                            <w:proofErr w:type="spellStart"/>
                            <w:r w:rsidRPr="00963BFF">
                              <w:rPr>
                                <w:szCs w:val="18"/>
                              </w:rPr>
                              <w:t>biobased</w:t>
                            </w:r>
                            <w:proofErr w:type="spellEnd"/>
                            <w:r w:rsidRPr="00963BFF">
                              <w:rPr>
                                <w:szCs w:val="18"/>
                              </w:rPr>
                              <w:t>) vezels.</w:t>
                            </w:r>
                          </w:p>
                        </w:txbxContent>
                      </wps:txbx>
                      <wps:bodyPr rot="0" vert="horz" wrap="square" lIns="91440" tIns="45720" rIns="91440" bIns="45720" anchor="t" anchorCtr="0">
                        <a:spAutoFit/>
                      </wps:bodyPr>
                    </wps:wsp>
                  </a:graphicData>
                </a:graphic>
              </wp:inline>
            </w:drawing>
          </mc:Choice>
          <mc:Fallback>
            <w:pict>
              <v:shape id="_x0000_s1031" style="width:450.1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" w14:anchorId="2C9854F9">
                <v:textbox style="mso-fit-shape-to-text:t">
                  <w:txbxContent>
                    <w:p w:rsidRPr="00963BFF" w:rsidR="00710F22" w:rsidP="00710F22" w:rsidRDefault="00710F22" w14:paraId="49A6447A" w14:textId="77777777">
                      <w:pPr>
                        <w:rPr>
                          <w:szCs w:val="18"/>
                        </w:rPr>
                      </w:pPr>
                      <w:r w:rsidRPr="00963BFF">
                        <w:rPr>
                          <w:szCs w:val="18"/>
                        </w:rPr>
                        <w:t xml:space="preserve">Functiegericht: Neem maatregelen die overconsumptie ontmoedigen en de gebruiksduur van kleding verlengen, zoals reparatievouchers en het vergroten van het aandeel tweedehandskleding in de consumptie. Combineer dit met verplichte retourkosten bij online aankopen en een nationale heffing op kleding met een korte levensduur. </w:t>
                      </w:r>
                    </w:p>
                    <w:p w:rsidRPr="00963BFF" w:rsidR="00710F22" w:rsidP="00710F22" w:rsidRDefault="00710F22" w14:paraId="0A9DCEAC" w14:textId="77777777">
                      <w:pPr>
                        <w:rPr>
                          <w:szCs w:val="18"/>
                        </w:rPr>
                      </w:pPr>
                      <w:r w:rsidRPr="00963BFF">
                        <w:rPr>
                          <w:szCs w:val="18"/>
                        </w:rPr>
                        <w:t xml:space="preserve">Productiegericht: Versterk het beleid gericht op het produceren van kleding met duurzame materialen en een lange levensduur. Differentieer de bijdrage van producenten aan de Uitgebreide Producenten Verantwoordelijkheid op basis van milieu-impact. Zet in op ambitieuze normen voor repareerbaarheid en duurzaam materiaalgebruik van kleding via de Europese </w:t>
                      </w:r>
                      <w:proofErr w:type="spellStart"/>
                      <w:r w:rsidRPr="00963BFF">
                        <w:rPr>
                          <w:szCs w:val="18"/>
                        </w:rPr>
                        <w:t>Ecodesign</w:t>
                      </w:r>
                      <w:proofErr w:type="spellEnd"/>
                      <w:r w:rsidRPr="00963BFF">
                        <w:rPr>
                          <w:szCs w:val="18"/>
                        </w:rPr>
                        <w:t>-verordening. Richt deze normen op een lagere emissie-intensiteit en een toenemend aandeel gerecyclede en duurzame (</w:t>
                      </w:r>
                      <w:proofErr w:type="spellStart"/>
                      <w:r w:rsidRPr="00963BFF">
                        <w:rPr>
                          <w:szCs w:val="18"/>
                        </w:rPr>
                        <w:t>biobased</w:t>
                      </w:r>
                      <w:proofErr w:type="spellEnd"/>
                      <w:r w:rsidRPr="00963BFF">
                        <w:rPr>
                          <w:szCs w:val="18"/>
                        </w:rPr>
                        <w:t>) vezels.</w:t>
                      </w:r>
                    </w:p>
                  </w:txbxContent>
                </v:textbox>
                <w10:anchorlock/>
              </v:shape>
            </w:pict>
          </mc:Fallback>
        </mc:AlternateContent>
      </w:r>
    </w:p>
    <w:p w:rsidRPr="00963BFF" w:rsidR="00710F22" w:rsidP="00710F22" w:rsidRDefault="00710F22" w14:paraId="55A59011" w14:textId="77777777">
      <w:pPr>
        <w:spacing w:after="160"/>
        <w:rPr>
          <w:szCs w:val="18"/>
        </w:rPr>
      </w:pPr>
      <w:r w:rsidRPr="00963BFF">
        <w:rPr>
          <w:szCs w:val="18"/>
        </w:rPr>
        <w:t xml:space="preserve">Het kabinet deelt de zorgen van de WKR dat de kledingconsumptie de afgelopen jaren sterk is toegenomen en dat </w:t>
      </w:r>
      <w:r>
        <w:rPr>
          <w:szCs w:val="18"/>
        </w:rPr>
        <w:t xml:space="preserve">de levensduur van </w:t>
      </w:r>
      <w:r w:rsidRPr="00963BFF">
        <w:rPr>
          <w:szCs w:val="18"/>
        </w:rPr>
        <w:t xml:space="preserve">kleding steeds korter wordt. Het kabinet ziet dit als een urgent vraagstuk en </w:t>
      </w:r>
      <w:r>
        <w:rPr>
          <w:szCs w:val="18"/>
        </w:rPr>
        <w:t>heeft dit opgenomen in</w:t>
      </w:r>
      <w:r w:rsidRPr="00963BFF">
        <w:rPr>
          <w:szCs w:val="18"/>
        </w:rPr>
        <w:t xml:space="preserve"> het beleidsprogramma Circulair Textiel 2025–2030.</w:t>
      </w:r>
      <w:r>
        <w:rPr>
          <w:szCs w:val="18"/>
        </w:rPr>
        <w:t xml:space="preserve"> Het Europese Milieuagentschap concludeerde dat consumptie van kleding stijgt, kleding steeds vaker gemaakt wordt van goedkoop materiaal en slechts voor één seizoen of minder gedragen wordt.</w:t>
      </w:r>
      <w:r>
        <w:rPr>
          <w:rStyle w:val="Voetnootmarkering"/>
          <w:szCs w:val="18"/>
        </w:rPr>
        <w:footnoteReference w:id="14"/>
      </w:r>
      <w:r>
        <w:rPr>
          <w:szCs w:val="18"/>
        </w:rPr>
        <w:t xml:space="preserve"> Gemiddeld wordt 4-9 procent van al het textiel dat op de markt komt in Europa vernietigd nog voordat het gebruikt wordt.</w:t>
      </w:r>
      <w:r>
        <w:rPr>
          <w:rStyle w:val="Voetnootmarkering"/>
          <w:szCs w:val="18"/>
        </w:rPr>
        <w:footnoteReference w:id="15"/>
      </w:r>
      <w:r>
        <w:rPr>
          <w:szCs w:val="18"/>
        </w:rPr>
        <w:t xml:space="preserve"> De meest recente monitor van het beleidsprogramma laat ook een toename zien in het aantal gekochte kledingtukken. In 2023 kochten we in Nederland zo’n 61 kledingstukken per persoon per jaar ten opzichte van 55 stuk in 2018.</w:t>
      </w:r>
      <w:r>
        <w:rPr>
          <w:rStyle w:val="Voetnootmarkering"/>
          <w:szCs w:val="18"/>
        </w:rPr>
        <w:footnoteReference w:id="16"/>
      </w:r>
      <w:r>
        <w:rPr>
          <w:szCs w:val="18"/>
        </w:rPr>
        <w:t xml:space="preserve"> Daarnaast is de textielindustrie verantwoordelijk voor 4 procent van de wereldwijde uitstoot van broeikasgassen.</w:t>
      </w:r>
      <w:r>
        <w:rPr>
          <w:rStyle w:val="Voetnootmarkering"/>
          <w:szCs w:val="18"/>
        </w:rPr>
        <w:footnoteReference w:id="17"/>
      </w:r>
      <w:r>
        <w:rPr>
          <w:szCs w:val="18"/>
        </w:rPr>
        <w:t xml:space="preserve"> Daarmee is het de vijfde meest vervuilende sector als het gaat om het gebruik van grondstoffen en uitstoot van broeikasgassen. Omdat </w:t>
      </w:r>
      <w:r w:rsidRPr="00963BFF">
        <w:rPr>
          <w:szCs w:val="18"/>
        </w:rPr>
        <w:t xml:space="preserve">de grootste klimaatimpact in de productiefase ontstaat, is </w:t>
      </w:r>
      <w:r>
        <w:rPr>
          <w:szCs w:val="18"/>
        </w:rPr>
        <w:t>het keren van de trend van steeds kortere cycli van productie, consumptie en afdanking en het</w:t>
      </w:r>
      <w:r w:rsidRPr="00963BFF">
        <w:rPr>
          <w:szCs w:val="18"/>
        </w:rPr>
        <w:t xml:space="preserve"> verlengen van de levensduur van kleding essentieel.</w:t>
      </w:r>
    </w:p>
    <w:p w:rsidRPr="00963BFF" w:rsidR="00710F22" w:rsidP="00710F22" w:rsidRDefault="00710F22" w14:paraId="4B94BE08" w14:textId="77777777">
      <w:pPr>
        <w:spacing w:after="160"/>
        <w:rPr>
          <w:szCs w:val="18"/>
        </w:rPr>
      </w:pPr>
      <w:r w:rsidRPr="00963BFF">
        <w:rPr>
          <w:szCs w:val="18"/>
        </w:rPr>
        <w:t xml:space="preserve">Het kabinet ziet kansen om </w:t>
      </w:r>
      <w:r>
        <w:rPr>
          <w:szCs w:val="18"/>
        </w:rPr>
        <w:t>langer gebruik en</w:t>
      </w:r>
      <w:r w:rsidRPr="00963BFF">
        <w:rPr>
          <w:szCs w:val="18"/>
        </w:rPr>
        <w:t xml:space="preserve"> reparatie </w:t>
      </w:r>
      <w:r>
        <w:rPr>
          <w:szCs w:val="18"/>
        </w:rPr>
        <w:t xml:space="preserve">te </w:t>
      </w:r>
      <w:r w:rsidRPr="00963BFF">
        <w:rPr>
          <w:szCs w:val="18"/>
        </w:rPr>
        <w:t xml:space="preserve">stimuleren. Voor de uitvoering van het </w:t>
      </w:r>
      <w:r>
        <w:rPr>
          <w:szCs w:val="18"/>
        </w:rPr>
        <w:t xml:space="preserve">genoemde </w:t>
      </w:r>
      <w:r w:rsidRPr="00963BFF">
        <w:rPr>
          <w:szCs w:val="18"/>
        </w:rPr>
        <w:t xml:space="preserve">beleidsprogramma zijn verschillende maatregelen onderzocht. Zo is er een verkenning gedaan naar de mogelijkheid om in fysieke winkels tweedehands aan te bieden naast nieuw. </w:t>
      </w:r>
      <w:r>
        <w:rPr>
          <w:szCs w:val="18"/>
        </w:rPr>
        <w:t>Het onderzoek gaat niet in op d</w:t>
      </w:r>
      <w:r w:rsidRPr="00963BFF">
        <w:rPr>
          <w:szCs w:val="18"/>
        </w:rPr>
        <w:t>e verkoop via online platforms</w:t>
      </w:r>
      <w:r>
        <w:rPr>
          <w:szCs w:val="18"/>
        </w:rPr>
        <w:t xml:space="preserve">. </w:t>
      </w:r>
      <w:r w:rsidRPr="00963BFF">
        <w:rPr>
          <w:szCs w:val="18"/>
        </w:rPr>
        <w:t xml:space="preserve">Uit het onderzoek blijkt dat tweedehands kleding naast nieuw vaak semi-geïntegreerd aangeboden wordt. Dat wil zeggen dat er een apart rek in de winkel is met tweedehands kleding. We zien enthousiasme vanuit zowel winkeliers als consumenten voor deze maatregel, maar het </w:t>
      </w:r>
      <w:r>
        <w:rPr>
          <w:szCs w:val="18"/>
        </w:rPr>
        <w:t xml:space="preserve">is juridisch een zwaar middel en er bestaat geen wetgeving die retailers verplicht bepaalde producten op te nemen in het winkelaanbod. </w:t>
      </w:r>
      <w:r w:rsidRPr="00963BFF">
        <w:rPr>
          <w:szCs w:val="18"/>
        </w:rPr>
        <w:t xml:space="preserve">Daarnaast is een groei van het aanbod nodig in deze winkels om tweedehands kleding daadwerkelijk een volwaardig alternatief te maken voor nieuwe kleding. </w:t>
      </w:r>
    </w:p>
    <w:p w:rsidRPr="00963BFF" w:rsidR="00710F22" w:rsidP="00710F22" w:rsidRDefault="00710F22" w14:paraId="244B1B4A" w14:textId="77777777">
      <w:pPr>
        <w:spacing w:after="160"/>
        <w:rPr>
          <w:szCs w:val="18"/>
        </w:rPr>
      </w:pPr>
      <w:r w:rsidRPr="00963BFF">
        <w:rPr>
          <w:szCs w:val="18"/>
        </w:rPr>
        <w:t xml:space="preserve">Via campagnes in samenwerking met Milieu Centraal is er gewerkt aan het vergroten van reparatievaardigheden, het beter vindbaar maken van reparateurs en het ontwikkelen van een eigen stijl om weloverwogen keuzes te maken. De </w:t>
      </w:r>
      <w:r w:rsidRPr="007262F5">
        <w:rPr>
          <w:szCs w:val="18"/>
        </w:rPr>
        <w:t xml:space="preserve">Kamer </w:t>
      </w:r>
      <w:r>
        <w:rPr>
          <w:szCs w:val="18"/>
        </w:rPr>
        <w:t>is</w:t>
      </w:r>
      <w:r w:rsidRPr="007262F5">
        <w:rPr>
          <w:szCs w:val="18"/>
        </w:rPr>
        <w:t xml:space="preserve"> </w:t>
      </w:r>
      <w:r w:rsidRPr="00963BFF">
        <w:rPr>
          <w:szCs w:val="18"/>
        </w:rPr>
        <w:t>geïnformeerd</w:t>
      </w:r>
      <w:r>
        <w:rPr>
          <w:rStyle w:val="Voetnootmarkering"/>
          <w:szCs w:val="18"/>
        </w:rPr>
        <w:footnoteReference w:id="18"/>
      </w:r>
      <w:r w:rsidRPr="00963BFF">
        <w:rPr>
          <w:szCs w:val="18"/>
        </w:rPr>
        <w:t xml:space="preserve"> over de uitkomsten van </w:t>
      </w:r>
      <w:bookmarkStart w:name="_Hlk229757028" w:id="1"/>
      <w:r w:rsidRPr="00963BFF">
        <w:rPr>
          <w:szCs w:val="18"/>
        </w:rPr>
        <w:t>een onderzoek dat is uitgevoerd naar de mogelijkheden voor reparatievouchers</w:t>
      </w:r>
      <w:bookmarkEnd w:id="1"/>
      <w:r w:rsidRPr="00963BFF">
        <w:rPr>
          <w:szCs w:val="18"/>
        </w:rPr>
        <w:t xml:space="preserve">. </w:t>
      </w:r>
    </w:p>
    <w:p w:rsidRPr="00963BFF" w:rsidR="00710F22" w:rsidP="00710F22" w:rsidRDefault="00710F22" w14:paraId="7062AC50" w14:textId="77777777">
      <w:pPr>
        <w:spacing w:after="160"/>
        <w:rPr>
          <w:szCs w:val="18"/>
        </w:rPr>
      </w:pPr>
      <w:r w:rsidRPr="00963BFF">
        <w:rPr>
          <w:szCs w:val="18"/>
        </w:rPr>
        <w:t xml:space="preserve">De Kamer is eerder geïnformeerd over de mogelijkheden voor het verplicht invoeren van retourkosten en een heffing op ultra </w:t>
      </w:r>
      <w:proofErr w:type="spellStart"/>
      <w:r w:rsidRPr="00963BFF">
        <w:rPr>
          <w:szCs w:val="18"/>
        </w:rPr>
        <w:t>fast</w:t>
      </w:r>
      <w:proofErr w:type="spellEnd"/>
      <w:r w:rsidRPr="00963BFF">
        <w:rPr>
          <w:szCs w:val="18"/>
        </w:rPr>
        <w:t xml:space="preserve"> fashion.</w:t>
      </w:r>
      <w:r w:rsidRPr="00963BFF">
        <w:rPr>
          <w:rStyle w:val="Voetnootmarkering"/>
          <w:szCs w:val="18"/>
        </w:rPr>
        <w:footnoteReference w:id="19"/>
      </w:r>
      <w:r w:rsidRPr="00963BFF">
        <w:rPr>
          <w:szCs w:val="18"/>
        </w:rPr>
        <w:t xml:space="preserve"> Het verplichten van retourkosten kan een effectieve maatregel zijn om het aantal </w:t>
      </w:r>
      <w:proofErr w:type="spellStart"/>
      <w:r w:rsidRPr="00963BFF">
        <w:rPr>
          <w:szCs w:val="18"/>
        </w:rPr>
        <w:t>retouren</w:t>
      </w:r>
      <w:proofErr w:type="spellEnd"/>
      <w:r w:rsidRPr="00963BFF">
        <w:rPr>
          <w:szCs w:val="18"/>
        </w:rPr>
        <w:t xml:space="preserve"> te verminderen, maar kan alleen op Europees niveau worden ingevoerd. EZK verkent daarom ook andere mogelijkheden om retourstromen te verminderen</w:t>
      </w:r>
      <w:r>
        <w:rPr>
          <w:szCs w:val="18"/>
        </w:rPr>
        <w:t xml:space="preserve">, bijvoorbeeld via een </w:t>
      </w:r>
      <w:r w:rsidRPr="00954940">
        <w:rPr>
          <w:szCs w:val="18"/>
        </w:rPr>
        <w:t>vrijwillige pilot over gedragseffecten van het rekenen van retourkosten. De gesprek</w:t>
      </w:r>
      <w:r>
        <w:rPr>
          <w:szCs w:val="18"/>
        </w:rPr>
        <w:t>k</w:t>
      </w:r>
      <w:r w:rsidRPr="00954940">
        <w:rPr>
          <w:szCs w:val="18"/>
        </w:rPr>
        <w:t xml:space="preserve">en hierover met betrokken partijen lopen op dit moment nog. </w:t>
      </w:r>
      <w:r>
        <w:rPr>
          <w:szCs w:val="18"/>
        </w:rPr>
        <w:t xml:space="preserve">De Kamer wordt hier naar verwachting in het najaar over geïnformeerd. </w:t>
      </w:r>
    </w:p>
    <w:p w:rsidR="00710F22" w:rsidP="00710F22" w:rsidRDefault="00710F22" w14:paraId="14796F61" w14:textId="77777777">
      <w:pPr>
        <w:spacing w:after="160"/>
        <w:rPr>
          <w:szCs w:val="18"/>
        </w:rPr>
      </w:pPr>
      <w:r w:rsidRPr="00963BFF">
        <w:rPr>
          <w:szCs w:val="18"/>
        </w:rPr>
        <w:t>Het kabinet heeft verschillende mogelijkheden verkend voor het invoeren van een heffing op niet-circulair textiel.</w:t>
      </w:r>
      <w:r w:rsidRPr="00963BFF">
        <w:rPr>
          <w:rStyle w:val="Voetnootmarkering"/>
          <w:szCs w:val="18"/>
        </w:rPr>
        <w:footnoteReference w:id="20"/>
      </w:r>
      <w:r w:rsidRPr="00963BFF">
        <w:rPr>
          <w:szCs w:val="18"/>
        </w:rPr>
        <w:t xml:space="preserve"> De meest kansrijke route is het verplichten van </w:t>
      </w:r>
      <w:proofErr w:type="spellStart"/>
      <w:r w:rsidRPr="00963BFF">
        <w:rPr>
          <w:szCs w:val="18"/>
        </w:rPr>
        <w:t>eco</w:t>
      </w:r>
      <w:proofErr w:type="spellEnd"/>
      <w:r w:rsidRPr="00963BFF">
        <w:rPr>
          <w:szCs w:val="18"/>
        </w:rPr>
        <w:t xml:space="preserve">-modulatie onder de uitgebreide producentenverantwoordelijkheid textiel. Dit houdt in dat producenten die circulaire keuzes maken hiervoor </w:t>
      </w:r>
      <w:r>
        <w:rPr>
          <w:szCs w:val="18"/>
        </w:rPr>
        <w:t>een lager tarief betalen als beloning</w:t>
      </w:r>
      <w:r w:rsidRPr="00963BFF">
        <w:rPr>
          <w:szCs w:val="18"/>
        </w:rPr>
        <w:t xml:space="preserve">. </w:t>
      </w:r>
      <w:r>
        <w:rPr>
          <w:szCs w:val="18"/>
        </w:rPr>
        <w:t>De</w:t>
      </w:r>
      <w:r w:rsidRPr="00963BFF">
        <w:rPr>
          <w:szCs w:val="18"/>
        </w:rPr>
        <w:t xml:space="preserve"> </w:t>
      </w:r>
      <w:r>
        <w:rPr>
          <w:szCs w:val="18"/>
        </w:rPr>
        <w:t>Europese Kaderrichtlijn Afvalstoffen (Kra) verplicht dit per 1 januari 2028</w:t>
      </w:r>
      <w:r w:rsidRPr="00963BFF">
        <w:rPr>
          <w:szCs w:val="18"/>
        </w:rPr>
        <w:t xml:space="preserve">. Nederland zal in Europa pleiten </w:t>
      </w:r>
      <w:r>
        <w:rPr>
          <w:szCs w:val="18"/>
        </w:rPr>
        <w:t>aanvullende opties</w:t>
      </w:r>
      <w:r w:rsidRPr="00963BFF">
        <w:rPr>
          <w:szCs w:val="18"/>
        </w:rPr>
        <w:t xml:space="preserve">, zoals differentiatie op basis van volumes en collectiewisselingen. </w:t>
      </w:r>
      <w:r>
        <w:rPr>
          <w:szCs w:val="18"/>
        </w:rPr>
        <w:t xml:space="preserve">De Europese Commissie komt nog met uitvoeringshandelingen om de criteria voor </w:t>
      </w:r>
      <w:proofErr w:type="spellStart"/>
      <w:r>
        <w:rPr>
          <w:szCs w:val="18"/>
        </w:rPr>
        <w:t>eco</w:t>
      </w:r>
      <w:proofErr w:type="spellEnd"/>
      <w:r>
        <w:rPr>
          <w:szCs w:val="18"/>
        </w:rPr>
        <w:t>-modulatie vast te stellen, maar de tijdlijn hiervoor is nog onbekend. Vooruitlopend hierop verkent</w:t>
      </w:r>
      <w:r w:rsidRPr="00963BFF">
        <w:rPr>
          <w:szCs w:val="18"/>
        </w:rPr>
        <w:t xml:space="preserve"> het kabinet </w:t>
      </w:r>
      <w:r>
        <w:rPr>
          <w:szCs w:val="18"/>
        </w:rPr>
        <w:t>in Europees verband maatregelen</w:t>
      </w:r>
      <w:r w:rsidRPr="00963BFF">
        <w:rPr>
          <w:szCs w:val="18"/>
        </w:rPr>
        <w:t xml:space="preserve"> tegen de snelle groei van online kledingverkoop, frequente collectiewisselingen en marketingpraktijken die overconsumptie stimuleren. Nederland zoekt hiervoor actief samenwerking met andere lidstaten om te komen tot een gezamenlijke Europese aanpak in lijn met de motie van lid </w:t>
      </w:r>
      <w:proofErr w:type="spellStart"/>
      <w:r w:rsidRPr="00963BFF">
        <w:rPr>
          <w:szCs w:val="18"/>
        </w:rPr>
        <w:t>Kostiç</w:t>
      </w:r>
      <w:proofErr w:type="spellEnd"/>
      <w:r w:rsidRPr="00963BFF">
        <w:rPr>
          <w:szCs w:val="18"/>
        </w:rPr>
        <w:t>.</w:t>
      </w:r>
      <w:r w:rsidRPr="00963BFF">
        <w:rPr>
          <w:rStyle w:val="Voetnootmarkering"/>
          <w:szCs w:val="18"/>
        </w:rPr>
        <w:footnoteReference w:id="21"/>
      </w:r>
    </w:p>
    <w:p w:rsidRPr="00963BFF" w:rsidR="00710F22" w:rsidP="00710F22" w:rsidRDefault="00710F22" w14:paraId="11B28886" w14:textId="77777777">
      <w:pPr>
        <w:spacing w:after="160"/>
        <w:rPr>
          <w:szCs w:val="18"/>
        </w:rPr>
      </w:pPr>
      <w:r>
        <w:rPr>
          <w:szCs w:val="18"/>
        </w:rPr>
        <w:t xml:space="preserve">De </w:t>
      </w:r>
      <w:proofErr w:type="spellStart"/>
      <w:r>
        <w:rPr>
          <w:szCs w:val="18"/>
        </w:rPr>
        <w:t>Ecodesign</w:t>
      </w:r>
      <w:proofErr w:type="spellEnd"/>
      <w:r>
        <w:rPr>
          <w:szCs w:val="18"/>
        </w:rPr>
        <w:t xml:space="preserve"> voor Duurzame Producten Verordening (</w:t>
      </w:r>
      <w:r w:rsidRPr="00963BFF">
        <w:rPr>
          <w:szCs w:val="18"/>
        </w:rPr>
        <w:t>ESPR</w:t>
      </w:r>
      <w:r>
        <w:rPr>
          <w:szCs w:val="18"/>
        </w:rPr>
        <w:t>)</w:t>
      </w:r>
      <w:r w:rsidRPr="00963BFF">
        <w:rPr>
          <w:szCs w:val="18"/>
        </w:rPr>
        <w:t xml:space="preserve"> biedt daarnaast een belangrijk kader voor minimale eisen aan kwaliteit en het gebruik van gerecycled. Ook is het mogelijk om minimale informatievereisten op te nemen over de repareerbaarheid van producten in een digitaal productpaspoort. Het kabinet zal ijveren voor ambitieuze normen bij de uitwerking van de ESPR voor textiel</w:t>
      </w:r>
      <w:r w:rsidRPr="00963BFF">
        <w:rPr>
          <w:b/>
          <w:bCs/>
          <w:szCs w:val="18"/>
        </w:rPr>
        <w:t xml:space="preserve">. </w:t>
      </w:r>
      <w:r w:rsidRPr="00963BFF">
        <w:rPr>
          <w:szCs w:val="18"/>
        </w:rPr>
        <w:t xml:space="preserve">De ESPR biedt op dit moment geen ruimte om minimale eisen te stellen aan het materiaaltype </w:t>
      </w:r>
      <w:r>
        <w:rPr>
          <w:szCs w:val="18"/>
        </w:rPr>
        <w:t>van</w:t>
      </w:r>
      <w:r w:rsidRPr="00963BFF">
        <w:rPr>
          <w:szCs w:val="18"/>
        </w:rPr>
        <w:t xml:space="preserve"> producten, zoals </w:t>
      </w:r>
      <w:proofErr w:type="spellStart"/>
      <w:r w:rsidRPr="00963BFF">
        <w:rPr>
          <w:szCs w:val="18"/>
        </w:rPr>
        <w:t>biogebaseerde</w:t>
      </w:r>
      <w:proofErr w:type="spellEnd"/>
      <w:r w:rsidRPr="00963BFF">
        <w:rPr>
          <w:szCs w:val="18"/>
        </w:rPr>
        <w:t xml:space="preserve"> materialen. </w:t>
      </w:r>
    </w:p>
    <w:p w:rsidRPr="00BA2A58" w:rsidR="00710F22" w:rsidP="00710F22" w:rsidRDefault="00710F22" w14:paraId="092C3D92" w14:textId="77777777">
      <w:pPr>
        <w:spacing w:after="160"/>
        <w:rPr>
          <w:i/>
          <w:szCs w:val="18"/>
          <w:u w:val="single"/>
        </w:rPr>
      </w:pPr>
      <w:r>
        <w:rPr>
          <w:i/>
          <w:iCs/>
          <w:szCs w:val="18"/>
          <w:u w:val="single"/>
        </w:rPr>
        <w:t>Aa</w:t>
      </w:r>
      <w:r w:rsidRPr="00EC0C9A">
        <w:rPr>
          <w:i/>
          <w:iCs/>
          <w:szCs w:val="18"/>
          <w:u w:val="single"/>
        </w:rPr>
        <w:t>nbeveling 2d Voer</w:t>
      </w:r>
      <w:r>
        <w:rPr>
          <w:i/>
          <w:iCs/>
          <w:szCs w:val="18"/>
          <w:u w:val="single"/>
        </w:rPr>
        <w:t xml:space="preserve"> </w:t>
      </w:r>
      <w:r w:rsidRPr="00EC0C9A">
        <w:rPr>
          <w:i/>
          <w:iCs/>
          <w:szCs w:val="18"/>
          <w:u w:val="single"/>
        </w:rPr>
        <w:t xml:space="preserve">functie- en productiegericht beleid voor plastic verpakkingen </w:t>
      </w:r>
    </w:p>
    <w:p w:rsidRPr="00963BFF" w:rsidR="00710F22" w:rsidP="00710F22" w:rsidRDefault="00710F22" w14:paraId="0142C90F" w14:textId="77777777">
      <w:pPr>
        <w:spacing w:after="160"/>
        <w:rPr>
          <w:szCs w:val="18"/>
        </w:rPr>
      </w:pPr>
      <w:r w:rsidRPr="00EC0C9A">
        <w:rPr>
          <w:rFonts w:ascii="Cambria Math" w:hAnsi="Cambria Math" w:cs="Cambria Math"/>
          <w:noProof/>
          <w:szCs w:val="18"/>
        </w:rPr>
        <mc:AlternateContent>
          <mc:Choice Requires="wps">
            <w:drawing>
              <wp:inline distT="0" distB="0" distL="0" distR="0" wp14:anchorId="0F600282" wp14:editId="714CE34E">
                <wp:extent cx="5716858" cy="1404620"/>
                <wp:effectExtent l="0" t="0" r="17780" b="20320"/>
                <wp:docPr id="9537288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858" cy="1404620"/>
                        </a:xfrm>
                        <a:prstGeom prst="rect">
                          <a:avLst/>
                        </a:prstGeom>
                        <a:solidFill>
                          <a:srgbClr val="FFFFFF"/>
                        </a:solidFill>
                        <a:ln w="9525">
                          <a:solidFill>
                            <a:srgbClr val="000000"/>
                          </a:solidFill>
                          <a:miter lim="800000"/>
                          <a:headEnd/>
                          <a:tailEnd/>
                        </a:ln>
                      </wps:spPr>
                      <wps:txbx>
                        <w:txbxContent>
                          <w:p w:rsidRPr="00963BFF" w:rsidR="00710F22" w:rsidP="00710F22" w:rsidRDefault="00710F22" w14:paraId="630E417F" w14:textId="77777777">
                            <w:pPr>
                              <w:rPr>
                                <w:szCs w:val="18"/>
                              </w:rPr>
                            </w:pPr>
                            <w:r w:rsidRPr="00963BFF">
                              <w:rPr>
                                <w:szCs w:val="18"/>
                              </w:rPr>
                              <w:t xml:space="preserve">Functiegericht: Ondersteun retailers bij het ontwikkelen en opschalen van </w:t>
                            </w:r>
                            <w:proofErr w:type="spellStart"/>
                            <w:r w:rsidRPr="00963BFF">
                              <w:rPr>
                                <w:szCs w:val="18"/>
                              </w:rPr>
                              <w:t>verpakkingsloze</w:t>
                            </w:r>
                            <w:proofErr w:type="spellEnd"/>
                            <w:r w:rsidRPr="00963BFF">
                              <w:rPr>
                                <w:szCs w:val="18"/>
                              </w:rPr>
                              <w:t xml:space="preserve"> en verpakkingsarme productverkoop. Voer daarnaast een verpakkingsheffing in bij verkopers van verpakte producten, gedifferentieerd naar de milieu-impact van het type verpakking. </w:t>
                            </w:r>
                          </w:p>
                          <w:p w:rsidRPr="00963BFF" w:rsidR="00710F22" w:rsidP="00710F22" w:rsidRDefault="00710F22" w14:paraId="34F39B00" w14:textId="77777777">
                            <w:pPr>
                              <w:rPr>
                                <w:szCs w:val="18"/>
                              </w:rPr>
                            </w:pPr>
                            <w:r w:rsidRPr="00963BFF">
                              <w:rPr>
                                <w:szCs w:val="18"/>
                              </w:rPr>
                              <w:t>Productiegericht: Voer beleid gericht op het produceren van plastic verpakkingen met gerecyclede (</w:t>
                            </w:r>
                            <w:proofErr w:type="spellStart"/>
                            <w:r w:rsidRPr="00963BFF">
                              <w:rPr>
                                <w:szCs w:val="18"/>
                              </w:rPr>
                              <w:t>biobased</w:t>
                            </w:r>
                            <w:proofErr w:type="spellEnd"/>
                            <w:r w:rsidRPr="00963BFF">
                              <w:rPr>
                                <w:szCs w:val="18"/>
                              </w:rPr>
                              <w:t>) plastics. Ondersteun op korte termijn de productie van circulaire plastics met overheidssubsidies, waarbij de onrendabele top door de overheid gecompenseerd wordt. Wanneer de Europese normen voor recyclaat in verpakkingen voldoende sterk zijn kunnen nationale subsidies worden afgebouwd.</w:t>
                            </w:r>
                          </w:p>
                        </w:txbxContent>
                      </wps:txbx>
                      <wps:bodyPr rot="0" vert="horz" wrap="square" lIns="91440" tIns="45720" rIns="91440" bIns="45720" anchor="t" anchorCtr="0">
                        <a:spAutoFit/>
                      </wps:bodyPr>
                    </wps:wsp>
                  </a:graphicData>
                </a:graphic>
              </wp:inline>
            </w:drawing>
          </mc:Choice>
          <mc:Fallback>
            <w:pict>
              <v:shape id="_x0000_s1032" style="width:450.1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" w14:anchorId="0F600282">
                <v:textbox style="mso-fit-shape-to-text:t">
                  <w:txbxContent>
                    <w:p w:rsidRPr="00963BFF" w:rsidR="00710F22" w:rsidP="00710F22" w:rsidRDefault="00710F22" w14:paraId="630E417F" w14:textId="77777777">
                      <w:pPr>
                        <w:rPr>
                          <w:szCs w:val="18"/>
                        </w:rPr>
                      </w:pPr>
                      <w:r w:rsidRPr="00963BFF">
                        <w:rPr>
                          <w:szCs w:val="18"/>
                        </w:rPr>
                        <w:t xml:space="preserve">Functiegericht: Ondersteun retailers bij het ontwikkelen en opschalen van </w:t>
                      </w:r>
                      <w:proofErr w:type="spellStart"/>
                      <w:r w:rsidRPr="00963BFF">
                        <w:rPr>
                          <w:szCs w:val="18"/>
                        </w:rPr>
                        <w:t>verpakkingsloze</w:t>
                      </w:r>
                      <w:proofErr w:type="spellEnd"/>
                      <w:r w:rsidRPr="00963BFF">
                        <w:rPr>
                          <w:szCs w:val="18"/>
                        </w:rPr>
                        <w:t xml:space="preserve"> en verpakkingsarme productverkoop. Voer daarnaast een verpakkingsheffing in bij verkopers van verpakte producten, gedifferentieerd naar de milieu-impact van het type verpakking. </w:t>
                      </w:r>
                    </w:p>
                    <w:p w:rsidRPr="00963BFF" w:rsidR="00710F22" w:rsidP="00710F22" w:rsidRDefault="00710F22" w14:paraId="34F39B00" w14:textId="77777777">
                      <w:pPr>
                        <w:rPr>
                          <w:szCs w:val="18"/>
                        </w:rPr>
                      </w:pPr>
                      <w:r w:rsidRPr="00963BFF">
                        <w:rPr>
                          <w:szCs w:val="18"/>
                        </w:rPr>
                        <w:t>Productiegericht: Voer beleid gericht op het produceren van plastic verpakkingen met gerecyclede (</w:t>
                      </w:r>
                      <w:proofErr w:type="spellStart"/>
                      <w:r w:rsidRPr="00963BFF">
                        <w:rPr>
                          <w:szCs w:val="18"/>
                        </w:rPr>
                        <w:t>biobased</w:t>
                      </w:r>
                      <w:proofErr w:type="spellEnd"/>
                      <w:r w:rsidRPr="00963BFF">
                        <w:rPr>
                          <w:szCs w:val="18"/>
                        </w:rPr>
                        <w:t>) plastics. Ondersteun op korte termijn de productie van circulaire plastics met overheidssubsidies, waarbij de onrendabele top door de overheid gecompenseerd wordt. Wanneer de Europese normen voor recyclaat in verpakkingen voldoende sterk zijn kunnen nationale subsidies worden afgebouwd.</w:t>
                      </w:r>
                    </w:p>
                  </w:txbxContent>
                </v:textbox>
                <w10:anchorlock/>
              </v:shape>
            </w:pict>
          </mc:Fallback>
        </mc:AlternateContent>
      </w:r>
    </w:p>
    <w:p w:rsidR="00710F22" w:rsidP="00710F22" w:rsidRDefault="00710F22" w14:paraId="7A27EEB5" w14:textId="77777777">
      <w:pPr>
        <w:spacing w:after="160"/>
        <w:rPr>
          <w:szCs w:val="18"/>
        </w:rPr>
      </w:pPr>
      <w:r w:rsidRPr="00963BFF">
        <w:rPr>
          <w:szCs w:val="18"/>
        </w:rPr>
        <w:t xml:space="preserve">Het kabinet is van mening dat de markt voor circulaire plastics versterkt dient te worden op Europees niveau. In dat kader heeft Nederland zich tijdens de onderhandelingen van de Europese verpakkingenverordening actief ingezet voor ambitieuze verplichte percentages recyclaat in nieuwe verpakkingen. Ook heeft Nederland geprobeerd om deze verplichting voor </w:t>
      </w:r>
      <w:proofErr w:type="spellStart"/>
      <w:r w:rsidRPr="00963BFF">
        <w:rPr>
          <w:szCs w:val="18"/>
        </w:rPr>
        <w:t>biogebaseerde</w:t>
      </w:r>
      <w:proofErr w:type="spellEnd"/>
      <w:r w:rsidRPr="00963BFF">
        <w:rPr>
          <w:szCs w:val="18"/>
        </w:rPr>
        <w:t xml:space="preserve"> plastics te laten gelden. Dit laatste heeft het helaas niet gehaald in de uiteindelijke wettekst.</w:t>
      </w:r>
      <w:r>
        <w:rPr>
          <w:szCs w:val="18"/>
        </w:rPr>
        <w:t xml:space="preserve"> </w:t>
      </w:r>
      <w:bookmarkStart w:name="_Hlk230128648" w:id="2"/>
      <w:r>
        <w:rPr>
          <w:szCs w:val="18"/>
        </w:rPr>
        <w:t xml:space="preserve">De Commissie beziet begin 2028 of ze </w:t>
      </w:r>
      <w:r w:rsidRPr="00963BFF">
        <w:rPr>
          <w:szCs w:val="18"/>
        </w:rPr>
        <w:t xml:space="preserve">met wetsvoorstellen </w:t>
      </w:r>
      <w:r>
        <w:rPr>
          <w:szCs w:val="18"/>
        </w:rPr>
        <w:t>komt</w:t>
      </w:r>
      <w:r w:rsidRPr="00963BFF">
        <w:rPr>
          <w:szCs w:val="18"/>
        </w:rPr>
        <w:t xml:space="preserve">. </w:t>
      </w:r>
      <w:bookmarkEnd w:id="2"/>
    </w:p>
    <w:p w:rsidRPr="00963BFF" w:rsidR="00710F22" w:rsidP="00710F22" w:rsidRDefault="00710F22" w14:paraId="68FD80AD" w14:textId="77777777">
      <w:pPr>
        <w:spacing w:after="160"/>
        <w:rPr>
          <w:szCs w:val="18"/>
        </w:rPr>
      </w:pPr>
      <w:r w:rsidRPr="00963BFF">
        <w:rPr>
          <w:szCs w:val="18"/>
        </w:rPr>
        <w:t>Het enkel subsidiëren van de onrendabele top</w:t>
      </w:r>
      <w:r>
        <w:rPr>
          <w:szCs w:val="18"/>
        </w:rPr>
        <w:t xml:space="preserve"> voor recyclers</w:t>
      </w:r>
      <w:r w:rsidRPr="00963BFF">
        <w:rPr>
          <w:szCs w:val="18"/>
        </w:rPr>
        <w:t xml:space="preserve"> is op basis van de huidige staatssteunregels niet mogelijk. </w:t>
      </w:r>
      <w:r>
        <w:rPr>
          <w:szCs w:val="18"/>
        </w:rPr>
        <w:t>H</w:t>
      </w:r>
      <w:r w:rsidRPr="00963BFF">
        <w:rPr>
          <w:szCs w:val="18"/>
        </w:rPr>
        <w:t>et ministerie van EZK verken</w:t>
      </w:r>
      <w:r>
        <w:rPr>
          <w:szCs w:val="18"/>
        </w:rPr>
        <w:t>t op dit moment</w:t>
      </w:r>
      <w:r w:rsidRPr="00963BFF">
        <w:rPr>
          <w:szCs w:val="18"/>
        </w:rPr>
        <w:t xml:space="preserve"> of een gecombineerde ‘OPEX/CAPEX subsidie’ kan worden vormgegeven.</w:t>
      </w:r>
      <w:r w:rsidRPr="00963BFF">
        <w:rPr>
          <w:rStyle w:val="Voetnootmarkering"/>
          <w:szCs w:val="18"/>
        </w:rPr>
        <w:footnoteReference w:id="22"/>
      </w:r>
    </w:p>
    <w:p w:rsidRPr="00963BFF" w:rsidR="00710F22" w:rsidP="00710F22" w:rsidRDefault="00710F22" w14:paraId="603E5A04" w14:textId="77777777">
      <w:pPr>
        <w:spacing w:after="160"/>
        <w:rPr>
          <w:szCs w:val="18"/>
        </w:rPr>
      </w:pPr>
      <w:r w:rsidRPr="00963BFF">
        <w:rPr>
          <w:szCs w:val="18"/>
        </w:rPr>
        <w:t xml:space="preserve">In Nederland zijn producenten en importeurs (hierna producenten) verantwoordelijk voor het organiseren en financieren van afvalinzameling en verwerking van hun producten via </w:t>
      </w:r>
      <w:r>
        <w:rPr>
          <w:szCs w:val="18"/>
        </w:rPr>
        <w:t>u</w:t>
      </w:r>
      <w:r w:rsidRPr="00963BFF">
        <w:rPr>
          <w:szCs w:val="18"/>
        </w:rPr>
        <w:t xml:space="preserve">itgebreide </w:t>
      </w:r>
      <w:r>
        <w:rPr>
          <w:szCs w:val="18"/>
        </w:rPr>
        <w:t>p</w:t>
      </w:r>
      <w:r w:rsidRPr="00963BFF">
        <w:rPr>
          <w:szCs w:val="18"/>
        </w:rPr>
        <w:t>roducenten</w:t>
      </w:r>
      <w:r>
        <w:rPr>
          <w:szCs w:val="18"/>
        </w:rPr>
        <w:t>v</w:t>
      </w:r>
      <w:r w:rsidRPr="00963BFF">
        <w:rPr>
          <w:szCs w:val="18"/>
        </w:rPr>
        <w:t>erantwoordelijkheid</w:t>
      </w:r>
      <w:r>
        <w:rPr>
          <w:szCs w:val="18"/>
        </w:rPr>
        <w:t xml:space="preserve"> (UPV)</w:t>
      </w:r>
      <w:r w:rsidRPr="00963BFF">
        <w:rPr>
          <w:szCs w:val="18"/>
        </w:rPr>
        <w:t xml:space="preserve">. </w:t>
      </w:r>
      <w:r>
        <w:rPr>
          <w:szCs w:val="18"/>
        </w:rPr>
        <w:t>H</w:t>
      </w:r>
      <w:r w:rsidRPr="00963BFF">
        <w:rPr>
          <w:szCs w:val="18"/>
        </w:rPr>
        <w:t xml:space="preserve">et </w:t>
      </w:r>
      <w:r>
        <w:rPr>
          <w:szCs w:val="18"/>
        </w:rPr>
        <w:t xml:space="preserve">instrument </w:t>
      </w:r>
      <w:r w:rsidRPr="00963BFF">
        <w:rPr>
          <w:szCs w:val="18"/>
        </w:rPr>
        <w:t xml:space="preserve">UPV </w:t>
      </w:r>
      <w:r>
        <w:rPr>
          <w:szCs w:val="18"/>
        </w:rPr>
        <w:t>confronteert</w:t>
      </w:r>
      <w:r w:rsidRPr="00963BFF">
        <w:rPr>
          <w:szCs w:val="18"/>
        </w:rPr>
        <w:t xml:space="preserve"> producenten met het afval dat ontstaat door hun producten en </w:t>
      </w:r>
      <w:r>
        <w:rPr>
          <w:szCs w:val="18"/>
        </w:rPr>
        <w:t>geeft</w:t>
      </w:r>
      <w:r w:rsidRPr="00963BFF">
        <w:rPr>
          <w:szCs w:val="18"/>
        </w:rPr>
        <w:t xml:space="preserve"> een prikkel om minder afval te creëren. De UPV Verpakkingen bepaalt dat producenten en importeurs verantwoordelijk zijn voor het behalen van doelen voor de recycling en hergebruik van verpakkingsmateriaal, de recycling van drankenkartons en de inzameling van kunststof drankflessen en metalen drankblikjes. Dit betekent dat bedrijven die verpakte producten op de markt brengen wettelijk verantwoordelijk zijn voor het inrichten, bekostigen en functioneren van (inzameling- en verwerking)systemen om deze doelen te behalen. </w:t>
      </w:r>
      <w:proofErr w:type="spellStart"/>
      <w:r w:rsidRPr="00963BFF">
        <w:rPr>
          <w:szCs w:val="18"/>
        </w:rPr>
        <w:t>Verpact</w:t>
      </w:r>
      <w:proofErr w:type="spellEnd"/>
      <w:r w:rsidRPr="00963BFF">
        <w:rPr>
          <w:szCs w:val="18"/>
        </w:rPr>
        <w:t xml:space="preserve"> geeft hier namens het verpakkend bedrijfsleven uitvoering aan. Producenten moeten dus keuzes maken in hoe zij hun product op de markt brengen en daarna goed verwerken om de doelstellingen te halen. </w:t>
      </w:r>
      <w:proofErr w:type="spellStart"/>
      <w:r w:rsidRPr="00963BFF">
        <w:rPr>
          <w:szCs w:val="18"/>
        </w:rPr>
        <w:t>Verpact</w:t>
      </w:r>
      <w:proofErr w:type="spellEnd"/>
      <w:r w:rsidRPr="00963BFF">
        <w:rPr>
          <w:szCs w:val="18"/>
        </w:rPr>
        <w:t xml:space="preserve"> geeft hierbij een financiële stimulans (tariefdifferentiatie) voor beter recyclebare verpakkingen en </w:t>
      </w:r>
      <w:r>
        <w:rPr>
          <w:szCs w:val="18"/>
        </w:rPr>
        <w:t xml:space="preserve">voor plastic </w:t>
      </w:r>
      <w:r w:rsidRPr="00963BFF">
        <w:rPr>
          <w:szCs w:val="18"/>
        </w:rPr>
        <w:t xml:space="preserve">verpakkingen die gemaakt zijn van gerecycled materiaal. </w:t>
      </w:r>
    </w:p>
    <w:p w:rsidRPr="00963BFF" w:rsidR="00710F22" w:rsidP="00710F22" w:rsidRDefault="00710F22" w14:paraId="53103E3E" w14:textId="77777777">
      <w:pPr>
        <w:spacing w:after="160"/>
        <w:rPr>
          <w:szCs w:val="18"/>
        </w:rPr>
      </w:pPr>
      <w:r w:rsidRPr="00963BFF">
        <w:rPr>
          <w:szCs w:val="18"/>
        </w:rPr>
        <w:t xml:space="preserve">In Europa is sinds 12 februari 2025 de Verpakkingenverordening inwerking getreden. </w:t>
      </w:r>
      <w:r>
        <w:rPr>
          <w:szCs w:val="18"/>
        </w:rPr>
        <w:t>De bepalingen zijn v</w:t>
      </w:r>
      <w:r w:rsidRPr="00963BFF">
        <w:rPr>
          <w:szCs w:val="18"/>
        </w:rPr>
        <w:t xml:space="preserve">anaf 12 augustus 2026 van toepassing, tenzij anders vermeld. Deze verordening is er sterk op gericht de milieu-impact van verpakkingen te reduceren. </w:t>
      </w:r>
      <w:r>
        <w:rPr>
          <w:szCs w:val="18"/>
        </w:rPr>
        <w:t>Ze</w:t>
      </w:r>
      <w:r w:rsidRPr="00963BFF">
        <w:rPr>
          <w:szCs w:val="18"/>
        </w:rPr>
        <w:t xml:space="preserve"> adresseert bijvoorbeeld het feit dat</w:t>
      </w:r>
      <w:r>
        <w:rPr>
          <w:szCs w:val="18"/>
        </w:rPr>
        <w:t xml:space="preserve"> s</w:t>
      </w:r>
      <w:r w:rsidRPr="00963BFF">
        <w:rPr>
          <w:szCs w:val="18"/>
        </w:rPr>
        <w:t xml:space="preserve">ommige verpakkingen groter </w:t>
      </w:r>
      <w:r>
        <w:rPr>
          <w:szCs w:val="18"/>
        </w:rPr>
        <w:t>zijn</w:t>
      </w:r>
      <w:r w:rsidRPr="00963BFF">
        <w:rPr>
          <w:szCs w:val="18"/>
        </w:rPr>
        <w:t xml:space="preserve"> dan nodig, waardoor we te veel lucht verpakken</w:t>
      </w:r>
      <w:r>
        <w:rPr>
          <w:szCs w:val="18"/>
        </w:rPr>
        <w:t>; dat s</w:t>
      </w:r>
      <w:r w:rsidRPr="00963BFF">
        <w:rPr>
          <w:szCs w:val="18"/>
        </w:rPr>
        <w:t>ommige verpakkingen dikker zijn dan nodig, waardoor ze meer materiaal verbruiken</w:t>
      </w:r>
      <w:r>
        <w:rPr>
          <w:szCs w:val="18"/>
        </w:rPr>
        <w:t>; dat d</w:t>
      </w:r>
      <w:r w:rsidRPr="00963BFF">
        <w:rPr>
          <w:szCs w:val="18"/>
        </w:rPr>
        <w:t>e primaire grondstof voor plastic nu nog te vaak van fossiele oorsprong</w:t>
      </w:r>
      <w:r w:rsidRPr="00CF42F1">
        <w:rPr>
          <w:szCs w:val="18"/>
        </w:rPr>
        <w:t xml:space="preserve"> </w:t>
      </w:r>
      <w:r w:rsidRPr="00963BFF">
        <w:rPr>
          <w:szCs w:val="18"/>
        </w:rPr>
        <w:t>is</w:t>
      </w:r>
      <w:r>
        <w:rPr>
          <w:szCs w:val="18"/>
        </w:rPr>
        <w:t>, et cetera.</w:t>
      </w:r>
    </w:p>
    <w:p w:rsidR="00710F22" w:rsidP="00710F22" w:rsidRDefault="00710F22" w14:paraId="3130B4DB" w14:textId="77777777">
      <w:pPr>
        <w:spacing w:after="160"/>
        <w:rPr>
          <w:szCs w:val="18"/>
        </w:rPr>
      </w:pPr>
      <w:r>
        <w:rPr>
          <w:szCs w:val="18"/>
        </w:rPr>
        <w:t xml:space="preserve">De </w:t>
      </w:r>
      <w:r w:rsidRPr="00963BFF">
        <w:rPr>
          <w:szCs w:val="18"/>
        </w:rPr>
        <w:t>Verpakkingenverordening adresseert deze problemen</w:t>
      </w:r>
      <w:r>
        <w:rPr>
          <w:szCs w:val="18"/>
        </w:rPr>
        <w:t xml:space="preserve"> onder andere door eisen te stellen aan het design v</w:t>
      </w:r>
      <w:r w:rsidRPr="00963BFF">
        <w:rPr>
          <w:szCs w:val="18"/>
        </w:rPr>
        <w:t xml:space="preserve">an verpakkingen, zodat verpakkingen beter recyclebaar zijn en minder materiaal gebruikt wordt. </w:t>
      </w:r>
      <w:r>
        <w:rPr>
          <w:szCs w:val="18"/>
        </w:rPr>
        <w:t xml:space="preserve">Zo </w:t>
      </w:r>
      <w:r w:rsidRPr="00963BFF">
        <w:rPr>
          <w:szCs w:val="18"/>
        </w:rPr>
        <w:t xml:space="preserve">mogen </w:t>
      </w:r>
      <w:r>
        <w:rPr>
          <w:szCs w:val="18"/>
        </w:rPr>
        <w:t xml:space="preserve">verpakkingen </w:t>
      </w:r>
      <w:r w:rsidRPr="00963BFF">
        <w:rPr>
          <w:szCs w:val="18"/>
        </w:rPr>
        <w:t>minder lucht verpakken</w:t>
      </w:r>
      <w:r>
        <w:rPr>
          <w:szCs w:val="18"/>
        </w:rPr>
        <w:t>,</w:t>
      </w:r>
      <w:r w:rsidRPr="00963BFF">
        <w:rPr>
          <w:szCs w:val="18"/>
        </w:rPr>
        <w:t xml:space="preserve"> geen dubbelwanden of bodems hebben</w:t>
      </w:r>
      <w:r>
        <w:rPr>
          <w:szCs w:val="18"/>
        </w:rPr>
        <w:t>, en wordt uniformiteit in materiaal aangemoedigd, om tot zuiverder recyclingstromen te komen. Verder moeten in 2030 al</w:t>
      </w:r>
      <w:r w:rsidRPr="00963BFF">
        <w:rPr>
          <w:szCs w:val="18"/>
        </w:rPr>
        <w:t xml:space="preserve">le verpakkingen recyclebaar zijn. </w:t>
      </w:r>
      <w:r>
        <w:rPr>
          <w:szCs w:val="18"/>
        </w:rPr>
        <w:t>Ook moeten p</w:t>
      </w:r>
      <w:r w:rsidRPr="00963BFF">
        <w:rPr>
          <w:szCs w:val="18"/>
        </w:rPr>
        <w:t>lastic verpakkingen een verplicht percentage gerecycled plastic</w:t>
      </w:r>
      <w:r>
        <w:rPr>
          <w:szCs w:val="18"/>
        </w:rPr>
        <w:t xml:space="preserve"> bevatten</w:t>
      </w:r>
      <w:r w:rsidRPr="00963BFF">
        <w:rPr>
          <w:szCs w:val="18"/>
        </w:rPr>
        <w:t>. Dit percentage loopt door de jaren heen op</w:t>
      </w:r>
      <w:r>
        <w:rPr>
          <w:rStyle w:val="Voetnootmarkering"/>
          <w:szCs w:val="18"/>
        </w:rPr>
        <w:footnoteReference w:id="23"/>
      </w:r>
      <w:r w:rsidRPr="00963BFF">
        <w:rPr>
          <w:szCs w:val="18"/>
        </w:rPr>
        <w:t>.</w:t>
      </w:r>
      <w:r>
        <w:rPr>
          <w:szCs w:val="18"/>
        </w:rPr>
        <w:t xml:space="preserve"> Ten slotte moeten v</w:t>
      </w:r>
      <w:r w:rsidRPr="00963BFF">
        <w:rPr>
          <w:szCs w:val="18"/>
        </w:rPr>
        <w:t>erpakkingen vaker hergebruikt worden, waardoor de levensduur van een verpakking toeneemt en het aantal verpakkingen afneemt.</w:t>
      </w:r>
      <w:r>
        <w:rPr>
          <w:szCs w:val="18"/>
        </w:rPr>
        <w:t xml:space="preserve"> In de Verpakkingenverordening staan ook verplichtingen voor einddistributeurs (retailers), bv. dat ze een deel van de drinkverpakkingen in herbruikbare verpakkingen dienen aan te bieden, en herbruikbare alternatieven dienen aan te bieden bij </w:t>
      </w:r>
      <w:proofErr w:type="spellStart"/>
      <w:r>
        <w:rPr>
          <w:szCs w:val="18"/>
        </w:rPr>
        <w:t>takeaway</w:t>
      </w:r>
      <w:proofErr w:type="spellEnd"/>
      <w:r>
        <w:rPr>
          <w:szCs w:val="18"/>
        </w:rPr>
        <w:t xml:space="preserve"> maaltijden.</w:t>
      </w:r>
    </w:p>
    <w:p w:rsidR="00710F22" w:rsidP="00710F22" w:rsidRDefault="00710F22" w14:paraId="3496F15A" w14:textId="77777777">
      <w:pPr>
        <w:spacing w:after="160"/>
        <w:rPr>
          <w:szCs w:val="18"/>
        </w:rPr>
      </w:pPr>
      <w:r>
        <w:rPr>
          <w:szCs w:val="18"/>
        </w:rPr>
        <w:t>Tot slot</w:t>
      </w:r>
      <w:r w:rsidRPr="00E75E6F">
        <w:rPr>
          <w:szCs w:val="18"/>
        </w:rPr>
        <w:t xml:space="preserve"> is</w:t>
      </w:r>
      <w:r>
        <w:rPr>
          <w:szCs w:val="18"/>
        </w:rPr>
        <w:t xml:space="preserve"> er</w:t>
      </w:r>
      <w:r w:rsidRPr="00E75E6F">
        <w:rPr>
          <w:szCs w:val="18"/>
        </w:rPr>
        <w:t xml:space="preserve"> onderzoek gedaan naar een verpakking</w:t>
      </w:r>
      <w:r>
        <w:rPr>
          <w:szCs w:val="18"/>
        </w:rPr>
        <w:t>en</w:t>
      </w:r>
      <w:r w:rsidRPr="00E75E6F">
        <w:rPr>
          <w:szCs w:val="18"/>
        </w:rPr>
        <w:t xml:space="preserve">belasting met differentiatie naar de milieu-impact van de verpakking in het kader van de alternatieve voorstellen die de Werkgroep Afvalsector voor het </w:t>
      </w:r>
      <w:proofErr w:type="spellStart"/>
      <w:r w:rsidRPr="00E75E6F">
        <w:rPr>
          <w:szCs w:val="18"/>
        </w:rPr>
        <w:t>beprijzingspakket</w:t>
      </w:r>
      <w:proofErr w:type="spellEnd"/>
      <w:r w:rsidRPr="00E75E6F">
        <w:rPr>
          <w:szCs w:val="18"/>
        </w:rPr>
        <w:t xml:space="preserve"> voor afvalverbrandingsinstallaties heeft gedaan. Dit onderzoek </w:t>
      </w:r>
      <w:r>
        <w:rPr>
          <w:szCs w:val="18"/>
        </w:rPr>
        <w:t xml:space="preserve">is onlangs </w:t>
      </w:r>
      <w:r w:rsidRPr="00E75E6F">
        <w:rPr>
          <w:szCs w:val="18"/>
        </w:rPr>
        <w:t>gepubliceerd</w:t>
      </w:r>
      <w:r>
        <w:rPr>
          <w:rStyle w:val="Voetnootmarkering"/>
          <w:szCs w:val="18"/>
        </w:rPr>
        <w:footnoteReference w:id="24"/>
      </w:r>
      <w:r w:rsidRPr="00E75E6F">
        <w:rPr>
          <w:szCs w:val="18"/>
        </w:rPr>
        <w:t xml:space="preserve"> en het kabinet komt met een reactie hierop met Prinsjesdag</w:t>
      </w:r>
      <w:r>
        <w:rPr>
          <w:szCs w:val="18"/>
        </w:rPr>
        <w:t>.</w:t>
      </w:r>
    </w:p>
    <w:p w:rsidRPr="00BA2A58" w:rsidR="00710F22" w:rsidP="00710F22" w:rsidRDefault="00710F22" w14:paraId="1DB5E197" w14:textId="77777777">
      <w:pPr>
        <w:spacing w:after="160"/>
        <w:rPr>
          <w:i/>
          <w:szCs w:val="18"/>
          <w:u w:val="single"/>
        </w:rPr>
      </w:pPr>
      <w:r w:rsidRPr="00963BFF">
        <w:rPr>
          <w:i/>
          <w:iCs/>
          <w:szCs w:val="18"/>
          <w:u w:val="single"/>
        </w:rPr>
        <w:t>Aanbeveling 3: Maak financiering toegankelijker voor circulaire ondernemers en zorg dat financiële instellingen circulaire kansen beter meewegen.</w:t>
      </w:r>
    </w:p>
    <w:p w:rsidR="00710F22" w:rsidP="00710F22" w:rsidRDefault="00710F22" w14:paraId="659C13CD" w14:textId="77777777">
      <w:pPr>
        <w:spacing w:after="160"/>
        <w:rPr>
          <w:rFonts w:eastAsia="Verdana" w:cs="Verdana"/>
          <w:szCs w:val="18"/>
        </w:rPr>
      </w:pPr>
      <w:r w:rsidRPr="00EC0C9A">
        <w:rPr>
          <w:rFonts w:ascii="Cambria Math" w:hAnsi="Cambria Math" w:cs="Cambria Math"/>
          <w:noProof/>
          <w:szCs w:val="18"/>
        </w:rPr>
        <mc:AlternateContent>
          <mc:Choice Requires="wps">
            <w:drawing>
              <wp:inline distT="0" distB="0" distL="0" distR="0" wp14:anchorId="2DB91C60" wp14:editId="31825E3A">
                <wp:extent cx="5716858" cy="1404620"/>
                <wp:effectExtent l="0" t="0" r="17780" b="20320"/>
                <wp:docPr id="211769371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858" cy="1404620"/>
                        </a:xfrm>
                        <a:prstGeom prst="rect">
                          <a:avLst/>
                        </a:prstGeom>
                        <a:solidFill>
                          <a:srgbClr val="FFFFFF"/>
                        </a:solidFill>
                        <a:ln w="9525">
                          <a:solidFill>
                            <a:srgbClr val="000000"/>
                          </a:solidFill>
                          <a:miter lim="800000"/>
                          <a:headEnd/>
                          <a:tailEnd/>
                        </a:ln>
                      </wps:spPr>
                      <wps:txbx>
                        <w:txbxContent>
                          <w:p w:rsidRPr="00963BFF" w:rsidR="00710F22" w:rsidP="00710F22" w:rsidRDefault="00710F22" w14:paraId="008E1E21" w14:textId="77777777">
                            <w:pPr>
                              <w:rPr>
                                <w:szCs w:val="18"/>
                              </w:rPr>
                            </w:pPr>
                            <w:r w:rsidRPr="00963BFF">
                              <w:rPr>
                                <w:szCs w:val="18"/>
                              </w:rPr>
                              <w:t>Bevorder de toegang tot kapitaal voor circulaire ondernemers door via de toezichthouders (DNB en ECB) te sturen op het beter meewegen van de financiële risico’s van lineaire bedrijfsmodellen en de kansen van circulaire bedrijfsmodellen.</w:t>
                            </w:r>
                          </w:p>
                        </w:txbxContent>
                      </wps:txbx>
                      <wps:bodyPr rot="0" vert="horz" wrap="square" lIns="91440" tIns="45720" rIns="91440" bIns="45720" anchor="t" anchorCtr="0">
                        <a:spAutoFit/>
                      </wps:bodyPr>
                    </wps:wsp>
                  </a:graphicData>
                </a:graphic>
              </wp:inline>
            </w:drawing>
          </mc:Choice>
          <mc:Fallback>
            <w:pict>
              <v:shape id="_x0000_s1033" style="width:450.1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" w14:anchorId="2DB91C60">
                <v:textbox style="mso-fit-shape-to-text:t">
                  <w:txbxContent>
                    <w:p w:rsidRPr="00963BFF" w:rsidR="00710F22" w:rsidP="00710F22" w:rsidRDefault="00710F22" w14:paraId="008E1E21" w14:textId="77777777">
                      <w:pPr>
                        <w:rPr>
                          <w:szCs w:val="18"/>
                        </w:rPr>
                      </w:pPr>
                      <w:r w:rsidRPr="00963BFF">
                        <w:rPr>
                          <w:szCs w:val="18"/>
                        </w:rPr>
                        <w:t>Bevorder de toegang tot kapitaal voor circulaire ondernemers door via de toezichthouders (DNB en ECB) te sturen op het beter meewegen van de financiële risico’s van lineaire bedrijfsmodellen en de kansen van circulaire bedrijfsmodellen.</w:t>
                      </w:r>
                    </w:p>
                  </w:txbxContent>
                </v:textbox>
                <w10:anchorlock/>
              </v:shape>
            </w:pict>
          </mc:Fallback>
        </mc:AlternateContent>
      </w:r>
    </w:p>
    <w:p w:rsidRPr="00DD6DC4" w:rsidR="00710F22" w:rsidP="00710F22" w:rsidRDefault="00710F22" w14:paraId="2FB09749" w14:textId="77777777">
      <w:pPr>
        <w:spacing w:after="160"/>
        <w:rPr>
          <w:rFonts w:eastAsia="Verdana" w:cs="Verdana"/>
          <w:szCs w:val="18"/>
        </w:rPr>
      </w:pPr>
      <w:r w:rsidRPr="00DD6DC4">
        <w:rPr>
          <w:rFonts w:eastAsia="Verdana" w:cs="Verdana"/>
          <w:szCs w:val="18"/>
        </w:rPr>
        <w:t xml:space="preserve">Het kabinet onderschrijft dat circulaire ondernemers </w:t>
      </w:r>
      <w:r>
        <w:rPr>
          <w:rFonts w:eastAsia="Verdana" w:cs="Verdana"/>
          <w:szCs w:val="18"/>
        </w:rPr>
        <w:t>makkelijker</w:t>
      </w:r>
      <w:r w:rsidRPr="00DD6DC4">
        <w:rPr>
          <w:rFonts w:eastAsia="Verdana" w:cs="Verdana"/>
          <w:szCs w:val="18"/>
        </w:rPr>
        <w:t xml:space="preserve"> toegan</w:t>
      </w:r>
      <w:r>
        <w:rPr>
          <w:rFonts w:eastAsia="Verdana" w:cs="Verdana"/>
          <w:szCs w:val="18"/>
        </w:rPr>
        <w:t>g</w:t>
      </w:r>
      <w:r w:rsidRPr="00DD6DC4">
        <w:rPr>
          <w:rFonts w:eastAsia="Verdana" w:cs="Verdana"/>
          <w:szCs w:val="18"/>
        </w:rPr>
        <w:t xml:space="preserve"> moe</w:t>
      </w:r>
      <w:r>
        <w:rPr>
          <w:rFonts w:eastAsia="Verdana" w:cs="Verdana"/>
          <w:szCs w:val="18"/>
        </w:rPr>
        <w:t>ten</w:t>
      </w:r>
      <w:r w:rsidRPr="00DD6DC4">
        <w:rPr>
          <w:rFonts w:eastAsia="Verdana" w:cs="Verdana"/>
          <w:szCs w:val="18"/>
        </w:rPr>
        <w:t xml:space="preserve"> </w:t>
      </w:r>
      <w:r>
        <w:rPr>
          <w:rFonts w:eastAsia="Verdana" w:cs="Verdana"/>
          <w:szCs w:val="18"/>
        </w:rPr>
        <w:t>hebben tot financiering.</w:t>
      </w:r>
      <w:r w:rsidRPr="00DD6DC4">
        <w:rPr>
          <w:rFonts w:eastAsia="Verdana" w:cs="Verdana"/>
          <w:szCs w:val="18"/>
        </w:rPr>
        <w:t xml:space="preserve"> Dit vraagt om een betere weging van de risico's van lineaire (economische) activiteiten ten opzichte van circulaire activiteiten. De overheid en banken werken samen om de transitie naar een circulaire economie te versnellen. </w:t>
      </w:r>
      <w:r>
        <w:rPr>
          <w:rFonts w:eastAsia="Verdana" w:cs="Verdana"/>
          <w:szCs w:val="18"/>
        </w:rPr>
        <w:t>Zij hebben d</w:t>
      </w:r>
      <w:r w:rsidRPr="00DD6DC4">
        <w:rPr>
          <w:rFonts w:eastAsia="Verdana" w:cs="Verdana"/>
          <w:szCs w:val="18"/>
        </w:rPr>
        <w:t>it voornemen uitgewerkt in een gezamenlijk statement, waarin acties zijn opgenomen voor zowel de overheid als de financiële sector.</w:t>
      </w:r>
      <w:r>
        <w:rPr>
          <w:rStyle w:val="Voetnootmarkering"/>
          <w:rFonts w:eastAsia="Verdana" w:cs="Verdana"/>
          <w:szCs w:val="18"/>
        </w:rPr>
        <w:footnoteReference w:id="25"/>
      </w:r>
      <w:r w:rsidRPr="00DD6DC4">
        <w:rPr>
          <w:rFonts w:eastAsia="Verdana" w:cs="Verdana"/>
          <w:szCs w:val="18"/>
        </w:rPr>
        <w:t xml:space="preserve"> E</w:t>
      </w:r>
      <w:r>
        <w:rPr>
          <w:rFonts w:eastAsia="Verdana" w:cs="Verdana"/>
          <w:szCs w:val="18"/>
        </w:rPr>
        <w:t>é</w:t>
      </w:r>
      <w:r w:rsidRPr="00DD6DC4">
        <w:rPr>
          <w:rFonts w:eastAsia="Verdana" w:cs="Verdana"/>
          <w:szCs w:val="18"/>
        </w:rPr>
        <w:t xml:space="preserve">n van de punten voor zowel de financiële sector als diens toezichthouder(s) is </w:t>
      </w:r>
      <w:r>
        <w:rPr>
          <w:rFonts w:eastAsia="Verdana" w:cs="Verdana"/>
          <w:szCs w:val="18"/>
        </w:rPr>
        <w:t xml:space="preserve">om </w:t>
      </w:r>
      <w:r w:rsidRPr="00DD6DC4">
        <w:rPr>
          <w:rFonts w:eastAsia="Verdana" w:cs="Verdana"/>
          <w:szCs w:val="18"/>
        </w:rPr>
        <w:t>te onderzoeken of bestaande risicomodellen aangepast dienen te worden om fysieke of transitierisico’s van de grondstoffentransitie expliciet(er) mee te wegen</w:t>
      </w:r>
      <w:r>
        <w:rPr>
          <w:rFonts w:eastAsia="Verdana" w:cs="Verdana"/>
          <w:szCs w:val="18"/>
        </w:rPr>
        <w:t xml:space="preserve"> c.q. projecten die hun grondstoffenrisico’s goed managen daarvoor te belonen</w:t>
      </w:r>
      <w:r w:rsidRPr="00DD6DC4">
        <w:rPr>
          <w:rFonts w:eastAsia="Verdana" w:cs="Verdana"/>
          <w:szCs w:val="18"/>
        </w:rPr>
        <w:t xml:space="preserve">. </w:t>
      </w:r>
    </w:p>
    <w:p w:rsidRPr="00DD6DC4" w:rsidR="00710F22" w:rsidP="00710F22" w:rsidRDefault="00710F22" w14:paraId="24A89002" w14:textId="77777777">
      <w:pPr>
        <w:spacing w:after="160"/>
        <w:rPr>
          <w:rFonts w:eastAsia="Verdana" w:cs="Verdana"/>
          <w:i/>
          <w:iCs/>
          <w:szCs w:val="18"/>
        </w:rPr>
      </w:pPr>
      <w:r>
        <w:rPr>
          <w:rFonts w:eastAsia="Verdana" w:cs="Verdana"/>
          <w:szCs w:val="18"/>
        </w:rPr>
        <w:t>Daarnaast staat i</w:t>
      </w:r>
      <w:r w:rsidRPr="00DD6DC4">
        <w:rPr>
          <w:rFonts w:eastAsia="Verdana" w:cs="Verdana"/>
          <w:szCs w:val="18"/>
        </w:rPr>
        <w:t>n het gezamenlijk statement dat de overheid verkent welke belemmeringen in wet- en regelgeving de transitie in de weg staan</w:t>
      </w:r>
      <w:r>
        <w:rPr>
          <w:rFonts w:eastAsia="Verdana" w:cs="Verdana"/>
          <w:szCs w:val="18"/>
        </w:rPr>
        <w:t>,</w:t>
      </w:r>
      <w:r w:rsidRPr="00DD6DC4">
        <w:rPr>
          <w:rFonts w:eastAsia="Verdana" w:cs="Verdana"/>
          <w:szCs w:val="18"/>
        </w:rPr>
        <w:t xml:space="preserve"> en </w:t>
      </w:r>
      <w:r>
        <w:rPr>
          <w:rFonts w:eastAsia="Verdana" w:cs="Verdana"/>
          <w:szCs w:val="18"/>
        </w:rPr>
        <w:t xml:space="preserve">dat zij </w:t>
      </w:r>
      <w:r w:rsidRPr="00DD6DC4">
        <w:rPr>
          <w:rFonts w:eastAsia="Verdana" w:cs="Verdana"/>
          <w:szCs w:val="18"/>
        </w:rPr>
        <w:t xml:space="preserve">deze tracht weg te nemen. Dit kan sectorspecifiek (denk aan normeringen in wet- en regelgeving voor de bebouwde omgeving), maar </w:t>
      </w:r>
      <w:r>
        <w:rPr>
          <w:rFonts w:eastAsia="Verdana" w:cs="Verdana"/>
          <w:szCs w:val="18"/>
        </w:rPr>
        <w:t xml:space="preserve">de verkenning richt zich ook tot </w:t>
      </w:r>
      <w:r w:rsidRPr="00DD6DC4">
        <w:rPr>
          <w:rFonts w:eastAsia="Verdana" w:cs="Verdana"/>
          <w:szCs w:val="18"/>
        </w:rPr>
        <w:t xml:space="preserve">welke knelpunten </w:t>
      </w:r>
      <w:r>
        <w:rPr>
          <w:rFonts w:eastAsia="Verdana" w:cs="Verdana"/>
          <w:szCs w:val="18"/>
        </w:rPr>
        <w:t xml:space="preserve">er </w:t>
      </w:r>
      <w:r w:rsidRPr="00DD6DC4">
        <w:rPr>
          <w:rFonts w:eastAsia="Verdana" w:cs="Verdana"/>
          <w:szCs w:val="18"/>
        </w:rPr>
        <w:t xml:space="preserve">voor de financiële sector </w:t>
      </w:r>
      <w:r>
        <w:rPr>
          <w:rFonts w:eastAsia="Verdana" w:cs="Verdana"/>
          <w:szCs w:val="18"/>
        </w:rPr>
        <w:t xml:space="preserve">als zodanig </w:t>
      </w:r>
      <w:r w:rsidRPr="00DD6DC4">
        <w:rPr>
          <w:rFonts w:eastAsia="Verdana" w:cs="Verdana"/>
          <w:szCs w:val="18"/>
        </w:rPr>
        <w:t>zijn</w:t>
      </w:r>
      <w:r>
        <w:rPr>
          <w:rFonts w:eastAsia="Verdana" w:cs="Verdana"/>
          <w:szCs w:val="18"/>
        </w:rPr>
        <w:t>, bijvoorbeeld</w:t>
      </w:r>
      <w:r w:rsidRPr="00DD6DC4">
        <w:rPr>
          <w:rFonts w:eastAsia="Verdana" w:cs="Verdana"/>
          <w:szCs w:val="18"/>
        </w:rPr>
        <w:t xml:space="preserve"> in toezicht, informatie-uitwisseling en kapitaaleisen voor financiële instellingen. Veel van deze knelpunten dienen Europees aangepakt te worden. </w:t>
      </w:r>
      <w:r>
        <w:rPr>
          <w:rFonts w:eastAsia="Verdana" w:cs="Verdana"/>
          <w:szCs w:val="18"/>
        </w:rPr>
        <w:t xml:space="preserve">Tijdens het </w:t>
      </w:r>
      <w:r w:rsidRPr="00DD6DC4">
        <w:rPr>
          <w:rFonts w:eastAsia="Verdana" w:cs="Verdana"/>
          <w:szCs w:val="18"/>
        </w:rPr>
        <w:t>Bestuurlijk Overleg Financiering Circulaire Economie</w:t>
      </w:r>
      <w:r>
        <w:rPr>
          <w:rFonts w:eastAsia="Verdana" w:cs="Verdana"/>
          <w:szCs w:val="18"/>
        </w:rPr>
        <w:t xml:space="preserve"> van 7 mei 2026</w:t>
      </w:r>
      <w:r w:rsidRPr="00DD6DC4">
        <w:rPr>
          <w:rFonts w:eastAsia="Verdana" w:cs="Verdana"/>
          <w:szCs w:val="18"/>
        </w:rPr>
        <w:t xml:space="preserve">, waar de afspraken uit het statement gemonitord worden, is afgesproken dat de overheid en financiële sector gezamenlijk optrekken richting Brussel, bijvoorbeeld in vormgeving van de CE-Act en de gewenste kaders voor de financiële sector. </w:t>
      </w:r>
    </w:p>
    <w:p w:rsidRPr="00BA2A58" w:rsidR="00710F22" w:rsidP="00710F22" w:rsidRDefault="00710F22" w14:paraId="71A950F3" w14:textId="77777777">
      <w:pPr>
        <w:tabs>
          <w:tab w:val="left" w:pos="840"/>
        </w:tabs>
        <w:spacing w:after="160"/>
        <w:rPr>
          <w:i/>
          <w:szCs w:val="18"/>
          <w:u w:val="single"/>
        </w:rPr>
      </w:pPr>
      <w:bookmarkStart w:name="_Hlk230079068" w:id="3"/>
      <w:r w:rsidRPr="00963BFF">
        <w:rPr>
          <w:i/>
          <w:iCs/>
          <w:szCs w:val="18"/>
          <w:u w:val="single"/>
        </w:rPr>
        <w:t>Aanbeveling 4: Maak circulaire producten betaalbaar voor iedereen en compenseer waar nodig via de inkomstenbelasting</w:t>
      </w:r>
    </w:p>
    <w:p w:rsidR="00710F22" w:rsidP="00710F22" w:rsidRDefault="00710F22" w14:paraId="07936B46" w14:textId="77777777">
      <w:pPr>
        <w:spacing w:after="160"/>
        <w:rPr>
          <w:szCs w:val="18"/>
        </w:rPr>
      </w:pPr>
      <w:r w:rsidRPr="00EC0C9A">
        <w:rPr>
          <w:rFonts w:ascii="Cambria Math" w:hAnsi="Cambria Math" w:cs="Cambria Math"/>
          <w:noProof/>
          <w:szCs w:val="18"/>
        </w:rPr>
        <mc:AlternateContent>
          <mc:Choice Requires="wps">
            <w:drawing>
              <wp:inline distT="0" distB="0" distL="0" distR="0" wp14:anchorId="71659841" wp14:editId="618EF6DD">
                <wp:extent cx="5716858" cy="1404620"/>
                <wp:effectExtent l="0" t="0" r="17780" b="20320"/>
                <wp:docPr id="92801088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858" cy="1404620"/>
                        </a:xfrm>
                        <a:prstGeom prst="rect">
                          <a:avLst/>
                        </a:prstGeom>
                        <a:solidFill>
                          <a:srgbClr val="FFFFFF"/>
                        </a:solidFill>
                        <a:ln w="9525">
                          <a:solidFill>
                            <a:srgbClr val="000000"/>
                          </a:solidFill>
                          <a:miter lim="800000"/>
                          <a:headEnd/>
                          <a:tailEnd/>
                        </a:ln>
                      </wps:spPr>
                      <wps:txbx>
                        <w:txbxContent>
                          <w:p w:rsidRPr="00963BFF" w:rsidR="00710F22" w:rsidP="00710F22" w:rsidRDefault="00710F22" w14:paraId="67268445" w14:textId="77777777">
                            <w:pPr>
                              <w:rPr>
                                <w:szCs w:val="18"/>
                              </w:rPr>
                            </w:pPr>
                            <w:r w:rsidRPr="00963BFF">
                              <w:rPr>
                                <w:szCs w:val="18"/>
                              </w:rPr>
                              <w:t xml:space="preserve">Beperk de ongewenste negatieve effecten van het </w:t>
                            </w:r>
                            <w:r>
                              <w:rPr>
                                <w:szCs w:val="18"/>
                              </w:rPr>
                              <w:t>circulaire economiebeleid</w:t>
                            </w:r>
                            <w:r w:rsidRPr="00963BFF">
                              <w:rPr>
                                <w:szCs w:val="18"/>
                              </w:rPr>
                              <w:t xml:space="preserve"> voor minder draagkrachtige groepen in de samenleving. Zorg per productgroep voor toegang tot duurzame alternatieven. Voer daarnaast waar nodig beleid via de inkomstenbelasting.</w:t>
                            </w:r>
                          </w:p>
                        </w:txbxContent>
                      </wps:txbx>
                      <wps:bodyPr rot="0" vert="horz" wrap="square" lIns="91440" tIns="45720" rIns="91440" bIns="45720" anchor="t" anchorCtr="0">
                        <a:spAutoFit/>
                      </wps:bodyPr>
                    </wps:wsp>
                  </a:graphicData>
                </a:graphic>
              </wp:inline>
            </w:drawing>
          </mc:Choice>
          <mc:Fallback>
            <w:pict>
              <v:shape id="_x0000_s1034" style="width:450.1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" w14:anchorId="71659841">
                <v:textbox style="mso-fit-shape-to-text:t">
                  <w:txbxContent>
                    <w:p w:rsidRPr="00963BFF" w:rsidR="00710F22" w:rsidP="00710F22" w:rsidRDefault="00710F22" w14:paraId="67268445" w14:textId="77777777">
                      <w:pPr>
                        <w:rPr>
                          <w:szCs w:val="18"/>
                        </w:rPr>
                      </w:pPr>
                      <w:r w:rsidRPr="00963BFF">
                        <w:rPr>
                          <w:szCs w:val="18"/>
                        </w:rPr>
                        <w:t xml:space="preserve">Beperk de ongewenste negatieve effecten van het </w:t>
                      </w:r>
                      <w:r>
                        <w:rPr>
                          <w:szCs w:val="18"/>
                        </w:rPr>
                        <w:t>circulaire economiebeleid</w:t>
                      </w:r>
                      <w:r w:rsidRPr="00963BFF">
                        <w:rPr>
                          <w:szCs w:val="18"/>
                        </w:rPr>
                        <w:t xml:space="preserve"> voor minder draagkrachtige groepen in de samenleving. Zorg per productgroep voor toegang tot duurzame alternatieven. Voer daarnaast waar nodig beleid via de inkomstenbelasting.</w:t>
                      </w:r>
                    </w:p>
                  </w:txbxContent>
                </v:textbox>
                <w10:anchorlock/>
              </v:shape>
            </w:pict>
          </mc:Fallback>
        </mc:AlternateContent>
      </w:r>
    </w:p>
    <w:p w:rsidRPr="00963BFF" w:rsidR="00710F22" w:rsidP="00710F22" w:rsidRDefault="00710F22" w14:paraId="3D870C9C" w14:textId="77777777">
      <w:pPr>
        <w:spacing w:after="160"/>
        <w:rPr>
          <w:szCs w:val="18"/>
        </w:rPr>
      </w:pPr>
      <w:r>
        <w:rPr>
          <w:szCs w:val="18"/>
        </w:rPr>
        <w:t>De</w:t>
      </w:r>
      <w:r w:rsidRPr="00963BFF">
        <w:rPr>
          <w:szCs w:val="18"/>
        </w:rPr>
        <w:t xml:space="preserve"> WKR </w:t>
      </w:r>
      <w:r>
        <w:rPr>
          <w:szCs w:val="18"/>
        </w:rPr>
        <w:t xml:space="preserve">vraagt terecht </w:t>
      </w:r>
      <w:r w:rsidRPr="00963BFF">
        <w:rPr>
          <w:szCs w:val="18"/>
        </w:rPr>
        <w:t xml:space="preserve">aandacht voor rechtvaardigheidsaspecten voor het </w:t>
      </w:r>
      <w:r>
        <w:rPr>
          <w:szCs w:val="18"/>
        </w:rPr>
        <w:t xml:space="preserve">CE </w:t>
      </w:r>
      <w:r w:rsidRPr="00963BFF">
        <w:rPr>
          <w:szCs w:val="18"/>
        </w:rPr>
        <w:t>beleid. We zien nu dat circulaire producten vaak duurder zijn en eerder aangeschaft worden door mensen met een hoger inkomen. Tegelijkertijd consumeert de welvarende burger ook meer, en legt daarmee een groter beslag op de beschikbare grondstoffen. In het Klimaatplan</w:t>
      </w:r>
      <w:r w:rsidRPr="00963BFF">
        <w:rPr>
          <w:rStyle w:val="Voetnootmarkering"/>
          <w:szCs w:val="18"/>
        </w:rPr>
        <w:footnoteReference w:id="26"/>
      </w:r>
      <w:r w:rsidRPr="00963BFF">
        <w:rPr>
          <w:szCs w:val="18"/>
        </w:rPr>
        <w:t xml:space="preserve"> heeft het kabinet toegezegd rekening te houden met vier rechtvaardigheidsprincipes in de uitvoering van klimaatbeleid: beleid moet zo effectief mogelijk zijn, verantwoordelijkheid moet gedeeld worden tussen medeoverheden, bedrijven, burgers en maatschappelijke organisaties, ondersteuning en bijdrage moeten naar draagkracht worden bepaald, en de vervuiler betaalt. Deze principes zijn belangrijk voor het draagvlak voor circulair beleid in de samenleving. </w:t>
      </w:r>
    </w:p>
    <w:p w:rsidR="00710F22" w:rsidP="00710F22" w:rsidRDefault="00710F22" w14:paraId="00FB8EA6" w14:textId="77777777">
      <w:pPr>
        <w:spacing w:after="160"/>
        <w:rPr>
          <w:szCs w:val="18"/>
        </w:rPr>
      </w:pPr>
      <w:r w:rsidRPr="00963BFF">
        <w:rPr>
          <w:szCs w:val="18"/>
        </w:rPr>
        <w:t xml:space="preserve">Als alle maatschappelijke kosten in de prijs verwerkt zijn, kan dat ervoor zorgen dat het circulaire alternatief beter kan concurreren en kan opschalen waardoor het goedkoper wordt. Ook kan het stimuleren van hergebruik en reparatie (bijvoorbeeld met reparatievouchers) en in Europees verband eisen dat producten langer meegaan en beter </w:t>
      </w:r>
      <w:proofErr w:type="spellStart"/>
      <w:r w:rsidRPr="00963BFF">
        <w:rPr>
          <w:szCs w:val="18"/>
        </w:rPr>
        <w:t>repareerbaar</w:t>
      </w:r>
      <w:proofErr w:type="spellEnd"/>
      <w:r w:rsidRPr="00963BFF">
        <w:rPr>
          <w:szCs w:val="18"/>
        </w:rPr>
        <w:t xml:space="preserve"> zijn</w:t>
      </w:r>
      <w:r>
        <w:rPr>
          <w:szCs w:val="18"/>
        </w:rPr>
        <w:t>,</w:t>
      </w:r>
      <w:r w:rsidRPr="00963BFF">
        <w:rPr>
          <w:szCs w:val="18"/>
        </w:rPr>
        <w:t xml:space="preserve"> juist zorgen voor verlaging van de kosten. </w:t>
      </w:r>
    </w:p>
    <w:p w:rsidRPr="00F23DF3" w:rsidR="00710F22" w:rsidP="00710F22" w:rsidRDefault="00710F22" w14:paraId="4D9C1ED7" w14:textId="77777777">
      <w:pPr>
        <w:spacing w:after="160"/>
        <w:rPr>
          <w:szCs w:val="18"/>
        </w:rPr>
      </w:pPr>
      <w:r w:rsidRPr="00F23DF3">
        <w:rPr>
          <w:szCs w:val="18"/>
        </w:rPr>
        <w:t>Fiscale maatregelen kunnen een belangrijke rol spelen in het aanjagen van de circulaire transitie.</w:t>
      </w:r>
      <w:r>
        <w:rPr>
          <w:rStyle w:val="Voetnootmarkering"/>
          <w:szCs w:val="18"/>
        </w:rPr>
        <w:footnoteReference w:id="27"/>
      </w:r>
      <w:r w:rsidRPr="00F23DF3">
        <w:rPr>
          <w:szCs w:val="18"/>
        </w:rPr>
        <w:t xml:space="preserve"> </w:t>
      </w:r>
      <w:r>
        <w:rPr>
          <w:szCs w:val="18"/>
        </w:rPr>
        <w:t>H</w:t>
      </w:r>
      <w:r w:rsidRPr="00F23DF3">
        <w:rPr>
          <w:szCs w:val="18"/>
        </w:rPr>
        <w:t xml:space="preserve">effingen en fiscale regelingen </w:t>
      </w:r>
      <w:r>
        <w:rPr>
          <w:szCs w:val="18"/>
        </w:rPr>
        <w:t>kunnen</w:t>
      </w:r>
      <w:r w:rsidRPr="00F23DF3">
        <w:rPr>
          <w:szCs w:val="18"/>
        </w:rPr>
        <w:t xml:space="preserve"> het voor producenten, consumenten en verwerkers lonender </w:t>
      </w:r>
      <w:r>
        <w:rPr>
          <w:szCs w:val="18"/>
        </w:rPr>
        <w:t>maken</w:t>
      </w:r>
      <w:r w:rsidRPr="00F23DF3">
        <w:rPr>
          <w:szCs w:val="18"/>
        </w:rPr>
        <w:t xml:space="preserve"> om economische keuzes te maken die de circulaire economie bevorderen. Circulaire ondernemers vragen daar ook om. Zij ondervinden niet altijd een gelijk speelveld voor hun producten en diensten. In het huidige lineaire systeem worden milieukosten doorgaans niet in de productprijs meegenomen, en duurzaam produceren wordt onvoldoende beloond. Fiscale maatregelen kunnen circulaire alternatieven economisch aantrekkelijker </w:t>
      </w:r>
      <w:r>
        <w:rPr>
          <w:szCs w:val="18"/>
        </w:rPr>
        <w:t>maken</w:t>
      </w:r>
      <w:r w:rsidRPr="00F23DF3">
        <w:rPr>
          <w:szCs w:val="18"/>
        </w:rPr>
        <w:t xml:space="preserve">. Daarmee kan de vraag verhoogd worden, waardoor het risico voor investeerders om financiering te verstrekken verkleind wordt. </w:t>
      </w:r>
    </w:p>
    <w:p w:rsidRPr="00F23DF3" w:rsidR="00710F22" w:rsidP="00710F22" w:rsidRDefault="00710F22" w14:paraId="79580235" w14:textId="77777777">
      <w:pPr>
        <w:spacing w:after="160"/>
        <w:rPr>
          <w:szCs w:val="18"/>
        </w:rPr>
      </w:pPr>
      <w:r w:rsidRPr="00F23DF3">
        <w:rPr>
          <w:szCs w:val="18"/>
        </w:rPr>
        <w:t xml:space="preserve">Een versnelling van de circulaire transitie vereist echter een samenhangende inzet van verschillende beleidsinstrumenten. </w:t>
      </w:r>
      <w:r w:rsidRPr="00F276F0">
        <w:rPr>
          <w:szCs w:val="18"/>
        </w:rPr>
        <w:t xml:space="preserve">Beprijzing en normering kunnen leiden tot hogere kosten voor consumenten. Om de betaalbaarheid en handelingsperspectief voor (kwetsbare) huishoudens te borgen moeten fiscale maatregelen moeten worden ingebed in een breder beleidspakket. </w:t>
      </w:r>
      <w:r w:rsidRPr="00F23DF3">
        <w:rPr>
          <w:szCs w:val="18"/>
        </w:rPr>
        <w:t xml:space="preserve">Ook is de inzet van fiscale maatregelen niet altijd het meest doelmatig ten opzichte van andere instrumenten. </w:t>
      </w:r>
    </w:p>
    <w:p w:rsidRPr="00E006AA" w:rsidR="00710F22" w:rsidP="00710F22" w:rsidRDefault="00710F22" w14:paraId="4059AA55" w14:textId="77777777">
      <w:pPr>
        <w:spacing w:after="160"/>
        <w:rPr>
          <w:szCs w:val="18"/>
        </w:rPr>
      </w:pPr>
      <w:r w:rsidRPr="00F276F0">
        <w:rPr>
          <w:szCs w:val="18"/>
        </w:rPr>
        <w:t xml:space="preserve">Een van de opties waarmee (kwetsbare) huishoudens kunnen worden gecompenseerd voor </w:t>
      </w:r>
      <w:proofErr w:type="spellStart"/>
      <w:r w:rsidRPr="00F276F0">
        <w:rPr>
          <w:szCs w:val="18"/>
        </w:rPr>
        <w:t>beprijzende</w:t>
      </w:r>
      <w:proofErr w:type="spellEnd"/>
      <w:r w:rsidRPr="00F276F0">
        <w:rPr>
          <w:szCs w:val="18"/>
        </w:rPr>
        <w:t xml:space="preserve"> en normerende maatregelen is via de inkomstenbelasting. </w:t>
      </w:r>
      <w:r w:rsidRPr="00F23DF3">
        <w:rPr>
          <w:szCs w:val="18"/>
        </w:rPr>
        <w:t xml:space="preserve">Een </w:t>
      </w:r>
      <w:proofErr w:type="spellStart"/>
      <w:r w:rsidRPr="00F23DF3">
        <w:rPr>
          <w:i/>
          <w:iCs/>
          <w:szCs w:val="18"/>
        </w:rPr>
        <w:t>tax</w:t>
      </w:r>
      <w:proofErr w:type="spellEnd"/>
      <w:r w:rsidRPr="00F23DF3">
        <w:rPr>
          <w:i/>
          <w:iCs/>
          <w:szCs w:val="18"/>
        </w:rPr>
        <w:t xml:space="preserve"> shift</w:t>
      </w:r>
      <w:r w:rsidRPr="00F23DF3">
        <w:rPr>
          <w:szCs w:val="18"/>
        </w:rPr>
        <w:t xml:space="preserve"> van arbeid naar vergroening is in beginsel een aantrekkelijk principe, aangezien het de prikkel vergroot om hieraan te gaan werken en om vervuiling te verminderen. In de praktijk blijkt </w:t>
      </w:r>
      <w:r>
        <w:rPr>
          <w:szCs w:val="18"/>
        </w:rPr>
        <w:t>een dergelijke belastingverschuiving</w:t>
      </w:r>
      <w:r w:rsidRPr="00F23DF3">
        <w:rPr>
          <w:szCs w:val="18"/>
        </w:rPr>
        <w:t xml:space="preserve"> echter ingewikkeld. Een belangrijke reden hiervoor is dat in absolute euro’s de </w:t>
      </w:r>
      <w:r>
        <w:rPr>
          <w:szCs w:val="18"/>
        </w:rPr>
        <w:t>grondslag</w:t>
      </w:r>
      <w:r w:rsidRPr="00F23DF3">
        <w:rPr>
          <w:szCs w:val="18"/>
        </w:rPr>
        <w:t xml:space="preserve"> arbeid veel </w:t>
      </w:r>
      <w:r>
        <w:rPr>
          <w:szCs w:val="18"/>
        </w:rPr>
        <w:t>groter is</w:t>
      </w:r>
      <w:r w:rsidRPr="00F23DF3">
        <w:rPr>
          <w:szCs w:val="18"/>
        </w:rPr>
        <w:t xml:space="preserve"> dan de </w:t>
      </w:r>
      <w:r>
        <w:rPr>
          <w:szCs w:val="18"/>
        </w:rPr>
        <w:t xml:space="preserve">grondslag van bijvoorbeeld vervuilende consumptie. </w:t>
      </w:r>
      <w:r w:rsidRPr="00F23DF3">
        <w:rPr>
          <w:szCs w:val="18"/>
        </w:rPr>
        <w:t xml:space="preserve">Een ander aandachtspunt is dat de belastingopbrengst erodeert indien milieubelastingen succesvol zijn. </w:t>
      </w:r>
      <w:r w:rsidRPr="00F06C6B">
        <w:rPr>
          <w:szCs w:val="18"/>
        </w:rPr>
        <w:t xml:space="preserve">Desondanks is het kabinet van mening dat een stapsgewijze </w:t>
      </w:r>
      <w:proofErr w:type="spellStart"/>
      <w:r w:rsidRPr="00F06C6B">
        <w:rPr>
          <w:szCs w:val="18"/>
        </w:rPr>
        <w:t>tax</w:t>
      </w:r>
      <w:proofErr w:type="spellEnd"/>
      <w:r w:rsidRPr="00F06C6B">
        <w:rPr>
          <w:szCs w:val="18"/>
        </w:rPr>
        <w:t xml:space="preserve"> shift mogelijk is, mits er voor elke mogelijke heffing zorgvuldig wordt afgewogen of invoering of verhoging wenselijk is. Hierbij worden verschillende criteria gehanteerd, zoals de </w:t>
      </w:r>
      <w:proofErr w:type="spellStart"/>
      <w:r w:rsidRPr="00F06C6B">
        <w:rPr>
          <w:szCs w:val="18"/>
        </w:rPr>
        <w:t>beprijzing</w:t>
      </w:r>
      <w:proofErr w:type="spellEnd"/>
      <w:r w:rsidRPr="00F06C6B">
        <w:rPr>
          <w:szCs w:val="18"/>
        </w:rPr>
        <w:t xml:space="preserve"> van externe kosten, effect op CO</w:t>
      </w:r>
      <w:r w:rsidRPr="00F06C6B">
        <w:rPr>
          <w:szCs w:val="18"/>
          <w:vertAlign w:val="subscript"/>
        </w:rPr>
        <w:t>2</w:t>
      </w:r>
      <w:r w:rsidRPr="00F06C6B">
        <w:rPr>
          <w:szCs w:val="18"/>
        </w:rPr>
        <w:t>-uitstoot (of andere schadelijke emissies) mogelijke productieverliezen, uitvoerbaarheid en juridische haalbaarheid.</w:t>
      </w:r>
    </w:p>
    <w:bookmarkEnd w:id="3"/>
    <w:p w:rsidRPr="00BA2A58" w:rsidR="00710F22" w:rsidP="00710F22" w:rsidRDefault="00710F22" w14:paraId="4AE85B1E" w14:textId="77777777">
      <w:pPr>
        <w:spacing w:after="160"/>
        <w:rPr>
          <w:i/>
          <w:szCs w:val="18"/>
          <w:u w:val="single"/>
        </w:rPr>
      </w:pPr>
      <w:r w:rsidRPr="00963BFF">
        <w:rPr>
          <w:i/>
          <w:iCs/>
          <w:szCs w:val="18"/>
          <w:u w:val="single"/>
        </w:rPr>
        <w:t xml:space="preserve">Aanbeveling </w:t>
      </w:r>
      <w:r w:rsidRPr="00D362EB">
        <w:rPr>
          <w:i/>
          <w:iCs/>
          <w:szCs w:val="18"/>
          <w:u w:val="single"/>
        </w:rPr>
        <w:t>5</w:t>
      </w:r>
      <w:r w:rsidRPr="00D362EB">
        <w:rPr>
          <w:i/>
          <w:iCs/>
          <w:u w:val="single"/>
        </w:rPr>
        <w:t xml:space="preserve">: </w:t>
      </w:r>
      <w:r w:rsidRPr="00D362EB">
        <w:rPr>
          <w:i/>
          <w:iCs/>
          <w:szCs w:val="18"/>
          <w:u w:val="single"/>
        </w:rPr>
        <w:t xml:space="preserve">Versterk de regie op het </w:t>
      </w:r>
      <w:r>
        <w:rPr>
          <w:i/>
          <w:iCs/>
          <w:szCs w:val="18"/>
          <w:u w:val="single"/>
        </w:rPr>
        <w:t>circulaire economiebeleid</w:t>
      </w:r>
      <w:r w:rsidRPr="00963BFF">
        <w:rPr>
          <w:i/>
          <w:iCs/>
          <w:szCs w:val="18"/>
          <w:u w:val="single"/>
        </w:rPr>
        <w:t xml:space="preserve"> </w:t>
      </w:r>
    </w:p>
    <w:p w:rsidRPr="00963BFF" w:rsidR="00710F22" w:rsidP="00710F22" w:rsidRDefault="00710F22" w14:paraId="4EFC5860" w14:textId="77777777">
      <w:pPr>
        <w:spacing w:after="160"/>
        <w:rPr>
          <w:szCs w:val="18"/>
        </w:rPr>
      </w:pPr>
      <w:r w:rsidRPr="00EC0C9A">
        <w:rPr>
          <w:rFonts w:ascii="Cambria Math" w:hAnsi="Cambria Math" w:cs="Cambria Math"/>
          <w:noProof/>
          <w:szCs w:val="18"/>
        </w:rPr>
        <mc:AlternateContent>
          <mc:Choice Requires="wps">
            <w:drawing>
              <wp:inline distT="0" distB="0" distL="0" distR="0" wp14:anchorId="44A162DD" wp14:editId="7E5A854F">
                <wp:extent cx="5716858" cy="1404620"/>
                <wp:effectExtent l="0" t="0" r="17780" b="20320"/>
                <wp:docPr id="85884405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858" cy="1404620"/>
                        </a:xfrm>
                        <a:prstGeom prst="rect">
                          <a:avLst/>
                        </a:prstGeom>
                        <a:solidFill>
                          <a:srgbClr val="FFFFFF"/>
                        </a:solidFill>
                        <a:ln w="9525">
                          <a:solidFill>
                            <a:srgbClr val="000000"/>
                          </a:solidFill>
                          <a:miter lim="800000"/>
                          <a:headEnd/>
                          <a:tailEnd/>
                        </a:ln>
                      </wps:spPr>
                      <wps:txbx>
                        <w:txbxContent>
                          <w:p w:rsidRPr="00963BFF" w:rsidR="00710F22" w:rsidP="00710F22" w:rsidRDefault="00710F22" w14:paraId="4BAD3252" w14:textId="77777777">
                            <w:pPr>
                              <w:rPr>
                                <w:szCs w:val="18"/>
                              </w:rPr>
                            </w:pPr>
                            <w:r w:rsidRPr="00963BFF">
                              <w:rPr>
                                <w:szCs w:val="18"/>
                              </w:rPr>
                              <w:t xml:space="preserve">Versterk de regie op het </w:t>
                            </w:r>
                            <w:r>
                              <w:rPr>
                                <w:szCs w:val="18"/>
                              </w:rPr>
                              <w:t>circulaire economiebeleid</w:t>
                            </w:r>
                            <w:r w:rsidRPr="00963BFF">
                              <w:rPr>
                                <w:szCs w:val="18"/>
                              </w:rPr>
                              <w:t xml:space="preserve"> door: </w:t>
                            </w:r>
                          </w:p>
                          <w:p w:rsidRPr="00272A0A" w:rsidR="00710F22" w:rsidP="00710F22" w:rsidRDefault="00710F22" w14:paraId="4E703E44" w14:textId="77777777">
                            <w:pPr>
                              <w:pStyle w:val="Lijstalinea"/>
                              <w:numPr>
                                <w:ilvl w:val="0"/>
                                <w:numId w:val="15"/>
                              </w:numPr>
                              <w:spacing w:line="240" w:lineRule="atLeast"/>
                              <w:rPr>
                                <w:rFonts w:ascii="Verdana" w:hAnsi="Verdana"/>
                                <w:sz w:val="18"/>
                                <w:szCs w:val="18"/>
                              </w:rPr>
                            </w:pPr>
                            <w:r w:rsidRPr="00272A0A">
                              <w:rPr>
                                <w:rFonts w:ascii="Verdana" w:hAnsi="Verdana"/>
                                <w:sz w:val="18"/>
                                <w:szCs w:val="18"/>
                              </w:rPr>
                              <w:t xml:space="preserve">structurele en grotere financiering voor het circulaire economiebeleid </w:t>
                            </w:r>
                          </w:p>
                          <w:p w:rsidRPr="00272A0A" w:rsidR="00710F22" w:rsidP="00710F22" w:rsidRDefault="00710F22" w14:paraId="4311A5AC" w14:textId="77777777">
                            <w:pPr>
                              <w:pStyle w:val="Lijstalinea"/>
                              <w:numPr>
                                <w:ilvl w:val="0"/>
                                <w:numId w:val="15"/>
                              </w:numPr>
                              <w:spacing w:line="240" w:lineRule="atLeast"/>
                              <w:rPr>
                                <w:rFonts w:ascii="Verdana" w:hAnsi="Verdana"/>
                                <w:sz w:val="18"/>
                                <w:szCs w:val="18"/>
                              </w:rPr>
                            </w:pPr>
                            <w:r>
                              <w:rPr>
                                <w:rFonts w:ascii="Cambria Math" w:hAnsi="Cambria Math" w:cs="Cambria Math"/>
                                <w:sz w:val="18"/>
                                <w:szCs w:val="18"/>
                              </w:rPr>
                              <w:t>d</w:t>
                            </w:r>
                            <w:r w:rsidRPr="00272A0A">
                              <w:rPr>
                                <w:rFonts w:ascii="Verdana" w:hAnsi="Verdana"/>
                                <w:sz w:val="18"/>
                                <w:szCs w:val="18"/>
                              </w:rPr>
                              <w:t xml:space="preserve">epartementale verantwoordelijkheid voor het behalen van de doelen </w:t>
                            </w:r>
                          </w:p>
                          <w:p w:rsidRPr="00272A0A" w:rsidR="00710F22" w:rsidP="00710F22" w:rsidRDefault="00710F22" w14:paraId="170D91B3" w14:textId="77777777">
                            <w:pPr>
                              <w:pStyle w:val="Lijstalinea"/>
                              <w:numPr>
                                <w:ilvl w:val="0"/>
                                <w:numId w:val="15"/>
                              </w:numPr>
                              <w:spacing w:line="240" w:lineRule="atLeast"/>
                              <w:rPr>
                                <w:rFonts w:ascii="Verdana" w:hAnsi="Verdana"/>
                                <w:sz w:val="18"/>
                                <w:szCs w:val="18"/>
                              </w:rPr>
                            </w:pPr>
                            <w:r w:rsidRPr="00272A0A">
                              <w:rPr>
                                <w:rFonts w:ascii="Verdana" w:hAnsi="Verdana"/>
                                <w:sz w:val="18"/>
                                <w:szCs w:val="18"/>
                              </w:rPr>
                              <w:t>een sterker mandaat voor de coördinerende bewindspersoon bij interdepartementale besluitvorming</w:t>
                            </w:r>
                          </w:p>
                          <w:p w:rsidRPr="00272A0A" w:rsidR="00710F22" w:rsidP="00710F22" w:rsidRDefault="00710F22" w14:paraId="7E9B4E2D" w14:textId="77777777">
                            <w:pPr>
                              <w:pStyle w:val="Lijstalinea"/>
                              <w:numPr>
                                <w:ilvl w:val="0"/>
                                <w:numId w:val="15"/>
                              </w:numPr>
                              <w:spacing w:line="240" w:lineRule="atLeast"/>
                              <w:rPr>
                                <w:rFonts w:ascii="Verdana" w:hAnsi="Verdana"/>
                                <w:sz w:val="18"/>
                                <w:szCs w:val="18"/>
                              </w:rPr>
                            </w:pPr>
                            <w:r w:rsidRPr="00272A0A">
                              <w:rPr>
                                <w:rFonts w:ascii="Verdana" w:hAnsi="Verdana"/>
                                <w:sz w:val="18"/>
                                <w:szCs w:val="18"/>
                              </w:rPr>
                              <w:t xml:space="preserve">wettelijke verankering van de monitorings- en verantwoordingscyclus </w:t>
                            </w:r>
                          </w:p>
                        </w:txbxContent>
                      </wps:txbx>
                      <wps:bodyPr rot="0" vert="horz" wrap="square" lIns="91440" tIns="45720" rIns="91440" bIns="45720" anchor="t" anchorCtr="0">
                        <a:spAutoFit/>
                      </wps:bodyPr>
                    </wps:wsp>
                  </a:graphicData>
                </a:graphic>
              </wp:inline>
            </w:drawing>
          </mc:Choice>
          <mc:Fallback>
            <w:pict>
              <v:shape id="_x0000_s1035" style="width:450.1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" w14:anchorId="44A162DD">
                <v:textbox style="mso-fit-shape-to-text:t">
                  <w:txbxContent>
                    <w:p w:rsidRPr="00963BFF" w:rsidR="00710F22" w:rsidP="00710F22" w:rsidRDefault="00710F22" w14:paraId="4BAD3252" w14:textId="77777777">
                      <w:pPr>
                        <w:rPr>
                          <w:szCs w:val="18"/>
                        </w:rPr>
                      </w:pPr>
                      <w:r w:rsidRPr="00963BFF">
                        <w:rPr>
                          <w:szCs w:val="18"/>
                        </w:rPr>
                        <w:t xml:space="preserve">Versterk de regie op het </w:t>
                      </w:r>
                      <w:r>
                        <w:rPr>
                          <w:szCs w:val="18"/>
                        </w:rPr>
                        <w:t>circulaire economiebeleid</w:t>
                      </w:r>
                      <w:r w:rsidRPr="00963BFF">
                        <w:rPr>
                          <w:szCs w:val="18"/>
                        </w:rPr>
                        <w:t xml:space="preserve"> door: </w:t>
                      </w:r>
                    </w:p>
                    <w:p w:rsidRPr="00272A0A" w:rsidR="00710F22" w:rsidP="00710F22" w:rsidRDefault="00710F22" w14:paraId="4E703E44" w14:textId="77777777">
                      <w:pPr>
                        <w:pStyle w:val="Lijstalinea"/>
                        <w:numPr>
                          <w:ilvl w:val="0"/>
                          <w:numId w:val="15"/>
                        </w:numPr>
                        <w:spacing w:line="240" w:lineRule="atLeast"/>
                        <w:rPr>
                          <w:rFonts w:ascii="Verdana" w:hAnsi="Verdana"/>
                          <w:sz w:val="18"/>
                          <w:szCs w:val="18"/>
                        </w:rPr>
                      </w:pPr>
                      <w:r w:rsidRPr="00272A0A">
                        <w:rPr>
                          <w:rFonts w:ascii="Verdana" w:hAnsi="Verdana"/>
                          <w:sz w:val="18"/>
                          <w:szCs w:val="18"/>
                        </w:rPr>
                        <w:t xml:space="preserve">structurele en grotere financiering voor het circulaire economiebeleid </w:t>
                      </w:r>
                    </w:p>
                    <w:p w:rsidRPr="00272A0A" w:rsidR="00710F22" w:rsidP="00710F22" w:rsidRDefault="00710F22" w14:paraId="4311A5AC" w14:textId="77777777">
                      <w:pPr>
                        <w:pStyle w:val="Lijstalinea"/>
                        <w:numPr>
                          <w:ilvl w:val="0"/>
                          <w:numId w:val="15"/>
                        </w:numPr>
                        <w:spacing w:line="240" w:lineRule="atLeast"/>
                        <w:rPr>
                          <w:rFonts w:ascii="Verdana" w:hAnsi="Verdana"/>
                          <w:sz w:val="18"/>
                          <w:szCs w:val="18"/>
                        </w:rPr>
                      </w:pPr>
                      <w:r>
                        <w:rPr>
                          <w:rFonts w:ascii="Cambria Math" w:hAnsi="Cambria Math" w:cs="Cambria Math"/>
                          <w:sz w:val="18"/>
                          <w:szCs w:val="18"/>
                        </w:rPr>
                        <w:t>d</w:t>
                      </w:r>
                      <w:r w:rsidRPr="00272A0A">
                        <w:rPr>
                          <w:rFonts w:ascii="Verdana" w:hAnsi="Verdana"/>
                          <w:sz w:val="18"/>
                          <w:szCs w:val="18"/>
                        </w:rPr>
                        <w:t xml:space="preserve">epartementale verantwoordelijkheid voor het behalen van de doelen </w:t>
                      </w:r>
                    </w:p>
                    <w:p w:rsidRPr="00272A0A" w:rsidR="00710F22" w:rsidP="00710F22" w:rsidRDefault="00710F22" w14:paraId="170D91B3" w14:textId="77777777">
                      <w:pPr>
                        <w:pStyle w:val="Lijstalinea"/>
                        <w:numPr>
                          <w:ilvl w:val="0"/>
                          <w:numId w:val="15"/>
                        </w:numPr>
                        <w:spacing w:line="240" w:lineRule="atLeast"/>
                        <w:rPr>
                          <w:rFonts w:ascii="Verdana" w:hAnsi="Verdana"/>
                          <w:sz w:val="18"/>
                          <w:szCs w:val="18"/>
                        </w:rPr>
                      </w:pPr>
                      <w:r w:rsidRPr="00272A0A">
                        <w:rPr>
                          <w:rFonts w:ascii="Verdana" w:hAnsi="Verdana"/>
                          <w:sz w:val="18"/>
                          <w:szCs w:val="18"/>
                        </w:rPr>
                        <w:t>een sterker mandaat voor de coördinerende bewindspersoon bij interdepartementale besluitvorming</w:t>
                      </w:r>
                    </w:p>
                    <w:p w:rsidRPr="00272A0A" w:rsidR="00710F22" w:rsidP="00710F22" w:rsidRDefault="00710F22" w14:paraId="7E9B4E2D" w14:textId="77777777">
                      <w:pPr>
                        <w:pStyle w:val="Lijstalinea"/>
                        <w:numPr>
                          <w:ilvl w:val="0"/>
                          <w:numId w:val="15"/>
                        </w:numPr>
                        <w:spacing w:line="240" w:lineRule="atLeast"/>
                        <w:rPr>
                          <w:rFonts w:ascii="Verdana" w:hAnsi="Verdana"/>
                          <w:sz w:val="18"/>
                          <w:szCs w:val="18"/>
                        </w:rPr>
                      </w:pPr>
                      <w:r w:rsidRPr="00272A0A">
                        <w:rPr>
                          <w:rFonts w:ascii="Verdana" w:hAnsi="Verdana"/>
                          <w:sz w:val="18"/>
                          <w:szCs w:val="18"/>
                        </w:rPr>
                        <w:t xml:space="preserve">wettelijke verankering van de monitorings- en verantwoordingscyclus </w:t>
                      </w:r>
                    </w:p>
                  </w:txbxContent>
                </v:textbox>
                <w10:anchorlock/>
              </v:shape>
            </w:pict>
          </mc:Fallback>
        </mc:AlternateContent>
      </w:r>
    </w:p>
    <w:p w:rsidRPr="00963BFF" w:rsidR="00710F22" w:rsidP="00710F22" w:rsidRDefault="00710F22" w14:paraId="41D749D8" w14:textId="77777777">
      <w:pPr>
        <w:spacing w:after="160"/>
        <w:rPr>
          <w:szCs w:val="18"/>
          <w:shd w:val="clear" w:color="auto" w:fill="FFFF00"/>
        </w:rPr>
      </w:pPr>
      <w:r w:rsidRPr="00963BFF">
        <w:rPr>
          <w:szCs w:val="18"/>
        </w:rPr>
        <w:t xml:space="preserve">De aanbevelingen van </w:t>
      </w:r>
      <w:r>
        <w:rPr>
          <w:szCs w:val="18"/>
        </w:rPr>
        <w:t>de</w:t>
      </w:r>
      <w:r w:rsidRPr="00963BFF">
        <w:rPr>
          <w:szCs w:val="18"/>
        </w:rPr>
        <w:t xml:space="preserve"> WKR om de regie op </w:t>
      </w:r>
      <w:r>
        <w:rPr>
          <w:szCs w:val="18"/>
        </w:rPr>
        <w:t>de</w:t>
      </w:r>
      <w:r w:rsidRPr="00963BFF">
        <w:rPr>
          <w:szCs w:val="18"/>
        </w:rPr>
        <w:t xml:space="preserve"> circulaire economie te versterken, inclusief de structurele financiering</w:t>
      </w:r>
      <w:r>
        <w:rPr>
          <w:szCs w:val="18"/>
        </w:rPr>
        <w:t>,</w:t>
      </w:r>
      <w:r w:rsidRPr="00963BFF">
        <w:rPr>
          <w:szCs w:val="18"/>
        </w:rPr>
        <w:t xml:space="preserve"> is een boodschap die in lijn ligt met die van bedrijven en maatschappelijke partijen</w:t>
      </w:r>
      <w:r>
        <w:rPr>
          <w:szCs w:val="18"/>
        </w:rPr>
        <w:t>.</w:t>
      </w:r>
      <w:r w:rsidRPr="00963BFF">
        <w:rPr>
          <w:rStyle w:val="Voetnootmarkering"/>
          <w:szCs w:val="18"/>
        </w:rPr>
        <w:footnoteReference w:id="28"/>
      </w:r>
      <w:r w:rsidRPr="00963BFF">
        <w:rPr>
          <w:szCs w:val="18"/>
        </w:rPr>
        <w:t xml:space="preserve"> Het sturingsmodel zoals in het NPCE 25 opgenomen is blijvend in ontwikkeling</w:t>
      </w:r>
      <w:r>
        <w:rPr>
          <w:szCs w:val="18"/>
        </w:rPr>
        <w:t>. H</w:t>
      </w:r>
      <w:r w:rsidRPr="00963BFF">
        <w:rPr>
          <w:szCs w:val="18"/>
        </w:rPr>
        <w:t xml:space="preserve">et advies </w:t>
      </w:r>
      <w:r>
        <w:rPr>
          <w:szCs w:val="18"/>
        </w:rPr>
        <w:t xml:space="preserve">van de WKR </w:t>
      </w:r>
      <w:r w:rsidRPr="00963BFF">
        <w:rPr>
          <w:szCs w:val="18"/>
        </w:rPr>
        <w:t xml:space="preserve">biedt </w:t>
      </w:r>
      <w:r>
        <w:rPr>
          <w:szCs w:val="18"/>
        </w:rPr>
        <w:t>hie</w:t>
      </w:r>
      <w:r w:rsidRPr="00963BFF">
        <w:rPr>
          <w:szCs w:val="18"/>
        </w:rPr>
        <w:t>rvoor waardevolle aanknopingspunten. De notie dat een strategische blik op grondstoffen onontbeerlijk is voor bijna alle maatschappelijke opgave</w:t>
      </w:r>
      <w:r>
        <w:rPr>
          <w:szCs w:val="18"/>
        </w:rPr>
        <w:t>n</w:t>
      </w:r>
      <w:r w:rsidRPr="00963BFF">
        <w:rPr>
          <w:szCs w:val="18"/>
        </w:rPr>
        <w:t xml:space="preserve"> wordt breed gedeeld. Dit kabinet ziet het daarom als een kabinetsbrede opdracht om het NPCE te versterken</w:t>
      </w:r>
      <w:r>
        <w:rPr>
          <w:szCs w:val="18"/>
        </w:rPr>
        <w:t>.</w:t>
      </w:r>
      <w:r w:rsidRPr="00963BFF">
        <w:rPr>
          <w:rStyle w:val="Voetnootmarkering"/>
          <w:szCs w:val="18"/>
        </w:rPr>
        <w:footnoteReference w:id="29"/>
      </w:r>
      <w:r w:rsidRPr="00963BFF">
        <w:rPr>
          <w:szCs w:val="18"/>
        </w:rPr>
        <w:t xml:space="preserve"> Vanuit </w:t>
      </w:r>
      <w:r>
        <w:rPr>
          <w:szCs w:val="18"/>
        </w:rPr>
        <w:t>mijn</w:t>
      </w:r>
      <w:r w:rsidRPr="00963BFF">
        <w:rPr>
          <w:szCs w:val="18"/>
        </w:rPr>
        <w:t xml:space="preserve"> </w:t>
      </w:r>
      <w:r>
        <w:rPr>
          <w:szCs w:val="18"/>
        </w:rPr>
        <w:t>verantwoordelijkheid</w:t>
      </w:r>
      <w:r w:rsidRPr="00963BFF">
        <w:rPr>
          <w:szCs w:val="18"/>
        </w:rPr>
        <w:t xml:space="preserve"> </w:t>
      </w:r>
      <w:r>
        <w:rPr>
          <w:szCs w:val="18"/>
        </w:rPr>
        <w:t>als</w:t>
      </w:r>
      <w:r w:rsidRPr="00963BFF">
        <w:rPr>
          <w:szCs w:val="18"/>
        </w:rPr>
        <w:t xml:space="preserve"> coördinerend </w:t>
      </w:r>
      <w:r w:rsidRPr="00F23DF3">
        <w:rPr>
          <w:szCs w:val="18"/>
        </w:rPr>
        <w:t>bewindspersoon spreek ik met de andere bewindspersonen over hun beleid in relatie tot CE, waarbij ook voorligt wat circulariteit kan bijdragen aan hun opgaven</w:t>
      </w:r>
      <w:r>
        <w:rPr>
          <w:szCs w:val="18"/>
        </w:rPr>
        <w:t>, zoals op het gebied van klimaat en energie</w:t>
      </w:r>
      <w:r w:rsidRPr="00F23DF3">
        <w:rPr>
          <w:szCs w:val="18"/>
        </w:rPr>
        <w:t xml:space="preserve">. </w:t>
      </w:r>
      <w:r>
        <w:rPr>
          <w:szCs w:val="18"/>
        </w:rPr>
        <w:t xml:space="preserve">Omdat elke verantwoordelijke bewindspersoon moet afwegen waar de kansen liggen, mede in het licht van de eigen sectorale opgaven en vanwege de samenhang tussen opgaven, zoals milieu en plastic of </w:t>
      </w:r>
      <w:proofErr w:type="spellStart"/>
      <w:r>
        <w:rPr>
          <w:szCs w:val="18"/>
        </w:rPr>
        <w:t>biogrondstoffen</w:t>
      </w:r>
      <w:proofErr w:type="spellEnd"/>
      <w:r>
        <w:rPr>
          <w:szCs w:val="18"/>
        </w:rPr>
        <w:t xml:space="preserve"> en de bouw, is de betrokkenheid van meerdere bewindspersonen onmisbaar om voortgang te maken in de circulaire economie. </w:t>
      </w:r>
    </w:p>
    <w:p w:rsidR="00710F22" w:rsidP="00710F22" w:rsidRDefault="00710F22" w14:paraId="7B38BDAE" w14:textId="77777777">
      <w:pPr>
        <w:spacing w:after="160"/>
      </w:pPr>
      <w:r w:rsidRPr="00F06C6B">
        <w:rPr>
          <w:rFonts w:eastAsia="Verdana" w:cs="Verdana"/>
          <w:szCs w:val="18"/>
        </w:rPr>
        <w:t xml:space="preserve">Het kabinet sluit zich aan bij het advies om de monitorings- en verantwoordingscyclus wettelijk te verankeren, en zal </w:t>
      </w:r>
      <w:r>
        <w:rPr>
          <w:rFonts w:eastAsia="Verdana" w:cs="Verdana"/>
          <w:szCs w:val="18"/>
        </w:rPr>
        <w:t>de actualisatiecyclus van het</w:t>
      </w:r>
      <w:r w:rsidRPr="00F06C6B">
        <w:rPr>
          <w:rFonts w:eastAsia="Verdana" w:cs="Verdana"/>
          <w:szCs w:val="18"/>
        </w:rPr>
        <w:t xml:space="preserve"> NPCE en de monitoring van de transitie door PBL opnemen in de Kaderwet CE die </w:t>
      </w:r>
      <w:r>
        <w:rPr>
          <w:rFonts w:eastAsia="Verdana" w:cs="Verdana"/>
          <w:szCs w:val="18"/>
        </w:rPr>
        <w:t>op dit moment in</w:t>
      </w:r>
      <w:r w:rsidRPr="00F06C6B">
        <w:rPr>
          <w:rFonts w:eastAsia="Verdana" w:cs="Verdana"/>
          <w:szCs w:val="18"/>
        </w:rPr>
        <w:t xml:space="preserve"> internetconsultatie </w:t>
      </w:r>
      <w:r>
        <w:rPr>
          <w:rFonts w:eastAsia="Verdana" w:cs="Verdana"/>
          <w:szCs w:val="18"/>
        </w:rPr>
        <w:t>is</w:t>
      </w:r>
      <w:r w:rsidRPr="00F06C6B">
        <w:rPr>
          <w:rFonts w:eastAsia="Verdana" w:cs="Verdana"/>
          <w:szCs w:val="18"/>
        </w:rPr>
        <w:t>. De WKR merkt terecht op dat de circulaire transitie niet de wettelijke verankering heeft zoals het bij klimaatbeleid. Dat komt deels omdat de circulaire doelstellingen meervoudig zijn en niet op een vergelijkbare manier als CO2-reductie vast te leggen zijn. De verschillende ketentafels</w:t>
      </w:r>
      <w:r>
        <w:rPr>
          <w:rFonts w:eastAsia="Verdana" w:cs="Verdana"/>
          <w:szCs w:val="18"/>
        </w:rPr>
        <w:t xml:space="preserve"> </w:t>
      </w:r>
      <w:r w:rsidRPr="00F06C6B">
        <w:rPr>
          <w:rFonts w:eastAsia="Verdana" w:cs="Verdana"/>
          <w:szCs w:val="18"/>
        </w:rPr>
        <w:t xml:space="preserve">op </w:t>
      </w:r>
      <w:proofErr w:type="spellStart"/>
      <w:r w:rsidRPr="00F06C6B">
        <w:rPr>
          <w:rFonts w:eastAsia="Verdana" w:cs="Verdana"/>
          <w:szCs w:val="18"/>
        </w:rPr>
        <w:t>productgroepniveau</w:t>
      </w:r>
      <w:proofErr w:type="spellEnd"/>
      <w:r w:rsidRPr="00F06C6B">
        <w:rPr>
          <w:rStyle w:val="Voetnootmarkering"/>
          <w:rFonts w:eastAsia="Verdana" w:cs="Verdana"/>
          <w:szCs w:val="18"/>
        </w:rPr>
        <w:footnoteReference w:id="30"/>
      </w:r>
      <w:r w:rsidRPr="00F06C6B">
        <w:rPr>
          <w:rFonts w:eastAsia="Verdana" w:cs="Verdana"/>
          <w:szCs w:val="18"/>
        </w:rPr>
        <w:t xml:space="preserve"> die vanuit het NPCE 25 worden ingericht om in samenspraak met de ketenpartijen tot maatregelen en projecten te komen om de keten te sluiten, hebben in zichzelf geen bindende opdracht, maar vertrekken wel vanuit het gezamenlijke belang van bedrijven,</w:t>
      </w:r>
      <w:r>
        <w:rPr>
          <w:rFonts w:eastAsia="Verdana" w:cs="Verdana"/>
          <w:szCs w:val="18"/>
        </w:rPr>
        <w:t xml:space="preserve"> maatschappelijke organisaties,</w:t>
      </w:r>
      <w:r w:rsidRPr="00F06C6B">
        <w:rPr>
          <w:rFonts w:eastAsia="Verdana" w:cs="Verdana"/>
          <w:szCs w:val="18"/>
        </w:rPr>
        <w:t xml:space="preserve"> overheden en andere stakeholders. Voor hen allen geldt dat een circulaire keten de enige manier is om op de lange termijn</w:t>
      </w:r>
      <w:r>
        <w:rPr>
          <w:rFonts w:eastAsia="Verdana" w:cs="Verdana"/>
          <w:szCs w:val="18"/>
        </w:rPr>
        <w:t xml:space="preserve"> </w:t>
      </w:r>
      <w:r w:rsidRPr="00F06C6B">
        <w:rPr>
          <w:rFonts w:eastAsia="Verdana" w:cs="Verdana"/>
          <w:szCs w:val="18"/>
        </w:rPr>
        <w:t xml:space="preserve">waarde te blijven creëren. De verschillende instrumenten die sturen op een circulaire keten, zoals de UPV, de PPWR of ESPR-eisen, zijn wel bindend. De ketentafels hebben onder andere de rol om goede implementatie daarvan te borgen, en te kijken wat er aanvullend mogelijk is qua afspraken of maatregelen. Een evenwichtige vertegenwoordiging aan tafel is daarom ook een voorwaarde. Naast de interdepartementale samenhang ziet het kabinet ook de rol en bijdrage van medeoverheden als essentieel. </w:t>
      </w:r>
    </w:p>
    <w:p w:rsidR="00710F22" w:rsidP="00710F22" w:rsidRDefault="00710F22" w14:paraId="4AD1B0B9" w14:textId="77777777">
      <w:pPr>
        <w:spacing w:after="160"/>
        <w:rPr>
          <w:szCs w:val="18"/>
        </w:rPr>
      </w:pPr>
      <w:r w:rsidRPr="00D55312">
        <w:t xml:space="preserve">De WKR stelt terecht vast dat structurele en incidentele middelen voor de jaren 2025-2030 fors teruglopen en dat er geen vergelijkbare publieke financieringsstructuren zijn als voor de klimaattransitie. Het zwaartepunt ligt bij (Europees) normerend beleid. </w:t>
      </w:r>
      <w:r>
        <w:t>Gelet op de beperkt beschikbare middelen voor het stimuleren van de circulaire economie, is er weinig</w:t>
      </w:r>
      <w:r w:rsidRPr="00D55312">
        <w:t xml:space="preserve"> ruimte om (coalities van) bedrijven, maatschappelijke organisaties of medeoverheden te ondersteunen in de opgave. Wel wordt onderzocht of bestaande regelingen beter toegespitst kunnen wor</w:t>
      </w:r>
      <w:r>
        <w:t>d</w:t>
      </w:r>
      <w:r w:rsidRPr="00D55312">
        <w:t>en op de circulaire doelen.</w:t>
      </w:r>
    </w:p>
    <w:p w:rsidR="00710F22" w:rsidP="00710F22" w:rsidRDefault="00710F22" w14:paraId="6975946D" w14:textId="77777777">
      <w:pPr>
        <w:spacing w:after="160"/>
        <w:rPr>
          <w:szCs w:val="18"/>
        </w:rPr>
      </w:pPr>
    </w:p>
    <w:p w:rsidR="00710F22" w:rsidP="00710F22" w:rsidRDefault="00710F22" w14:paraId="5ECC1707" w14:textId="77777777">
      <w:pPr>
        <w:spacing w:after="160"/>
        <w:rPr>
          <w:szCs w:val="18"/>
        </w:rPr>
      </w:pPr>
    </w:p>
    <w:p w:rsidR="00710F22" w:rsidP="00710F22" w:rsidRDefault="00710F22" w14:paraId="569C43EE" w14:textId="77777777">
      <w:pPr>
        <w:spacing w:after="160"/>
        <w:rPr>
          <w:szCs w:val="18"/>
        </w:rPr>
      </w:pPr>
    </w:p>
    <w:p w:rsidR="00710F22" w:rsidP="00710F22" w:rsidRDefault="00710F22" w14:paraId="43E6D9E0" w14:textId="77777777">
      <w:pPr>
        <w:spacing w:after="160"/>
        <w:rPr>
          <w:szCs w:val="18"/>
        </w:rPr>
      </w:pPr>
      <w:proofErr w:type="spellStart"/>
      <w:r w:rsidRPr="00067E67">
        <w:rPr>
          <w:szCs w:val="18"/>
        </w:rPr>
        <w:t>Stientje</w:t>
      </w:r>
      <w:proofErr w:type="spellEnd"/>
      <w:r w:rsidRPr="00067E67">
        <w:rPr>
          <w:szCs w:val="18"/>
        </w:rPr>
        <w:t xml:space="preserve"> van Veldhoven – Van der Meer </w:t>
      </w:r>
    </w:p>
    <w:p w:rsidR="00710F22" w:rsidP="00710F22" w:rsidRDefault="00710F22" w14:paraId="0A414D1B" w14:textId="77777777">
      <w:pPr>
        <w:spacing w:after="160"/>
      </w:pPr>
      <w:r w:rsidRPr="00067E67">
        <w:rPr>
          <w:szCs w:val="18"/>
        </w:rPr>
        <w:t>Minister van Klimaat en Groene Gro</w:t>
      </w:r>
      <w:bookmarkEnd w:id="0"/>
      <w:r>
        <w:rPr>
          <w:szCs w:val="18"/>
        </w:rPr>
        <w:t>ei</w:t>
      </w:r>
    </w:p>
    <w:p w:rsidRPr="00E716F9" w:rsidR="00710F22" w:rsidP="00710F22" w:rsidRDefault="00710F22" w14:paraId="0637B96A" w14:textId="77777777"/>
    <w:p w:rsidRPr="00E716F9" w:rsidR="00BD2D73" w:rsidP="00710F22" w:rsidRDefault="00BD2D73" w14:paraId="37F380CB" w14:textId="77777777">
      <w:pPr>
        <w:spacing w:after="160"/>
      </w:pPr>
    </w:p>
    <w:sectPr w:rsidRPr="00E716F9" w:rsidR="00BD2D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F6BDC" w14:textId="77777777" w:rsidR="001A2E80" w:rsidRDefault="001A2E80">
      <w:r>
        <w:separator/>
      </w:r>
    </w:p>
    <w:p w14:paraId="30598C46" w14:textId="77777777" w:rsidR="001A2E80" w:rsidRDefault="001A2E80"/>
  </w:endnote>
  <w:endnote w:type="continuationSeparator" w:id="0">
    <w:p w14:paraId="6C49DC39" w14:textId="77777777" w:rsidR="001A2E80" w:rsidRDefault="001A2E80">
      <w:r>
        <w:continuationSeparator/>
      </w:r>
    </w:p>
    <w:p w14:paraId="689274CF" w14:textId="77777777" w:rsidR="001A2E80" w:rsidRDefault="001A2E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A63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F712F" w14:paraId="6157A058" w14:textId="77777777" w:rsidTr="00CA6A25">
      <w:trPr>
        <w:trHeight w:hRule="exact" w:val="240"/>
      </w:trPr>
      <w:tc>
        <w:tcPr>
          <w:tcW w:w="7601" w:type="dxa"/>
        </w:tcPr>
        <w:p w14:paraId="1D21DCB4" w14:textId="77777777" w:rsidR="00527BD4" w:rsidRDefault="00527BD4" w:rsidP="003F1F6B">
          <w:pPr>
            <w:pStyle w:val="Huisstijl-Rubricering"/>
          </w:pPr>
        </w:p>
      </w:tc>
      <w:tc>
        <w:tcPr>
          <w:tcW w:w="2156" w:type="dxa"/>
        </w:tcPr>
        <w:p w14:paraId="371CA7A1" w14:textId="4F79DD06" w:rsidR="00527BD4" w:rsidRPr="00645414" w:rsidRDefault="00A205F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E269D6">
            <w:t>14</w:t>
          </w:r>
          <w:r w:rsidR="004425CC">
            <w:fldChar w:fldCharType="end"/>
          </w:r>
        </w:p>
      </w:tc>
    </w:tr>
  </w:tbl>
  <w:p w14:paraId="79AF31D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F712F" w14:paraId="645BF03A" w14:textId="77777777" w:rsidTr="00CA6A25">
      <w:trPr>
        <w:trHeight w:hRule="exact" w:val="240"/>
      </w:trPr>
      <w:tc>
        <w:tcPr>
          <w:tcW w:w="7601" w:type="dxa"/>
        </w:tcPr>
        <w:p w14:paraId="13FE9016" w14:textId="77777777" w:rsidR="00527BD4" w:rsidRDefault="00527BD4" w:rsidP="008C356D">
          <w:pPr>
            <w:pStyle w:val="Huisstijl-Rubricering"/>
          </w:pPr>
        </w:p>
      </w:tc>
      <w:tc>
        <w:tcPr>
          <w:tcW w:w="2170" w:type="dxa"/>
        </w:tcPr>
        <w:p w14:paraId="27EA58C3" w14:textId="19C50E5B" w:rsidR="00527BD4" w:rsidRPr="00ED539E" w:rsidRDefault="00A205F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rsidR="00E269D6">
            <w:t>1</w:t>
          </w:r>
          <w:r w:rsidR="006A013B">
            <w:fldChar w:fldCharType="end"/>
          </w:r>
        </w:p>
      </w:tc>
    </w:tr>
  </w:tbl>
  <w:p w14:paraId="361BD489" w14:textId="77777777" w:rsidR="00527BD4" w:rsidRPr="00BC3B53" w:rsidRDefault="00527BD4" w:rsidP="008C356D">
    <w:pPr>
      <w:pStyle w:val="Voettekst"/>
      <w:spacing w:line="240" w:lineRule="auto"/>
      <w:rPr>
        <w:sz w:val="2"/>
        <w:szCs w:val="2"/>
      </w:rPr>
    </w:pPr>
  </w:p>
  <w:p w14:paraId="64B5621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81E44" w14:textId="77777777" w:rsidR="001A2E80" w:rsidRDefault="001A2E80">
      <w:r>
        <w:separator/>
      </w:r>
    </w:p>
    <w:p w14:paraId="54DDDC63" w14:textId="77777777" w:rsidR="001A2E80" w:rsidRDefault="001A2E80"/>
  </w:footnote>
  <w:footnote w:type="continuationSeparator" w:id="0">
    <w:p w14:paraId="2164C46D" w14:textId="77777777" w:rsidR="001A2E80" w:rsidRDefault="001A2E80">
      <w:r>
        <w:continuationSeparator/>
      </w:r>
    </w:p>
    <w:p w14:paraId="31D03FC6" w14:textId="77777777" w:rsidR="001A2E80" w:rsidRDefault="001A2E80"/>
  </w:footnote>
  <w:footnote w:id="1">
    <w:p w14:paraId="71B91D69" w14:textId="77777777" w:rsidR="00710F22" w:rsidRPr="007E6774" w:rsidRDefault="00710F22" w:rsidP="00710F22">
      <w:pPr>
        <w:pStyle w:val="Voetnoottekst"/>
        <w:rPr>
          <w:szCs w:val="13"/>
        </w:rPr>
      </w:pPr>
      <w:r w:rsidRPr="007E6774">
        <w:rPr>
          <w:rStyle w:val="Voetnootmarkering"/>
          <w:rFonts w:eastAsia="Verdana" w:cs="Verdana"/>
          <w:szCs w:val="13"/>
        </w:rPr>
        <w:footnoteRef/>
      </w:r>
      <w:r w:rsidRPr="007E6774">
        <w:rPr>
          <w:rFonts w:eastAsia="Verdana" w:cs="Verdana"/>
          <w:szCs w:val="13"/>
        </w:rPr>
        <w:t xml:space="preserve"> </w:t>
      </w:r>
      <w:hyperlink r:id="rId1" w:history="1">
        <w:r w:rsidRPr="007E6774">
          <w:rPr>
            <w:rStyle w:val="Hyperlink"/>
            <w:rFonts w:eastAsia="Verdana" w:cs="Verdana"/>
            <w:szCs w:val="13"/>
          </w:rPr>
          <w:t>https://www.wkr.nl/actueel/nieuws/2026/03/26/circulair-versterkt-het-klimaat-de-economie-en-de-samenleving</w:t>
        </w:r>
      </w:hyperlink>
      <w:r w:rsidRPr="007E6774">
        <w:rPr>
          <w:rFonts w:eastAsia="Verdana" w:cs="Verdana"/>
          <w:szCs w:val="13"/>
        </w:rPr>
        <w:t xml:space="preserve"> </w:t>
      </w:r>
    </w:p>
  </w:footnote>
  <w:footnote w:id="2">
    <w:p w14:paraId="65AA2CC5" w14:textId="77777777" w:rsidR="00710F22" w:rsidRPr="007E6774" w:rsidRDefault="00710F22" w:rsidP="00710F22">
      <w:pPr>
        <w:pStyle w:val="Voetnoottekst"/>
        <w:rPr>
          <w:szCs w:val="13"/>
        </w:rPr>
      </w:pPr>
      <w:r w:rsidRPr="007E6774">
        <w:rPr>
          <w:rStyle w:val="Voetnootmarkering"/>
          <w:szCs w:val="13"/>
        </w:rPr>
        <w:footnoteRef/>
      </w:r>
      <w:r w:rsidRPr="007E6774">
        <w:rPr>
          <w:szCs w:val="13"/>
        </w:rPr>
        <w:t xml:space="preserve"> De minister van VRO is verantwoordelijk voor het beleid gericht op woningen (aanbeveling 2b).</w:t>
      </w:r>
    </w:p>
  </w:footnote>
  <w:footnote w:id="3">
    <w:p w14:paraId="4C84637F" w14:textId="77777777" w:rsidR="00710F22" w:rsidRPr="007E6774" w:rsidRDefault="00710F22" w:rsidP="00710F22">
      <w:pPr>
        <w:pStyle w:val="Voetnoottekst"/>
        <w:rPr>
          <w:szCs w:val="13"/>
        </w:rPr>
      </w:pPr>
      <w:r w:rsidRPr="007E6774">
        <w:rPr>
          <w:rStyle w:val="Voetnootmarkering"/>
          <w:szCs w:val="13"/>
        </w:rPr>
        <w:footnoteRef/>
      </w:r>
      <w:r w:rsidRPr="007E6774">
        <w:rPr>
          <w:szCs w:val="13"/>
        </w:rPr>
        <w:t xml:space="preserve"> De minister van IenW is verantwoordelijk voor het beleid gericht op auto’s (aanbeveling 2a).</w:t>
      </w:r>
    </w:p>
  </w:footnote>
  <w:footnote w:id="4">
    <w:p w14:paraId="0DE9E87D" w14:textId="77777777" w:rsidR="00710F22" w:rsidRPr="007E6774" w:rsidRDefault="00710F22" w:rsidP="00710F22">
      <w:pPr>
        <w:pStyle w:val="Voetnoottekst"/>
        <w:rPr>
          <w:szCs w:val="13"/>
        </w:rPr>
      </w:pPr>
      <w:r w:rsidRPr="007E6774">
        <w:rPr>
          <w:rStyle w:val="Voetnootmarkering"/>
          <w:szCs w:val="13"/>
        </w:rPr>
        <w:footnoteRef/>
      </w:r>
      <w:r w:rsidRPr="007E6774">
        <w:rPr>
          <w:szCs w:val="13"/>
        </w:rPr>
        <w:t xml:space="preserve"> Bij dit doel geldt de afbakening dat fossiele en biotische energiedragers uitgesloten zijn van het totale grondstoffengebruik.</w:t>
      </w:r>
    </w:p>
  </w:footnote>
  <w:footnote w:id="5">
    <w:p w14:paraId="6188C5B8" w14:textId="77777777" w:rsidR="00710F22" w:rsidRPr="007E6774" w:rsidRDefault="00710F22" w:rsidP="00710F22">
      <w:pPr>
        <w:pStyle w:val="Voetnoottekst"/>
        <w:rPr>
          <w:szCs w:val="13"/>
        </w:rPr>
      </w:pPr>
      <w:r w:rsidRPr="007E6774">
        <w:rPr>
          <w:rStyle w:val="Voetnootmarkering"/>
          <w:szCs w:val="13"/>
        </w:rPr>
        <w:footnoteRef/>
      </w:r>
      <w:r w:rsidRPr="007E6774">
        <w:rPr>
          <w:szCs w:val="13"/>
        </w:rPr>
        <w:t xml:space="preserve"> Fietsen en lopen.</w:t>
      </w:r>
    </w:p>
  </w:footnote>
  <w:footnote w:id="6">
    <w:p w14:paraId="57161A87" w14:textId="77777777" w:rsidR="00710F22" w:rsidRPr="007E6774" w:rsidRDefault="00710F22" w:rsidP="00710F22">
      <w:pPr>
        <w:pStyle w:val="Voetnoottekst"/>
        <w:rPr>
          <w:szCs w:val="13"/>
        </w:rPr>
      </w:pPr>
      <w:r w:rsidRPr="007E6774">
        <w:rPr>
          <w:rStyle w:val="Voetnootmarkering"/>
          <w:rFonts w:eastAsia="Verdana" w:cs="Verdana"/>
          <w:szCs w:val="13"/>
        </w:rPr>
        <w:footnoteRef/>
      </w:r>
      <w:r w:rsidRPr="007E6774">
        <w:rPr>
          <w:rFonts w:eastAsia="Verdana" w:cs="Verdana"/>
          <w:szCs w:val="13"/>
        </w:rPr>
        <w:t xml:space="preserve"> </w:t>
      </w:r>
      <w:hyperlink r:id="rId2" w:history="1">
        <w:r w:rsidRPr="007E6774">
          <w:rPr>
            <w:rStyle w:val="Hyperlink"/>
            <w:rFonts w:eastAsia="Verdana" w:cs="Verdana"/>
            <w:szCs w:val="13"/>
          </w:rPr>
          <w:t>Eerste resultaten Taskforce Versnelling Woningbouw | Tweede Kamer der Staten-Generaal</w:t>
        </w:r>
      </w:hyperlink>
    </w:p>
  </w:footnote>
  <w:footnote w:id="7">
    <w:p w14:paraId="0604A276" w14:textId="77777777" w:rsidR="00710F22" w:rsidRPr="007E6774" w:rsidRDefault="00710F22" w:rsidP="00710F22">
      <w:pPr>
        <w:pStyle w:val="Voetnoottekst"/>
        <w:rPr>
          <w:szCs w:val="13"/>
        </w:rPr>
      </w:pPr>
      <w:r w:rsidRPr="007E6774">
        <w:rPr>
          <w:rStyle w:val="Voetnootmarkering"/>
          <w:szCs w:val="13"/>
        </w:rPr>
        <w:footnoteRef/>
      </w:r>
      <w:r w:rsidRPr="007E6774">
        <w:rPr>
          <w:szCs w:val="13"/>
        </w:rPr>
        <w:t xml:space="preserve"> Tweede Kamer, vergaderjaar 2025/26, 36 800 nr. 71</w:t>
      </w:r>
    </w:p>
  </w:footnote>
  <w:footnote w:id="8">
    <w:p w14:paraId="7AD92E2E" w14:textId="77777777" w:rsidR="00710F22" w:rsidRPr="007E6774" w:rsidRDefault="00710F22" w:rsidP="00710F22">
      <w:pPr>
        <w:pStyle w:val="Voetnoottekst"/>
        <w:rPr>
          <w:szCs w:val="13"/>
        </w:rPr>
      </w:pPr>
      <w:r w:rsidRPr="007E6774">
        <w:rPr>
          <w:rStyle w:val="Voetnootmarkering"/>
          <w:rFonts w:eastAsia="Verdana" w:cs="Verdana"/>
          <w:szCs w:val="13"/>
        </w:rPr>
        <w:footnoteRef/>
      </w:r>
      <w:r w:rsidRPr="007E6774">
        <w:rPr>
          <w:rFonts w:eastAsia="Verdana" w:cs="Verdana"/>
          <w:szCs w:val="13"/>
        </w:rPr>
        <w:t xml:space="preserve"> Met als randvoorwaarde dat de betaalbaarheid en realisatiekracht voor nieuwe woningen niet wordt belemmerd</w:t>
      </w:r>
      <w:r w:rsidRPr="007E6774" w:rsidDel="0081151F">
        <w:rPr>
          <w:rFonts w:eastAsia="Verdana" w:cs="Verdana"/>
          <w:szCs w:val="13"/>
        </w:rPr>
        <w:t xml:space="preserve">, mede ter </w:t>
      </w:r>
      <w:r w:rsidRPr="007E6774">
        <w:rPr>
          <w:rFonts w:eastAsia="Verdana" w:cs="Verdana"/>
          <w:szCs w:val="13"/>
        </w:rPr>
        <w:t xml:space="preserve">uitvoering van motie </w:t>
      </w:r>
      <w:proofErr w:type="spellStart"/>
      <w:r w:rsidRPr="007E6774">
        <w:rPr>
          <w:rFonts w:eastAsia="Verdana" w:cs="Verdana"/>
          <w:szCs w:val="13"/>
        </w:rPr>
        <w:t>Mooiman</w:t>
      </w:r>
      <w:proofErr w:type="spellEnd"/>
      <w:r w:rsidRPr="007E6774">
        <w:rPr>
          <w:rFonts w:eastAsia="Verdana" w:cs="Verdana"/>
          <w:szCs w:val="13"/>
        </w:rPr>
        <w:t>, Kamerstuk II 2025/26, 32847, nr. 1432</w:t>
      </w:r>
    </w:p>
  </w:footnote>
  <w:footnote w:id="9">
    <w:p w14:paraId="78CD8614" w14:textId="77777777" w:rsidR="00710F22" w:rsidRPr="007E6774" w:rsidRDefault="00710F22" w:rsidP="00710F22">
      <w:pPr>
        <w:pStyle w:val="Voetnoottekst"/>
        <w:rPr>
          <w:rFonts w:eastAsia="Verdana" w:cs="Verdana"/>
          <w:szCs w:val="13"/>
        </w:rPr>
      </w:pPr>
      <w:r w:rsidRPr="007E6774">
        <w:rPr>
          <w:rStyle w:val="Voetnootmarkering"/>
          <w:rFonts w:eastAsia="Verdana" w:cs="Verdana"/>
          <w:szCs w:val="13"/>
        </w:rPr>
        <w:footnoteRef/>
      </w:r>
      <w:r w:rsidRPr="007E6774">
        <w:rPr>
          <w:rFonts w:eastAsia="Verdana" w:cs="Verdana"/>
          <w:szCs w:val="13"/>
        </w:rPr>
        <w:t xml:space="preserve"> </w:t>
      </w:r>
      <w:proofErr w:type="spellStart"/>
      <w:r w:rsidRPr="007E6774">
        <w:rPr>
          <w:rFonts w:eastAsia="Verdana" w:cs="Verdana"/>
          <w:szCs w:val="13"/>
        </w:rPr>
        <w:t>Whole</w:t>
      </w:r>
      <w:proofErr w:type="spellEnd"/>
      <w:r w:rsidRPr="007E6774">
        <w:rPr>
          <w:rFonts w:eastAsia="Verdana" w:cs="Verdana"/>
          <w:szCs w:val="13"/>
        </w:rPr>
        <w:t xml:space="preserve"> life </w:t>
      </w:r>
      <w:proofErr w:type="spellStart"/>
      <w:r w:rsidRPr="007E6774">
        <w:rPr>
          <w:rFonts w:eastAsia="Verdana" w:cs="Verdana"/>
          <w:szCs w:val="13"/>
        </w:rPr>
        <w:t>cycle</w:t>
      </w:r>
      <w:proofErr w:type="spellEnd"/>
      <w:r w:rsidRPr="007E6774">
        <w:rPr>
          <w:rFonts w:eastAsia="Verdana" w:cs="Verdana"/>
          <w:szCs w:val="13"/>
        </w:rPr>
        <w:t xml:space="preserve"> – </w:t>
      </w:r>
      <w:proofErr w:type="spellStart"/>
      <w:r w:rsidRPr="007E6774">
        <w:rPr>
          <w:rFonts w:eastAsia="Verdana" w:cs="Verdana"/>
          <w:szCs w:val="13"/>
        </w:rPr>
        <w:t>global</w:t>
      </w:r>
      <w:proofErr w:type="spellEnd"/>
      <w:r w:rsidRPr="007E6774">
        <w:rPr>
          <w:rFonts w:eastAsia="Verdana" w:cs="Verdana"/>
          <w:szCs w:val="13"/>
        </w:rPr>
        <w:t xml:space="preserve"> warming </w:t>
      </w:r>
      <w:proofErr w:type="spellStart"/>
      <w:r w:rsidRPr="007E6774">
        <w:rPr>
          <w:rFonts w:eastAsia="Verdana" w:cs="Verdana"/>
          <w:szCs w:val="13"/>
        </w:rPr>
        <w:t>potential</w:t>
      </w:r>
      <w:proofErr w:type="spellEnd"/>
      <w:r w:rsidRPr="007E6774">
        <w:rPr>
          <w:rFonts w:eastAsia="Verdana" w:cs="Verdana"/>
          <w:szCs w:val="13"/>
        </w:rPr>
        <w:t xml:space="preserve"> (</w:t>
      </w:r>
      <w:proofErr w:type="spellStart"/>
      <w:r w:rsidRPr="007E6774">
        <w:rPr>
          <w:rFonts w:eastAsia="Verdana" w:cs="Verdana"/>
          <w:szCs w:val="13"/>
        </w:rPr>
        <w:t>wlc-gwp</w:t>
      </w:r>
      <w:proofErr w:type="spellEnd"/>
      <w:r w:rsidRPr="007E6774">
        <w:rPr>
          <w:rFonts w:eastAsia="Verdana" w:cs="Verdana"/>
          <w:szCs w:val="13"/>
        </w:rPr>
        <w:t xml:space="preserve">), de berekening van de broeikasgasemissies van een gebouw gedurende de volledige levenscyclus </w:t>
      </w:r>
    </w:p>
  </w:footnote>
  <w:footnote w:id="10">
    <w:p w14:paraId="7F9DB8B4" w14:textId="77777777" w:rsidR="00710F22" w:rsidRPr="007E6774" w:rsidRDefault="00710F22" w:rsidP="00710F22">
      <w:pPr>
        <w:pStyle w:val="Voetnoottekst"/>
        <w:rPr>
          <w:szCs w:val="13"/>
        </w:rPr>
      </w:pPr>
      <w:r w:rsidRPr="007E6774">
        <w:rPr>
          <w:rStyle w:val="Voetnootmarkering"/>
          <w:rFonts w:eastAsia="Verdana" w:cs="Verdana"/>
          <w:szCs w:val="13"/>
        </w:rPr>
        <w:footnoteRef/>
      </w:r>
      <w:r w:rsidRPr="007E6774">
        <w:rPr>
          <w:rFonts w:eastAsia="Verdana" w:cs="Verdana"/>
          <w:szCs w:val="13"/>
        </w:rPr>
        <w:t xml:space="preserve"> </w:t>
      </w:r>
      <w:hyperlink r:id="rId3">
        <w:r w:rsidRPr="007E6774">
          <w:rPr>
            <w:rStyle w:val="Hyperlink"/>
            <w:rFonts w:eastAsia="Verdana" w:cs="Verdana"/>
            <w:szCs w:val="13"/>
          </w:rPr>
          <w:t>Innovatie en Opschaling Woningbouw | Rapport | Rijksoverheid.nl</w:t>
        </w:r>
      </w:hyperlink>
    </w:p>
  </w:footnote>
  <w:footnote w:id="11">
    <w:p w14:paraId="60C3D2F1" w14:textId="77777777" w:rsidR="00710F22" w:rsidRPr="007E6774" w:rsidRDefault="00710F22" w:rsidP="00710F22">
      <w:pPr>
        <w:pStyle w:val="Voetnoottekst"/>
        <w:rPr>
          <w:szCs w:val="13"/>
        </w:rPr>
      </w:pPr>
      <w:r w:rsidRPr="007E6774">
        <w:rPr>
          <w:rStyle w:val="Voetnootmarkering"/>
          <w:rFonts w:eastAsia="Verdana" w:cs="Verdana"/>
          <w:szCs w:val="13"/>
        </w:rPr>
        <w:footnoteRef/>
      </w:r>
      <w:r w:rsidRPr="007E6774">
        <w:rPr>
          <w:rFonts w:eastAsia="Verdana" w:cs="Verdana"/>
          <w:szCs w:val="13"/>
        </w:rPr>
        <w:t xml:space="preserve"> </w:t>
      </w:r>
      <w:hyperlink r:id="rId4">
        <w:r w:rsidRPr="007E6774">
          <w:rPr>
            <w:rStyle w:val="Hyperlink"/>
            <w:rFonts w:eastAsia="Verdana" w:cs="Verdana"/>
            <w:szCs w:val="13"/>
          </w:rPr>
          <w:t>buildingbalance.eu/nationale-aanpak-</w:t>
        </w:r>
        <w:proofErr w:type="spellStart"/>
        <w:r w:rsidRPr="007E6774">
          <w:rPr>
            <w:rStyle w:val="Hyperlink"/>
            <w:rFonts w:eastAsia="Verdana" w:cs="Verdana"/>
            <w:szCs w:val="13"/>
          </w:rPr>
          <w:t>biobased</w:t>
        </w:r>
        <w:proofErr w:type="spellEnd"/>
        <w:r w:rsidRPr="007E6774">
          <w:rPr>
            <w:rStyle w:val="Hyperlink"/>
            <w:rFonts w:eastAsia="Verdana" w:cs="Verdana"/>
            <w:szCs w:val="13"/>
          </w:rPr>
          <w:t>-bouwen/</w:t>
        </w:r>
      </w:hyperlink>
    </w:p>
  </w:footnote>
  <w:footnote w:id="12">
    <w:p w14:paraId="538043A3" w14:textId="77777777" w:rsidR="00710F22" w:rsidRPr="007E6774" w:rsidRDefault="00710F22" w:rsidP="00710F22">
      <w:pPr>
        <w:pStyle w:val="Voetnoottekst"/>
        <w:rPr>
          <w:szCs w:val="13"/>
        </w:rPr>
      </w:pPr>
      <w:r w:rsidRPr="007E6774">
        <w:rPr>
          <w:rStyle w:val="Voetnootmarkering"/>
          <w:rFonts w:eastAsia="Verdana" w:cs="Verdana"/>
          <w:szCs w:val="13"/>
        </w:rPr>
        <w:footnoteRef/>
      </w:r>
      <w:r w:rsidRPr="007E6774">
        <w:rPr>
          <w:rFonts w:eastAsia="Verdana" w:cs="Verdana"/>
          <w:szCs w:val="13"/>
        </w:rPr>
        <w:t xml:space="preserve"> </w:t>
      </w:r>
      <w:hyperlink r:id="rId5">
        <w:r w:rsidRPr="007E6774">
          <w:rPr>
            <w:rStyle w:val="Hyperlink"/>
            <w:rFonts w:eastAsia="Verdana" w:cs="Verdana"/>
            <w:szCs w:val="13"/>
          </w:rPr>
          <w:t>Bouwmaterialenakkoord: Nederlandse bouwmaterialenindustrie en het Rijk zetten samen de stap naar een toekomstbestendige en efficiënte bouwsector | Home | Volkshuisvesting Nederland</w:t>
        </w:r>
      </w:hyperlink>
    </w:p>
  </w:footnote>
  <w:footnote w:id="13">
    <w:p w14:paraId="7AAFA71E" w14:textId="77777777" w:rsidR="00710F22" w:rsidRPr="007E6774" w:rsidRDefault="00710F22" w:rsidP="00710F22">
      <w:pPr>
        <w:pStyle w:val="Voetnoottekst"/>
        <w:rPr>
          <w:szCs w:val="13"/>
        </w:rPr>
      </w:pPr>
      <w:r w:rsidRPr="007E6774">
        <w:rPr>
          <w:rStyle w:val="Voetnootmarkering"/>
          <w:rFonts w:eastAsia="Verdana" w:cs="Verdana"/>
          <w:szCs w:val="13"/>
        </w:rPr>
        <w:footnoteRef/>
      </w:r>
      <w:r w:rsidRPr="007E6774">
        <w:rPr>
          <w:rFonts w:eastAsia="Verdana" w:cs="Verdana"/>
          <w:szCs w:val="13"/>
        </w:rPr>
        <w:t xml:space="preserve"> </w:t>
      </w:r>
      <w:hyperlink r:id="rId6">
        <w:r w:rsidRPr="007E6774">
          <w:rPr>
            <w:rStyle w:val="Hyperlink"/>
            <w:rFonts w:eastAsia="Verdana" w:cs="Verdana"/>
            <w:szCs w:val="13"/>
          </w:rPr>
          <w:t>Circulair slopen én hergebruik: route naar een standaard werkwijze in de bouw | Circulaire Bouweconomie</w:t>
        </w:r>
      </w:hyperlink>
    </w:p>
  </w:footnote>
  <w:footnote w:id="14">
    <w:p w14:paraId="3FAB211C" w14:textId="77777777" w:rsidR="00710F22" w:rsidRPr="007E6774" w:rsidRDefault="00710F22" w:rsidP="00710F22">
      <w:pPr>
        <w:pStyle w:val="Voetnoottekst"/>
        <w:rPr>
          <w:szCs w:val="13"/>
          <w:lang w:val="en-US"/>
        </w:rPr>
      </w:pPr>
      <w:r w:rsidRPr="007E6774">
        <w:rPr>
          <w:rStyle w:val="Voetnootmarkering"/>
          <w:szCs w:val="13"/>
        </w:rPr>
        <w:footnoteRef/>
      </w:r>
      <w:r w:rsidRPr="007E6774">
        <w:rPr>
          <w:szCs w:val="13"/>
          <w:lang w:val="en-US"/>
        </w:rPr>
        <w:t xml:space="preserve"> Circularity of the EU textiles value chain in numbers – European Environment Agency, 2025</w:t>
      </w:r>
    </w:p>
  </w:footnote>
  <w:footnote w:id="15">
    <w:p w14:paraId="232208B7" w14:textId="77777777" w:rsidR="00710F22" w:rsidRPr="007E6774" w:rsidRDefault="00710F22" w:rsidP="00710F22">
      <w:pPr>
        <w:pStyle w:val="Voetnoottekst"/>
        <w:rPr>
          <w:szCs w:val="13"/>
          <w:lang w:val="en-US"/>
        </w:rPr>
      </w:pPr>
      <w:r w:rsidRPr="007E6774">
        <w:rPr>
          <w:rStyle w:val="Voetnootmarkering"/>
          <w:szCs w:val="13"/>
        </w:rPr>
        <w:footnoteRef/>
      </w:r>
      <w:r w:rsidRPr="007E6774">
        <w:rPr>
          <w:szCs w:val="13"/>
          <w:lang w:val="en-US"/>
        </w:rPr>
        <w:t xml:space="preserve"> The destruction of returned and unsold textiles in Europe’s circular economy – European Environment Agency, 2024</w:t>
      </w:r>
    </w:p>
  </w:footnote>
  <w:footnote w:id="16">
    <w:p w14:paraId="6BB50A47" w14:textId="77777777" w:rsidR="00710F22" w:rsidRPr="007E6774" w:rsidRDefault="00710F22" w:rsidP="00710F22">
      <w:pPr>
        <w:pStyle w:val="Voetnoottekst"/>
        <w:rPr>
          <w:szCs w:val="13"/>
          <w:lang w:val="en-US"/>
        </w:rPr>
      </w:pPr>
      <w:r w:rsidRPr="007E6774">
        <w:rPr>
          <w:rStyle w:val="Voetnootmarkering"/>
          <w:szCs w:val="13"/>
        </w:rPr>
        <w:footnoteRef/>
      </w:r>
      <w:r w:rsidRPr="007E6774">
        <w:rPr>
          <w:szCs w:val="13"/>
          <w:lang w:val="en-US"/>
        </w:rPr>
        <w:t xml:space="preserve"> Kamerstukken II 2025/26, 32 852 nr. 394</w:t>
      </w:r>
    </w:p>
  </w:footnote>
  <w:footnote w:id="17">
    <w:p w14:paraId="1B582FAB" w14:textId="77777777" w:rsidR="00710F22" w:rsidRPr="007E6774" w:rsidRDefault="00710F22" w:rsidP="00710F22">
      <w:pPr>
        <w:pStyle w:val="Voetnoottekst"/>
        <w:rPr>
          <w:szCs w:val="13"/>
          <w:lang w:val="en-US"/>
        </w:rPr>
      </w:pPr>
      <w:r w:rsidRPr="007E6774">
        <w:rPr>
          <w:rStyle w:val="Voetnootmarkering"/>
          <w:szCs w:val="13"/>
        </w:rPr>
        <w:footnoteRef/>
      </w:r>
      <w:r w:rsidRPr="007E6774">
        <w:rPr>
          <w:szCs w:val="13"/>
          <w:lang w:val="en-US"/>
        </w:rPr>
        <w:t xml:space="preserve"> Fashion on climate – McKinsey &amp; Company, 2020</w:t>
      </w:r>
    </w:p>
  </w:footnote>
  <w:footnote w:id="18">
    <w:p w14:paraId="21297FED" w14:textId="77777777" w:rsidR="00710F22" w:rsidRPr="007E6774" w:rsidRDefault="00710F22" w:rsidP="00710F22">
      <w:pPr>
        <w:pStyle w:val="Voetnoottekst"/>
        <w:rPr>
          <w:szCs w:val="13"/>
          <w:lang w:val="en-US"/>
        </w:rPr>
      </w:pPr>
      <w:r w:rsidRPr="007E6774">
        <w:rPr>
          <w:rStyle w:val="Voetnootmarkering"/>
          <w:szCs w:val="13"/>
        </w:rPr>
        <w:footnoteRef/>
      </w:r>
      <w:r w:rsidRPr="007E6774">
        <w:rPr>
          <w:szCs w:val="13"/>
          <w:lang w:val="en-US"/>
        </w:rPr>
        <w:t xml:space="preserve"> https://www.rijksoverheid.nl/documenten/2025/09/03/verzamelbrief-circulaire-economie-september-2025</w:t>
      </w:r>
    </w:p>
  </w:footnote>
  <w:footnote w:id="19">
    <w:p w14:paraId="501D618B" w14:textId="77777777" w:rsidR="00710F22" w:rsidRPr="007E6774" w:rsidRDefault="00710F22" w:rsidP="00710F22">
      <w:pPr>
        <w:pStyle w:val="Voetnoottekst"/>
        <w:rPr>
          <w:szCs w:val="13"/>
        </w:rPr>
      </w:pPr>
      <w:r w:rsidRPr="007E6774">
        <w:rPr>
          <w:rStyle w:val="Voetnootmarkering"/>
          <w:rFonts w:eastAsia="Verdana" w:cs="Verdana"/>
          <w:szCs w:val="13"/>
        </w:rPr>
        <w:footnoteRef/>
      </w:r>
      <w:r w:rsidRPr="007E6774">
        <w:rPr>
          <w:rFonts w:eastAsia="Verdana" w:cs="Verdana"/>
          <w:szCs w:val="13"/>
        </w:rPr>
        <w:t xml:space="preserve"> Kamerstukken II 2025/26, 32 852 nr. 394</w:t>
      </w:r>
    </w:p>
  </w:footnote>
  <w:footnote w:id="20">
    <w:p w14:paraId="1233DF0D" w14:textId="77777777" w:rsidR="00710F22" w:rsidRPr="007E6774" w:rsidRDefault="00710F22" w:rsidP="00710F22">
      <w:pPr>
        <w:pStyle w:val="Voetnoottekst"/>
        <w:rPr>
          <w:szCs w:val="13"/>
        </w:rPr>
      </w:pPr>
      <w:r w:rsidRPr="007E6774">
        <w:rPr>
          <w:rStyle w:val="Voetnootmarkering"/>
          <w:rFonts w:eastAsia="Verdana" w:cs="Verdana"/>
          <w:szCs w:val="13"/>
        </w:rPr>
        <w:footnoteRef/>
      </w:r>
      <w:r w:rsidRPr="007E6774">
        <w:rPr>
          <w:rFonts w:eastAsia="Verdana" w:cs="Verdana"/>
          <w:szCs w:val="13"/>
        </w:rPr>
        <w:t xml:space="preserve"> Kamerstukken II 2025/26, 32 852 nr. 394 en Kamerstukken II 2024/25, 32 852 nr. 354</w:t>
      </w:r>
    </w:p>
  </w:footnote>
  <w:footnote w:id="21">
    <w:p w14:paraId="6B00A91F" w14:textId="77777777" w:rsidR="00710F22" w:rsidRPr="007E6774" w:rsidRDefault="00710F22" w:rsidP="00710F22">
      <w:pPr>
        <w:pStyle w:val="Voetnoottekst"/>
        <w:rPr>
          <w:szCs w:val="13"/>
        </w:rPr>
      </w:pPr>
      <w:r w:rsidRPr="007E6774">
        <w:rPr>
          <w:rStyle w:val="Voetnootmarkering"/>
          <w:rFonts w:eastAsia="Verdana" w:cs="Verdana"/>
          <w:szCs w:val="13"/>
        </w:rPr>
        <w:footnoteRef/>
      </w:r>
      <w:r w:rsidRPr="007E6774">
        <w:rPr>
          <w:rFonts w:eastAsia="Verdana" w:cs="Verdana"/>
          <w:szCs w:val="13"/>
        </w:rPr>
        <w:t xml:space="preserve"> Motie </w:t>
      </w:r>
      <w:proofErr w:type="spellStart"/>
      <w:r w:rsidRPr="007E6774">
        <w:rPr>
          <w:rFonts w:eastAsia="Verdana" w:cs="Verdana"/>
          <w:szCs w:val="13"/>
        </w:rPr>
        <w:t>Kostiç</w:t>
      </w:r>
      <w:proofErr w:type="spellEnd"/>
      <w:r w:rsidRPr="007E6774">
        <w:rPr>
          <w:rFonts w:eastAsia="Verdana" w:cs="Verdana"/>
          <w:szCs w:val="13"/>
        </w:rPr>
        <w:t xml:space="preserve"> c.s. Kamerstukken II 2025/26, 32 852, nr. 08 1017</w:t>
      </w:r>
    </w:p>
  </w:footnote>
  <w:footnote w:id="22">
    <w:p w14:paraId="1364FB55" w14:textId="77777777" w:rsidR="00710F22" w:rsidRPr="007E6774" w:rsidRDefault="00710F22" w:rsidP="00710F22">
      <w:pPr>
        <w:pStyle w:val="Voetnoottekst"/>
        <w:rPr>
          <w:szCs w:val="13"/>
        </w:rPr>
      </w:pPr>
      <w:r w:rsidRPr="007E6774">
        <w:rPr>
          <w:rStyle w:val="Voetnootmarkering"/>
          <w:rFonts w:eastAsia="Verdana" w:cs="Verdana"/>
          <w:szCs w:val="13"/>
        </w:rPr>
        <w:footnoteRef/>
      </w:r>
      <w:r w:rsidRPr="007E6774">
        <w:rPr>
          <w:rFonts w:eastAsia="Verdana" w:cs="Verdana"/>
          <w:szCs w:val="13"/>
        </w:rPr>
        <w:t xml:space="preserve"> </w:t>
      </w:r>
      <w:hyperlink r:id="rId7" w:history="1">
        <w:r w:rsidRPr="007E6774">
          <w:rPr>
            <w:rStyle w:val="Hyperlink"/>
            <w:rFonts w:eastAsia="Verdana" w:cs="Verdana"/>
            <w:szCs w:val="13"/>
          </w:rPr>
          <w:t>https://www.rijksoverheid.nl/documenten/kamerstukken/2025/09/26/kamerbrief-circulair-plastic</w:t>
        </w:r>
      </w:hyperlink>
      <w:r w:rsidRPr="007E6774">
        <w:rPr>
          <w:rFonts w:eastAsia="Verdana" w:cs="Verdana"/>
          <w:szCs w:val="13"/>
        </w:rPr>
        <w:t xml:space="preserve"> </w:t>
      </w:r>
    </w:p>
  </w:footnote>
  <w:footnote w:id="23">
    <w:p w14:paraId="240AA31A" w14:textId="77777777" w:rsidR="00710F22" w:rsidRPr="007E6774" w:rsidRDefault="00710F22" w:rsidP="00710F22">
      <w:pPr>
        <w:pStyle w:val="Voetnoottekst"/>
        <w:rPr>
          <w:szCs w:val="13"/>
        </w:rPr>
      </w:pPr>
      <w:r w:rsidRPr="007E6774">
        <w:rPr>
          <w:rStyle w:val="Voetnootmarkering"/>
          <w:szCs w:val="13"/>
        </w:rPr>
        <w:footnoteRef/>
      </w:r>
      <w:r w:rsidRPr="007E6774">
        <w:rPr>
          <w:szCs w:val="13"/>
        </w:rPr>
        <w:t xml:space="preserve"> In 2030 moet een plastic verpakking, afhankelijk van het type, 10 tot 35 procent recyclaat bevatten, en in 2040 25 tot 65 procent.</w:t>
      </w:r>
    </w:p>
  </w:footnote>
  <w:footnote w:id="24">
    <w:p w14:paraId="471FF144" w14:textId="77777777" w:rsidR="00710F22" w:rsidRPr="007E6774" w:rsidRDefault="00710F22" w:rsidP="00710F22">
      <w:pPr>
        <w:pStyle w:val="Voetnoottekst"/>
        <w:rPr>
          <w:szCs w:val="13"/>
        </w:rPr>
      </w:pPr>
      <w:r w:rsidRPr="007E6774">
        <w:rPr>
          <w:rStyle w:val="Voetnootmarkering"/>
          <w:szCs w:val="13"/>
        </w:rPr>
        <w:footnoteRef/>
      </w:r>
      <w:r w:rsidRPr="007E6774">
        <w:rPr>
          <w:szCs w:val="13"/>
        </w:rPr>
        <w:t xml:space="preserve"> https://www.rijksoverheid.nl/documenten/2025/09/03/verzamelbrief-circulaire-economie-september-2025</w:t>
      </w:r>
    </w:p>
  </w:footnote>
  <w:footnote w:id="25">
    <w:p w14:paraId="2F7788DC" w14:textId="77777777" w:rsidR="00710F22" w:rsidRPr="007E6774" w:rsidRDefault="00710F22" w:rsidP="00710F22">
      <w:pPr>
        <w:pStyle w:val="Voetnoottekst"/>
        <w:rPr>
          <w:szCs w:val="13"/>
          <w:lang w:val="en-US"/>
        </w:rPr>
      </w:pPr>
      <w:r w:rsidRPr="007E6774">
        <w:rPr>
          <w:rStyle w:val="Voetnootmarkering"/>
          <w:rFonts w:eastAsia="Verdana" w:cs="Verdana"/>
          <w:szCs w:val="13"/>
        </w:rPr>
        <w:footnoteRef/>
      </w:r>
      <w:r w:rsidRPr="007E6774">
        <w:rPr>
          <w:rFonts w:eastAsia="Verdana" w:cs="Verdana"/>
          <w:szCs w:val="13"/>
          <w:lang w:val="en-US"/>
        </w:rPr>
        <w:t xml:space="preserve"> Joint statement by government and banks on cooperation towards a circular economy | Government.nl</w:t>
      </w:r>
    </w:p>
  </w:footnote>
  <w:footnote w:id="26">
    <w:p w14:paraId="17CA1A85" w14:textId="77777777" w:rsidR="00710F22" w:rsidRPr="007E6774" w:rsidRDefault="00710F22" w:rsidP="00710F22">
      <w:pPr>
        <w:pStyle w:val="Voetnoottekst"/>
        <w:rPr>
          <w:szCs w:val="13"/>
        </w:rPr>
      </w:pPr>
      <w:r w:rsidRPr="007E6774">
        <w:rPr>
          <w:rStyle w:val="Voetnootmarkering"/>
          <w:rFonts w:eastAsia="Verdana" w:cs="Verdana"/>
          <w:szCs w:val="13"/>
        </w:rPr>
        <w:footnoteRef/>
      </w:r>
      <w:r w:rsidRPr="007E6774">
        <w:rPr>
          <w:rFonts w:eastAsia="Verdana" w:cs="Verdana"/>
          <w:szCs w:val="13"/>
        </w:rPr>
        <w:t xml:space="preserve"> </w:t>
      </w:r>
      <w:hyperlink r:id="rId8" w:history="1">
        <w:r w:rsidRPr="007E6774">
          <w:rPr>
            <w:rStyle w:val="Hyperlink"/>
            <w:rFonts w:eastAsia="Verdana" w:cs="Verdana"/>
            <w:szCs w:val="13"/>
          </w:rPr>
          <w:t>Kamerstukken</w:t>
        </w:r>
      </w:hyperlink>
      <w:r w:rsidRPr="007E6774">
        <w:rPr>
          <w:rFonts w:eastAsia="Verdana" w:cs="Verdana"/>
          <w:szCs w:val="13"/>
        </w:rPr>
        <w:t xml:space="preserve"> II, 2025/2025, 32 813 nr. 1501</w:t>
      </w:r>
    </w:p>
  </w:footnote>
  <w:footnote w:id="27">
    <w:p w14:paraId="3F681571" w14:textId="77777777" w:rsidR="00710F22" w:rsidRPr="007E6774" w:rsidRDefault="00710F22" w:rsidP="00710F22">
      <w:pPr>
        <w:pStyle w:val="Voetnoottekst"/>
        <w:rPr>
          <w:szCs w:val="13"/>
        </w:rPr>
      </w:pPr>
      <w:r w:rsidRPr="007E6774">
        <w:rPr>
          <w:rStyle w:val="Voetnootmarkering"/>
          <w:rFonts w:eastAsia="Verdana" w:cs="Verdana"/>
          <w:szCs w:val="13"/>
        </w:rPr>
        <w:footnoteRef/>
      </w:r>
      <w:r w:rsidRPr="007E6774">
        <w:rPr>
          <w:rFonts w:eastAsia="Verdana" w:cs="Verdana"/>
          <w:szCs w:val="13"/>
        </w:rPr>
        <w:t xml:space="preserve"> In de Kamerbrief ‘Overzicht fiscale prikkels voor de circulaire transitie’ (Tweede Kamer, vergaderjaar 2025–2026, 32 140, nr. 278) is recent door de toenmalig Staatssecretaris Heijnen (Fiscaliteit, Belastingdienst en Douane) een overzicht gegeven hoe de fiscaliteit kan bijdragen aan een circulaire economie.</w:t>
      </w:r>
    </w:p>
  </w:footnote>
  <w:footnote w:id="28">
    <w:p w14:paraId="170B6193" w14:textId="77777777" w:rsidR="00710F22" w:rsidRPr="007E6774" w:rsidRDefault="00710F22" w:rsidP="00710F22">
      <w:pPr>
        <w:pStyle w:val="Voetnoottekst"/>
        <w:rPr>
          <w:szCs w:val="13"/>
        </w:rPr>
      </w:pPr>
      <w:r w:rsidRPr="007E6774">
        <w:rPr>
          <w:rStyle w:val="Voetnootmarkering"/>
          <w:rFonts w:eastAsia="Verdana" w:cs="Verdana"/>
          <w:szCs w:val="13"/>
        </w:rPr>
        <w:footnoteRef/>
      </w:r>
      <w:r w:rsidRPr="007E6774">
        <w:rPr>
          <w:rFonts w:eastAsia="Verdana" w:cs="Verdana"/>
          <w:szCs w:val="13"/>
        </w:rPr>
        <w:t xml:space="preserve"> </w:t>
      </w:r>
      <w:r w:rsidRPr="007E6774">
        <w:rPr>
          <w:szCs w:val="13"/>
        </w:rPr>
        <w:t>Brief NVCE-coalitie: https://nvce.nl/wp-content/uploads/2026/03/Brief-aan-de-ministers.pdf en ook brief SER: https://www.ser.nl/nl/publicaties/grondstoffentransitie-circulaire-economie</w:t>
      </w:r>
    </w:p>
  </w:footnote>
  <w:footnote w:id="29">
    <w:p w14:paraId="2AAB0FDB" w14:textId="77777777" w:rsidR="00710F22" w:rsidRPr="007E6774" w:rsidRDefault="00710F22" w:rsidP="00710F22">
      <w:pPr>
        <w:pStyle w:val="Voetnoottekst"/>
        <w:rPr>
          <w:szCs w:val="13"/>
        </w:rPr>
      </w:pPr>
      <w:r w:rsidRPr="007E6774">
        <w:rPr>
          <w:rStyle w:val="Voetnootmarkering"/>
          <w:rFonts w:eastAsia="Verdana" w:cs="Verdana"/>
          <w:szCs w:val="13"/>
        </w:rPr>
        <w:footnoteRef/>
      </w:r>
      <w:r w:rsidRPr="007E6774">
        <w:rPr>
          <w:rFonts w:eastAsia="Verdana" w:cs="Verdana"/>
          <w:szCs w:val="13"/>
        </w:rPr>
        <w:t xml:space="preserve"> Dit is in het Coalitieakkoord opgenomen.</w:t>
      </w:r>
    </w:p>
  </w:footnote>
  <w:footnote w:id="30">
    <w:p w14:paraId="7F8C1B06" w14:textId="77777777" w:rsidR="00710F22" w:rsidRPr="007E6774" w:rsidRDefault="00710F22" w:rsidP="00710F22">
      <w:pPr>
        <w:rPr>
          <w:sz w:val="13"/>
          <w:szCs w:val="13"/>
        </w:rPr>
      </w:pPr>
      <w:r w:rsidRPr="007E6774">
        <w:rPr>
          <w:rStyle w:val="Voetnootmarkering"/>
          <w:rFonts w:eastAsia="Calibri" w:cs="Calibri"/>
          <w:sz w:val="13"/>
          <w:szCs w:val="13"/>
        </w:rPr>
        <w:footnoteRef/>
      </w:r>
      <w:r w:rsidRPr="007E6774">
        <w:rPr>
          <w:rFonts w:eastAsia="Calibri" w:cs="Calibri"/>
          <w:sz w:val="13"/>
          <w:szCs w:val="13"/>
        </w:rPr>
        <w:t xml:space="preserve"> Zoals Elektrische en Elektronische Apparaten, Meubels, Textiel en Verpakkingen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F712F" w14:paraId="6566FC77" w14:textId="77777777" w:rsidTr="00A50CF6">
      <w:tc>
        <w:tcPr>
          <w:tcW w:w="2156" w:type="dxa"/>
        </w:tcPr>
        <w:p w14:paraId="6B062283" w14:textId="77777777" w:rsidR="00527BD4" w:rsidRPr="005819CE" w:rsidRDefault="00A205F0" w:rsidP="00A50CF6">
          <w:pPr>
            <w:pStyle w:val="Huisstijl-Adres"/>
            <w:rPr>
              <w:b/>
            </w:rPr>
          </w:pPr>
          <w:r>
            <w:rPr>
              <w:b/>
            </w:rPr>
            <w:t>Directie Bestuurlijke en Politieke Zaken</w:t>
          </w:r>
          <w:r w:rsidRPr="005819CE">
            <w:rPr>
              <w:b/>
            </w:rPr>
            <w:br/>
          </w:r>
        </w:p>
      </w:tc>
    </w:tr>
    <w:tr w:rsidR="006F712F" w14:paraId="2F83D747" w14:textId="77777777" w:rsidTr="00A50CF6">
      <w:trPr>
        <w:trHeight w:hRule="exact" w:val="200"/>
      </w:trPr>
      <w:tc>
        <w:tcPr>
          <w:tcW w:w="2156" w:type="dxa"/>
        </w:tcPr>
        <w:p w14:paraId="3AF04B41" w14:textId="77777777" w:rsidR="00527BD4" w:rsidRPr="005819CE" w:rsidRDefault="00527BD4" w:rsidP="00A50CF6"/>
      </w:tc>
    </w:tr>
    <w:tr w:rsidR="006F712F" w14:paraId="192E7E19" w14:textId="77777777" w:rsidTr="00502512">
      <w:trPr>
        <w:trHeight w:hRule="exact" w:val="774"/>
      </w:trPr>
      <w:tc>
        <w:tcPr>
          <w:tcW w:w="2156" w:type="dxa"/>
        </w:tcPr>
        <w:p w14:paraId="6FE69063" w14:textId="77777777" w:rsidR="00527BD4" w:rsidRDefault="00A205F0" w:rsidP="003A5290">
          <w:pPr>
            <w:pStyle w:val="Huisstijl-Kopje"/>
          </w:pPr>
          <w:r>
            <w:t>Ons kenmerk</w:t>
          </w:r>
        </w:p>
        <w:p w14:paraId="7B3E1EBF" w14:textId="6C45B526" w:rsidR="00527BD4" w:rsidRPr="005819CE" w:rsidRDefault="00A205F0" w:rsidP="004425CC">
          <w:pPr>
            <w:pStyle w:val="Huisstijl-Kopje"/>
          </w:pPr>
          <w:r>
            <w:rPr>
              <w:b w:val="0"/>
            </w:rPr>
            <w:t>BPZ</w:t>
          </w:r>
          <w:r w:rsidRPr="00502512">
            <w:rPr>
              <w:b w:val="0"/>
            </w:rPr>
            <w:t xml:space="preserve"> / </w:t>
          </w:r>
          <w:r w:rsidR="007E6774" w:rsidRPr="007E6774">
            <w:rPr>
              <w:rFonts w:cs="Helvetica"/>
              <w:b w:val="0"/>
              <w:bCs/>
              <w:color w:val="000000"/>
              <w:szCs w:val="13"/>
              <w:bdr w:val="none" w:sz="0" w:space="0" w:color="auto" w:frame="1"/>
            </w:rPr>
            <w:t>106818449</w:t>
          </w:r>
        </w:p>
      </w:tc>
    </w:tr>
  </w:tbl>
  <w:p w14:paraId="27A85089" w14:textId="77777777" w:rsidR="00527BD4" w:rsidRDefault="00527BD4" w:rsidP="008C356D">
    <w:pPr>
      <w:pStyle w:val="Koptekst"/>
      <w:rPr>
        <w:rFonts w:cs="Verdana-Bold"/>
        <w:b/>
        <w:bCs/>
        <w:smallCaps/>
        <w:szCs w:val="18"/>
      </w:rPr>
    </w:pPr>
  </w:p>
  <w:p w14:paraId="7F266E3C" w14:textId="77777777" w:rsidR="00527BD4" w:rsidRDefault="00527BD4" w:rsidP="008C356D"/>
  <w:p w14:paraId="005FE52B" w14:textId="77777777" w:rsidR="00527BD4" w:rsidRPr="00740712" w:rsidRDefault="00527BD4" w:rsidP="008C356D"/>
  <w:p w14:paraId="79E74F5A" w14:textId="77777777" w:rsidR="00527BD4" w:rsidRPr="00217880" w:rsidRDefault="00527BD4" w:rsidP="008C356D">
    <w:pPr>
      <w:spacing w:line="0" w:lineRule="atLeast"/>
      <w:rPr>
        <w:sz w:val="2"/>
        <w:szCs w:val="2"/>
      </w:rPr>
    </w:pPr>
  </w:p>
  <w:p w14:paraId="39DC1A65" w14:textId="77777777" w:rsidR="00527BD4" w:rsidRDefault="00527BD4" w:rsidP="004F44C2">
    <w:pPr>
      <w:pStyle w:val="Koptekst"/>
      <w:rPr>
        <w:rFonts w:cs="Verdana-Bold"/>
        <w:b/>
        <w:bCs/>
        <w:smallCaps/>
        <w:szCs w:val="18"/>
      </w:rPr>
    </w:pPr>
  </w:p>
  <w:p w14:paraId="4BED6FBB" w14:textId="77777777" w:rsidR="00527BD4" w:rsidRDefault="00527BD4" w:rsidP="004F44C2"/>
  <w:p w14:paraId="6EE42702" w14:textId="77777777" w:rsidR="00527BD4" w:rsidRPr="00740712" w:rsidRDefault="00527BD4" w:rsidP="004F44C2"/>
  <w:p w14:paraId="41B95BE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F712F" w14:paraId="66F5F4D5" w14:textId="77777777" w:rsidTr="00751A6A">
      <w:trPr>
        <w:trHeight w:val="2636"/>
      </w:trPr>
      <w:tc>
        <w:tcPr>
          <w:tcW w:w="737" w:type="dxa"/>
        </w:tcPr>
        <w:p w14:paraId="061975C8" w14:textId="77777777" w:rsidR="00527BD4" w:rsidRDefault="00527BD4" w:rsidP="00D0609E">
          <w:pPr>
            <w:framePr w:w="6340" w:h="2750" w:hRule="exact" w:hSpace="180" w:wrap="around" w:vAnchor="page" w:hAnchor="text" w:x="3873" w:y="-140"/>
            <w:spacing w:line="240" w:lineRule="auto"/>
          </w:pPr>
        </w:p>
      </w:tc>
      <w:tc>
        <w:tcPr>
          <w:tcW w:w="5156" w:type="dxa"/>
        </w:tcPr>
        <w:p w14:paraId="19C82A36" w14:textId="0979913F" w:rsidR="00527BD4" w:rsidRDefault="008634C6" w:rsidP="00651CEE">
          <w:pPr>
            <w:framePr w:w="6340" w:h="2750" w:hRule="exact" w:hSpace="180" w:wrap="around" w:vAnchor="page" w:hAnchor="text" w:x="3873" w:y="-140"/>
            <w:spacing w:line="240" w:lineRule="auto"/>
          </w:pPr>
          <w:r>
            <w:t xml:space="preserve">  </w:t>
          </w:r>
          <w:r>
            <w:rPr>
              <w:noProof/>
            </w:rPr>
            <w:drawing>
              <wp:inline distT="0" distB="0" distL="0" distR="0" wp14:anchorId="79AB5E1D" wp14:editId="3E467CCA">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2F082812" w14:textId="77777777" w:rsidR="007269E3" w:rsidRDefault="007269E3" w:rsidP="00651CEE">
          <w:pPr>
            <w:framePr w:w="6340" w:h="2750" w:hRule="exact" w:hSpace="180" w:wrap="around" w:vAnchor="page" w:hAnchor="text" w:x="3873" w:y="-140"/>
            <w:spacing w:line="240" w:lineRule="auto"/>
          </w:pPr>
        </w:p>
      </w:tc>
    </w:tr>
  </w:tbl>
  <w:p w14:paraId="04BE755C" w14:textId="77777777" w:rsidR="00527BD4" w:rsidRDefault="00527BD4" w:rsidP="00D0609E">
    <w:pPr>
      <w:framePr w:w="6340" w:h="2750" w:hRule="exact" w:hSpace="180" w:wrap="around" w:vAnchor="page" w:hAnchor="text" w:x="3873" w:y="-140"/>
    </w:pPr>
  </w:p>
  <w:p w14:paraId="19A9061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F712F" w14:paraId="26105A0A" w14:textId="77777777" w:rsidTr="00A50CF6">
      <w:tc>
        <w:tcPr>
          <w:tcW w:w="2160" w:type="dxa"/>
        </w:tcPr>
        <w:p w14:paraId="045A8422" w14:textId="77777777" w:rsidR="00527BD4" w:rsidRPr="005819CE" w:rsidRDefault="00A205F0" w:rsidP="00A50CF6">
          <w:pPr>
            <w:pStyle w:val="Huisstijl-Adres"/>
            <w:rPr>
              <w:b/>
            </w:rPr>
          </w:pPr>
          <w:r>
            <w:rPr>
              <w:b/>
            </w:rPr>
            <w:t>Directie Bestuurlijke en Politieke Zaken</w:t>
          </w:r>
          <w:r w:rsidRPr="005819CE">
            <w:rPr>
              <w:b/>
            </w:rPr>
            <w:br/>
          </w:r>
        </w:p>
        <w:p w14:paraId="1F8BCA8B" w14:textId="77777777" w:rsidR="00527BD4" w:rsidRPr="00BE5ED9" w:rsidRDefault="00A205F0" w:rsidP="00A50CF6">
          <w:pPr>
            <w:pStyle w:val="Huisstijl-Adres"/>
          </w:pPr>
          <w:r>
            <w:rPr>
              <w:b/>
            </w:rPr>
            <w:t>Bezoekadres</w:t>
          </w:r>
          <w:r>
            <w:rPr>
              <w:b/>
            </w:rPr>
            <w:br/>
          </w:r>
          <w:r>
            <w:t>Bezuidenhoutseweg 73</w:t>
          </w:r>
          <w:r w:rsidRPr="005819CE">
            <w:br/>
          </w:r>
          <w:r>
            <w:t>2594 AC Den Haag</w:t>
          </w:r>
        </w:p>
        <w:p w14:paraId="50E60731" w14:textId="77777777" w:rsidR="00EF495B" w:rsidRDefault="00A205F0" w:rsidP="0098788A">
          <w:pPr>
            <w:pStyle w:val="Huisstijl-Adres"/>
          </w:pPr>
          <w:r>
            <w:rPr>
              <w:b/>
            </w:rPr>
            <w:t>Postadres</w:t>
          </w:r>
          <w:r>
            <w:rPr>
              <w:b/>
            </w:rPr>
            <w:br/>
          </w:r>
          <w:r>
            <w:t>Postbus 20401</w:t>
          </w:r>
          <w:r w:rsidRPr="005819CE">
            <w:br/>
            <w:t>2500 E</w:t>
          </w:r>
          <w:r>
            <w:t>K</w:t>
          </w:r>
          <w:r w:rsidRPr="005819CE">
            <w:t xml:space="preserve"> Den Haag</w:t>
          </w:r>
        </w:p>
        <w:p w14:paraId="23AED4B2" w14:textId="77777777" w:rsidR="00EF495B" w:rsidRPr="005B3814" w:rsidRDefault="00A205F0" w:rsidP="0098788A">
          <w:pPr>
            <w:pStyle w:val="Huisstijl-Adres"/>
          </w:pPr>
          <w:r>
            <w:rPr>
              <w:b/>
            </w:rPr>
            <w:t>Overheidsidentificatienr</w:t>
          </w:r>
          <w:r>
            <w:rPr>
              <w:b/>
            </w:rPr>
            <w:br/>
          </w:r>
          <w:r w:rsidRPr="005B3814">
            <w:t>00000001003214369000</w:t>
          </w:r>
        </w:p>
        <w:p w14:paraId="59D39BE4" w14:textId="5A3A4E72" w:rsidR="00910EE4" w:rsidRPr="007E6774" w:rsidRDefault="00A205F0" w:rsidP="00910EE4">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6F712F" w14:paraId="2761A5D8" w14:textId="77777777" w:rsidTr="007E6774">
      <w:trPr>
        <w:trHeight w:hRule="exact" w:val="80"/>
      </w:trPr>
      <w:tc>
        <w:tcPr>
          <w:tcW w:w="2160" w:type="dxa"/>
        </w:tcPr>
        <w:p w14:paraId="5C5AEDCD" w14:textId="77777777" w:rsidR="00527BD4" w:rsidRPr="005819CE" w:rsidRDefault="00527BD4" w:rsidP="00A50CF6"/>
      </w:tc>
    </w:tr>
    <w:tr w:rsidR="006F712F" w14:paraId="25E56F5D" w14:textId="77777777" w:rsidTr="00A50CF6">
      <w:tc>
        <w:tcPr>
          <w:tcW w:w="2160" w:type="dxa"/>
        </w:tcPr>
        <w:p w14:paraId="6824172C" w14:textId="77777777" w:rsidR="000C0163" w:rsidRPr="005819CE" w:rsidRDefault="00A205F0" w:rsidP="000C0163">
          <w:pPr>
            <w:pStyle w:val="Huisstijl-Kopje"/>
          </w:pPr>
          <w:r>
            <w:t>Ons kenmerk</w:t>
          </w:r>
          <w:r w:rsidRPr="005819CE">
            <w:t xml:space="preserve"> </w:t>
          </w:r>
        </w:p>
        <w:p w14:paraId="4C5B22DD" w14:textId="77777777" w:rsidR="007E6774" w:rsidRPr="007E6774" w:rsidRDefault="00A205F0" w:rsidP="007E6774">
          <w:pPr>
            <w:shd w:val="clear" w:color="auto" w:fill="FFFFFF"/>
            <w:spacing w:line="240" w:lineRule="auto"/>
            <w:textAlignment w:val="baseline"/>
            <w:rPr>
              <w:rFonts w:cs="Helvetica"/>
              <w:color w:val="000000"/>
              <w:sz w:val="13"/>
              <w:szCs w:val="13"/>
            </w:rPr>
          </w:pPr>
          <w:r w:rsidRPr="007E6774">
            <w:rPr>
              <w:sz w:val="13"/>
              <w:szCs w:val="13"/>
            </w:rPr>
            <w:t>BPZ</w:t>
          </w:r>
          <w:r w:rsidR="00926AE2" w:rsidRPr="007E6774">
            <w:rPr>
              <w:sz w:val="13"/>
              <w:szCs w:val="13"/>
            </w:rPr>
            <w:t xml:space="preserve"> / </w:t>
          </w:r>
          <w:r w:rsidR="007E6774" w:rsidRPr="007E6774">
            <w:rPr>
              <w:rFonts w:cs="Helvetica"/>
              <w:color w:val="000000"/>
              <w:sz w:val="13"/>
              <w:szCs w:val="13"/>
              <w:bdr w:val="none" w:sz="0" w:space="0" w:color="auto" w:frame="1"/>
            </w:rPr>
            <w:t>106818449</w:t>
          </w:r>
        </w:p>
        <w:p w14:paraId="4B99ECAB" w14:textId="5F554D54" w:rsidR="000C0163" w:rsidRPr="005819CE" w:rsidRDefault="000C0163" w:rsidP="000C0163">
          <w:pPr>
            <w:pStyle w:val="Huisstijl-Gegeven"/>
          </w:pPr>
        </w:p>
        <w:p w14:paraId="0738B787" w14:textId="77777777" w:rsidR="00527BD4" w:rsidRPr="005819CE" w:rsidRDefault="00527BD4" w:rsidP="007E6774">
          <w:pPr>
            <w:pStyle w:val="Huisstijl-Kopje"/>
          </w:pPr>
        </w:p>
      </w:tc>
    </w:tr>
  </w:tbl>
  <w:p w14:paraId="6DEE1AE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F712F" w14:paraId="03F7A318" w14:textId="77777777" w:rsidTr="007610AA">
      <w:trPr>
        <w:trHeight w:val="400"/>
      </w:trPr>
      <w:tc>
        <w:tcPr>
          <w:tcW w:w="7520" w:type="dxa"/>
          <w:gridSpan w:val="2"/>
        </w:tcPr>
        <w:p w14:paraId="628ADAC5" w14:textId="77777777" w:rsidR="00527BD4" w:rsidRPr="00BC3B53" w:rsidRDefault="00A205F0" w:rsidP="00A50CF6">
          <w:pPr>
            <w:pStyle w:val="Huisstijl-Retouradres"/>
          </w:pPr>
          <w:r>
            <w:t>&gt; Retouradres Postbus 20401 2500 EK Den Haag</w:t>
          </w:r>
        </w:p>
      </w:tc>
    </w:tr>
    <w:tr w:rsidR="006F712F" w14:paraId="67111DB9" w14:textId="77777777" w:rsidTr="007610AA">
      <w:tc>
        <w:tcPr>
          <w:tcW w:w="7520" w:type="dxa"/>
          <w:gridSpan w:val="2"/>
        </w:tcPr>
        <w:p w14:paraId="4E3875EF" w14:textId="77777777" w:rsidR="00527BD4" w:rsidRPr="00983E8F" w:rsidRDefault="00527BD4" w:rsidP="00A50CF6">
          <w:pPr>
            <w:pStyle w:val="Huisstijl-Rubricering"/>
          </w:pPr>
        </w:p>
      </w:tc>
    </w:tr>
    <w:tr w:rsidR="006F712F" w14:paraId="363967B0" w14:textId="77777777" w:rsidTr="007610AA">
      <w:trPr>
        <w:trHeight w:hRule="exact" w:val="2440"/>
      </w:trPr>
      <w:tc>
        <w:tcPr>
          <w:tcW w:w="7520" w:type="dxa"/>
          <w:gridSpan w:val="2"/>
        </w:tcPr>
        <w:p w14:paraId="424DEF8D" w14:textId="77777777" w:rsidR="007E6774" w:rsidRDefault="007E6774" w:rsidP="00E716F9">
          <w:pPr>
            <w:pStyle w:val="Huisstijl-NAW"/>
          </w:pPr>
          <w:r>
            <w:t xml:space="preserve">De Voorzitter van de </w:t>
          </w:r>
          <w:r w:rsidR="00E716F9">
            <w:t xml:space="preserve">Tweede Kamer </w:t>
          </w:r>
        </w:p>
        <w:p w14:paraId="407D049A" w14:textId="7C541F9E" w:rsidR="00E716F9" w:rsidRDefault="00E716F9" w:rsidP="00E716F9">
          <w:pPr>
            <w:pStyle w:val="Huisstijl-NAW"/>
          </w:pPr>
          <w:r>
            <w:t>der Staten-Generaal</w:t>
          </w:r>
        </w:p>
        <w:p w14:paraId="17264BD5" w14:textId="47E77E4A" w:rsidR="00E716F9" w:rsidRDefault="007E6774" w:rsidP="00E716F9">
          <w:pPr>
            <w:pStyle w:val="Huisstijl-NAW"/>
          </w:pPr>
          <w:r>
            <w:t>Prinses Irenestraat 6</w:t>
          </w:r>
        </w:p>
        <w:p w14:paraId="3337F396" w14:textId="143A2F69" w:rsidR="00E716F9" w:rsidRDefault="00E716F9" w:rsidP="00E716F9">
          <w:pPr>
            <w:pStyle w:val="Huisstijl-NAW"/>
          </w:pPr>
          <w:r>
            <w:t>25</w:t>
          </w:r>
          <w:r w:rsidR="007E6774">
            <w:t>95</w:t>
          </w:r>
          <w:r>
            <w:t xml:space="preserve"> </w:t>
          </w:r>
          <w:r w:rsidR="007E6774">
            <w:t>BD</w:t>
          </w:r>
          <w:r>
            <w:t xml:space="preserve"> </w:t>
          </w:r>
          <w:r w:rsidR="007E6774">
            <w:t xml:space="preserve"> DEN HAAG</w:t>
          </w:r>
        </w:p>
        <w:p w14:paraId="16AE427D" w14:textId="77777777" w:rsidR="00527BD4" w:rsidRDefault="00527BD4" w:rsidP="00A50CF6">
          <w:pPr>
            <w:pStyle w:val="Huisstijl-NAW"/>
          </w:pPr>
        </w:p>
      </w:tc>
    </w:tr>
    <w:tr w:rsidR="006F712F" w14:paraId="174DDFDB" w14:textId="77777777" w:rsidTr="007610AA">
      <w:trPr>
        <w:trHeight w:hRule="exact" w:val="400"/>
      </w:trPr>
      <w:tc>
        <w:tcPr>
          <w:tcW w:w="7520" w:type="dxa"/>
          <w:gridSpan w:val="2"/>
        </w:tcPr>
        <w:p w14:paraId="534BA03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F712F" w14:paraId="206E94A8" w14:textId="77777777" w:rsidTr="007610AA">
      <w:trPr>
        <w:trHeight w:val="240"/>
      </w:trPr>
      <w:tc>
        <w:tcPr>
          <w:tcW w:w="900" w:type="dxa"/>
        </w:tcPr>
        <w:p w14:paraId="21919CCB" w14:textId="77777777" w:rsidR="00527BD4" w:rsidRPr="007709EF" w:rsidRDefault="00A205F0" w:rsidP="00A50CF6">
          <w:pPr>
            <w:rPr>
              <w:szCs w:val="18"/>
            </w:rPr>
          </w:pPr>
          <w:r>
            <w:rPr>
              <w:szCs w:val="18"/>
            </w:rPr>
            <w:t>Datum</w:t>
          </w:r>
        </w:p>
      </w:tc>
      <w:tc>
        <w:tcPr>
          <w:tcW w:w="6620" w:type="dxa"/>
        </w:tcPr>
        <w:p w14:paraId="6A38CF1E" w14:textId="6B81DA17" w:rsidR="00527BD4" w:rsidRPr="007709EF" w:rsidRDefault="007404F3" w:rsidP="00A50CF6">
          <w:r>
            <w:t>26 juni 2026</w:t>
          </w:r>
        </w:p>
      </w:tc>
    </w:tr>
    <w:tr w:rsidR="006F712F" w14:paraId="66C1E66B" w14:textId="77777777" w:rsidTr="007610AA">
      <w:trPr>
        <w:trHeight w:val="240"/>
      </w:trPr>
      <w:tc>
        <w:tcPr>
          <w:tcW w:w="900" w:type="dxa"/>
        </w:tcPr>
        <w:p w14:paraId="4D49B3F1" w14:textId="77777777" w:rsidR="00527BD4" w:rsidRPr="007709EF" w:rsidRDefault="00A205F0" w:rsidP="00A50CF6">
          <w:pPr>
            <w:rPr>
              <w:szCs w:val="18"/>
            </w:rPr>
          </w:pPr>
          <w:r>
            <w:rPr>
              <w:szCs w:val="18"/>
            </w:rPr>
            <w:t>Betreft</w:t>
          </w:r>
        </w:p>
      </w:tc>
      <w:tc>
        <w:tcPr>
          <w:tcW w:w="6620" w:type="dxa"/>
        </w:tcPr>
        <w:p w14:paraId="1F890642" w14:textId="4B86AA97" w:rsidR="00527BD4" w:rsidRPr="00910EE4" w:rsidRDefault="00910EE4" w:rsidP="00A50CF6">
          <w:pPr>
            <w:rPr>
              <w:szCs w:val="18"/>
            </w:rPr>
          </w:pPr>
          <w:r w:rsidRPr="00963BFF">
            <w:rPr>
              <w:szCs w:val="18"/>
            </w:rPr>
            <w:t xml:space="preserve">Kabinetsreactie op het </w:t>
          </w:r>
          <w:r w:rsidR="001A37A3">
            <w:rPr>
              <w:szCs w:val="18"/>
            </w:rPr>
            <w:t>WKR-</w:t>
          </w:r>
          <w:r w:rsidRPr="00963BFF">
            <w:rPr>
              <w:szCs w:val="18"/>
            </w:rPr>
            <w:t>adviesrapport: ‘Circulair versterkt</w:t>
          </w:r>
          <w:r>
            <w:rPr>
              <w:szCs w:val="18"/>
            </w:rPr>
            <w:t>,</w:t>
          </w:r>
          <w:r w:rsidRPr="00963BFF">
            <w:rPr>
              <w:szCs w:val="18"/>
            </w:rPr>
            <w:t xml:space="preserve"> </w:t>
          </w:r>
          <w:r w:rsidRPr="007F2D64">
            <w:rPr>
              <w:szCs w:val="18"/>
            </w:rPr>
            <w:t>Duurzaam materiaalgebruik voor ee</w:t>
          </w:r>
          <w:r>
            <w:rPr>
              <w:szCs w:val="18"/>
            </w:rPr>
            <w:t xml:space="preserve">n </w:t>
          </w:r>
          <w:proofErr w:type="spellStart"/>
          <w:r w:rsidRPr="007F2D64">
            <w:rPr>
              <w:szCs w:val="18"/>
            </w:rPr>
            <w:t>klimaatneutrale</w:t>
          </w:r>
          <w:proofErr w:type="spellEnd"/>
          <w:r w:rsidRPr="007F2D64">
            <w:rPr>
              <w:szCs w:val="18"/>
            </w:rPr>
            <w:t xml:space="preserve"> samenleving</w:t>
          </w:r>
          <w:r w:rsidRPr="00963BFF">
            <w:rPr>
              <w:szCs w:val="18"/>
            </w:rPr>
            <w:t>’</w:t>
          </w:r>
        </w:p>
      </w:tc>
    </w:tr>
  </w:tbl>
  <w:p w14:paraId="37B18BE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3DCF574">
      <w:start w:val="1"/>
      <w:numFmt w:val="bullet"/>
      <w:pStyle w:val="Lijstopsomteken"/>
      <w:lvlText w:val="•"/>
      <w:lvlJc w:val="left"/>
      <w:pPr>
        <w:tabs>
          <w:tab w:val="num" w:pos="227"/>
        </w:tabs>
        <w:ind w:left="227" w:hanging="227"/>
      </w:pPr>
      <w:rPr>
        <w:rFonts w:ascii="Verdana" w:hAnsi="Verdana" w:hint="default"/>
        <w:sz w:val="18"/>
        <w:szCs w:val="18"/>
      </w:rPr>
    </w:lvl>
    <w:lvl w:ilvl="1" w:tplc="F022CCD0" w:tentative="1">
      <w:start w:val="1"/>
      <w:numFmt w:val="bullet"/>
      <w:lvlText w:val="o"/>
      <w:lvlJc w:val="left"/>
      <w:pPr>
        <w:tabs>
          <w:tab w:val="num" w:pos="1440"/>
        </w:tabs>
        <w:ind w:left="1440" w:hanging="360"/>
      </w:pPr>
      <w:rPr>
        <w:rFonts w:ascii="Courier New" w:hAnsi="Courier New" w:cs="Courier New" w:hint="default"/>
      </w:rPr>
    </w:lvl>
    <w:lvl w:ilvl="2" w:tplc="BD5E6442" w:tentative="1">
      <w:start w:val="1"/>
      <w:numFmt w:val="bullet"/>
      <w:lvlText w:val=""/>
      <w:lvlJc w:val="left"/>
      <w:pPr>
        <w:tabs>
          <w:tab w:val="num" w:pos="2160"/>
        </w:tabs>
        <w:ind w:left="2160" w:hanging="360"/>
      </w:pPr>
      <w:rPr>
        <w:rFonts w:ascii="Wingdings" w:hAnsi="Wingdings" w:hint="default"/>
      </w:rPr>
    </w:lvl>
    <w:lvl w:ilvl="3" w:tplc="AF4474D8" w:tentative="1">
      <w:start w:val="1"/>
      <w:numFmt w:val="bullet"/>
      <w:lvlText w:val=""/>
      <w:lvlJc w:val="left"/>
      <w:pPr>
        <w:tabs>
          <w:tab w:val="num" w:pos="2880"/>
        </w:tabs>
        <w:ind w:left="2880" w:hanging="360"/>
      </w:pPr>
      <w:rPr>
        <w:rFonts w:ascii="Symbol" w:hAnsi="Symbol" w:hint="default"/>
      </w:rPr>
    </w:lvl>
    <w:lvl w:ilvl="4" w:tplc="23362288" w:tentative="1">
      <w:start w:val="1"/>
      <w:numFmt w:val="bullet"/>
      <w:lvlText w:val="o"/>
      <w:lvlJc w:val="left"/>
      <w:pPr>
        <w:tabs>
          <w:tab w:val="num" w:pos="3600"/>
        </w:tabs>
        <w:ind w:left="3600" w:hanging="360"/>
      </w:pPr>
      <w:rPr>
        <w:rFonts w:ascii="Courier New" w:hAnsi="Courier New" w:cs="Courier New" w:hint="default"/>
      </w:rPr>
    </w:lvl>
    <w:lvl w:ilvl="5" w:tplc="465CB4F0" w:tentative="1">
      <w:start w:val="1"/>
      <w:numFmt w:val="bullet"/>
      <w:lvlText w:val=""/>
      <w:lvlJc w:val="left"/>
      <w:pPr>
        <w:tabs>
          <w:tab w:val="num" w:pos="4320"/>
        </w:tabs>
        <w:ind w:left="4320" w:hanging="360"/>
      </w:pPr>
      <w:rPr>
        <w:rFonts w:ascii="Wingdings" w:hAnsi="Wingdings" w:hint="default"/>
      </w:rPr>
    </w:lvl>
    <w:lvl w:ilvl="6" w:tplc="C89CABB8" w:tentative="1">
      <w:start w:val="1"/>
      <w:numFmt w:val="bullet"/>
      <w:lvlText w:val=""/>
      <w:lvlJc w:val="left"/>
      <w:pPr>
        <w:tabs>
          <w:tab w:val="num" w:pos="5040"/>
        </w:tabs>
        <w:ind w:left="5040" w:hanging="360"/>
      </w:pPr>
      <w:rPr>
        <w:rFonts w:ascii="Symbol" w:hAnsi="Symbol" w:hint="default"/>
      </w:rPr>
    </w:lvl>
    <w:lvl w:ilvl="7" w:tplc="2C2A8C96" w:tentative="1">
      <w:start w:val="1"/>
      <w:numFmt w:val="bullet"/>
      <w:lvlText w:val="o"/>
      <w:lvlJc w:val="left"/>
      <w:pPr>
        <w:tabs>
          <w:tab w:val="num" w:pos="5760"/>
        </w:tabs>
        <w:ind w:left="5760" w:hanging="360"/>
      </w:pPr>
      <w:rPr>
        <w:rFonts w:ascii="Courier New" w:hAnsi="Courier New" w:cs="Courier New" w:hint="default"/>
      </w:rPr>
    </w:lvl>
    <w:lvl w:ilvl="8" w:tplc="E3363D8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AF4F968">
      <w:start w:val="1"/>
      <w:numFmt w:val="bullet"/>
      <w:pStyle w:val="Lijstopsomteken2"/>
      <w:lvlText w:val="–"/>
      <w:lvlJc w:val="left"/>
      <w:pPr>
        <w:tabs>
          <w:tab w:val="num" w:pos="227"/>
        </w:tabs>
        <w:ind w:left="227" w:firstLine="0"/>
      </w:pPr>
      <w:rPr>
        <w:rFonts w:ascii="Verdana" w:hAnsi="Verdana" w:hint="default"/>
      </w:rPr>
    </w:lvl>
    <w:lvl w:ilvl="1" w:tplc="B16614AC" w:tentative="1">
      <w:start w:val="1"/>
      <w:numFmt w:val="bullet"/>
      <w:lvlText w:val="o"/>
      <w:lvlJc w:val="left"/>
      <w:pPr>
        <w:tabs>
          <w:tab w:val="num" w:pos="1440"/>
        </w:tabs>
        <w:ind w:left="1440" w:hanging="360"/>
      </w:pPr>
      <w:rPr>
        <w:rFonts w:ascii="Courier New" w:hAnsi="Courier New" w:cs="Courier New" w:hint="default"/>
      </w:rPr>
    </w:lvl>
    <w:lvl w:ilvl="2" w:tplc="92D20AD0" w:tentative="1">
      <w:start w:val="1"/>
      <w:numFmt w:val="bullet"/>
      <w:lvlText w:val=""/>
      <w:lvlJc w:val="left"/>
      <w:pPr>
        <w:tabs>
          <w:tab w:val="num" w:pos="2160"/>
        </w:tabs>
        <w:ind w:left="2160" w:hanging="360"/>
      </w:pPr>
      <w:rPr>
        <w:rFonts w:ascii="Wingdings" w:hAnsi="Wingdings" w:hint="default"/>
      </w:rPr>
    </w:lvl>
    <w:lvl w:ilvl="3" w:tplc="2E6440BC" w:tentative="1">
      <w:start w:val="1"/>
      <w:numFmt w:val="bullet"/>
      <w:lvlText w:val=""/>
      <w:lvlJc w:val="left"/>
      <w:pPr>
        <w:tabs>
          <w:tab w:val="num" w:pos="2880"/>
        </w:tabs>
        <w:ind w:left="2880" w:hanging="360"/>
      </w:pPr>
      <w:rPr>
        <w:rFonts w:ascii="Symbol" w:hAnsi="Symbol" w:hint="default"/>
      </w:rPr>
    </w:lvl>
    <w:lvl w:ilvl="4" w:tplc="CB48208A" w:tentative="1">
      <w:start w:val="1"/>
      <w:numFmt w:val="bullet"/>
      <w:lvlText w:val="o"/>
      <w:lvlJc w:val="left"/>
      <w:pPr>
        <w:tabs>
          <w:tab w:val="num" w:pos="3600"/>
        </w:tabs>
        <w:ind w:left="3600" w:hanging="360"/>
      </w:pPr>
      <w:rPr>
        <w:rFonts w:ascii="Courier New" w:hAnsi="Courier New" w:cs="Courier New" w:hint="default"/>
      </w:rPr>
    </w:lvl>
    <w:lvl w:ilvl="5" w:tplc="A4247FD6" w:tentative="1">
      <w:start w:val="1"/>
      <w:numFmt w:val="bullet"/>
      <w:lvlText w:val=""/>
      <w:lvlJc w:val="left"/>
      <w:pPr>
        <w:tabs>
          <w:tab w:val="num" w:pos="4320"/>
        </w:tabs>
        <w:ind w:left="4320" w:hanging="360"/>
      </w:pPr>
      <w:rPr>
        <w:rFonts w:ascii="Wingdings" w:hAnsi="Wingdings" w:hint="default"/>
      </w:rPr>
    </w:lvl>
    <w:lvl w:ilvl="6" w:tplc="A1328E6E" w:tentative="1">
      <w:start w:val="1"/>
      <w:numFmt w:val="bullet"/>
      <w:lvlText w:val=""/>
      <w:lvlJc w:val="left"/>
      <w:pPr>
        <w:tabs>
          <w:tab w:val="num" w:pos="5040"/>
        </w:tabs>
        <w:ind w:left="5040" w:hanging="360"/>
      </w:pPr>
      <w:rPr>
        <w:rFonts w:ascii="Symbol" w:hAnsi="Symbol" w:hint="default"/>
      </w:rPr>
    </w:lvl>
    <w:lvl w:ilvl="7" w:tplc="B2E47B5A" w:tentative="1">
      <w:start w:val="1"/>
      <w:numFmt w:val="bullet"/>
      <w:lvlText w:val="o"/>
      <w:lvlJc w:val="left"/>
      <w:pPr>
        <w:tabs>
          <w:tab w:val="num" w:pos="5760"/>
        </w:tabs>
        <w:ind w:left="5760" w:hanging="360"/>
      </w:pPr>
      <w:rPr>
        <w:rFonts w:ascii="Courier New" w:hAnsi="Courier New" w:cs="Courier New" w:hint="default"/>
      </w:rPr>
    </w:lvl>
    <w:lvl w:ilvl="8" w:tplc="BDC488D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0A0F5B"/>
    <w:multiLevelType w:val="hybridMultilevel"/>
    <w:tmpl w:val="A792FD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583004AD"/>
    <w:multiLevelType w:val="hybridMultilevel"/>
    <w:tmpl w:val="FCAC1E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8526B0F"/>
    <w:multiLevelType w:val="hybridMultilevel"/>
    <w:tmpl w:val="CAA0F8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4720846">
    <w:abstractNumId w:val="10"/>
  </w:num>
  <w:num w:numId="2" w16cid:durableId="451828324">
    <w:abstractNumId w:val="7"/>
  </w:num>
  <w:num w:numId="3" w16cid:durableId="1676150720">
    <w:abstractNumId w:val="6"/>
  </w:num>
  <w:num w:numId="4" w16cid:durableId="913271908">
    <w:abstractNumId w:val="5"/>
  </w:num>
  <w:num w:numId="5" w16cid:durableId="390202059">
    <w:abstractNumId w:val="4"/>
  </w:num>
  <w:num w:numId="6" w16cid:durableId="1662544641">
    <w:abstractNumId w:val="8"/>
  </w:num>
  <w:num w:numId="7" w16cid:durableId="1327056491">
    <w:abstractNumId w:val="3"/>
  </w:num>
  <w:num w:numId="8" w16cid:durableId="1531069730">
    <w:abstractNumId w:val="2"/>
  </w:num>
  <w:num w:numId="9" w16cid:durableId="508250904">
    <w:abstractNumId w:val="1"/>
  </w:num>
  <w:num w:numId="10" w16cid:durableId="875968921">
    <w:abstractNumId w:val="0"/>
  </w:num>
  <w:num w:numId="11" w16cid:durableId="718164203">
    <w:abstractNumId w:val="9"/>
  </w:num>
  <w:num w:numId="12" w16cid:durableId="1303539964">
    <w:abstractNumId w:val="11"/>
  </w:num>
  <w:num w:numId="13" w16cid:durableId="1146046209">
    <w:abstractNumId w:val="13"/>
  </w:num>
  <w:num w:numId="14" w16cid:durableId="1703243548">
    <w:abstractNumId w:val="12"/>
  </w:num>
  <w:num w:numId="15" w16cid:durableId="854852156">
    <w:abstractNumId w:val="16"/>
  </w:num>
  <w:num w:numId="16" w16cid:durableId="586380794">
    <w:abstractNumId w:val="15"/>
  </w:num>
  <w:num w:numId="17" w16cid:durableId="146997704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24D35"/>
    <w:rsid w:val="00033CDD"/>
    <w:rsid w:val="00034A84"/>
    <w:rsid w:val="00035E67"/>
    <w:rsid w:val="000366F3"/>
    <w:rsid w:val="000438E0"/>
    <w:rsid w:val="000454F0"/>
    <w:rsid w:val="0006024D"/>
    <w:rsid w:val="000639A7"/>
    <w:rsid w:val="000679DE"/>
    <w:rsid w:val="00071F28"/>
    <w:rsid w:val="0007297D"/>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19D2"/>
    <w:rsid w:val="000F3CAA"/>
    <w:rsid w:val="00102ABB"/>
    <w:rsid w:val="00121BF0"/>
    <w:rsid w:val="00123704"/>
    <w:rsid w:val="001270C7"/>
    <w:rsid w:val="00132540"/>
    <w:rsid w:val="00133F0F"/>
    <w:rsid w:val="00133F6C"/>
    <w:rsid w:val="00136A1A"/>
    <w:rsid w:val="00136C10"/>
    <w:rsid w:val="00137584"/>
    <w:rsid w:val="0014462A"/>
    <w:rsid w:val="0014786A"/>
    <w:rsid w:val="001516A4"/>
    <w:rsid w:val="00151E5F"/>
    <w:rsid w:val="00153E28"/>
    <w:rsid w:val="001569AB"/>
    <w:rsid w:val="00160507"/>
    <w:rsid w:val="00164D63"/>
    <w:rsid w:val="0016725C"/>
    <w:rsid w:val="001726F3"/>
    <w:rsid w:val="00173C51"/>
    <w:rsid w:val="00174CC2"/>
    <w:rsid w:val="00176CC6"/>
    <w:rsid w:val="00181BE4"/>
    <w:rsid w:val="00185576"/>
    <w:rsid w:val="00185951"/>
    <w:rsid w:val="00196B8B"/>
    <w:rsid w:val="001A2BEA"/>
    <w:rsid w:val="001A2E80"/>
    <w:rsid w:val="001A37A3"/>
    <w:rsid w:val="001A4652"/>
    <w:rsid w:val="001A6D93"/>
    <w:rsid w:val="001C071E"/>
    <w:rsid w:val="001C32EC"/>
    <w:rsid w:val="001C38BD"/>
    <w:rsid w:val="001C4D5A"/>
    <w:rsid w:val="001D1272"/>
    <w:rsid w:val="001D6AEE"/>
    <w:rsid w:val="001E34C6"/>
    <w:rsid w:val="001E5581"/>
    <w:rsid w:val="001E7FDF"/>
    <w:rsid w:val="001F3C70"/>
    <w:rsid w:val="00200D88"/>
    <w:rsid w:val="00201F68"/>
    <w:rsid w:val="002049B9"/>
    <w:rsid w:val="00212F2A"/>
    <w:rsid w:val="00214F2B"/>
    <w:rsid w:val="002157AF"/>
    <w:rsid w:val="00216237"/>
    <w:rsid w:val="00217880"/>
    <w:rsid w:val="00222D66"/>
    <w:rsid w:val="00222F38"/>
    <w:rsid w:val="00223F6A"/>
    <w:rsid w:val="00224A8A"/>
    <w:rsid w:val="002309A8"/>
    <w:rsid w:val="002369BF"/>
    <w:rsid w:val="00236CFE"/>
    <w:rsid w:val="00241D72"/>
    <w:rsid w:val="002428E3"/>
    <w:rsid w:val="00242D9A"/>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1E69"/>
    <w:rsid w:val="002D2749"/>
    <w:rsid w:val="002D28E2"/>
    <w:rsid w:val="002D317B"/>
    <w:rsid w:val="002D3587"/>
    <w:rsid w:val="002D502D"/>
    <w:rsid w:val="002E0F69"/>
    <w:rsid w:val="002F5147"/>
    <w:rsid w:val="002F7ABD"/>
    <w:rsid w:val="003028A5"/>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330"/>
    <w:rsid w:val="0035464B"/>
    <w:rsid w:val="00354D75"/>
    <w:rsid w:val="00361A56"/>
    <w:rsid w:val="0036252A"/>
    <w:rsid w:val="00364D9D"/>
    <w:rsid w:val="00366E79"/>
    <w:rsid w:val="00367B7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61"/>
    <w:rsid w:val="003A0D7C"/>
    <w:rsid w:val="003A4F2E"/>
    <w:rsid w:val="003A5290"/>
    <w:rsid w:val="003B0155"/>
    <w:rsid w:val="003B7EE7"/>
    <w:rsid w:val="003C2CCB"/>
    <w:rsid w:val="003D39EC"/>
    <w:rsid w:val="003D5DED"/>
    <w:rsid w:val="003E3DD5"/>
    <w:rsid w:val="003F07C6"/>
    <w:rsid w:val="003F1F6B"/>
    <w:rsid w:val="003F36E5"/>
    <w:rsid w:val="003F3757"/>
    <w:rsid w:val="003F38BD"/>
    <w:rsid w:val="003F44B7"/>
    <w:rsid w:val="004008E9"/>
    <w:rsid w:val="00413A02"/>
    <w:rsid w:val="00413D48"/>
    <w:rsid w:val="00424B30"/>
    <w:rsid w:val="0042588A"/>
    <w:rsid w:val="00441AC2"/>
    <w:rsid w:val="0044249B"/>
    <w:rsid w:val="004425CC"/>
    <w:rsid w:val="00450043"/>
    <w:rsid w:val="0045023C"/>
    <w:rsid w:val="00451A5B"/>
    <w:rsid w:val="00452BCD"/>
    <w:rsid w:val="00452CEA"/>
    <w:rsid w:val="004561C2"/>
    <w:rsid w:val="00457983"/>
    <w:rsid w:val="00465B52"/>
    <w:rsid w:val="0046708E"/>
    <w:rsid w:val="00472A65"/>
    <w:rsid w:val="00474463"/>
    <w:rsid w:val="00474B75"/>
    <w:rsid w:val="00483F0B"/>
    <w:rsid w:val="004841BB"/>
    <w:rsid w:val="004854C1"/>
    <w:rsid w:val="004931F8"/>
    <w:rsid w:val="00496319"/>
    <w:rsid w:val="00497279"/>
    <w:rsid w:val="004A163B"/>
    <w:rsid w:val="004A670A"/>
    <w:rsid w:val="004B2B09"/>
    <w:rsid w:val="004B5465"/>
    <w:rsid w:val="004B70F0"/>
    <w:rsid w:val="004C21A8"/>
    <w:rsid w:val="004C6E7C"/>
    <w:rsid w:val="004D505E"/>
    <w:rsid w:val="004D72CA"/>
    <w:rsid w:val="004E2242"/>
    <w:rsid w:val="004E3470"/>
    <w:rsid w:val="004E45E7"/>
    <w:rsid w:val="004F42FF"/>
    <w:rsid w:val="004F44C2"/>
    <w:rsid w:val="004F4E44"/>
    <w:rsid w:val="004F7ED2"/>
    <w:rsid w:val="00502512"/>
    <w:rsid w:val="00503FD2"/>
    <w:rsid w:val="00505262"/>
    <w:rsid w:val="00516022"/>
    <w:rsid w:val="00521CEE"/>
    <w:rsid w:val="00522D6C"/>
    <w:rsid w:val="00527BD4"/>
    <w:rsid w:val="005330E6"/>
    <w:rsid w:val="00537095"/>
    <w:rsid w:val="005403C8"/>
    <w:rsid w:val="005429DC"/>
    <w:rsid w:val="00556352"/>
    <w:rsid w:val="005565F9"/>
    <w:rsid w:val="00562978"/>
    <w:rsid w:val="00573041"/>
    <w:rsid w:val="00573982"/>
    <w:rsid w:val="00575B80"/>
    <w:rsid w:val="0057620F"/>
    <w:rsid w:val="005819CE"/>
    <w:rsid w:val="0058298D"/>
    <w:rsid w:val="00584C1A"/>
    <w:rsid w:val="00593C2B"/>
    <w:rsid w:val="00595231"/>
    <w:rsid w:val="00596166"/>
    <w:rsid w:val="00597F64"/>
    <w:rsid w:val="005A207F"/>
    <w:rsid w:val="005A2F35"/>
    <w:rsid w:val="005B3814"/>
    <w:rsid w:val="005B463E"/>
    <w:rsid w:val="005C043A"/>
    <w:rsid w:val="005C0F1A"/>
    <w:rsid w:val="005C34E1"/>
    <w:rsid w:val="005C3FE0"/>
    <w:rsid w:val="005C740C"/>
    <w:rsid w:val="005D625B"/>
    <w:rsid w:val="005D6FBD"/>
    <w:rsid w:val="005E17E3"/>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2618"/>
    <w:rsid w:val="00664678"/>
    <w:rsid w:val="0066632F"/>
    <w:rsid w:val="00674A89"/>
    <w:rsid w:val="00674F3D"/>
    <w:rsid w:val="00685545"/>
    <w:rsid w:val="006864B3"/>
    <w:rsid w:val="006920EE"/>
    <w:rsid w:val="00692D64"/>
    <w:rsid w:val="006A013B"/>
    <w:rsid w:val="006A10F8"/>
    <w:rsid w:val="006A2100"/>
    <w:rsid w:val="006A5C3B"/>
    <w:rsid w:val="006A72E0"/>
    <w:rsid w:val="006B0BF3"/>
    <w:rsid w:val="006B3C17"/>
    <w:rsid w:val="006B4CA7"/>
    <w:rsid w:val="006B775E"/>
    <w:rsid w:val="006B7BC7"/>
    <w:rsid w:val="006C2535"/>
    <w:rsid w:val="006C441E"/>
    <w:rsid w:val="006C49F0"/>
    <w:rsid w:val="006C4B90"/>
    <w:rsid w:val="006D1016"/>
    <w:rsid w:val="006D17F2"/>
    <w:rsid w:val="006E3546"/>
    <w:rsid w:val="006E3FA9"/>
    <w:rsid w:val="006E7D82"/>
    <w:rsid w:val="006F038F"/>
    <w:rsid w:val="006F0F93"/>
    <w:rsid w:val="006F31F2"/>
    <w:rsid w:val="006F712F"/>
    <w:rsid w:val="006F7494"/>
    <w:rsid w:val="006F751F"/>
    <w:rsid w:val="00701A86"/>
    <w:rsid w:val="00705433"/>
    <w:rsid w:val="00710F22"/>
    <w:rsid w:val="00714DC5"/>
    <w:rsid w:val="00715237"/>
    <w:rsid w:val="00721AE1"/>
    <w:rsid w:val="007254A5"/>
    <w:rsid w:val="00725748"/>
    <w:rsid w:val="007262F5"/>
    <w:rsid w:val="007269E3"/>
    <w:rsid w:val="00732F79"/>
    <w:rsid w:val="00735D88"/>
    <w:rsid w:val="0073720D"/>
    <w:rsid w:val="00737507"/>
    <w:rsid w:val="007404F3"/>
    <w:rsid w:val="00740712"/>
    <w:rsid w:val="00742AB9"/>
    <w:rsid w:val="0074517A"/>
    <w:rsid w:val="007456C7"/>
    <w:rsid w:val="00746C31"/>
    <w:rsid w:val="00751A6A"/>
    <w:rsid w:val="00754FBF"/>
    <w:rsid w:val="0075615E"/>
    <w:rsid w:val="007610AA"/>
    <w:rsid w:val="007709EF"/>
    <w:rsid w:val="00782701"/>
    <w:rsid w:val="00783559"/>
    <w:rsid w:val="0079551B"/>
    <w:rsid w:val="00797AA5"/>
    <w:rsid w:val="007A26BD"/>
    <w:rsid w:val="007A4105"/>
    <w:rsid w:val="007B4503"/>
    <w:rsid w:val="007B76C8"/>
    <w:rsid w:val="007C406E"/>
    <w:rsid w:val="007C5183"/>
    <w:rsid w:val="007C7573"/>
    <w:rsid w:val="007D1A94"/>
    <w:rsid w:val="007E2B20"/>
    <w:rsid w:val="007E6774"/>
    <w:rsid w:val="007F1FE4"/>
    <w:rsid w:val="007F439C"/>
    <w:rsid w:val="007F5331"/>
    <w:rsid w:val="00800CCA"/>
    <w:rsid w:val="00801EBB"/>
    <w:rsid w:val="00806120"/>
    <w:rsid w:val="00806F63"/>
    <w:rsid w:val="00810C93"/>
    <w:rsid w:val="00812028"/>
    <w:rsid w:val="00812DD8"/>
    <w:rsid w:val="00813082"/>
    <w:rsid w:val="00814D03"/>
    <w:rsid w:val="00814EFE"/>
    <w:rsid w:val="00820371"/>
    <w:rsid w:val="00821FC1"/>
    <w:rsid w:val="00823AE2"/>
    <w:rsid w:val="0083178B"/>
    <w:rsid w:val="00831EE4"/>
    <w:rsid w:val="00833695"/>
    <w:rsid w:val="008336B7"/>
    <w:rsid w:val="00833A8E"/>
    <w:rsid w:val="00835C46"/>
    <w:rsid w:val="00836ACA"/>
    <w:rsid w:val="00842CD8"/>
    <w:rsid w:val="008431FA"/>
    <w:rsid w:val="00847444"/>
    <w:rsid w:val="00847A59"/>
    <w:rsid w:val="008517C6"/>
    <w:rsid w:val="008547BA"/>
    <w:rsid w:val="008553C7"/>
    <w:rsid w:val="00857FEB"/>
    <w:rsid w:val="008601AF"/>
    <w:rsid w:val="008624E1"/>
    <w:rsid w:val="008634C6"/>
    <w:rsid w:val="00871C1F"/>
    <w:rsid w:val="00872271"/>
    <w:rsid w:val="008738B5"/>
    <w:rsid w:val="00882271"/>
    <w:rsid w:val="00883137"/>
    <w:rsid w:val="00883D65"/>
    <w:rsid w:val="0089117B"/>
    <w:rsid w:val="008938B1"/>
    <w:rsid w:val="00894A3B"/>
    <w:rsid w:val="008971EE"/>
    <w:rsid w:val="008A1F5D"/>
    <w:rsid w:val="008A28F5"/>
    <w:rsid w:val="008B1198"/>
    <w:rsid w:val="008B3471"/>
    <w:rsid w:val="008B3929"/>
    <w:rsid w:val="008B4125"/>
    <w:rsid w:val="008B4CB3"/>
    <w:rsid w:val="008B52DE"/>
    <w:rsid w:val="008B567B"/>
    <w:rsid w:val="008B7B24"/>
    <w:rsid w:val="008C356D"/>
    <w:rsid w:val="008C7717"/>
    <w:rsid w:val="008D2ED3"/>
    <w:rsid w:val="008D43B5"/>
    <w:rsid w:val="008D4591"/>
    <w:rsid w:val="008E0B3F"/>
    <w:rsid w:val="008E49AD"/>
    <w:rsid w:val="008E698E"/>
    <w:rsid w:val="008F0B8D"/>
    <w:rsid w:val="008F2584"/>
    <w:rsid w:val="008F3246"/>
    <w:rsid w:val="008F3C1B"/>
    <w:rsid w:val="008F508C"/>
    <w:rsid w:val="008F73E9"/>
    <w:rsid w:val="00901BE9"/>
    <w:rsid w:val="0090271B"/>
    <w:rsid w:val="00906C2E"/>
    <w:rsid w:val="00910642"/>
    <w:rsid w:val="00910DDF"/>
    <w:rsid w:val="00910EE4"/>
    <w:rsid w:val="009124F4"/>
    <w:rsid w:val="009205AB"/>
    <w:rsid w:val="00922290"/>
    <w:rsid w:val="00926AE2"/>
    <w:rsid w:val="00930B13"/>
    <w:rsid w:val="009311C8"/>
    <w:rsid w:val="00933376"/>
    <w:rsid w:val="00933A2F"/>
    <w:rsid w:val="00942AE8"/>
    <w:rsid w:val="00956311"/>
    <w:rsid w:val="009716D8"/>
    <w:rsid w:val="009718F9"/>
    <w:rsid w:val="00971F42"/>
    <w:rsid w:val="00972FB9"/>
    <w:rsid w:val="00975112"/>
    <w:rsid w:val="00981768"/>
    <w:rsid w:val="00983893"/>
    <w:rsid w:val="00983E8F"/>
    <w:rsid w:val="0098788A"/>
    <w:rsid w:val="00994FDA"/>
    <w:rsid w:val="009A25C3"/>
    <w:rsid w:val="009A31BF"/>
    <w:rsid w:val="009A3B71"/>
    <w:rsid w:val="009A61BC"/>
    <w:rsid w:val="009B0138"/>
    <w:rsid w:val="009B0FE9"/>
    <w:rsid w:val="009B173A"/>
    <w:rsid w:val="009C3F20"/>
    <w:rsid w:val="009C7CA1"/>
    <w:rsid w:val="009D043D"/>
    <w:rsid w:val="009E3C59"/>
    <w:rsid w:val="009E74B9"/>
    <w:rsid w:val="009F0907"/>
    <w:rsid w:val="009F3259"/>
    <w:rsid w:val="00A037D5"/>
    <w:rsid w:val="00A056DE"/>
    <w:rsid w:val="00A128AD"/>
    <w:rsid w:val="00A16D7E"/>
    <w:rsid w:val="00A205F0"/>
    <w:rsid w:val="00A21E76"/>
    <w:rsid w:val="00A23BC8"/>
    <w:rsid w:val="00A23E67"/>
    <w:rsid w:val="00A245F8"/>
    <w:rsid w:val="00A30E68"/>
    <w:rsid w:val="00A31933"/>
    <w:rsid w:val="00A329D2"/>
    <w:rsid w:val="00A34AA0"/>
    <w:rsid w:val="00A3715C"/>
    <w:rsid w:val="00A413B4"/>
    <w:rsid w:val="00A41FE2"/>
    <w:rsid w:val="00A42FA1"/>
    <w:rsid w:val="00A46FEF"/>
    <w:rsid w:val="00A47948"/>
    <w:rsid w:val="00A50C0A"/>
    <w:rsid w:val="00A50CF6"/>
    <w:rsid w:val="00A56946"/>
    <w:rsid w:val="00A6170E"/>
    <w:rsid w:val="00A63B8C"/>
    <w:rsid w:val="00A715F8"/>
    <w:rsid w:val="00A77F6F"/>
    <w:rsid w:val="00A831FD"/>
    <w:rsid w:val="00A83352"/>
    <w:rsid w:val="00A850A2"/>
    <w:rsid w:val="00A91FA3"/>
    <w:rsid w:val="00A927D3"/>
    <w:rsid w:val="00AA7FC9"/>
    <w:rsid w:val="00AB237D"/>
    <w:rsid w:val="00AB4466"/>
    <w:rsid w:val="00AB5933"/>
    <w:rsid w:val="00AE013D"/>
    <w:rsid w:val="00AE11B7"/>
    <w:rsid w:val="00AE7F68"/>
    <w:rsid w:val="00AF2321"/>
    <w:rsid w:val="00AF52F6"/>
    <w:rsid w:val="00AF52FD"/>
    <w:rsid w:val="00AF54A8"/>
    <w:rsid w:val="00AF7237"/>
    <w:rsid w:val="00B0043A"/>
    <w:rsid w:val="00B00D75"/>
    <w:rsid w:val="00B06523"/>
    <w:rsid w:val="00B070CB"/>
    <w:rsid w:val="00B12456"/>
    <w:rsid w:val="00B145F0"/>
    <w:rsid w:val="00B240B3"/>
    <w:rsid w:val="00B259C8"/>
    <w:rsid w:val="00B26CCF"/>
    <w:rsid w:val="00B30FC2"/>
    <w:rsid w:val="00B331A2"/>
    <w:rsid w:val="00B425F0"/>
    <w:rsid w:val="00B42DFA"/>
    <w:rsid w:val="00B531DD"/>
    <w:rsid w:val="00B55014"/>
    <w:rsid w:val="00B62232"/>
    <w:rsid w:val="00B70222"/>
    <w:rsid w:val="00B70BF3"/>
    <w:rsid w:val="00B71659"/>
    <w:rsid w:val="00B71DC2"/>
    <w:rsid w:val="00B82B4E"/>
    <w:rsid w:val="00B849F5"/>
    <w:rsid w:val="00B91CFC"/>
    <w:rsid w:val="00B93893"/>
    <w:rsid w:val="00BA1397"/>
    <w:rsid w:val="00BA7E0A"/>
    <w:rsid w:val="00BC2C00"/>
    <w:rsid w:val="00BC3B53"/>
    <w:rsid w:val="00BC3B96"/>
    <w:rsid w:val="00BC4AE3"/>
    <w:rsid w:val="00BC5B28"/>
    <w:rsid w:val="00BD2370"/>
    <w:rsid w:val="00BD2D73"/>
    <w:rsid w:val="00BE3F88"/>
    <w:rsid w:val="00BE4756"/>
    <w:rsid w:val="00BE5ED9"/>
    <w:rsid w:val="00BE7B41"/>
    <w:rsid w:val="00C00FE3"/>
    <w:rsid w:val="00C011E5"/>
    <w:rsid w:val="00C0243F"/>
    <w:rsid w:val="00C13AE1"/>
    <w:rsid w:val="00C15A91"/>
    <w:rsid w:val="00C206F1"/>
    <w:rsid w:val="00C217E1"/>
    <w:rsid w:val="00C219B1"/>
    <w:rsid w:val="00C4015B"/>
    <w:rsid w:val="00C40C60"/>
    <w:rsid w:val="00C41421"/>
    <w:rsid w:val="00C43FE6"/>
    <w:rsid w:val="00C5258E"/>
    <w:rsid w:val="00C530C9"/>
    <w:rsid w:val="00C619A7"/>
    <w:rsid w:val="00C6671D"/>
    <w:rsid w:val="00C73D5F"/>
    <w:rsid w:val="00C82AFE"/>
    <w:rsid w:val="00C83DBC"/>
    <w:rsid w:val="00C97C80"/>
    <w:rsid w:val="00CA47D3"/>
    <w:rsid w:val="00CA58B7"/>
    <w:rsid w:val="00CA6533"/>
    <w:rsid w:val="00CA6A25"/>
    <w:rsid w:val="00CA6A3F"/>
    <w:rsid w:val="00CA7C99"/>
    <w:rsid w:val="00CB0A71"/>
    <w:rsid w:val="00CC6290"/>
    <w:rsid w:val="00CC6947"/>
    <w:rsid w:val="00CD1915"/>
    <w:rsid w:val="00CD233D"/>
    <w:rsid w:val="00CD3499"/>
    <w:rsid w:val="00CD362D"/>
    <w:rsid w:val="00CD4A96"/>
    <w:rsid w:val="00CE101D"/>
    <w:rsid w:val="00CE1814"/>
    <w:rsid w:val="00CE1A95"/>
    <w:rsid w:val="00CE1C84"/>
    <w:rsid w:val="00CE214D"/>
    <w:rsid w:val="00CE5055"/>
    <w:rsid w:val="00CF053F"/>
    <w:rsid w:val="00CF15ED"/>
    <w:rsid w:val="00CF1A17"/>
    <w:rsid w:val="00CF2D59"/>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4849"/>
    <w:rsid w:val="00D86EEA"/>
    <w:rsid w:val="00D87D03"/>
    <w:rsid w:val="00D9360B"/>
    <w:rsid w:val="00D95C88"/>
    <w:rsid w:val="00D97B2E"/>
    <w:rsid w:val="00DA241E"/>
    <w:rsid w:val="00DB36FE"/>
    <w:rsid w:val="00DB533A"/>
    <w:rsid w:val="00DB60AE"/>
    <w:rsid w:val="00DB6307"/>
    <w:rsid w:val="00DC4002"/>
    <w:rsid w:val="00DD1DCD"/>
    <w:rsid w:val="00DD338F"/>
    <w:rsid w:val="00DD66F2"/>
    <w:rsid w:val="00DE3FE0"/>
    <w:rsid w:val="00DE578A"/>
    <w:rsid w:val="00DE57FD"/>
    <w:rsid w:val="00DE6CA2"/>
    <w:rsid w:val="00DF2583"/>
    <w:rsid w:val="00DF360C"/>
    <w:rsid w:val="00DF54D9"/>
    <w:rsid w:val="00DF7283"/>
    <w:rsid w:val="00E01A59"/>
    <w:rsid w:val="00E10DC6"/>
    <w:rsid w:val="00E11F8E"/>
    <w:rsid w:val="00E15881"/>
    <w:rsid w:val="00E16A8F"/>
    <w:rsid w:val="00E21DE3"/>
    <w:rsid w:val="00E269D6"/>
    <w:rsid w:val="00E273C5"/>
    <w:rsid w:val="00E307D1"/>
    <w:rsid w:val="00E3731D"/>
    <w:rsid w:val="00E51469"/>
    <w:rsid w:val="00E634E3"/>
    <w:rsid w:val="00E716F9"/>
    <w:rsid w:val="00E717C4"/>
    <w:rsid w:val="00E758FD"/>
    <w:rsid w:val="00E77372"/>
    <w:rsid w:val="00E77E18"/>
    <w:rsid w:val="00E77F89"/>
    <w:rsid w:val="00E80330"/>
    <w:rsid w:val="00E806C5"/>
    <w:rsid w:val="00E80E71"/>
    <w:rsid w:val="00E82A15"/>
    <w:rsid w:val="00E850D3"/>
    <w:rsid w:val="00E853D6"/>
    <w:rsid w:val="00E85440"/>
    <w:rsid w:val="00E876B9"/>
    <w:rsid w:val="00E94BFC"/>
    <w:rsid w:val="00EC0DFF"/>
    <w:rsid w:val="00EC237D"/>
    <w:rsid w:val="00EC2918"/>
    <w:rsid w:val="00EC4D0E"/>
    <w:rsid w:val="00EC4E2B"/>
    <w:rsid w:val="00ED0394"/>
    <w:rsid w:val="00ED072A"/>
    <w:rsid w:val="00ED539E"/>
    <w:rsid w:val="00EE4A1F"/>
    <w:rsid w:val="00EE4C2D"/>
    <w:rsid w:val="00EF1B5A"/>
    <w:rsid w:val="00EF24FB"/>
    <w:rsid w:val="00EF2CCA"/>
    <w:rsid w:val="00EF495B"/>
    <w:rsid w:val="00EF60DC"/>
    <w:rsid w:val="00EF7F4C"/>
    <w:rsid w:val="00F00F54"/>
    <w:rsid w:val="00F03963"/>
    <w:rsid w:val="00F11068"/>
    <w:rsid w:val="00F1256D"/>
    <w:rsid w:val="00F13A4E"/>
    <w:rsid w:val="00F172BB"/>
    <w:rsid w:val="00F17B10"/>
    <w:rsid w:val="00F21BEF"/>
    <w:rsid w:val="00F22F09"/>
    <w:rsid w:val="00F2315B"/>
    <w:rsid w:val="00F276F0"/>
    <w:rsid w:val="00F34805"/>
    <w:rsid w:val="00F34DAC"/>
    <w:rsid w:val="00F41A6F"/>
    <w:rsid w:val="00F45A25"/>
    <w:rsid w:val="00F50F86"/>
    <w:rsid w:val="00F52593"/>
    <w:rsid w:val="00F53F91"/>
    <w:rsid w:val="00F54E8C"/>
    <w:rsid w:val="00F61569"/>
    <w:rsid w:val="00F61A72"/>
    <w:rsid w:val="00F62B67"/>
    <w:rsid w:val="00F66F13"/>
    <w:rsid w:val="00F74073"/>
    <w:rsid w:val="00F75603"/>
    <w:rsid w:val="00F845B4"/>
    <w:rsid w:val="00F8713B"/>
    <w:rsid w:val="00F93F9E"/>
    <w:rsid w:val="00FA2CD7"/>
    <w:rsid w:val="00FB06ED"/>
    <w:rsid w:val="00FB215C"/>
    <w:rsid w:val="00FC2311"/>
    <w:rsid w:val="00FC3165"/>
    <w:rsid w:val="00FC36AB"/>
    <w:rsid w:val="00FC4300"/>
    <w:rsid w:val="00FC7F66"/>
    <w:rsid w:val="00FD5776"/>
    <w:rsid w:val="00FE1CB6"/>
    <w:rsid w:val="00FE486B"/>
    <w:rsid w:val="00FE4F08"/>
    <w:rsid w:val="00FF192C"/>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9EB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910EE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910EE4"/>
    <w:rPr>
      <w:sz w:val="16"/>
      <w:szCs w:val="16"/>
    </w:rPr>
  </w:style>
  <w:style w:type="paragraph" w:styleId="Tekstopmerking">
    <w:name w:val="annotation text"/>
    <w:basedOn w:val="Standaard"/>
    <w:link w:val="TekstopmerkingChar"/>
    <w:uiPriority w:val="99"/>
    <w:unhideWhenUsed/>
    <w:rsid w:val="00910EE4"/>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910EE4"/>
    <w:rPr>
      <w:rFonts w:asciiTheme="minorHAnsi" w:eastAsiaTheme="minorHAnsi" w:hAnsiTheme="minorHAnsi" w:cstheme="minorBidi"/>
      <w:kern w:val="2"/>
      <w:lang w:val="nl-NL"/>
      <w14:ligatures w14:val="standardContextual"/>
    </w:rPr>
  </w:style>
  <w:style w:type="character" w:styleId="Voetnootmarkering">
    <w:name w:val="footnote reference"/>
    <w:basedOn w:val="Standaardalinea-lettertype"/>
    <w:semiHidden/>
    <w:unhideWhenUsed/>
    <w:rsid w:val="00910EE4"/>
    <w:rPr>
      <w:vertAlign w:val="superscript"/>
    </w:rPr>
  </w:style>
  <w:style w:type="paragraph" w:styleId="Revisie">
    <w:name w:val="Revision"/>
    <w:hidden/>
    <w:uiPriority w:val="99"/>
    <w:semiHidden/>
    <w:rsid w:val="00137584"/>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DC4002"/>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DC4002"/>
    <w:rPr>
      <w:rFonts w:ascii="Verdana" w:eastAsiaTheme="minorHAnsi" w:hAnsi="Verdana" w:cstheme="minorBidi"/>
      <w:b/>
      <w:bCs/>
      <w:kern w:val="2"/>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781997">
      <w:bodyDiv w:val="1"/>
      <w:marLeft w:val="0"/>
      <w:marRight w:val="0"/>
      <w:marTop w:val="0"/>
      <w:marBottom w:val="0"/>
      <w:divBdr>
        <w:top w:val="none" w:sz="0" w:space="0" w:color="auto"/>
        <w:left w:val="none" w:sz="0" w:space="0" w:color="auto"/>
        <w:bottom w:val="none" w:sz="0" w:space="0" w:color="auto"/>
        <w:right w:val="none" w:sz="0" w:space="0" w:color="auto"/>
      </w:divBdr>
    </w:div>
    <w:div w:id="198457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rapporten/2025/03/14/minvkgg-klimaatplan-2025-2035" TargetMode="External"/><Relationship Id="rId3" Type="http://schemas.openxmlformats.org/officeDocument/2006/relationships/hyperlink" Target="https://www.rijksoverheid.nl/documenten/rapporten/2024/12/11/innovatie-en-opschaling-woningbouw" TargetMode="External"/><Relationship Id="rId7" Type="http://schemas.openxmlformats.org/officeDocument/2006/relationships/hyperlink" Target="https://www.rijksoverheid.nl/documenten/kamerstukken/2025/09/26/kamerbrief-circulair-plastic" TargetMode="External"/><Relationship Id="rId2" Type="http://schemas.openxmlformats.org/officeDocument/2006/relationships/hyperlink" Target="https://www.tweedekamer.nl/kamerstukken/brieven_regering/detail?id=2026Z08348&amp;did=2026D18722" TargetMode="External"/><Relationship Id="rId1" Type="http://schemas.openxmlformats.org/officeDocument/2006/relationships/hyperlink" Target="https://www.wkr.nl/actueel/nieuws/2026/03/26/circulair-versterkt-het-klimaat-de-economie-en-de-samenleving" TargetMode="External"/><Relationship Id="rId6" Type="http://schemas.openxmlformats.org/officeDocument/2006/relationships/hyperlink" Target="https://circulairebouweconomie.nl/acsh/" TargetMode="External"/><Relationship Id="rId5" Type="http://schemas.openxmlformats.org/officeDocument/2006/relationships/hyperlink" Target="https://www.volkshuisvestingnederland.nl/actueel/nieuws/2025/11/06/bouwmaterialenakkoord-nederlandse-bouwmaterialenindustrie-en-het-rijk-zetten-samen-de-stap-naar-een-toekomstbestendige-en-efficiente-bouwsector" TargetMode="External"/><Relationship Id="rId4" Type="http://schemas.openxmlformats.org/officeDocument/2006/relationships/hyperlink" Target="https://buildingbalance.eu/nationale-aanpak-biobased-bouwen/"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4952</ap:Words>
  <ap:Characters>27237</ap:Characters>
  <ap:DocSecurity>0</ap:DocSecurity>
  <ap:Lines>226</ap:Lines>
  <ap:Paragraphs>64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32125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2026-06-26T13:47:00.0000000Z</dcterms:created>
  <dcterms:modified xsi:type="dcterms:W3CDTF">2026-06-26T13:47:00.0000000Z</dcterms:modified>
  <dc:description>------------------------</dc:description>
  <dc:subject/>
  <keywords/>
  <version/>
  <category/>
</coreProperties>
</file>