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56F" w:rsidP="005E1129" w:rsidRDefault="00BD573D" w14:paraId="530B4FD6" w14:textId="77777777">
      <w:pPr>
        <w:spacing w:line="240" w:lineRule="auto"/>
      </w:pPr>
      <w:r>
        <w:t>Geachte voorzitter,</w:t>
      </w:r>
    </w:p>
    <w:p w:rsidR="0019456F" w:rsidP="005E1129" w:rsidRDefault="0019456F" w14:paraId="530B4FD7" w14:textId="77777777">
      <w:pPr>
        <w:spacing w:line="240" w:lineRule="auto"/>
      </w:pPr>
    </w:p>
    <w:p w:rsidR="00BD573D" w:rsidP="005E1129" w:rsidRDefault="00130A57" w14:paraId="6DA505AC" w14:textId="68B27700">
      <w:pPr>
        <w:spacing w:line="240" w:lineRule="auto"/>
      </w:pPr>
      <w:r>
        <w:t xml:space="preserve">Met deze brief informeer ik uw </w:t>
      </w:r>
      <w:r w:rsidR="008E577B">
        <w:t>K</w:t>
      </w:r>
      <w:r>
        <w:t xml:space="preserve">amer dat ik heb besloten </w:t>
      </w:r>
      <w:r w:rsidR="008E577B">
        <w:t xml:space="preserve">per direct </w:t>
      </w:r>
      <w:r w:rsidR="00BD573D">
        <w:t>een committeringsstop in te voeren voor nieuwe activiteiten in Mali.</w:t>
      </w:r>
    </w:p>
    <w:p w:rsidR="00BD573D" w:rsidP="005E1129" w:rsidRDefault="00BD573D" w14:paraId="438B60FC" w14:textId="77777777">
      <w:pPr>
        <w:spacing w:line="240" w:lineRule="auto"/>
      </w:pPr>
    </w:p>
    <w:p w:rsidR="00BD573D" w:rsidP="005E1129" w:rsidRDefault="00BD573D" w14:paraId="6ED79882" w14:textId="560ADF66">
      <w:pPr>
        <w:spacing w:line="240" w:lineRule="auto"/>
      </w:pPr>
      <w:r>
        <w:t xml:space="preserve">Ik </w:t>
      </w:r>
      <w:r w:rsidR="0011075F">
        <w:t>doe dit</w:t>
      </w:r>
      <w:r>
        <w:t xml:space="preserve"> in reactie op de belastingwet voor ngo’s die is aangenomen door de Malinese </w:t>
      </w:r>
      <w:r w:rsidR="008F671D">
        <w:t>m</w:t>
      </w:r>
      <w:r>
        <w:t xml:space="preserve">inisterraad en die is geratificeerd op 12 mei jl. Deze nieuwe wet legt een </w:t>
      </w:r>
      <w:r w:rsidRPr="00974613">
        <w:t xml:space="preserve">belasting </w:t>
      </w:r>
      <w:r>
        <w:t>op aan alle</w:t>
      </w:r>
      <w:r w:rsidRPr="006D68CA">
        <w:t xml:space="preserve"> nieuwe</w:t>
      </w:r>
      <w:r w:rsidRPr="00974613">
        <w:t xml:space="preserve"> projecten met een sociaal, cultureel of ontwikkelingskarakter</w:t>
      </w:r>
      <w:r>
        <w:t xml:space="preserve"> in Mali, v</w:t>
      </w:r>
      <w:r w:rsidRPr="00974613">
        <w:t xml:space="preserve">an 10% </w:t>
      </w:r>
      <w:r>
        <w:t xml:space="preserve">van </w:t>
      </w:r>
      <w:r w:rsidR="00CF6B5B">
        <w:t>het budget</w:t>
      </w:r>
      <w:r>
        <w:t xml:space="preserve">. Voor een aantal interventies </w:t>
      </w:r>
      <w:r w:rsidR="00130A57">
        <w:t xml:space="preserve">voorziet de belastingwet in </w:t>
      </w:r>
      <w:r>
        <w:t>een ontheffing, waaronder humanitaire programma’s.</w:t>
      </w:r>
      <w:r w:rsidR="005D712D">
        <w:t xml:space="preserve"> </w:t>
      </w:r>
    </w:p>
    <w:p w:rsidR="00BD573D" w:rsidP="005E1129" w:rsidRDefault="00BD573D" w14:paraId="0B2152E9" w14:textId="20FF391E">
      <w:pPr>
        <w:spacing w:line="240" w:lineRule="auto"/>
      </w:pPr>
    </w:p>
    <w:p w:rsidR="00E80644" w:rsidP="005E1129" w:rsidRDefault="00976739" w14:paraId="364117F6" w14:textId="274E36CF">
      <w:pPr>
        <w:spacing w:line="240" w:lineRule="auto"/>
      </w:pPr>
      <w:r>
        <w:t xml:space="preserve">De committeringsstop geldt voor toekomstige activiteiten </w:t>
      </w:r>
      <w:r w:rsidR="00EA336C">
        <w:t xml:space="preserve">die onder de heffing vallen. </w:t>
      </w:r>
      <w:r w:rsidR="00E80644">
        <w:t xml:space="preserve">We </w:t>
      </w:r>
      <w:r w:rsidR="008A474A">
        <w:t>hebbe</w:t>
      </w:r>
      <w:r w:rsidR="00E80644">
        <w:t xml:space="preserve">n de Malinese autoriteiten van de committeringsstop op de hoogte </w:t>
      </w:r>
      <w:r w:rsidR="008A474A">
        <w:t>gesteld</w:t>
      </w:r>
      <w:r w:rsidR="00805A80">
        <w:t xml:space="preserve">, en </w:t>
      </w:r>
      <w:r w:rsidR="00E80644">
        <w:t>trekken</w:t>
      </w:r>
      <w:r w:rsidR="00805A80">
        <w:t xml:space="preserve"> </w:t>
      </w:r>
      <w:r w:rsidR="00E80644">
        <w:t>met gelijkgestemde landen</w:t>
      </w:r>
      <w:r w:rsidR="00805A80">
        <w:t xml:space="preserve"> op om een sterk signaal aan de Malinese autoriteiten te geven</w:t>
      </w:r>
      <w:r w:rsidR="00287972">
        <w:t xml:space="preserve"> over de</w:t>
      </w:r>
      <w:r w:rsidR="00BD4E91">
        <w:t>ze</w:t>
      </w:r>
      <w:r w:rsidR="00287972">
        <w:t xml:space="preserve"> heffing</w:t>
      </w:r>
      <w:r w:rsidR="00E80644">
        <w:t>.</w:t>
      </w:r>
      <w:r w:rsidRPr="00E80644" w:rsidR="00E80644">
        <w:t xml:space="preserve"> </w:t>
      </w:r>
      <w:r w:rsidR="00E80644">
        <w:t xml:space="preserve">Dit besluit zal daarnaast aan onze </w:t>
      </w:r>
      <w:r w:rsidR="00287972">
        <w:t>samenwerkings</w:t>
      </w:r>
      <w:r w:rsidR="00E80644">
        <w:t>partners ter plekke en ngo’s in Nederland worden toegelicht.</w:t>
      </w:r>
    </w:p>
    <w:p w:rsidR="00E80644" w:rsidP="005E1129" w:rsidRDefault="00E80644" w14:paraId="377555FA" w14:textId="77777777">
      <w:pPr>
        <w:spacing w:line="240" w:lineRule="auto"/>
      </w:pPr>
    </w:p>
    <w:p w:rsidR="00BD573D" w:rsidP="005E1129" w:rsidRDefault="00BD573D" w14:paraId="6002AB56" w14:textId="10DC9C7C">
      <w:pPr>
        <w:spacing w:line="240" w:lineRule="auto"/>
      </w:pPr>
      <w:r>
        <w:t xml:space="preserve">Na de staatsgrepen in Mali in 2020 en 2021 is besloten de Nederlandse </w:t>
      </w:r>
      <w:r w:rsidR="008F671D">
        <w:t>o</w:t>
      </w:r>
      <w:r w:rsidR="00E80644">
        <w:t>ntwikkelingssamenwerking</w:t>
      </w:r>
      <w:r>
        <w:t xml:space="preserve"> te continueren</w:t>
      </w:r>
      <w:r w:rsidR="00552590">
        <w:t xml:space="preserve"> </w:t>
      </w:r>
      <w:r w:rsidRPr="00552590" w:rsidR="00552590">
        <w:t xml:space="preserve">omwille van de noden van de bevolking en </w:t>
      </w:r>
      <w:r w:rsidR="00621B8F">
        <w:t xml:space="preserve">het </w:t>
      </w:r>
      <w:r w:rsidRPr="00552590" w:rsidR="00552590">
        <w:t>behartigen van Nederlandse belangen</w:t>
      </w:r>
      <w:r w:rsidR="00552590">
        <w:t>.</w:t>
      </w:r>
      <w:r w:rsidR="009965B9">
        <w:rPr>
          <w:sz w:val="22"/>
          <w:szCs w:val="22"/>
        </w:rPr>
        <w:t xml:space="preserve"> </w:t>
      </w:r>
      <w:r w:rsidRPr="00621B8F" w:rsidR="00552590">
        <w:t>We</w:t>
      </w:r>
      <w:r w:rsidR="009965B9">
        <w:t xml:space="preserve"> </w:t>
      </w:r>
      <w:r w:rsidRPr="00552590" w:rsidR="00552590">
        <w:t xml:space="preserve">werken </w:t>
      </w:r>
      <w:r w:rsidR="00552590">
        <w:t xml:space="preserve">daarbij </w:t>
      </w:r>
      <w:r w:rsidRPr="00552590" w:rsidR="00552590">
        <w:t>alleen samen met lokale overheden en maatschappelijke organisaties</w:t>
      </w:r>
      <w:r w:rsidR="00552590">
        <w:t>. D</w:t>
      </w:r>
      <w:r>
        <w:t xml:space="preserve">irecte samenwerking </w:t>
      </w:r>
      <w:r w:rsidR="00E80644">
        <w:t xml:space="preserve">met </w:t>
      </w:r>
      <w:r>
        <w:t xml:space="preserve">de centrale autoriteiten </w:t>
      </w:r>
      <w:r w:rsidR="00552590">
        <w:t xml:space="preserve">werd </w:t>
      </w:r>
      <w:r>
        <w:t>op</w:t>
      </w:r>
      <w:r w:rsidR="00552590">
        <w:t>ge</w:t>
      </w:r>
      <w:r>
        <w:t>schort</w:t>
      </w:r>
      <w:r w:rsidR="009662FF">
        <w:t xml:space="preserve">, </w:t>
      </w:r>
      <w:r w:rsidRPr="009662FF" w:rsidR="009662FF">
        <w:t>gezien het ondemocratisch regime in Mali en diens geopolitieke oriëntatie</w:t>
      </w:r>
      <w:r w:rsidR="009662FF">
        <w:t xml:space="preserve">. </w:t>
      </w:r>
      <w:r w:rsidRPr="009662FF" w:rsidR="009662FF">
        <w:t xml:space="preserve">De </w:t>
      </w:r>
      <w:r w:rsidR="00E80644">
        <w:t xml:space="preserve">nieuwe </w:t>
      </w:r>
      <w:r w:rsidRPr="009662FF" w:rsidR="009662FF">
        <w:t>belastingwet is een soeverein besluit van de Malinese autoriteiten</w:t>
      </w:r>
      <w:r w:rsidR="00EA336C">
        <w:t>. Echter</w:t>
      </w:r>
      <w:r w:rsidR="00BF628E">
        <w:t>,</w:t>
      </w:r>
      <w:r w:rsidR="00EA336C">
        <w:t xml:space="preserve"> </w:t>
      </w:r>
      <w:r w:rsidRPr="009662FF" w:rsidR="009662FF">
        <w:t xml:space="preserve">voor het </w:t>
      </w:r>
      <w:r w:rsidR="008F671D">
        <w:t>k</w:t>
      </w:r>
      <w:r w:rsidRPr="009662FF" w:rsidR="009662FF">
        <w:t xml:space="preserve">abinet is het </w:t>
      </w:r>
      <w:r w:rsidR="00EA336C">
        <w:t>onacceptabel dat</w:t>
      </w:r>
      <w:r w:rsidRPr="009662FF" w:rsidR="009662FF">
        <w:t xml:space="preserve"> voor ontwikkelingsdoeleinden bestemd</w:t>
      </w:r>
      <w:r w:rsidR="00BF628E">
        <w:t xml:space="preserve">e middelen aan andere doelen worden </w:t>
      </w:r>
      <w:r w:rsidRPr="009662FF" w:rsidR="009662FF">
        <w:t>uit</w:t>
      </w:r>
      <w:r w:rsidR="00BF628E">
        <w:t>ge</w:t>
      </w:r>
      <w:r w:rsidRPr="009662FF" w:rsidR="009662FF">
        <w:t>geven</w:t>
      </w:r>
      <w:r w:rsidR="00976739">
        <w:t xml:space="preserve">. </w:t>
      </w:r>
      <w:r>
        <w:t>Daarnaast bestaat het risico op precedentwerking in buurlanden</w:t>
      </w:r>
      <w:r w:rsidR="00EF0205">
        <w:t>, die vergelijkbare wetgeving zouden kunnen vaststellen.</w:t>
      </w:r>
    </w:p>
    <w:p w:rsidR="00BD573D" w:rsidP="005E1129" w:rsidRDefault="00BD573D" w14:paraId="142300CE" w14:textId="77777777">
      <w:pPr>
        <w:spacing w:line="240" w:lineRule="auto"/>
      </w:pPr>
    </w:p>
    <w:p w:rsidR="005E1129" w:rsidP="005E1129" w:rsidRDefault="005D2BB1" w14:paraId="0C3DD19F" w14:textId="77777777">
      <w:pPr>
        <w:spacing w:line="240" w:lineRule="auto"/>
      </w:pPr>
      <w:r>
        <w:t>De m</w:t>
      </w:r>
      <w:r w:rsidR="00BD573D">
        <w:t xml:space="preserve">inister van </w:t>
      </w:r>
      <w:r w:rsidRPr="00BD573D" w:rsidR="00BD573D">
        <w:t xml:space="preserve">Buitenlandse Handel </w:t>
      </w:r>
    </w:p>
    <w:p w:rsidRPr="00BD573D" w:rsidR="00BD573D" w:rsidP="005E1129" w:rsidRDefault="00BD573D" w14:paraId="6A06433D" w14:textId="6464DB4C">
      <w:pPr>
        <w:spacing w:line="240" w:lineRule="auto"/>
      </w:pPr>
      <w:r w:rsidRPr="00BD573D">
        <w:t>en Ontwikkelings</w:t>
      </w:r>
      <w:r>
        <w:t>samenwerking</w:t>
      </w:r>
      <w:r w:rsidRPr="00BD573D">
        <w:t xml:space="preserve">, </w:t>
      </w:r>
    </w:p>
    <w:p w:rsidR="00BD573D" w:rsidP="005E1129" w:rsidRDefault="00BD573D" w14:paraId="51ABF13A" w14:textId="77777777">
      <w:pPr>
        <w:spacing w:line="240" w:lineRule="auto"/>
      </w:pPr>
    </w:p>
    <w:p w:rsidR="005D2BB1" w:rsidP="005E1129" w:rsidRDefault="005D2BB1" w14:paraId="1F97F7AA" w14:textId="77777777">
      <w:pPr>
        <w:spacing w:line="240" w:lineRule="auto"/>
      </w:pPr>
    </w:p>
    <w:p w:rsidR="005E1129" w:rsidP="005E1129" w:rsidRDefault="005E1129" w14:paraId="406E9A83" w14:textId="77777777">
      <w:pPr>
        <w:spacing w:line="240" w:lineRule="auto"/>
      </w:pPr>
    </w:p>
    <w:p w:rsidR="00BD573D" w:rsidP="005E1129" w:rsidRDefault="00BD573D" w14:paraId="05F5E59A" w14:textId="77777777">
      <w:pPr>
        <w:spacing w:line="240" w:lineRule="auto"/>
      </w:pPr>
    </w:p>
    <w:p w:rsidR="0019456F" w:rsidP="005E1129" w:rsidRDefault="00BD573D" w14:paraId="530B4FDC" w14:textId="24050922">
      <w:pPr>
        <w:spacing w:line="240" w:lineRule="auto"/>
      </w:pPr>
      <w:r>
        <w:t>S</w:t>
      </w:r>
      <w:r w:rsidR="005D2BB1">
        <w:t>.W.</w:t>
      </w:r>
      <w:r>
        <w:t xml:space="preserve"> Sjoerdsma</w:t>
      </w:r>
    </w:p>
    <w:p w:rsidR="0019456F" w:rsidP="005E1129" w:rsidRDefault="0019456F" w14:paraId="530B4FDE" w14:textId="77777777">
      <w:pPr>
        <w:spacing w:line="240" w:lineRule="auto"/>
      </w:pPr>
    </w:p>
    <w:sectPr w:rsidR="0019456F" w:rsidSect="007A031D">
      <w:headerReference w:type="default" r:id="rId14"/>
      <w:headerReference w:type="first" r:id="rId15"/>
      <w:footerReference w:type="first" r:id="rId16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1D39" w14:textId="77777777" w:rsidR="007F05F1" w:rsidRDefault="007F05F1">
      <w:pPr>
        <w:spacing w:line="240" w:lineRule="auto"/>
      </w:pPr>
      <w:r>
        <w:separator/>
      </w:r>
    </w:p>
  </w:endnote>
  <w:endnote w:type="continuationSeparator" w:id="0">
    <w:p w14:paraId="3E1D4B18" w14:textId="77777777" w:rsidR="007F05F1" w:rsidRDefault="007F0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912840"/>
      <w:docPartObj>
        <w:docPartGallery w:val="Page Numbers (Bottom of Page)"/>
        <w:docPartUnique/>
      </w:docPartObj>
    </w:sdtPr>
    <w:sdtContent>
      <w:p w14:paraId="39CC11CB" w14:textId="5BE5648C" w:rsidR="005D2BB1" w:rsidRDefault="005D2BB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9F5D53" w14:textId="77777777" w:rsidR="005D2BB1" w:rsidRDefault="005D2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D92B" w14:textId="77777777" w:rsidR="007F05F1" w:rsidRDefault="007F05F1">
      <w:pPr>
        <w:spacing w:line="240" w:lineRule="auto"/>
      </w:pPr>
      <w:r>
        <w:separator/>
      </w:r>
    </w:p>
  </w:footnote>
  <w:footnote w:type="continuationSeparator" w:id="0">
    <w:p w14:paraId="5D7B29CB" w14:textId="77777777" w:rsidR="007F05F1" w:rsidRDefault="007F0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4FDF" w14:textId="77777777" w:rsidR="0019456F" w:rsidRDefault="00BD573D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0B4FE3" wp14:editId="530B4FE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B5011" w14:textId="77777777" w:rsidR="0019456F" w:rsidRDefault="00BD573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30B5012" w14:textId="77777777" w:rsidR="0019456F" w:rsidRDefault="0019456F">
                          <w:pPr>
                            <w:pStyle w:val="WitregelW2"/>
                          </w:pPr>
                        </w:p>
                        <w:p w14:paraId="530B5013" w14:textId="77777777" w:rsidR="0019456F" w:rsidRDefault="00BD573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0B5014" w14:textId="77777777" w:rsidR="0019456F" w:rsidRDefault="00BD573D">
                          <w:pPr>
                            <w:pStyle w:val="Referentiegegevens"/>
                          </w:pPr>
                          <w:r>
                            <w:t>BZ2629498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0B4FE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30B5011" w14:textId="77777777" w:rsidR="0019456F" w:rsidRDefault="00BD573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30B5012" w14:textId="77777777" w:rsidR="0019456F" w:rsidRDefault="0019456F">
                    <w:pPr>
                      <w:pStyle w:val="WitregelW2"/>
                    </w:pPr>
                  </w:p>
                  <w:p w14:paraId="530B5013" w14:textId="77777777" w:rsidR="0019456F" w:rsidRDefault="00BD573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0B5014" w14:textId="77777777" w:rsidR="0019456F" w:rsidRDefault="00BD573D">
                    <w:pPr>
                      <w:pStyle w:val="Referentiegegevens"/>
                    </w:pPr>
                    <w:r>
                      <w:t>BZ2629498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30B4FE5" wp14:editId="530B4FE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B5015" w14:textId="77777777" w:rsidR="0019456F" w:rsidRDefault="00BD573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B4FE5" id="41b111a9-80a4-11ea-b356-6230a4311406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30B5015" w14:textId="77777777" w:rsidR="0019456F" w:rsidRDefault="00BD573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530B4FE7" wp14:editId="530B4FE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B5023" w14:textId="77777777" w:rsidR="00BD573D" w:rsidRDefault="00BD57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B4FE7" id="41b1115b-80a4-11ea-b356-6230a4311406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0B5023" w14:textId="77777777" w:rsidR="00BD573D" w:rsidRDefault="00BD573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4FE1" w14:textId="6018B205" w:rsidR="0019456F" w:rsidRDefault="00BD573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30B4FE9" wp14:editId="530B4FE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B5016" w14:textId="77777777" w:rsidR="00BD573D" w:rsidRDefault="00BD57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0B4FE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30B5016" w14:textId="77777777" w:rsidR="00BD573D" w:rsidRDefault="00BD573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530B4FEB" wp14:editId="530B4FE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B4FFA" w14:textId="77777777" w:rsidR="0019456F" w:rsidRDefault="00BD573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B4FEB" id="41b10c0b-80a4-11ea-b356-6230a4311406" o:spid="_x0000_s1030" type="#_x0000_t202" style="position:absolute;margin-left:79.35pt;margin-top:153.9pt;width:377pt;height:87.8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30B4FFA" w14:textId="77777777" w:rsidR="0019456F" w:rsidRDefault="00BD573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30B4FED" wp14:editId="530B4FE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9456F" w14:paraId="530B4FFD" w14:textId="77777777">
                            <w:tc>
                              <w:tcPr>
                                <w:tcW w:w="678" w:type="dxa"/>
                              </w:tcPr>
                              <w:p w14:paraId="530B4FFB" w14:textId="77777777" w:rsidR="0019456F" w:rsidRDefault="00BD573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30B4FFC" w14:textId="6073A8DA" w:rsidR="0019456F" w:rsidRDefault="005E1129">
                                <w:r>
                                  <w:t>26</w:t>
                                </w:r>
                                <w:r w:rsidR="005D2BB1">
                                  <w:t xml:space="preserve"> </w:t>
                                </w:r>
                                <w:r w:rsidR="00BD573D">
                                  <w:t>juni 2026</w:t>
                                </w:r>
                              </w:p>
                            </w:tc>
                          </w:tr>
                          <w:tr w:rsidR="0019456F" w14:paraId="530B5002" w14:textId="77777777">
                            <w:tc>
                              <w:tcPr>
                                <w:tcW w:w="678" w:type="dxa"/>
                              </w:tcPr>
                              <w:p w14:paraId="530B4FFE" w14:textId="77777777" w:rsidR="0019456F" w:rsidRDefault="00BD573D">
                                <w:r>
                                  <w:t>Betreft</w:t>
                                </w:r>
                              </w:p>
                              <w:p w14:paraId="530B4FFF" w14:textId="77777777" w:rsidR="0019456F" w:rsidRDefault="0019456F"/>
                            </w:tc>
                            <w:tc>
                              <w:tcPr>
                                <w:tcW w:w="6851" w:type="dxa"/>
                              </w:tcPr>
                              <w:p w14:paraId="530B5000" w14:textId="14ABF195" w:rsidR="0019456F" w:rsidRDefault="00BD573D">
                                <w:r>
                                  <w:t>Commi</w:t>
                                </w:r>
                                <w:r w:rsidR="008E577B">
                                  <w:t>t</w:t>
                                </w:r>
                                <w:r>
                                  <w:t>teringsstop Mali</w:t>
                                </w:r>
                              </w:p>
                              <w:p w14:paraId="530B5001" w14:textId="77777777" w:rsidR="0019456F" w:rsidRDefault="0019456F"/>
                            </w:tc>
                          </w:tr>
                        </w:tbl>
                        <w:p w14:paraId="530B5003" w14:textId="77777777" w:rsidR="0019456F" w:rsidRDefault="0019456F"/>
                        <w:p w14:paraId="530B5004" w14:textId="77777777" w:rsidR="0019456F" w:rsidRDefault="001945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B4FED" id="41b10c7e-80a4-11ea-b356-6230a431140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9456F" w14:paraId="530B4FFD" w14:textId="77777777">
                      <w:tc>
                        <w:tcPr>
                          <w:tcW w:w="678" w:type="dxa"/>
                        </w:tcPr>
                        <w:p w14:paraId="530B4FFB" w14:textId="77777777" w:rsidR="0019456F" w:rsidRDefault="00BD573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30B4FFC" w14:textId="6073A8DA" w:rsidR="0019456F" w:rsidRDefault="005E1129">
                          <w:r>
                            <w:t>26</w:t>
                          </w:r>
                          <w:r w:rsidR="005D2BB1">
                            <w:t xml:space="preserve"> </w:t>
                          </w:r>
                          <w:r w:rsidR="00BD573D">
                            <w:t>juni 2026</w:t>
                          </w:r>
                        </w:p>
                      </w:tc>
                    </w:tr>
                    <w:tr w:rsidR="0019456F" w14:paraId="530B5002" w14:textId="77777777">
                      <w:tc>
                        <w:tcPr>
                          <w:tcW w:w="678" w:type="dxa"/>
                        </w:tcPr>
                        <w:p w14:paraId="530B4FFE" w14:textId="77777777" w:rsidR="0019456F" w:rsidRDefault="00BD573D">
                          <w:r>
                            <w:t>Betreft</w:t>
                          </w:r>
                        </w:p>
                        <w:p w14:paraId="530B4FFF" w14:textId="77777777" w:rsidR="0019456F" w:rsidRDefault="0019456F"/>
                      </w:tc>
                      <w:tc>
                        <w:tcPr>
                          <w:tcW w:w="6851" w:type="dxa"/>
                        </w:tcPr>
                        <w:p w14:paraId="530B5000" w14:textId="14ABF195" w:rsidR="0019456F" w:rsidRDefault="00BD573D">
                          <w:r>
                            <w:t>Commi</w:t>
                          </w:r>
                          <w:r w:rsidR="008E577B">
                            <w:t>t</w:t>
                          </w:r>
                          <w:r>
                            <w:t>teringsstop Mali</w:t>
                          </w:r>
                        </w:p>
                        <w:p w14:paraId="530B5001" w14:textId="77777777" w:rsidR="0019456F" w:rsidRDefault="0019456F"/>
                      </w:tc>
                    </w:tr>
                  </w:tbl>
                  <w:p w14:paraId="530B5003" w14:textId="77777777" w:rsidR="0019456F" w:rsidRDefault="0019456F"/>
                  <w:p w14:paraId="530B5004" w14:textId="77777777" w:rsidR="0019456F" w:rsidRDefault="001945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30B4FEF" wp14:editId="5479EC23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46304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B5006" w14:textId="0FBA06C4" w:rsidR="0019456F" w:rsidRDefault="00BD573D" w:rsidP="005E112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30B5007" w14:textId="2C0B5EA5" w:rsidR="0019456F" w:rsidRPr="005D2BB1" w:rsidRDefault="005D2BB1">
                          <w:pPr>
                            <w:pStyle w:val="Referentiegegevens"/>
                          </w:pPr>
                          <w:r w:rsidRPr="005D2BB1">
                            <w:t>Rijnstraat 8</w:t>
                          </w:r>
                        </w:p>
                        <w:p w14:paraId="22727352" w14:textId="4EAE54CD" w:rsidR="005D2BB1" w:rsidRPr="005D2BB1" w:rsidRDefault="005D2BB1" w:rsidP="005D2BB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D2BB1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18B08A69" w14:textId="5F1D5F3C" w:rsidR="005D2BB1" w:rsidRPr="005D2BB1" w:rsidRDefault="005D2BB1" w:rsidP="005D2BB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D2BB1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E257167" w14:textId="03F4E37C" w:rsidR="005D2BB1" w:rsidRPr="005D2BB1" w:rsidRDefault="005D2BB1" w:rsidP="005D2BB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D2BB1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30B5008" w14:textId="77777777" w:rsidR="0019456F" w:rsidRPr="005D2BB1" w:rsidRDefault="00BD573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D2BB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30B5009" w14:textId="77777777" w:rsidR="0019456F" w:rsidRPr="005D2BB1" w:rsidRDefault="0019456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30B500A" w14:textId="77777777" w:rsidR="0019456F" w:rsidRDefault="00BD573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0B500B" w14:textId="77777777" w:rsidR="0019456F" w:rsidRDefault="00BD573D">
                          <w:pPr>
                            <w:pStyle w:val="Referentiegegevens"/>
                          </w:pPr>
                          <w:r>
                            <w:t>BZ2629498</w:t>
                          </w:r>
                        </w:p>
                        <w:p w14:paraId="530B500C" w14:textId="77777777" w:rsidR="0019456F" w:rsidRDefault="0019456F">
                          <w:pPr>
                            <w:pStyle w:val="WitregelW1"/>
                          </w:pPr>
                        </w:p>
                        <w:p w14:paraId="530B500D" w14:textId="77777777" w:rsidR="0019456F" w:rsidRDefault="00BD573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30B500E" w14:textId="77777777" w:rsidR="0019456F" w:rsidRDefault="00BD573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30B4FEF" id="41b10cd4-80a4-11ea-b356-6230a4311406" o:spid="_x0000_s1032" type="#_x0000_t202" style="position:absolute;margin-left:466.2pt;margin-top:154.8pt;width:115.2pt;height:630.7pt;z-index:25165824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" filled="f" stroked="f">
              <v:textbox inset="0,0,0,0">
                <w:txbxContent>
                  <w:p w14:paraId="530B5006" w14:textId="0FBA06C4" w:rsidR="0019456F" w:rsidRDefault="00BD573D" w:rsidP="005E112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30B5007" w14:textId="2C0B5EA5" w:rsidR="0019456F" w:rsidRPr="005D2BB1" w:rsidRDefault="005D2BB1">
                    <w:pPr>
                      <w:pStyle w:val="Referentiegegevens"/>
                    </w:pPr>
                    <w:r w:rsidRPr="005D2BB1">
                      <w:t>Rijnstraat 8</w:t>
                    </w:r>
                  </w:p>
                  <w:p w14:paraId="22727352" w14:textId="4EAE54CD" w:rsidR="005D2BB1" w:rsidRPr="005D2BB1" w:rsidRDefault="005D2BB1" w:rsidP="005D2BB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D2BB1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18B08A69" w14:textId="5F1D5F3C" w:rsidR="005D2BB1" w:rsidRPr="005D2BB1" w:rsidRDefault="005D2BB1" w:rsidP="005D2BB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D2BB1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E257167" w14:textId="03F4E37C" w:rsidR="005D2BB1" w:rsidRPr="005D2BB1" w:rsidRDefault="005D2BB1" w:rsidP="005D2BB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D2BB1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30B5008" w14:textId="77777777" w:rsidR="0019456F" w:rsidRPr="005D2BB1" w:rsidRDefault="00BD573D">
                    <w:pPr>
                      <w:pStyle w:val="Referentiegegevens"/>
                      <w:rPr>
                        <w:lang w:val="da-DK"/>
                      </w:rPr>
                    </w:pPr>
                    <w:r w:rsidRPr="005D2BB1">
                      <w:rPr>
                        <w:lang w:val="da-DK"/>
                      </w:rPr>
                      <w:t>www.minbuza.nl</w:t>
                    </w:r>
                  </w:p>
                  <w:p w14:paraId="530B5009" w14:textId="77777777" w:rsidR="0019456F" w:rsidRPr="005D2BB1" w:rsidRDefault="0019456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30B500A" w14:textId="77777777" w:rsidR="0019456F" w:rsidRDefault="00BD573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0B500B" w14:textId="77777777" w:rsidR="0019456F" w:rsidRDefault="00BD573D">
                    <w:pPr>
                      <w:pStyle w:val="Referentiegegevens"/>
                    </w:pPr>
                    <w:r>
                      <w:t>BZ2629498</w:t>
                    </w:r>
                  </w:p>
                  <w:p w14:paraId="530B500C" w14:textId="77777777" w:rsidR="0019456F" w:rsidRDefault="0019456F">
                    <w:pPr>
                      <w:pStyle w:val="WitregelW1"/>
                    </w:pPr>
                  </w:p>
                  <w:p w14:paraId="530B500D" w14:textId="77777777" w:rsidR="0019456F" w:rsidRDefault="00BD573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30B500E" w14:textId="77777777" w:rsidR="0019456F" w:rsidRDefault="00BD573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30B4FF3" wp14:editId="2E7244B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B501C" w14:textId="77777777" w:rsidR="00BD573D" w:rsidRDefault="00BD57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B4FF3" id="41b10d73-80a4-11ea-b356-6230a4311406" o:spid="_x0000_s1033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30B501C" w14:textId="77777777" w:rsidR="00BD573D" w:rsidRDefault="00BD573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530B4FF5" wp14:editId="530B4FF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B501E" w14:textId="77777777" w:rsidR="00BD573D" w:rsidRDefault="00BD57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B4FF5" id="41b10dc3-80a4-11ea-b356-6230a4311406" o:spid="_x0000_s1034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30B501E" w14:textId="77777777" w:rsidR="00BD573D" w:rsidRDefault="00BD573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530B4FF7" wp14:editId="530B4FF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0B5010" w14:textId="77777777" w:rsidR="0019456F" w:rsidRDefault="00BD573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0B5016" wp14:editId="530B501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B4FF7" id="41b10edc-80a4-11ea-b356-6230a4311406" o:spid="_x0000_s1035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30B5010" w14:textId="77777777" w:rsidR="0019456F" w:rsidRDefault="00BD573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0B5016" wp14:editId="530B501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7A5474"/>
    <w:multiLevelType w:val="multilevel"/>
    <w:tmpl w:val="5BC745A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9D86C08"/>
    <w:multiLevelType w:val="multilevel"/>
    <w:tmpl w:val="30DC227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3B04822"/>
    <w:multiLevelType w:val="multilevel"/>
    <w:tmpl w:val="0466C73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E03D438"/>
    <w:multiLevelType w:val="multilevel"/>
    <w:tmpl w:val="3AEDF4D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69B1AA"/>
    <w:multiLevelType w:val="multilevel"/>
    <w:tmpl w:val="A68C226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695428689">
    <w:abstractNumId w:val="4"/>
  </w:num>
  <w:num w:numId="2" w16cid:durableId="1865242810">
    <w:abstractNumId w:val="1"/>
  </w:num>
  <w:num w:numId="3" w16cid:durableId="105582830">
    <w:abstractNumId w:val="2"/>
  </w:num>
  <w:num w:numId="4" w16cid:durableId="1734043689">
    <w:abstractNumId w:val="0"/>
  </w:num>
  <w:num w:numId="5" w16cid:durableId="1824001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6F"/>
    <w:rsid w:val="000922C5"/>
    <w:rsid w:val="000E2E45"/>
    <w:rsid w:val="0011075F"/>
    <w:rsid w:val="00130A57"/>
    <w:rsid w:val="0016426B"/>
    <w:rsid w:val="0019187B"/>
    <w:rsid w:val="00192AD6"/>
    <w:rsid w:val="0019456F"/>
    <w:rsid w:val="001A1C3D"/>
    <w:rsid w:val="00214EF9"/>
    <w:rsid w:val="00243594"/>
    <w:rsid w:val="00253E80"/>
    <w:rsid w:val="00275F13"/>
    <w:rsid w:val="00287972"/>
    <w:rsid w:val="00292632"/>
    <w:rsid w:val="002F6A97"/>
    <w:rsid w:val="00302DA5"/>
    <w:rsid w:val="003145D5"/>
    <w:rsid w:val="00321473"/>
    <w:rsid w:val="00332EDB"/>
    <w:rsid w:val="003D38BF"/>
    <w:rsid w:val="003E59CC"/>
    <w:rsid w:val="003E6536"/>
    <w:rsid w:val="004661DF"/>
    <w:rsid w:val="004746B2"/>
    <w:rsid w:val="00501643"/>
    <w:rsid w:val="00511999"/>
    <w:rsid w:val="00527AC6"/>
    <w:rsid w:val="0054506A"/>
    <w:rsid w:val="00552590"/>
    <w:rsid w:val="00587C90"/>
    <w:rsid w:val="005B3DB4"/>
    <w:rsid w:val="005C34D5"/>
    <w:rsid w:val="005D2BB1"/>
    <w:rsid w:val="005D712D"/>
    <w:rsid w:val="005E1129"/>
    <w:rsid w:val="005F7EC2"/>
    <w:rsid w:val="00621B8F"/>
    <w:rsid w:val="00643593"/>
    <w:rsid w:val="00671F69"/>
    <w:rsid w:val="00680EE9"/>
    <w:rsid w:val="006832FA"/>
    <w:rsid w:val="006A0424"/>
    <w:rsid w:val="006B58A9"/>
    <w:rsid w:val="006F71F9"/>
    <w:rsid w:val="00712246"/>
    <w:rsid w:val="0072071C"/>
    <w:rsid w:val="00730D3D"/>
    <w:rsid w:val="00740BAE"/>
    <w:rsid w:val="00770088"/>
    <w:rsid w:val="00772EB6"/>
    <w:rsid w:val="007749BE"/>
    <w:rsid w:val="00785C67"/>
    <w:rsid w:val="007871AE"/>
    <w:rsid w:val="007A031D"/>
    <w:rsid w:val="007F05F1"/>
    <w:rsid w:val="00805A80"/>
    <w:rsid w:val="00806532"/>
    <w:rsid w:val="008230F7"/>
    <w:rsid w:val="00850B07"/>
    <w:rsid w:val="008647A0"/>
    <w:rsid w:val="0087371A"/>
    <w:rsid w:val="0088051C"/>
    <w:rsid w:val="008911E5"/>
    <w:rsid w:val="008A474A"/>
    <w:rsid w:val="008E577B"/>
    <w:rsid w:val="008F671D"/>
    <w:rsid w:val="00942C8C"/>
    <w:rsid w:val="009662FF"/>
    <w:rsid w:val="00976739"/>
    <w:rsid w:val="009965B9"/>
    <w:rsid w:val="009E4120"/>
    <w:rsid w:val="009F6351"/>
    <w:rsid w:val="00A4576F"/>
    <w:rsid w:val="00AA1D77"/>
    <w:rsid w:val="00AB31A5"/>
    <w:rsid w:val="00AC6293"/>
    <w:rsid w:val="00BB70B0"/>
    <w:rsid w:val="00BD4E91"/>
    <w:rsid w:val="00BD573D"/>
    <w:rsid w:val="00BE2DAB"/>
    <w:rsid w:val="00BF3AFF"/>
    <w:rsid w:val="00BF628E"/>
    <w:rsid w:val="00C2642D"/>
    <w:rsid w:val="00C66382"/>
    <w:rsid w:val="00C93E6C"/>
    <w:rsid w:val="00CA5113"/>
    <w:rsid w:val="00CF231F"/>
    <w:rsid w:val="00CF6B5B"/>
    <w:rsid w:val="00D1665B"/>
    <w:rsid w:val="00D86062"/>
    <w:rsid w:val="00DC5AB4"/>
    <w:rsid w:val="00DE17C6"/>
    <w:rsid w:val="00DE3EA7"/>
    <w:rsid w:val="00E0773B"/>
    <w:rsid w:val="00E80644"/>
    <w:rsid w:val="00EA336C"/>
    <w:rsid w:val="00EF0205"/>
    <w:rsid w:val="00EF57C8"/>
    <w:rsid w:val="00F36AE3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B4FD6"/>
  <w15:docId w15:val="{B8D1CCCF-ABA5-425B-804B-B03951C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E80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64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644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E8064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2EB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B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72EB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B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footer" Target="footer1.xml" Id="rId16" /><Relationship Type="http://schemas.openxmlformats.org/officeDocument/2006/relationships/webSettings" Target="webSettings.xml" Id="rId11" /><Relationship Type="http://schemas.openxmlformats.org/officeDocument/2006/relationships/webSetting" Target="webSettings0.xml" Id="rId24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275</ap:Words>
  <ap:Characters>1517</ap:Characters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Commiteringsstop Mali</vt:lpstr>
    </vt:vector>
  </ap:TitlesOfParts>
  <ap:LinksUpToDate>false</ap:LinksUpToDate>
  <ap:CharactersWithSpaces>1789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2026-06-19T13:56:00.0000000Z</lastPrinted>
  <dcterms:created xsi:type="dcterms:W3CDTF">2026-06-26T09:03:00.0000000Z</dcterms:created>
  <dcterms:modified xsi:type="dcterms:W3CDTF">2026-06-26T13:21:00.0000000Z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0x0101009C7CE436063D44E9BE7DC0259EF7C32F006EB9F9836A634AE58B6169785FD3936F0059C617296B049142960D7DBD88D31EB3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https://247.plaza.buzaservices.nl/subject/PV-RK2026052026/BZ2629498/Reguliere%20kamerbrief%20-%20Commiteringsstop%20Mali.docx, </vt:lpwstr>
  </property>
  <property fmtid="{D5CDD505-2E9C-101B-9397-08002B2CF9AE}" pid="24" name="_dlc_DocIdItemGuid">
    <vt:lpwstr>9c3de966-aa11-4fff-b04e-70efc48da13a</vt:lpwstr>
  </property>
  <property fmtid="{D5CDD505-2E9C-101B-9397-08002B2CF9AE}" pid="25" name="_docset_NoMedatataSyncRequired">
    <vt:lpwstr>False</vt:lpwstr>
  </property>
</Properties>
</file>