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Pr="00D52F04" w:rsidR="00341937" w:rsidTr="00D9561B" w14:paraId="2F515DC4" w14:textId="77777777">
        <w:trPr>
          <w:trHeight w:val="1514"/>
        </w:trPr>
        <w:tc>
          <w:tcPr>
            <w:tcW w:w="7522" w:type="dxa"/>
            <w:tcBorders>
              <w:top w:val="nil"/>
              <w:left w:val="nil"/>
              <w:bottom w:val="nil"/>
              <w:right w:val="nil"/>
            </w:tcBorders>
            <w:tcMar>
              <w:left w:w="0" w:type="dxa"/>
              <w:right w:w="0" w:type="dxa"/>
            </w:tcMar>
          </w:tcPr>
          <w:p w:rsidRPr="00D52F04" w:rsidR="00374412" w:rsidP="00110591" w:rsidRDefault="00694107" w14:paraId="47D1F4D5" w14:textId="77777777">
            <w:pPr>
              <w:spacing w:line="276" w:lineRule="auto"/>
              <w:rPr>
                <w:szCs w:val="18"/>
              </w:rPr>
            </w:pPr>
            <w:r w:rsidRPr="00D52F04">
              <w:rPr>
                <w:szCs w:val="18"/>
              </w:rPr>
              <w:t>De v</w:t>
            </w:r>
            <w:r w:rsidRPr="00D52F04" w:rsidR="008E3932">
              <w:rPr>
                <w:szCs w:val="18"/>
              </w:rPr>
              <w:t>oorzitter van de Tweede Kamer der Staten-Generaal</w:t>
            </w:r>
          </w:p>
          <w:p w:rsidRPr="00D52F04" w:rsidR="00374412" w:rsidP="00110591" w:rsidRDefault="00694107" w14:paraId="5CAA6AA4" w14:textId="77777777">
            <w:pPr>
              <w:spacing w:line="276" w:lineRule="auto"/>
              <w:rPr>
                <w:szCs w:val="18"/>
              </w:rPr>
            </w:pPr>
            <w:r w:rsidRPr="00D52F04">
              <w:rPr>
                <w:szCs w:val="18"/>
              </w:rPr>
              <w:t>Postbus 20018</w:t>
            </w:r>
          </w:p>
          <w:p w:rsidRPr="00D52F04" w:rsidR="008E3932" w:rsidP="00110591" w:rsidRDefault="00694107" w14:paraId="10C9F890" w14:textId="77777777">
            <w:pPr>
              <w:spacing w:line="276" w:lineRule="auto"/>
              <w:rPr>
                <w:szCs w:val="18"/>
              </w:rPr>
            </w:pPr>
            <w:r w:rsidRPr="00D52F04">
              <w:rPr>
                <w:szCs w:val="18"/>
              </w:rP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Pr="00D52F04" w:rsidR="00341937" w:rsidTr="00FF66F9" w14:paraId="680B7512" w14:textId="77777777">
        <w:trPr>
          <w:trHeight w:val="289" w:hRule="exact"/>
        </w:trPr>
        <w:tc>
          <w:tcPr>
            <w:tcW w:w="929" w:type="dxa"/>
          </w:tcPr>
          <w:p w:rsidRPr="00D52F04" w:rsidR="0005404B" w:rsidP="00110591" w:rsidRDefault="00694107" w14:paraId="5F86FD8B" w14:textId="77777777">
            <w:pPr>
              <w:spacing w:line="276" w:lineRule="auto"/>
              <w:rPr>
                <w:szCs w:val="18"/>
                <w:lang w:eastAsia="en-US"/>
              </w:rPr>
            </w:pPr>
            <w:r w:rsidRPr="00D52F04">
              <w:rPr>
                <w:szCs w:val="18"/>
                <w:lang w:eastAsia="en-US"/>
              </w:rPr>
              <w:t>Datum</w:t>
            </w:r>
          </w:p>
        </w:tc>
        <w:tc>
          <w:tcPr>
            <w:tcW w:w="6581" w:type="dxa"/>
          </w:tcPr>
          <w:p w:rsidRPr="00D52F04" w:rsidR="0005404B" w:rsidP="00110591" w:rsidRDefault="007A5E47" w14:paraId="58B9B96D" w14:textId="79A1F5C8">
            <w:pPr>
              <w:spacing w:line="276" w:lineRule="auto"/>
              <w:rPr>
                <w:szCs w:val="18"/>
                <w:lang w:eastAsia="en-US"/>
              </w:rPr>
            </w:pPr>
            <w:r>
              <w:rPr>
                <w:szCs w:val="18"/>
                <w:lang w:eastAsia="en-US"/>
              </w:rPr>
              <w:t>26 juni 2026</w:t>
            </w:r>
          </w:p>
        </w:tc>
      </w:tr>
      <w:tr w:rsidRPr="00D52F04" w:rsidR="00341937" w:rsidTr="00FF66F9" w14:paraId="295B3ECE" w14:textId="77777777">
        <w:trPr>
          <w:trHeight w:val="368"/>
        </w:trPr>
        <w:tc>
          <w:tcPr>
            <w:tcW w:w="929" w:type="dxa"/>
          </w:tcPr>
          <w:p w:rsidRPr="00D52F04" w:rsidR="0005404B" w:rsidP="00110591" w:rsidRDefault="00694107" w14:paraId="1A9711A7" w14:textId="77777777">
            <w:pPr>
              <w:spacing w:line="276" w:lineRule="auto"/>
              <w:rPr>
                <w:szCs w:val="18"/>
                <w:lang w:eastAsia="en-US"/>
              </w:rPr>
            </w:pPr>
            <w:r w:rsidRPr="00D52F04">
              <w:rPr>
                <w:szCs w:val="18"/>
                <w:lang w:eastAsia="en-US"/>
              </w:rPr>
              <w:t>Betreft</w:t>
            </w:r>
          </w:p>
        </w:tc>
        <w:tc>
          <w:tcPr>
            <w:tcW w:w="6581" w:type="dxa"/>
          </w:tcPr>
          <w:p w:rsidRPr="00D52F04" w:rsidR="0005404B" w:rsidP="00110591" w:rsidRDefault="00694107" w14:paraId="308CEC8A" w14:textId="677A1257">
            <w:pPr>
              <w:spacing w:line="276" w:lineRule="auto"/>
              <w:rPr>
                <w:szCs w:val="18"/>
                <w:lang w:eastAsia="en-US"/>
              </w:rPr>
            </w:pPr>
            <w:r w:rsidRPr="00D52F04">
              <w:rPr>
                <w:szCs w:val="18"/>
                <w:lang w:eastAsia="en-US"/>
              </w:rPr>
              <w:t>Nadere uitwerking investeringen onderzoek en wetenschap</w:t>
            </w:r>
          </w:p>
        </w:tc>
      </w:tr>
    </w:tbl>
    <w:p w:rsidRPr="00D52F04" w:rsidR="00341937" w:rsidP="00110591" w:rsidRDefault="00341937" w14:paraId="2C85220E" w14:textId="728D0C6A">
      <w:pPr>
        <w:spacing w:line="276" w:lineRule="auto"/>
        <w:rPr>
          <w:szCs w:val="18"/>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D52F04" w:rsidR="00341937" w:rsidTr="00A421A1" w14:paraId="74C4E986" w14:textId="77777777">
        <w:tc>
          <w:tcPr>
            <w:tcW w:w="2160" w:type="dxa"/>
          </w:tcPr>
          <w:p w:rsidRPr="00D52F04" w:rsidR="006205C0" w:rsidP="00110591" w:rsidRDefault="00694107" w14:paraId="0A7835ED" w14:textId="77777777">
            <w:pPr>
              <w:pStyle w:val="Colofonkop"/>
              <w:framePr w:hSpace="0" w:wrap="auto" w:hAnchor="text" w:vAnchor="margin" w:xAlign="left" w:yAlign="inline"/>
              <w:spacing w:line="276" w:lineRule="auto"/>
              <w:rPr>
                <w:sz w:val="14"/>
                <w:szCs w:val="14"/>
              </w:rPr>
            </w:pPr>
            <w:r w:rsidRPr="00D52F04">
              <w:rPr>
                <w:sz w:val="14"/>
                <w:szCs w:val="14"/>
              </w:rPr>
              <w:t>Onderzoek en Wetenschapsbeleid</w:t>
            </w:r>
          </w:p>
          <w:p w:rsidRPr="00D52F04" w:rsidR="006205C0" w:rsidP="00110591" w:rsidRDefault="00694107" w14:paraId="40B97979" w14:textId="77777777">
            <w:pPr>
              <w:pStyle w:val="Huisstijl-Gegeven"/>
              <w:spacing w:after="0" w:line="276" w:lineRule="auto"/>
              <w:rPr>
                <w:sz w:val="14"/>
                <w:szCs w:val="14"/>
              </w:rPr>
            </w:pPr>
            <w:r w:rsidRPr="00D52F04">
              <w:rPr>
                <w:sz w:val="14"/>
                <w:szCs w:val="14"/>
              </w:rPr>
              <w:t xml:space="preserve">Rijnstraat 50 </w:t>
            </w:r>
          </w:p>
          <w:p w:rsidRPr="00D52F04" w:rsidR="004425A7" w:rsidP="00110591" w:rsidRDefault="00694107" w14:paraId="2675EF86" w14:textId="77777777">
            <w:pPr>
              <w:pStyle w:val="Huisstijl-Gegeven"/>
              <w:spacing w:after="0" w:line="276" w:lineRule="auto"/>
              <w:rPr>
                <w:sz w:val="14"/>
                <w:szCs w:val="14"/>
              </w:rPr>
            </w:pPr>
            <w:r w:rsidRPr="00D52F04">
              <w:rPr>
                <w:sz w:val="14"/>
                <w:szCs w:val="14"/>
              </w:rPr>
              <w:t>Den Haag</w:t>
            </w:r>
          </w:p>
          <w:p w:rsidRPr="00D52F04" w:rsidR="004425A7" w:rsidP="00110591" w:rsidRDefault="00694107" w14:paraId="1572B5FC" w14:textId="77777777">
            <w:pPr>
              <w:pStyle w:val="Huisstijl-Gegeven"/>
              <w:spacing w:after="0" w:line="276" w:lineRule="auto"/>
              <w:rPr>
                <w:sz w:val="14"/>
              </w:rPr>
            </w:pPr>
            <w:r w:rsidRPr="00D52F04">
              <w:rPr>
                <w:sz w:val="14"/>
              </w:rPr>
              <w:t>Postbus 16375</w:t>
            </w:r>
          </w:p>
          <w:p w:rsidRPr="00D52F04" w:rsidR="004425A7" w:rsidP="00110591" w:rsidRDefault="00694107" w14:paraId="6CBC30E7" w14:textId="77777777">
            <w:pPr>
              <w:pStyle w:val="Huisstijl-Gegeven"/>
              <w:spacing w:after="0" w:line="276" w:lineRule="auto"/>
              <w:rPr>
                <w:sz w:val="14"/>
              </w:rPr>
            </w:pPr>
            <w:r w:rsidRPr="00D52F04">
              <w:rPr>
                <w:sz w:val="14"/>
              </w:rPr>
              <w:t>2500 BJ Den Haag</w:t>
            </w:r>
          </w:p>
          <w:p w:rsidRPr="00D52F04" w:rsidR="004425A7" w:rsidP="00BA6D21" w:rsidRDefault="00694107" w14:paraId="0AACFC24" w14:textId="77777777">
            <w:pPr>
              <w:pStyle w:val="Huisstijl-Gegeven"/>
              <w:spacing w:after="0" w:line="276" w:lineRule="auto"/>
              <w:rPr>
                <w:sz w:val="14"/>
              </w:rPr>
            </w:pPr>
            <w:r w:rsidRPr="00D52F04">
              <w:rPr>
                <w:sz w:val="14"/>
              </w:rPr>
              <w:t>www.rijksoverheid.nl</w:t>
            </w:r>
          </w:p>
          <w:p w:rsidRPr="00D52F04" w:rsidR="006205C0" w:rsidP="00110591" w:rsidRDefault="00694107" w14:paraId="2951AC0C" w14:textId="77777777">
            <w:pPr>
              <w:spacing w:line="276" w:lineRule="auto"/>
              <w:rPr>
                <w:b/>
                <w:sz w:val="14"/>
                <w:szCs w:val="14"/>
              </w:rPr>
            </w:pPr>
            <w:r w:rsidRPr="00D52F04">
              <w:rPr>
                <w:b/>
                <w:sz w:val="14"/>
                <w:szCs w:val="14"/>
              </w:rPr>
              <w:t>Contactpersoon</w:t>
            </w:r>
          </w:p>
          <w:p w:rsidR="006205C0" w:rsidP="00110591" w:rsidRDefault="006205C0" w14:paraId="6A0F3B02" w14:textId="77777777">
            <w:pPr>
              <w:spacing w:line="276" w:lineRule="auto"/>
              <w:rPr>
                <w:sz w:val="14"/>
                <w:szCs w:val="14"/>
              </w:rPr>
            </w:pPr>
          </w:p>
          <w:p w:rsidRPr="00D52F04" w:rsidR="007A5E47" w:rsidP="00110591" w:rsidRDefault="007A5E47" w14:paraId="002DB6A8" w14:textId="6420FB48">
            <w:pPr>
              <w:spacing w:line="276" w:lineRule="auto"/>
              <w:rPr>
                <w:sz w:val="14"/>
                <w:szCs w:val="14"/>
              </w:rPr>
            </w:pPr>
          </w:p>
        </w:tc>
      </w:tr>
      <w:tr w:rsidRPr="00D52F04" w:rsidR="00341937" w:rsidTr="00A421A1" w14:paraId="446097F2" w14:textId="77777777">
        <w:trPr>
          <w:trHeight w:val="200" w:hRule="exact"/>
        </w:trPr>
        <w:tc>
          <w:tcPr>
            <w:tcW w:w="2160" w:type="dxa"/>
          </w:tcPr>
          <w:p w:rsidRPr="00D52F04" w:rsidR="006205C0" w:rsidP="00BA6D21" w:rsidRDefault="006205C0" w14:paraId="413FB71D" w14:textId="77777777">
            <w:pPr>
              <w:spacing w:line="276" w:lineRule="auto"/>
              <w:rPr>
                <w:sz w:val="14"/>
                <w:szCs w:val="14"/>
              </w:rPr>
            </w:pPr>
          </w:p>
        </w:tc>
      </w:tr>
      <w:tr w:rsidRPr="00D52F04" w:rsidR="00341937" w:rsidTr="00A421A1" w14:paraId="6A62047B" w14:textId="77777777">
        <w:trPr>
          <w:trHeight w:val="450"/>
        </w:trPr>
        <w:tc>
          <w:tcPr>
            <w:tcW w:w="2160" w:type="dxa"/>
          </w:tcPr>
          <w:p w:rsidRPr="00D52F04" w:rsidR="00F51A76" w:rsidP="00110591" w:rsidRDefault="00694107" w14:paraId="48B1F289" w14:textId="77777777">
            <w:pPr>
              <w:spacing w:line="276" w:lineRule="auto"/>
              <w:rPr>
                <w:b/>
                <w:sz w:val="14"/>
                <w:szCs w:val="14"/>
              </w:rPr>
            </w:pPr>
            <w:r w:rsidRPr="00D52F04">
              <w:rPr>
                <w:b/>
                <w:sz w:val="14"/>
                <w:szCs w:val="14"/>
              </w:rPr>
              <w:t>Onze referentie</w:t>
            </w:r>
          </w:p>
          <w:p w:rsidRPr="00D52F04" w:rsidR="006205C0" w:rsidP="00110591" w:rsidRDefault="00694107" w14:paraId="6DB24084" w14:textId="77777777">
            <w:pPr>
              <w:spacing w:line="276" w:lineRule="auto"/>
              <w:rPr>
                <w:sz w:val="14"/>
                <w:szCs w:val="14"/>
              </w:rPr>
            </w:pPr>
            <w:r w:rsidRPr="00A90D94">
              <w:rPr>
                <w:sz w:val="14"/>
                <w:szCs w:val="14"/>
              </w:rPr>
              <w:t>63853506</w:t>
            </w:r>
          </w:p>
        </w:tc>
      </w:tr>
      <w:tr w:rsidRPr="00D52F04" w:rsidR="00341937" w:rsidTr="00D130C0" w14:paraId="7F35F760" w14:textId="77777777">
        <w:trPr>
          <w:trHeight w:val="113"/>
        </w:trPr>
        <w:tc>
          <w:tcPr>
            <w:tcW w:w="2160" w:type="dxa"/>
          </w:tcPr>
          <w:p w:rsidRPr="00D52F04" w:rsidR="006205C0" w:rsidP="00110591" w:rsidRDefault="006205C0" w14:paraId="4D52DEB0" w14:textId="23F8108D">
            <w:pPr>
              <w:tabs>
                <w:tab w:val="center" w:pos="1080"/>
              </w:tabs>
              <w:spacing w:line="276" w:lineRule="auto"/>
              <w:rPr>
                <w:sz w:val="14"/>
                <w:szCs w:val="14"/>
              </w:rPr>
            </w:pPr>
          </w:p>
        </w:tc>
      </w:tr>
      <w:tr w:rsidRPr="00D52F04" w:rsidR="00341937" w:rsidTr="00D130C0" w14:paraId="067476C2" w14:textId="77777777">
        <w:trPr>
          <w:trHeight w:val="113"/>
        </w:trPr>
        <w:tc>
          <w:tcPr>
            <w:tcW w:w="2160" w:type="dxa"/>
          </w:tcPr>
          <w:p w:rsidRPr="00D52F04" w:rsidR="006205C0" w:rsidP="00BA6D21" w:rsidRDefault="006205C0" w14:paraId="54601E3A" w14:textId="77777777">
            <w:pPr>
              <w:spacing w:line="276" w:lineRule="auto"/>
              <w:rPr>
                <w:szCs w:val="18"/>
              </w:rPr>
            </w:pPr>
          </w:p>
        </w:tc>
      </w:tr>
    </w:tbl>
    <w:p w:rsidR="008D48EE" w:rsidP="008D48EE" w:rsidRDefault="00F568BB" w14:paraId="333C4E34" w14:textId="709E96A3">
      <w:r>
        <w:t>Onderzoek en wetenschap</w:t>
      </w:r>
      <w:r w:rsidRPr="00D52F04">
        <w:t xml:space="preserve"> </w:t>
      </w:r>
      <w:r>
        <w:t>dra</w:t>
      </w:r>
      <w:r w:rsidR="00CB74DE">
        <w:t>gen</w:t>
      </w:r>
      <w:r w:rsidRPr="00D52F04">
        <w:t xml:space="preserve"> op veel manieren bij aan de samenleving.</w:t>
      </w:r>
      <w:r w:rsidRPr="00D52F04">
        <w:rPr>
          <w:szCs w:val="18"/>
        </w:rPr>
        <w:t xml:space="preserve"> </w:t>
      </w:r>
      <w:r w:rsidRPr="008D48EE" w:rsidR="00D67683">
        <w:t xml:space="preserve">Wetenschap leert ons elkaar en de wereld om ons heen te begrijpen. Het helpt ons inzichten op te doen uit het verleden, om lessen te leren voor de toekomst. Wetenschappers zorgen voor belangrijke innovaties die ons leven en dat van generaties na ons steeds een beetje beter maken. </w:t>
      </w:r>
      <w:r w:rsidRPr="00D52F04">
        <w:rPr>
          <w:szCs w:val="18"/>
        </w:rPr>
        <w:t>Het kabinet wil dat Nederlandse wetenschap van toonaangevend niveau blijft en internationaal concurrerend is</w:t>
      </w:r>
      <w:r>
        <w:rPr>
          <w:szCs w:val="18"/>
        </w:rPr>
        <w:t xml:space="preserve">. </w:t>
      </w:r>
      <w:r w:rsidR="001A25D1">
        <w:rPr>
          <w:szCs w:val="18"/>
        </w:rPr>
        <w:t>Onderzoek</w:t>
      </w:r>
      <w:r w:rsidRPr="00D52F04">
        <w:rPr>
          <w:szCs w:val="18"/>
        </w:rPr>
        <w:t xml:space="preserve"> </w:t>
      </w:r>
      <w:r>
        <w:rPr>
          <w:szCs w:val="18"/>
        </w:rPr>
        <w:t xml:space="preserve">heeft drie belangrijke </w:t>
      </w:r>
      <w:r w:rsidR="001A25D1">
        <w:rPr>
          <w:szCs w:val="18"/>
        </w:rPr>
        <w:t>doelen</w:t>
      </w:r>
      <w:r>
        <w:rPr>
          <w:szCs w:val="18"/>
        </w:rPr>
        <w:t xml:space="preserve">: het ontwikkelen van nieuwe wetenschappelijke kennis, het </w:t>
      </w:r>
      <w:r w:rsidR="001A25D1">
        <w:rPr>
          <w:szCs w:val="18"/>
        </w:rPr>
        <w:t>overdragen</w:t>
      </w:r>
      <w:r>
        <w:rPr>
          <w:szCs w:val="18"/>
        </w:rPr>
        <w:t xml:space="preserve"> van de nieuwste kennis </w:t>
      </w:r>
      <w:r w:rsidR="001A25D1">
        <w:rPr>
          <w:szCs w:val="18"/>
        </w:rPr>
        <w:t xml:space="preserve">in </w:t>
      </w:r>
      <w:r>
        <w:rPr>
          <w:szCs w:val="18"/>
        </w:rPr>
        <w:t>het onderwijs</w:t>
      </w:r>
      <w:r w:rsidR="001A25D1">
        <w:rPr>
          <w:szCs w:val="18"/>
        </w:rPr>
        <w:t xml:space="preserve"> en het oplossen van </w:t>
      </w:r>
      <w:r w:rsidRPr="00D52F04">
        <w:rPr>
          <w:szCs w:val="18"/>
        </w:rPr>
        <w:t>maatschapp</w:t>
      </w:r>
      <w:r w:rsidR="001A25D1">
        <w:rPr>
          <w:szCs w:val="18"/>
        </w:rPr>
        <w:t>elijke vraagstukken</w:t>
      </w:r>
      <w:r w:rsidRPr="00D52F04">
        <w:rPr>
          <w:szCs w:val="18"/>
        </w:rPr>
        <w:t>.</w:t>
      </w:r>
      <w:r w:rsidRPr="00F568BB">
        <w:rPr>
          <w:szCs w:val="18"/>
        </w:rPr>
        <w:t xml:space="preserve"> </w:t>
      </w:r>
      <w:r w:rsidR="001A25D1">
        <w:rPr>
          <w:szCs w:val="18"/>
        </w:rPr>
        <w:t>Daarbij zijn a</w:t>
      </w:r>
      <w:r w:rsidRPr="001A25D1" w:rsidR="001A25D1">
        <w:rPr>
          <w:szCs w:val="18"/>
        </w:rPr>
        <w:t>lle wetenschapsgebieden en</w:t>
      </w:r>
      <w:r w:rsidR="001A25D1">
        <w:rPr>
          <w:szCs w:val="18"/>
        </w:rPr>
        <w:t xml:space="preserve"> alle</w:t>
      </w:r>
      <w:r w:rsidRPr="001A25D1" w:rsidR="001A25D1">
        <w:rPr>
          <w:szCs w:val="18"/>
        </w:rPr>
        <w:t xml:space="preserve"> soorten onderzoek</w:t>
      </w:r>
      <w:r w:rsidR="001A25D1">
        <w:rPr>
          <w:szCs w:val="18"/>
        </w:rPr>
        <w:t xml:space="preserve"> </w:t>
      </w:r>
      <w:r w:rsidRPr="001A25D1" w:rsidR="001A25D1">
        <w:rPr>
          <w:szCs w:val="18"/>
        </w:rPr>
        <w:t xml:space="preserve">belangrijk: ongebonden en thematisch, wetenschappelijk en praktijkgericht, fundamenteel en </w:t>
      </w:r>
      <w:r w:rsidR="001A25D1">
        <w:rPr>
          <w:szCs w:val="18"/>
        </w:rPr>
        <w:t>toegepast</w:t>
      </w:r>
      <w:r w:rsidRPr="001A25D1" w:rsidR="001A25D1">
        <w:rPr>
          <w:szCs w:val="18"/>
        </w:rPr>
        <w:t xml:space="preserve">. </w:t>
      </w:r>
      <w:r w:rsidR="002735F6">
        <w:rPr>
          <w:szCs w:val="18"/>
        </w:rPr>
        <w:t xml:space="preserve">Academische vrijheid en </w:t>
      </w:r>
      <w:r w:rsidR="002735F6">
        <w:t>o</w:t>
      </w:r>
      <w:r w:rsidRPr="008D48EE" w:rsidR="002735F6">
        <w:t xml:space="preserve">nafhankelijke wetenschap </w:t>
      </w:r>
      <w:r w:rsidR="002735F6">
        <w:t>zijn</w:t>
      </w:r>
      <w:r w:rsidRPr="008D48EE" w:rsidR="008D48EE">
        <w:t xml:space="preserve"> van groot belang voor een gezonde democratie. Daarom wil dit kabinet extra investeren in onderzoek en wetenschap.</w:t>
      </w:r>
    </w:p>
    <w:p w:rsidRPr="008D48EE" w:rsidR="008D48EE" w:rsidP="008D48EE" w:rsidRDefault="008D48EE" w14:paraId="2B90F509" w14:textId="77777777"/>
    <w:p w:rsidRPr="00D52F04" w:rsidR="0097130C" w:rsidP="0097130C" w:rsidRDefault="00F568BB" w14:paraId="38A3F91D" w14:textId="1E40528C">
      <w:pPr>
        <w:spacing w:line="276" w:lineRule="auto"/>
        <w:rPr>
          <w:szCs w:val="18"/>
        </w:rPr>
      </w:pPr>
      <w:r w:rsidRPr="00D52F04">
        <w:rPr>
          <w:szCs w:val="18"/>
        </w:rPr>
        <w:t xml:space="preserve">Met deze brief informeer ik u over de invulling van de hoofdlijnen die ik op 2 april 2026 tijdens het </w:t>
      </w:r>
      <w:proofErr w:type="spellStart"/>
      <w:r w:rsidRPr="00D52F04">
        <w:rPr>
          <w:szCs w:val="18"/>
        </w:rPr>
        <w:t>commissiedebat</w:t>
      </w:r>
      <w:proofErr w:type="spellEnd"/>
      <w:r w:rsidRPr="00D52F04">
        <w:rPr>
          <w:szCs w:val="18"/>
        </w:rPr>
        <w:t xml:space="preserve"> Onderzoeks- en Wetenschapsbeleid en op 24 april 2026 in mijn Beleidsbrief OCW heb aangekondigd.</w:t>
      </w:r>
      <w:r w:rsidRPr="00D52F04">
        <w:rPr>
          <w:rStyle w:val="Voetnootmarkering"/>
          <w:szCs w:val="18"/>
        </w:rPr>
        <w:footnoteReference w:id="1"/>
      </w:r>
      <w:r w:rsidR="002C4410">
        <w:rPr>
          <w:szCs w:val="18"/>
        </w:rPr>
        <w:t xml:space="preserve"> </w:t>
      </w:r>
      <w:r w:rsidRPr="00C104D9" w:rsidR="00C104D9">
        <w:rPr>
          <w:szCs w:val="18"/>
        </w:rPr>
        <w:t xml:space="preserve">Met de investeringen in onderzoek en wetenschap die de coalitiepartijen hebben afgesproken bewegen we richting de Lissabon-doelstelling om 3% van het bbp aan publieke en private </w:t>
      </w:r>
      <w:r w:rsidRPr="00DC25C3" w:rsidR="00C97369">
        <w:rPr>
          <w:i/>
          <w:iCs/>
          <w:szCs w:val="18"/>
        </w:rPr>
        <w:t xml:space="preserve">research </w:t>
      </w:r>
      <w:proofErr w:type="spellStart"/>
      <w:r w:rsidRPr="00DC25C3" w:rsidR="00C97369">
        <w:rPr>
          <w:i/>
          <w:iCs/>
          <w:szCs w:val="18"/>
        </w:rPr>
        <w:t>and</w:t>
      </w:r>
      <w:proofErr w:type="spellEnd"/>
      <w:r w:rsidRPr="00DC25C3" w:rsidR="00C97369">
        <w:rPr>
          <w:i/>
          <w:iCs/>
          <w:szCs w:val="18"/>
        </w:rPr>
        <w:t xml:space="preserve"> development</w:t>
      </w:r>
      <w:r w:rsidR="00C97369">
        <w:rPr>
          <w:szCs w:val="18"/>
        </w:rPr>
        <w:t xml:space="preserve"> (</w:t>
      </w:r>
      <w:r w:rsidRPr="00C104D9" w:rsidR="00C104D9">
        <w:rPr>
          <w:szCs w:val="18"/>
        </w:rPr>
        <w:t>R&amp;D</w:t>
      </w:r>
      <w:r w:rsidR="003F08F8">
        <w:rPr>
          <w:szCs w:val="18"/>
        </w:rPr>
        <w:t>)</w:t>
      </w:r>
      <w:r w:rsidRPr="00C104D9" w:rsidR="00C104D9">
        <w:rPr>
          <w:szCs w:val="18"/>
        </w:rPr>
        <w:t>-investeringen te besteden</w:t>
      </w:r>
      <w:r w:rsidRPr="00D52F04" w:rsidR="0097130C">
        <w:rPr>
          <w:szCs w:val="18"/>
        </w:rPr>
        <w:t xml:space="preserve">. </w:t>
      </w:r>
      <w:r w:rsidR="00D67683">
        <w:rPr>
          <w:szCs w:val="18"/>
        </w:rPr>
        <w:t xml:space="preserve">Het ministerie van Onderwijs, Cultuur en Wetenschap trekt per jaar ongeveer </w:t>
      </w:r>
      <w:r w:rsidRPr="00D52F04" w:rsidR="00AB5DEC">
        <w:rPr>
          <w:szCs w:val="18"/>
        </w:rPr>
        <w:t>€</w:t>
      </w:r>
      <w:r w:rsidR="00AB5DEC">
        <w:rPr>
          <w:szCs w:val="18"/>
        </w:rPr>
        <w:t xml:space="preserve"> </w:t>
      </w:r>
      <w:r w:rsidR="00D67683">
        <w:rPr>
          <w:szCs w:val="18"/>
        </w:rPr>
        <w:t xml:space="preserve">14 miljard uit voor het hoger onderwijs en wetenschap. Het </w:t>
      </w:r>
      <w:proofErr w:type="spellStart"/>
      <w:r w:rsidR="00D67683">
        <w:rPr>
          <w:szCs w:val="18"/>
        </w:rPr>
        <w:t>Rathenau</w:t>
      </w:r>
      <w:proofErr w:type="spellEnd"/>
      <w:r w:rsidR="00D67683">
        <w:rPr>
          <w:szCs w:val="18"/>
        </w:rPr>
        <w:t xml:space="preserve"> Instituut becijferde dat de bijdrage van de Rijksoverheid voor R</w:t>
      </w:r>
      <w:r w:rsidR="00D874C1">
        <w:rPr>
          <w:szCs w:val="18"/>
        </w:rPr>
        <w:t>&amp;</w:t>
      </w:r>
      <w:r w:rsidR="00D67683">
        <w:rPr>
          <w:szCs w:val="18"/>
        </w:rPr>
        <w:t xml:space="preserve">D in 2026 </w:t>
      </w:r>
      <w:r w:rsidRPr="00D52F04" w:rsidR="00AB5DEC">
        <w:rPr>
          <w:szCs w:val="18"/>
        </w:rPr>
        <w:t>€</w:t>
      </w:r>
      <w:r w:rsidR="00AB5DEC">
        <w:rPr>
          <w:szCs w:val="18"/>
        </w:rPr>
        <w:t xml:space="preserve"> </w:t>
      </w:r>
      <w:r w:rsidR="00D67683">
        <w:rPr>
          <w:szCs w:val="18"/>
        </w:rPr>
        <w:t>9</w:t>
      </w:r>
      <w:r w:rsidR="00D874C1">
        <w:rPr>
          <w:szCs w:val="18"/>
        </w:rPr>
        <w:t>,</w:t>
      </w:r>
      <w:r w:rsidR="00D67683">
        <w:rPr>
          <w:szCs w:val="18"/>
        </w:rPr>
        <w:t>6 miljard bedraagt.</w:t>
      </w:r>
      <w:r w:rsidR="00D67683">
        <w:rPr>
          <w:rStyle w:val="Voetnootmarkering"/>
          <w:szCs w:val="18"/>
        </w:rPr>
        <w:footnoteReference w:id="2"/>
      </w:r>
      <w:r w:rsidR="00D67683">
        <w:rPr>
          <w:szCs w:val="18"/>
        </w:rPr>
        <w:t xml:space="preserve"> Naast private investeringen is dit geld van het Rijk cruciaal voor ons systeem van kennisontwikkeling en onderzoek, dat van groot belang is voor het welzijn en </w:t>
      </w:r>
      <w:r w:rsidR="00D874C1">
        <w:rPr>
          <w:szCs w:val="18"/>
        </w:rPr>
        <w:t xml:space="preserve">de </w:t>
      </w:r>
      <w:r w:rsidR="00D67683">
        <w:rPr>
          <w:szCs w:val="18"/>
        </w:rPr>
        <w:t>welvaart van on</w:t>
      </w:r>
      <w:r w:rsidR="00D874C1">
        <w:rPr>
          <w:szCs w:val="18"/>
        </w:rPr>
        <w:t>ze</w:t>
      </w:r>
      <w:r w:rsidR="00D67683">
        <w:rPr>
          <w:szCs w:val="18"/>
        </w:rPr>
        <w:t xml:space="preserve"> samenleving. </w:t>
      </w:r>
      <w:r w:rsidRPr="00D52F04" w:rsidR="0097130C">
        <w:rPr>
          <w:szCs w:val="18"/>
        </w:rPr>
        <w:t xml:space="preserve">Ik heb in de beleidsbrief OCW aangekondigd structureel € 428 miljoen </w:t>
      </w:r>
      <w:r w:rsidR="00EB7B49">
        <w:rPr>
          <w:szCs w:val="18"/>
        </w:rPr>
        <w:t xml:space="preserve">extra </w:t>
      </w:r>
      <w:r w:rsidRPr="00D52F04" w:rsidR="0097130C">
        <w:rPr>
          <w:szCs w:val="18"/>
        </w:rPr>
        <w:t>te investeren in onderzoek en wetenschap. Om continuïteit en stabiliteit te bieden</w:t>
      </w:r>
      <w:r w:rsidR="00EB7B49">
        <w:rPr>
          <w:szCs w:val="18"/>
        </w:rPr>
        <w:t>, gebruik</w:t>
      </w:r>
      <w:r w:rsidRPr="00D52F04" w:rsidR="0097130C">
        <w:rPr>
          <w:szCs w:val="18"/>
        </w:rPr>
        <w:t xml:space="preserve"> ik vooral bestaand instrumentarium</w:t>
      </w:r>
      <w:r w:rsidR="00C76428">
        <w:rPr>
          <w:szCs w:val="18"/>
        </w:rPr>
        <w:t>:</w:t>
      </w:r>
      <w:r w:rsidRPr="00D52F04" w:rsidR="0097130C">
        <w:rPr>
          <w:szCs w:val="18"/>
        </w:rPr>
        <w:t xml:space="preserve"> </w:t>
      </w:r>
      <w:r w:rsidRPr="00D52F04" w:rsidR="0097130C">
        <w:rPr>
          <w:szCs w:val="18"/>
        </w:rPr>
        <w:lastRenderedPageBreak/>
        <w:t xml:space="preserve">sectorplannen, Europese samenwerking, </w:t>
      </w:r>
      <w:r w:rsidR="00C97369">
        <w:rPr>
          <w:szCs w:val="18"/>
        </w:rPr>
        <w:t xml:space="preserve">(toegepaste) </w:t>
      </w:r>
      <w:proofErr w:type="spellStart"/>
      <w:r w:rsidRPr="00D52F04" w:rsidR="0097130C">
        <w:rPr>
          <w:szCs w:val="18"/>
        </w:rPr>
        <w:t>onderzoeksinfrastructuur</w:t>
      </w:r>
      <w:proofErr w:type="spellEnd"/>
      <w:r w:rsidRPr="00D52F04" w:rsidR="0097130C">
        <w:rPr>
          <w:szCs w:val="18"/>
        </w:rPr>
        <w:t xml:space="preserve"> en praktijkgericht onderzoek. Ik </w:t>
      </w:r>
      <w:r w:rsidR="00C76428">
        <w:rPr>
          <w:szCs w:val="18"/>
        </w:rPr>
        <w:t>wil</w:t>
      </w:r>
      <w:r w:rsidRPr="00D52F04" w:rsidR="0097130C">
        <w:rPr>
          <w:szCs w:val="18"/>
        </w:rPr>
        <w:t xml:space="preserve"> de meest dringende knelpunten oplossen, excellentie en profilering van de kennisinstellingen bevorderen</w:t>
      </w:r>
      <w:r w:rsidR="001A25D1">
        <w:rPr>
          <w:szCs w:val="18"/>
        </w:rPr>
        <w:t>, samenwerking stimuleren</w:t>
      </w:r>
      <w:r w:rsidRPr="00D52F04" w:rsidR="0097130C">
        <w:rPr>
          <w:szCs w:val="18"/>
        </w:rPr>
        <w:t xml:space="preserve"> en de brede maatschappelijke en economische impact vergroten.</w:t>
      </w:r>
    </w:p>
    <w:p w:rsidRPr="00D52F04" w:rsidR="0097130C" w:rsidP="0097130C" w:rsidRDefault="0097130C" w14:paraId="05989672" w14:textId="77777777">
      <w:pPr>
        <w:spacing w:line="276" w:lineRule="auto"/>
        <w:rPr>
          <w:szCs w:val="18"/>
        </w:rPr>
      </w:pPr>
    </w:p>
    <w:p w:rsidRPr="00D52F04" w:rsidR="0097130C" w:rsidP="0097130C" w:rsidRDefault="00F568BB" w14:paraId="5F4E72AE" w14:textId="25F46723">
      <w:pPr>
        <w:spacing w:line="276" w:lineRule="auto"/>
        <w:rPr>
          <w:szCs w:val="18"/>
        </w:rPr>
      </w:pPr>
      <w:r w:rsidRPr="00D52F04">
        <w:rPr>
          <w:szCs w:val="18"/>
        </w:rPr>
        <w:t>Onderzoek en wetenschap helpen Nederland vooruit. De samenleving staat voor grote uitdagingen op het gebied van veiligheid, klimaat</w:t>
      </w:r>
      <w:r w:rsidR="00C97369">
        <w:rPr>
          <w:szCs w:val="18"/>
        </w:rPr>
        <w:t>, milieu</w:t>
      </w:r>
      <w:r w:rsidRPr="00D52F04">
        <w:rPr>
          <w:szCs w:val="18"/>
        </w:rPr>
        <w:t xml:space="preserve"> en gezondheid. Daarnaast staan de concurrentiekracht en de strategische autonomie van Nederland en Europa onder druk en neemt de arbeidsproductiviteit nauwelijks toe.</w:t>
      </w:r>
      <w:r w:rsidRPr="00D52F04">
        <w:rPr>
          <w:rStyle w:val="Voetnootmarkering"/>
          <w:szCs w:val="18"/>
        </w:rPr>
        <w:footnoteReference w:id="3"/>
      </w:r>
      <w:r w:rsidRPr="00D52F04">
        <w:rPr>
          <w:szCs w:val="18"/>
          <w:vertAlign w:val="superscript"/>
        </w:rPr>
        <w:t>,</w:t>
      </w:r>
      <w:r w:rsidRPr="00D52F04">
        <w:rPr>
          <w:rStyle w:val="Voetnootmarkering"/>
          <w:szCs w:val="18"/>
        </w:rPr>
        <w:footnoteReference w:id="4"/>
      </w:r>
      <w:r w:rsidRPr="00D52F04">
        <w:rPr>
          <w:szCs w:val="18"/>
        </w:rPr>
        <w:t xml:space="preserve"> Universiteiten, hogescholen en andere onderzoeksinstellingen werken aan deze en andere grote vraagstukken van vandaag en morgen. </w:t>
      </w:r>
      <w:r w:rsidR="003F08F8">
        <w:rPr>
          <w:szCs w:val="18"/>
        </w:rPr>
        <w:t>K</w:t>
      </w:r>
      <w:r w:rsidRPr="00D52F04" w:rsidR="0097130C">
        <w:rPr>
          <w:szCs w:val="18"/>
        </w:rPr>
        <w:t>ennisinstellingen</w:t>
      </w:r>
      <w:r w:rsidR="003F08F8">
        <w:rPr>
          <w:szCs w:val="18"/>
        </w:rPr>
        <w:t xml:space="preserve"> in Nederland en in het Caribisch deel van het Koninkrijk</w:t>
      </w:r>
      <w:r w:rsidRPr="00D52F04" w:rsidR="0097130C">
        <w:rPr>
          <w:szCs w:val="18"/>
        </w:rPr>
        <w:t xml:space="preserve"> zijn schakels </w:t>
      </w:r>
      <w:r w:rsidR="00DB44B2">
        <w:rPr>
          <w:szCs w:val="18"/>
        </w:rPr>
        <w:t>in</w:t>
      </w:r>
      <w:r w:rsidRPr="00D52F04" w:rsidR="00DB44B2">
        <w:rPr>
          <w:szCs w:val="18"/>
        </w:rPr>
        <w:t xml:space="preserve"> </w:t>
      </w:r>
      <w:r w:rsidRPr="00D52F04" w:rsidR="0097130C">
        <w:rPr>
          <w:szCs w:val="18"/>
        </w:rPr>
        <w:t>regionale, nationale en internationale kennisnetwerken. Daarbinnen werken zij samen met de (lokale) overheid, maatschappelijke organisaties en</w:t>
      </w:r>
      <w:r w:rsidR="009931EE">
        <w:rPr>
          <w:szCs w:val="18"/>
        </w:rPr>
        <w:t xml:space="preserve"> bedrijven</w:t>
      </w:r>
      <w:r w:rsidRPr="00D52F04" w:rsidR="0097130C">
        <w:rPr>
          <w:szCs w:val="18"/>
        </w:rPr>
        <w:t>. Door samen</w:t>
      </w:r>
      <w:r w:rsidR="00C76428">
        <w:rPr>
          <w:szCs w:val="18"/>
        </w:rPr>
        <w:t xml:space="preserve"> te </w:t>
      </w:r>
      <w:r w:rsidRPr="00D52F04" w:rsidR="0097130C">
        <w:rPr>
          <w:szCs w:val="18"/>
        </w:rPr>
        <w:t>werk</w:t>
      </w:r>
      <w:r w:rsidR="00C76428">
        <w:rPr>
          <w:szCs w:val="18"/>
        </w:rPr>
        <w:t xml:space="preserve">en </w:t>
      </w:r>
      <w:r w:rsidR="00D874C1">
        <w:rPr>
          <w:szCs w:val="18"/>
        </w:rPr>
        <w:t>heeft</w:t>
      </w:r>
      <w:r w:rsidR="00C76428">
        <w:rPr>
          <w:szCs w:val="18"/>
        </w:rPr>
        <w:t xml:space="preserve"> hun onderzoek</w:t>
      </w:r>
      <w:r w:rsidRPr="00D52F04" w:rsidR="0097130C">
        <w:rPr>
          <w:szCs w:val="18"/>
        </w:rPr>
        <w:t xml:space="preserve"> </w:t>
      </w:r>
      <w:r w:rsidR="00585943">
        <w:rPr>
          <w:szCs w:val="18"/>
        </w:rPr>
        <w:t xml:space="preserve">nog </w:t>
      </w:r>
      <w:r w:rsidRPr="00D52F04" w:rsidR="0097130C">
        <w:rPr>
          <w:szCs w:val="18"/>
        </w:rPr>
        <w:t>meer impact.</w:t>
      </w:r>
    </w:p>
    <w:p w:rsidRPr="00D52F04" w:rsidR="0097130C" w:rsidP="0097130C" w:rsidRDefault="0097130C" w14:paraId="5F925806" w14:textId="77777777">
      <w:pPr>
        <w:spacing w:line="276" w:lineRule="auto"/>
        <w:rPr>
          <w:szCs w:val="18"/>
        </w:rPr>
      </w:pPr>
    </w:p>
    <w:p w:rsidRPr="00D52F04" w:rsidR="0097130C" w:rsidP="0097130C" w:rsidRDefault="0097130C" w14:paraId="0EA2297E" w14:textId="78C27945">
      <w:pPr>
        <w:spacing w:line="276" w:lineRule="auto"/>
        <w:rPr>
          <w:szCs w:val="18"/>
        </w:rPr>
      </w:pPr>
      <w:r w:rsidRPr="00D52F04">
        <w:rPr>
          <w:szCs w:val="18"/>
        </w:rPr>
        <w:t xml:space="preserve">Het kabinet </w:t>
      </w:r>
      <w:r w:rsidR="003F08F8">
        <w:rPr>
          <w:szCs w:val="18"/>
        </w:rPr>
        <w:t>wil</w:t>
      </w:r>
      <w:r w:rsidRPr="00D52F04">
        <w:rPr>
          <w:szCs w:val="18"/>
        </w:rPr>
        <w:t xml:space="preserve"> goed voorbereid zijn op de toekomst. </w:t>
      </w:r>
      <w:r w:rsidR="00C232EC">
        <w:rPr>
          <w:szCs w:val="18"/>
        </w:rPr>
        <w:t>H</w:t>
      </w:r>
      <w:r w:rsidRPr="00D52F04" w:rsidR="00C232EC">
        <w:rPr>
          <w:szCs w:val="18"/>
        </w:rPr>
        <w:t xml:space="preserve">et kabinet </w:t>
      </w:r>
      <w:r w:rsidR="00C232EC">
        <w:rPr>
          <w:szCs w:val="18"/>
        </w:rPr>
        <w:t xml:space="preserve">werkt </w:t>
      </w:r>
      <w:r w:rsidRPr="00D52F04" w:rsidR="00C232EC">
        <w:rPr>
          <w:szCs w:val="18"/>
        </w:rPr>
        <w:t>aan</w:t>
      </w:r>
      <w:r w:rsidR="00C232EC">
        <w:rPr>
          <w:szCs w:val="18"/>
        </w:rPr>
        <w:t xml:space="preserve"> een sterke economie en een fijn land om te leven</w:t>
      </w:r>
      <w:r w:rsidRPr="00D52F04" w:rsidR="00C232EC">
        <w:rPr>
          <w:szCs w:val="18"/>
        </w:rPr>
        <w:t xml:space="preserve"> </w:t>
      </w:r>
      <w:r w:rsidR="00C232EC">
        <w:rPr>
          <w:szCs w:val="18"/>
        </w:rPr>
        <w:t>v</w:t>
      </w:r>
      <w:r w:rsidRPr="00D52F04" w:rsidR="00C232EC">
        <w:rPr>
          <w:szCs w:val="18"/>
        </w:rPr>
        <w:t xml:space="preserve">ia </w:t>
      </w:r>
      <w:r w:rsidRPr="00D52F04">
        <w:rPr>
          <w:szCs w:val="18"/>
        </w:rPr>
        <w:t>onder meer de Taskforce Toekomstige Welvaart en Vestigingsklimaat</w:t>
      </w:r>
      <w:r w:rsidR="002958B2">
        <w:rPr>
          <w:szCs w:val="18"/>
        </w:rPr>
        <w:t xml:space="preserve"> (TTWV)</w:t>
      </w:r>
      <w:r w:rsidR="00C104D9">
        <w:rPr>
          <w:szCs w:val="18"/>
        </w:rPr>
        <w:t>.</w:t>
      </w:r>
      <w:r w:rsidR="00F07628">
        <w:rPr>
          <w:rStyle w:val="Voetnootmarkering"/>
          <w:szCs w:val="18"/>
        </w:rPr>
        <w:footnoteReference w:id="5"/>
      </w:r>
      <w:r w:rsidR="00C104D9">
        <w:rPr>
          <w:szCs w:val="18"/>
        </w:rPr>
        <w:t xml:space="preserve"> </w:t>
      </w:r>
      <w:r w:rsidR="00D47D99">
        <w:rPr>
          <w:szCs w:val="18"/>
        </w:rPr>
        <w:t>O</w:t>
      </w:r>
      <w:r w:rsidRPr="00D52F04" w:rsidR="00D47D99">
        <w:rPr>
          <w:szCs w:val="18"/>
        </w:rPr>
        <w:t>m ervoor te zorgen dat we onder andere toptalent in Nederland opleiden, behouden en aantrekken</w:t>
      </w:r>
      <w:r w:rsidR="00D874C1">
        <w:rPr>
          <w:szCs w:val="18"/>
        </w:rPr>
        <w:t>,</w:t>
      </w:r>
      <w:r w:rsidR="00D47D99">
        <w:rPr>
          <w:szCs w:val="18"/>
        </w:rPr>
        <w:t xml:space="preserve"> ontwikkel ik s</w:t>
      </w:r>
      <w:r w:rsidRPr="00D52F04" w:rsidR="00D47D99">
        <w:rPr>
          <w:szCs w:val="18"/>
        </w:rPr>
        <w:t xml:space="preserve">amen </w:t>
      </w:r>
      <w:r w:rsidRPr="00D52F04">
        <w:rPr>
          <w:szCs w:val="18"/>
        </w:rPr>
        <w:t xml:space="preserve">met de ministers van EZK en SZW </w:t>
      </w:r>
      <w:r w:rsidR="001A25D1">
        <w:rPr>
          <w:szCs w:val="18"/>
        </w:rPr>
        <w:t>e</w:t>
      </w:r>
      <w:r w:rsidRPr="00D52F04">
        <w:rPr>
          <w:szCs w:val="18"/>
        </w:rPr>
        <w:t xml:space="preserve">en talentstrategie. Samen met mijn collega van EZK versterk ik de gehele keten van onderzoek en innovatie. </w:t>
      </w:r>
      <w:r w:rsidRPr="008917AF" w:rsidR="008917AF">
        <w:rPr>
          <w:szCs w:val="18"/>
        </w:rPr>
        <w:t>De minister van EZK heeft u via de beleidsbrief Economische Zaken en Klimaat (EZK)</w:t>
      </w:r>
      <w:r w:rsidR="008917AF">
        <w:rPr>
          <w:szCs w:val="18"/>
        </w:rPr>
        <w:t xml:space="preserve"> </w:t>
      </w:r>
      <w:r w:rsidRPr="008917AF" w:rsidR="008917AF">
        <w:rPr>
          <w:szCs w:val="18"/>
        </w:rPr>
        <w:t>geïnformeerd over de contouren.</w:t>
      </w:r>
      <w:r w:rsidR="008917AF">
        <w:rPr>
          <w:rStyle w:val="Voetnootmarkering"/>
          <w:szCs w:val="18"/>
        </w:rPr>
        <w:footnoteReference w:id="6"/>
      </w:r>
      <w:r w:rsidR="008917AF">
        <w:rPr>
          <w:szCs w:val="18"/>
        </w:rPr>
        <w:t xml:space="preserve"> </w:t>
      </w:r>
      <w:r w:rsidR="009931EE">
        <w:rPr>
          <w:szCs w:val="18"/>
        </w:rPr>
        <w:t>I</w:t>
      </w:r>
      <w:r w:rsidRPr="00D52F04">
        <w:rPr>
          <w:szCs w:val="18"/>
        </w:rPr>
        <w:t xml:space="preserve">k </w:t>
      </w:r>
      <w:r w:rsidR="009931EE">
        <w:rPr>
          <w:szCs w:val="18"/>
        </w:rPr>
        <w:t xml:space="preserve">ben </w:t>
      </w:r>
      <w:r w:rsidRPr="00D52F04">
        <w:rPr>
          <w:szCs w:val="18"/>
        </w:rPr>
        <w:t xml:space="preserve">met mijn collega’s van Defensie en EZK in gesprek over randvoorwaarden die nodig zijn voor kennisinstellingen om beter aan te sluiten bij de kennis- en innovatieketen voor defensie-gerelateerd onderzoek. </w:t>
      </w:r>
      <w:r w:rsidR="00C15040">
        <w:rPr>
          <w:szCs w:val="18"/>
        </w:rPr>
        <w:t xml:space="preserve">Voor de kennis die nodig is voor </w:t>
      </w:r>
      <w:r w:rsidRPr="00D52F04" w:rsidR="00C15040">
        <w:rPr>
          <w:szCs w:val="18"/>
        </w:rPr>
        <w:t xml:space="preserve">onze nationale veiligheid, onze weerbaarheid, de strategische autonomie en concurrentiepositie van Nederland </w:t>
      </w:r>
      <w:r w:rsidR="00C15040">
        <w:rPr>
          <w:szCs w:val="18"/>
        </w:rPr>
        <w:t>levert d</w:t>
      </w:r>
      <w:r w:rsidRPr="00D52F04">
        <w:rPr>
          <w:szCs w:val="18"/>
        </w:rPr>
        <w:t>e samenwerking tussen kennisinstellingen en defensie namelijk een belangrijke bijdrage</w:t>
      </w:r>
      <w:r w:rsidR="00C15040">
        <w:rPr>
          <w:szCs w:val="18"/>
        </w:rPr>
        <w:t>.</w:t>
      </w:r>
    </w:p>
    <w:p w:rsidR="003172BA" w:rsidP="00110591" w:rsidRDefault="003172BA" w14:paraId="1565441B" w14:textId="77777777">
      <w:pPr>
        <w:spacing w:line="276" w:lineRule="auto"/>
        <w:rPr>
          <w:rFonts w:cs="Calibri"/>
          <w:szCs w:val="18"/>
        </w:rPr>
      </w:pPr>
    </w:p>
    <w:p w:rsidRPr="00CB74DE" w:rsidR="000F3861" w:rsidP="00110591" w:rsidRDefault="000F3861" w14:paraId="17861A83" w14:textId="37A01B15">
      <w:pPr>
        <w:spacing w:line="276" w:lineRule="auto"/>
        <w:rPr>
          <w:rFonts w:cs="Calibri"/>
          <w:i/>
          <w:iCs/>
          <w:szCs w:val="18"/>
        </w:rPr>
      </w:pPr>
      <w:r>
        <w:rPr>
          <w:rFonts w:cs="Calibri"/>
          <w:i/>
          <w:iCs/>
          <w:szCs w:val="18"/>
        </w:rPr>
        <w:t>Terugdraaien bezuinigingen</w:t>
      </w:r>
    </w:p>
    <w:p w:rsidRPr="00D52F04" w:rsidR="00110591" w:rsidP="00CF7419" w:rsidRDefault="00B623E5" w14:paraId="34415116" w14:textId="6B5EA183">
      <w:pPr>
        <w:spacing w:line="276" w:lineRule="auto"/>
      </w:pPr>
      <w:r w:rsidRPr="00D52F04">
        <w:t xml:space="preserve">Omdat ik </w:t>
      </w:r>
      <w:r w:rsidRPr="00D52F04" w:rsidR="00CA510F">
        <w:t xml:space="preserve">waarde </w:t>
      </w:r>
      <w:r w:rsidRPr="00D52F04">
        <w:t xml:space="preserve">hecht aan continuïteit en stabiliteit investeer ik tot en met 2031 cumulatief € 378 miljoen in de eerste geldstroom van universiteiten voor het </w:t>
      </w:r>
      <w:r w:rsidR="000F3861">
        <w:t>terugbrengen</w:t>
      </w:r>
      <w:r w:rsidRPr="00D52F04" w:rsidR="000F3861">
        <w:t xml:space="preserve"> </w:t>
      </w:r>
      <w:r w:rsidRPr="00D52F04">
        <w:t>van de werkdruk.</w:t>
      </w:r>
      <w:r w:rsidRPr="00D52F04" w:rsidR="00822884">
        <w:t xml:space="preserve"> Dit is een belangrijk knelpunt </w:t>
      </w:r>
      <w:r w:rsidRPr="00D52F04" w:rsidR="00BF5174">
        <w:t xml:space="preserve">in </w:t>
      </w:r>
      <w:r w:rsidRPr="00D52F04" w:rsidR="00722AE3">
        <w:t xml:space="preserve">de </w:t>
      </w:r>
      <w:proofErr w:type="spellStart"/>
      <w:r w:rsidRPr="00D52F04" w:rsidR="00722AE3">
        <w:t>onderzoekscultuur</w:t>
      </w:r>
      <w:proofErr w:type="spellEnd"/>
      <w:r w:rsidRPr="00D52F04" w:rsidR="00722AE3">
        <w:t>.</w:t>
      </w:r>
      <w:r w:rsidRPr="00D52F04" w:rsidR="00822884">
        <w:t xml:space="preserve"> </w:t>
      </w:r>
      <w:r w:rsidRPr="00D52F04">
        <w:t xml:space="preserve">Hiermee draai ik de bezuiniging </w:t>
      </w:r>
      <w:r w:rsidRPr="00D52F04" w:rsidR="00187471">
        <w:t>van</w:t>
      </w:r>
      <w:r w:rsidR="002958B2">
        <w:t xml:space="preserve"> het</w:t>
      </w:r>
      <w:r w:rsidRPr="00D52F04" w:rsidR="00187471">
        <w:t xml:space="preserve"> </w:t>
      </w:r>
      <w:r w:rsidR="002958B2">
        <w:t>k</w:t>
      </w:r>
      <w:r w:rsidRPr="00D52F04" w:rsidR="00187471">
        <w:t xml:space="preserve">abinet-Schoof </w:t>
      </w:r>
      <w:r w:rsidRPr="00D52F04">
        <w:t>op de stimuleringsbeurzen terug zonder het instrument te herintroduceren.</w:t>
      </w:r>
      <w:r w:rsidR="00EB7B49">
        <w:t xml:space="preserve"> </w:t>
      </w:r>
      <w:r w:rsidRPr="00D52F04" w:rsidR="002652D1">
        <w:t xml:space="preserve">Universiteiten kunnen </w:t>
      </w:r>
      <w:r w:rsidR="003F08F8">
        <w:t>deze investering</w:t>
      </w:r>
      <w:r w:rsidRPr="00D52F04" w:rsidR="003F08F8">
        <w:t xml:space="preserve"> </w:t>
      </w:r>
      <w:r w:rsidRPr="00D52F04" w:rsidR="002652D1">
        <w:t>naar eigen inzicht besteden.</w:t>
      </w:r>
      <w:r w:rsidRPr="00D52F04" w:rsidR="00FA5A33">
        <w:t xml:space="preserve"> Zoals ik in mijn beleid</w:t>
      </w:r>
      <w:r w:rsidR="009931EE">
        <w:t>s</w:t>
      </w:r>
      <w:r w:rsidRPr="00D52F04" w:rsidR="00FA5A33">
        <w:t xml:space="preserve">brief heb aangegeven, is het daarna aan de instellingen om een gezonde </w:t>
      </w:r>
      <w:proofErr w:type="spellStart"/>
      <w:r w:rsidRPr="00D52F04" w:rsidR="00FA5A33">
        <w:t>onderzoekscultuur</w:t>
      </w:r>
      <w:proofErr w:type="spellEnd"/>
      <w:r w:rsidRPr="00D52F04" w:rsidR="00FA5A33">
        <w:t xml:space="preserve"> </w:t>
      </w:r>
      <w:r w:rsidR="003F08F8">
        <w:t>te behouden</w:t>
      </w:r>
      <w:r w:rsidRPr="00D52F04" w:rsidR="00FA5A33">
        <w:t>.</w:t>
      </w:r>
      <w:r w:rsidRPr="00D52F04">
        <w:t xml:space="preserve"> Met </w:t>
      </w:r>
      <w:r w:rsidRPr="00D52F04" w:rsidR="00420E14">
        <w:t xml:space="preserve">de </w:t>
      </w:r>
      <w:r w:rsidRPr="00D52F04">
        <w:t>amendement</w:t>
      </w:r>
      <w:r w:rsidRPr="00D52F04" w:rsidR="00420E14">
        <w:t>en</w:t>
      </w:r>
      <w:r w:rsidRPr="00D52F04">
        <w:t xml:space="preserve"> Eerdmans c.s. </w:t>
      </w:r>
      <w:r w:rsidRPr="00D52F04" w:rsidR="00420E14">
        <w:t>en Bontenbal c.s</w:t>
      </w:r>
      <w:r w:rsidR="00C232EC">
        <w:t>.</w:t>
      </w:r>
      <w:r w:rsidRPr="00D52F04" w:rsidR="00420E14">
        <w:t xml:space="preserve"> </w:t>
      </w:r>
      <w:r w:rsidR="003F08F8">
        <w:t>is</w:t>
      </w:r>
      <w:r w:rsidRPr="00D52F04" w:rsidR="003F08F8">
        <w:t xml:space="preserve"> </w:t>
      </w:r>
      <w:r w:rsidRPr="00D52F04">
        <w:t xml:space="preserve">al eerder een deel van de bezuinigingen van </w:t>
      </w:r>
      <w:r w:rsidRPr="00D52F04" w:rsidR="00D35F2E">
        <w:t>het kabinet-Schoof</w:t>
      </w:r>
      <w:r w:rsidRPr="00D52F04" w:rsidR="009D37FD">
        <w:t xml:space="preserve"> </w:t>
      </w:r>
      <w:r w:rsidRPr="00D52F04">
        <w:t>op onderzoek en wetenschap ongedaan gemaakt.</w:t>
      </w:r>
      <w:r w:rsidRPr="00D52F04" w:rsidR="00420E14">
        <w:rPr>
          <w:rStyle w:val="Voetnootmarkering"/>
        </w:rPr>
        <w:footnoteReference w:id="7"/>
      </w:r>
      <w:r w:rsidRPr="00D52F04">
        <w:t xml:space="preserve"> </w:t>
      </w:r>
      <w:r w:rsidR="00EB7B49">
        <w:t xml:space="preserve">Ook </w:t>
      </w:r>
      <w:r w:rsidRPr="00D52F04">
        <w:t xml:space="preserve">investeer ik tot en met 2031 cumulatief € 50 miljoen in de </w:t>
      </w:r>
      <w:r w:rsidRPr="00D52F04" w:rsidR="00CF7419">
        <w:t xml:space="preserve">reguliere bekostiging </w:t>
      </w:r>
      <w:r w:rsidRPr="00D52F04">
        <w:t xml:space="preserve">van NWO. </w:t>
      </w:r>
      <w:r w:rsidRPr="00D52F04" w:rsidR="00E02998">
        <w:t xml:space="preserve">Hiermee </w:t>
      </w:r>
      <w:r w:rsidRPr="00D52F04" w:rsidR="00E02998">
        <w:lastRenderedPageBreak/>
        <w:t xml:space="preserve">draai ik ook een tijdelijke bezuiniging van het kabinet-Schoof op onder andere de Open Competitie, </w:t>
      </w:r>
      <w:proofErr w:type="spellStart"/>
      <w:r w:rsidRPr="00D52F04" w:rsidR="00E02998">
        <w:t>onderzoeksinfrastructuur</w:t>
      </w:r>
      <w:proofErr w:type="spellEnd"/>
      <w:r w:rsidRPr="00D52F04" w:rsidR="00E02998">
        <w:t xml:space="preserve"> en Europese </w:t>
      </w:r>
      <w:r w:rsidR="00D874C1">
        <w:t>p</w:t>
      </w:r>
      <w:r w:rsidRPr="00D52F04" w:rsidR="00E02998">
        <w:t xml:space="preserve">artnerschappen terug. </w:t>
      </w:r>
    </w:p>
    <w:p w:rsidR="003238D5" w:rsidP="00110591" w:rsidRDefault="003238D5" w14:paraId="2967697E" w14:textId="77777777">
      <w:pPr>
        <w:spacing w:line="276" w:lineRule="auto"/>
        <w:rPr>
          <w:rFonts w:cs="Calibri"/>
          <w:i/>
          <w:iCs/>
          <w:szCs w:val="18"/>
        </w:rPr>
      </w:pPr>
    </w:p>
    <w:p w:rsidRPr="00D52F04" w:rsidR="00110591" w:rsidP="00110591" w:rsidRDefault="00E14BC3" w14:paraId="70F5A9AF" w14:textId="09980E40">
      <w:pPr>
        <w:spacing w:line="276" w:lineRule="auto"/>
        <w:rPr>
          <w:rFonts w:cs="Calibri"/>
          <w:i/>
          <w:iCs/>
          <w:szCs w:val="18"/>
        </w:rPr>
      </w:pPr>
      <w:r w:rsidRPr="00D52F04">
        <w:rPr>
          <w:rFonts w:cs="Calibri"/>
          <w:i/>
          <w:iCs/>
          <w:szCs w:val="18"/>
        </w:rPr>
        <w:t>Sectorplannen</w:t>
      </w:r>
    </w:p>
    <w:p w:rsidRPr="00D52F04" w:rsidR="00110591" w:rsidP="00110591" w:rsidRDefault="00110591" w14:paraId="1B7B83F4" w14:textId="68929DDC">
      <w:pPr>
        <w:spacing w:line="276" w:lineRule="auto"/>
        <w:rPr>
          <w:rFonts w:cs="Calibri"/>
          <w:szCs w:val="18"/>
        </w:rPr>
      </w:pPr>
      <w:r w:rsidRPr="00D52F04">
        <w:rPr>
          <w:rFonts w:cs="Calibri"/>
          <w:szCs w:val="18"/>
        </w:rPr>
        <w:t xml:space="preserve">In het coalitieakkoord </w:t>
      </w:r>
      <w:r w:rsidR="000F3861">
        <w:rPr>
          <w:rFonts w:cs="Calibri"/>
          <w:szCs w:val="18"/>
        </w:rPr>
        <w:t>staat</w:t>
      </w:r>
      <w:r w:rsidRPr="00D52F04" w:rsidR="000F3861">
        <w:rPr>
          <w:rFonts w:cs="Calibri"/>
          <w:szCs w:val="18"/>
        </w:rPr>
        <w:t xml:space="preserve"> </w:t>
      </w:r>
      <w:r w:rsidRPr="00D52F04">
        <w:rPr>
          <w:rFonts w:cs="Calibri"/>
          <w:szCs w:val="18"/>
        </w:rPr>
        <w:t>de ambitie dat we meer samenwerking en specialisatie van universiteiten vragen en minder concurrentie</w:t>
      </w:r>
      <w:r w:rsidR="00D874C1">
        <w:rPr>
          <w:rFonts w:cs="Calibri"/>
          <w:szCs w:val="18"/>
        </w:rPr>
        <w:t xml:space="preserve"> willen</w:t>
      </w:r>
      <w:r w:rsidRPr="00D52F04">
        <w:rPr>
          <w:rFonts w:cs="Calibri"/>
          <w:szCs w:val="18"/>
        </w:rPr>
        <w:t xml:space="preserve">. Profilering </w:t>
      </w:r>
      <w:r w:rsidR="003F08F8">
        <w:rPr>
          <w:rFonts w:cs="Calibri"/>
          <w:szCs w:val="18"/>
        </w:rPr>
        <w:t>zorgt</w:t>
      </w:r>
      <w:r w:rsidRPr="00D52F04">
        <w:rPr>
          <w:rFonts w:cs="Calibri"/>
          <w:szCs w:val="18"/>
        </w:rPr>
        <w:t xml:space="preserve"> dat universiteiten</w:t>
      </w:r>
      <w:r w:rsidRPr="00D52F04" w:rsidR="003166C1">
        <w:rPr>
          <w:rFonts w:cs="Calibri"/>
          <w:szCs w:val="18"/>
        </w:rPr>
        <w:t xml:space="preserve"> elkaar</w:t>
      </w:r>
      <w:r w:rsidRPr="00D52F04">
        <w:rPr>
          <w:rFonts w:cs="Calibri"/>
          <w:szCs w:val="18"/>
        </w:rPr>
        <w:t xml:space="preserve"> in hun onderzoek aanvullen</w:t>
      </w:r>
      <w:r w:rsidRPr="00D52F04" w:rsidR="00D00300">
        <w:rPr>
          <w:rFonts w:cs="Calibri"/>
          <w:szCs w:val="18"/>
        </w:rPr>
        <w:t xml:space="preserve"> </w:t>
      </w:r>
      <w:r w:rsidRPr="00D52F04" w:rsidR="004427A2">
        <w:rPr>
          <w:rFonts w:cs="Calibri"/>
          <w:szCs w:val="18"/>
        </w:rPr>
        <w:t>en minder met elkaar concurreren</w:t>
      </w:r>
      <w:r w:rsidRPr="00D52F04" w:rsidR="00D00300">
        <w:rPr>
          <w:rFonts w:cs="Calibri"/>
          <w:szCs w:val="18"/>
        </w:rPr>
        <w:t xml:space="preserve">. </w:t>
      </w:r>
      <w:r w:rsidRPr="00D52F04" w:rsidR="0092659C">
        <w:rPr>
          <w:rFonts w:cs="Calibri"/>
          <w:szCs w:val="18"/>
        </w:rPr>
        <w:t>Sectorplannen zijn e</w:t>
      </w:r>
      <w:r w:rsidRPr="00D52F04">
        <w:rPr>
          <w:rFonts w:cs="Calibri"/>
          <w:szCs w:val="18"/>
        </w:rPr>
        <w:t>en beproefde aanpak voor profilering in het onderzoek</w:t>
      </w:r>
      <w:r w:rsidRPr="00D52F04" w:rsidR="00D00300">
        <w:rPr>
          <w:rFonts w:cs="Calibri"/>
          <w:szCs w:val="18"/>
        </w:rPr>
        <w:t>.</w:t>
      </w:r>
      <w:r w:rsidRPr="00D52F04" w:rsidR="0037629A">
        <w:rPr>
          <w:rStyle w:val="Voetnootmarkering"/>
          <w:rFonts w:cs="Calibri"/>
          <w:szCs w:val="18"/>
        </w:rPr>
        <w:footnoteReference w:id="8"/>
      </w:r>
      <w:r w:rsidRPr="00D52F04" w:rsidR="00D00300">
        <w:rPr>
          <w:rFonts w:cs="Calibri"/>
          <w:szCs w:val="18"/>
        </w:rPr>
        <w:t xml:space="preserve"> </w:t>
      </w:r>
      <w:r w:rsidRPr="00D52F04" w:rsidR="003166C1">
        <w:rPr>
          <w:rFonts w:cs="Calibri"/>
          <w:szCs w:val="18"/>
        </w:rPr>
        <w:t xml:space="preserve">Het kabinet </w:t>
      </w:r>
      <w:r w:rsidRPr="00D52F04">
        <w:rPr>
          <w:rFonts w:cs="Calibri"/>
          <w:szCs w:val="18"/>
        </w:rPr>
        <w:t>investeert</w:t>
      </w:r>
      <w:r w:rsidR="009A443E">
        <w:rPr>
          <w:rFonts w:cs="Calibri"/>
          <w:szCs w:val="18"/>
        </w:rPr>
        <w:t xml:space="preserve"> hierin</w:t>
      </w:r>
      <w:r w:rsidRPr="00D52F04">
        <w:rPr>
          <w:rFonts w:cs="Calibri"/>
          <w:szCs w:val="18"/>
        </w:rPr>
        <w:t xml:space="preserve"> structureel € 132 miljoen.</w:t>
      </w:r>
      <w:r w:rsidR="003E57B6">
        <w:rPr>
          <w:rFonts w:cs="Calibri"/>
          <w:szCs w:val="18"/>
        </w:rPr>
        <w:t xml:space="preserve"> Deze extra capaciteit maakt het mogelijk om onderzoek beter te organiseren.</w:t>
      </w:r>
    </w:p>
    <w:p w:rsidRPr="00D52F04" w:rsidR="00342462" w:rsidP="00110591" w:rsidRDefault="00342462" w14:paraId="4F401C98" w14:textId="77777777">
      <w:pPr>
        <w:spacing w:line="276" w:lineRule="auto"/>
        <w:rPr>
          <w:rFonts w:cs="Calibri"/>
          <w:szCs w:val="18"/>
        </w:rPr>
      </w:pPr>
    </w:p>
    <w:p w:rsidRPr="00D52F04" w:rsidR="00110591" w:rsidP="00110591" w:rsidRDefault="00342462" w14:paraId="5120ED22" w14:textId="759D22CD">
      <w:pPr>
        <w:spacing w:line="276" w:lineRule="auto"/>
        <w:rPr>
          <w:rFonts w:cs="Calibri"/>
          <w:szCs w:val="18"/>
        </w:rPr>
      </w:pPr>
      <w:r w:rsidRPr="00D52F04">
        <w:rPr>
          <w:rFonts w:cs="Calibri"/>
          <w:szCs w:val="18"/>
        </w:rPr>
        <w:t>Het initiatief voor het opstellen van sectorplannen ligt bij de universiteiten.</w:t>
      </w:r>
      <w:r w:rsidRPr="00D52F04" w:rsidR="001F08F2">
        <w:rPr>
          <w:rFonts w:cs="Calibri"/>
          <w:szCs w:val="18"/>
        </w:rPr>
        <w:t xml:space="preserve"> </w:t>
      </w:r>
      <w:r w:rsidRPr="00D52F04" w:rsidR="003166C1">
        <w:rPr>
          <w:rFonts w:cs="Calibri"/>
          <w:szCs w:val="18"/>
        </w:rPr>
        <w:t xml:space="preserve">De sectorplannen worden </w:t>
      </w:r>
      <w:r w:rsidR="003F08F8">
        <w:rPr>
          <w:rFonts w:cs="Calibri"/>
          <w:szCs w:val="18"/>
        </w:rPr>
        <w:t xml:space="preserve">opgesteld </w:t>
      </w:r>
      <w:r w:rsidRPr="00D52F04" w:rsidR="003166C1">
        <w:rPr>
          <w:rFonts w:cs="Calibri"/>
          <w:szCs w:val="18"/>
        </w:rPr>
        <w:t xml:space="preserve">vanuit de vier domeinen (Sociale en </w:t>
      </w:r>
      <w:proofErr w:type="spellStart"/>
      <w:r w:rsidRPr="00D52F04" w:rsidR="003166C1">
        <w:rPr>
          <w:rFonts w:cs="Calibri"/>
          <w:szCs w:val="18"/>
        </w:rPr>
        <w:t>Geestes</w:t>
      </w:r>
      <w:proofErr w:type="spellEnd"/>
      <w:r w:rsidR="00EE5085">
        <w:rPr>
          <w:rFonts w:cs="Calibri"/>
          <w:szCs w:val="18"/>
        </w:rPr>
        <w:t>-</w:t>
      </w:r>
      <w:r w:rsidRPr="00D52F04" w:rsidR="003166C1">
        <w:rPr>
          <w:rFonts w:cs="Calibri"/>
          <w:szCs w:val="18"/>
        </w:rPr>
        <w:t xml:space="preserve">, Bèta, Techniek en Medische en Gezondheidswetenschappen). </w:t>
      </w:r>
      <w:r w:rsidRPr="00D52F04" w:rsidR="006B2FBA">
        <w:rPr>
          <w:rFonts w:cs="Calibri"/>
          <w:szCs w:val="18"/>
        </w:rPr>
        <w:t xml:space="preserve">De verdeling van de middelen vindt plaats over deze domeinen. </w:t>
      </w:r>
      <w:r w:rsidRPr="00D52F04" w:rsidR="00110591">
        <w:rPr>
          <w:rFonts w:cs="Calibri"/>
          <w:szCs w:val="18"/>
        </w:rPr>
        <w:t xml:space="preserve">Ik vraag van universiteiten om bij het </w:t>
      </w:r>
      <w:r w:rsidR="00EB7B49">
        <w:rPr>
          <w:rFonts w:cs="Calibri"/>
          <w:szCs w:val="18"/>
        </w:rPr>
        <w:t>maken</w:t>
      </w:r>
      <w:r w:rsidRPr="00D52F04" w:rsidR="00110591">
        <w:rPr>
          <w:rFonts w:cs="Calibri"/>
          <w:szCs w:val="18"/>
        </w:rPr>
        <w:t xml:space="preserve"> van de </w:t>
      </w:r>
      <w:r w:rsidRPr="00D52F04">
        <w:rPr>
          <w:rFonts w:cs="Calibri"/>
          <w:szCs w:val="18"/>
        </w:rPr>
        <w:t xml:space="preserve">nieuwe </w:t>
      </w:r>
      <w:r w:rsidRPr="00D52F04" w:rsidR="00110591">
        <w:rPr>
          <w:rFonts w:cs="Calibri"/>
          <w:szCs w:val="18"/>
        </w:rPr>
        <w:t>sectorplannen scherp</w:t>
      </w:r>
      <w:r w:rsidR="00EB7B49">
        <w:rPr>
          <w:rFonts w:cs="Calibri"/>
          <w:szCs w:val="18"/>
        </w:rPr>
        <w:t xml:space="preserve"> te</w:t>
      </w:r>
      <w:r w:rsidRPr="00D52F04" w:rsidR="00110591">
        <w:rPr>
          <w:rFonts w:cs="Calibri"/>
          <w:szCs w:val="18"/>
        </w:rPr>
        <w:t xml:space="preserve"> k</w:t>
      </w:r>
      <w:r w:rsidR="00EB7B49">
        <w:rPr>
          <w:rFonts w:cs="Calibri"/>
          <w:szCs w:val="18"/>
        </w:rPr>
        <w:t>iezen wie</w:t>
      </w:r>
      <w:r w:rsidRPr="00D52F04" w:rsidR="003166C1">
        <w:rPr>
          <w:rFonts w:cs="Calibri"/>
          <w:szCs w:val="18"/>
        </w:rPr>
        <w:t xml:space="preserve"> zich waarop profileert,</w:t>
      </w:r>
      <w:r w:rsidRPr="00D52F04" w:rsidR="003166C1">
        <w:rPr>
          <w:szCs w:val="18"/>
        </w:rPr>
        <w:t xml:space="preserve"> hoe ze met elkaar samenwerken en welke onderscheidende focuspunten ze kiezen om te excelleren.</w:t>
      </w:r>
      <w:r w:rsidRPr="00D52F04" w:rsidR="003166C1">
        <w:rPr>
          <w:rFonts w:cs="Calibri"/>
          <w:szCs w:val="18"/>
        </w:rPr>
        <w:t xml:space="preserve"> </w:t>
      </w:r>
      <w:r w:rsidRPr="00D52F04" w:rsidR="00110591">
        <w:rPr>
          <w:rFonts w:cs="Calibri"/>
          <w:szCs w:val="18"/>
        </w:rPr>
        <w:t xml:space="preserve">Hierbij geef ik expliciet mee dat </w:t>
      </w:r>
      <w:proofErr w:type="spellStart"/>
      <w:r w:rsidRPr="00D52F04" w:rsidR="00110591">
        <w:rPr>
          <w:rFonts w:cs="Calibri"/>
          <w:szCs w:val="18"/>
        </w:rPr>
        <w:t>domeinoverstijgende</w:t>
      </w:r>
      <w:proofErr w:type="spellEnd"/>
      <w:r w:rsidRPr="00D52F04" w:rsidR="00110591">
        <w:rPr>
          <w:rFonts w:cs="Calibri"/>
          <w:szCs w:val="18"/>
        </w:rPr>
        <w:t xml:space="preserve"> samenwerking </w:t>
      </w:r>
      <w:r w:rsidR="002958B2">
        <w:rPr>
          <w:rFonts w:cs="Calibri"/>
          <w:szCs w:val="18"/>
        </w:rPr>
        <w:t xml:space="preserve">uiteraard </w:t>
      </w:r>
      <w:r w:rsidRPr="00D52F04" w:rsidR="00110591">
        <w:rPr>
          <w:rFonts w:cs="Calibri"/>
          <w:szCs w:val="18"/>
        </w:rPr>
        <w:t xml:space="preserve">mogelijk is. </w:t>
      </w:r>
    </w:p>
    <w:p w:rsidRPr="00D52F04" w:rsidR="00104620" w:rsidP="00110591" w:rsidRDefault="00104620" w14:paraId="0FD9C09A" w14:textId="77777777">
      <w:pPr>
        <w:spacing w:line="276" w:lineRule="auto"/>
        <w:rPr>
          <w:rFonts w:cs="Calibri"/>
          <w:szCs w:val="18"/>
        </w:rPr>
      </w:pPr>
    </w:p>
    <w:p w:rsidR="00EB7B49" w:rsidP="001530AD" w:rsidRDefault="003238D5" w14:paraId="1C407084" w14:textId="73AF52C2">
      <w:pPr>
        <w:spacing w:line="276" w:lineRule="auto"/>
        <w:rPr>
          <w:rFonts w:cs="Calibri"/>
          <w:szCs w:val="18"/>
        </w:rPr>
      </w:pPr>
      <w:r w:rsidRPr="00D52F04">
        <w:rPr>
          <w:rFonts w:cs="Calibri"/>
          <w:szCs w:val="18"/>
        </w:rPr>
        <w:t xml:space="preserve">Ik heb de universiteiten </w:t>
      </w:r>
      <w:r>
        <w:rPr>
          <w:rFonts w:cs="Calibri"/>
          <w:szCs w:val="18"/>
        </w:rPr>
        <w:t>gevraagd</w:t>
      </w:r>
      <w:r w:rsidRPr="00D52F04">
        <w:rPr>
          <w:rFonts w:cs="Calibri"/>
          <w:szCs w:val="18"/>
        </w:rPr>
        <w:t xml:space="preserve"> om bij de uitwerking van de sectorplannen uit te gaan van de kansen voor onze toekomstige welvaart en </w:t>
      </w:r>
      <w:r>
        <w:rPr>
          <w:rFonts w:cs="Calibri"/>
          <w:szCs w:val="18"/>
        </w:rPr>
        <w:t>daar</w:t>
      </w:r>
      <w:r w:rsidRPr="00D52F04">
        <w:rPr>
          <w:rFonts w:cs="Calibri"/>
          <w:szCs w:val="18"/>
        </w:rPr>
        <w:t>in duidelijk te maken hoe ze hieraan bijdragen.</w:t>
      </w:r>
      <w:r>
        <w:rPr>
          <w:rFonts w:cs="Calibri"/>
          <w:szCs w:val="18"/>
        </w:rPr>
        <w:t xml:space="preserve"> </w:t>
      </w:r>
      <w:r w:rsidRPr="00D52F04" w:rsidR="001530AD">
        <w:rPr>
          <w:rFonts w:cs="Calibri"/>
          <w:szCs w:val="18"/>
        </w:rPr>
        <w:t xml:space="preserve">Het gaat </w:t>
      </w:r>
      <w:r w:rsidR="00EB7B49">
        <w:rPr>
          <w:rFonts w:cs="Calibri"/>
          <w:szCs w:val="18"/>
        </w:rPr>
        <w:t>daarbij</w:t>
      </w:r>
      <w:r w:rsidRPr="00D52F04" w:rsidR="001530AD">
        <w:rPr>
          <w:rFonts w:cs="Calibri"/>
          <w:szCs w:val="18"/>
        </w:rPr>
        <w:t xml:space="preserve"> </w:t>
      </w:r>
      <w:r w:rsidR="002958B2">
        <w:rPr>
          <w:rFonts w:cs="Calibri"/>
          <w:szCs w:val="18"/>
        </w:rPr>
        <w:t xml:space="preserve">om </w:t>
      </w:r>
      <w:r w:rsidRPr="00D52F04" w:rsidR="006C16E5">
        <w:rPr>
          <w:rFonts w:cs="Calibri"/>
          <w:szCs w:val="18"/>
        </w:rPr>
        <w:t xml:space="preserve">fundamenteel onderzoek in </w:t>
      </w:r>
      <w:r w:rsidRPr="00D52F04" w:rsidR="001530AD">
        <w:rPr>
          <w:rFonts w:cs="Calibri"/>
          <w:szCs w:val="18"/>
        </w:rPr>
        <w:t xml:space="preserve">de domeinen die dit kabinet als cruciaal ziet voor </w:t>
      </w:r>
      <w:r w:rsidR="00EB7B49">
        <w:rPr>
          <w:rFonts w:cs="Calibri"/>
          <w:szCs w:val="18"/>
        </w:rPr>
        <w:t xml:space="preserve">onze </w:t>
      </w:r>
      <w:r w:rsidRPr="00D52F04" w:rsidR="001530AD">
        <w:rPr>
          <w:rFonts w:cs="Calibri"/>
          <w:szCs w:val="18"/>
        </w:rPr>
        <w:t>toekomstige welvaart</w:t>
      </w:r>
      <w:r w:rsidR="002958B2">
        <w:rPr>
          <w:rFonts w:cs="Calibri"/>
          <w:szCs w:val="18"/>
        </w:rPr>
        <w:t xml:space="preserve"> en waarin het kabinet de publieke en private R&amp;D-investeringen wil stimuleren</w:t>
      </w:r>
      <w:r w:rsidR="00AB23FB">
        <w:rPr>
          <w:rFonts w:cs="Calibri"/>
          <w:szCs w:val="18"/>
        </w:rPr>
        <w:t xml:space="preserve">. Die domeinen zijn </w:t>
      </w:r>
      <w:r w:rsidRPr="00D52F04" w:rsidR="001530AD">
        <w:rPr>
          <w:rFonts w:cs="Calibri"/>
          <w:szCs w:val="18"/>
        </w:rPr>
        <w:t>digitalisering</w:t>
      </w:r>
      <w:r w:rsidRPr="00D52F04" w:rsidR="009B3D8E">
        <w:rPr>
          <w:rFonts w:cs="Calibri"/>
          <w:szCs w:val="18"/>
        </w:rPr>
        <w:t xml:space="preserve"> en AI</w:t>
      </w:r>
      <w:r w:rsidRPr="00D52F04" w:rsidR="001530AD">
        <w:rPr>
          <w:rFonts w:cs="Calibri"/>
          <w:szCs w:val="18"/>
        </w:rPr>
        <w:t>, veiligheid en weerbaarheid, energie</w:t>
      </w:r>
      <w:r w:rsidRPr="00D52F04" w:rsidR="009B3D8E">
        <w:rPr>
          <w:rFonts w:cs="Calibri"/>
          <w:szCs w:val="18"/>
        </w:rPr>
        <w:t>-</w:t>
      </w:r>
      <w:r w:rsidRPr="00D52F04" w:rsidR="001530AD">
        <w:rPr>
          <w:rFonts w:cs="Calibri"/>
          <w:szCs w:val="18"/>
        </w:rPr>
        <w:t xml:space="preserve"> en klimaat</w:t>
      </w:r>
      <w:r w:rsidRPr="00D52F04" w:rsidR="009B3D8E">
        <w:rPr>
          <w:rFonts w:cs="Calibri"/>
          <w:szCs w:val="18"/>
        </w:rPr>
        <w:t>technologie</w:t>
      </w:r>
      <w:r w:rsidRPr="00D52F04" w:rsidR="001530AD">
        <w:rPr>
          <w:rFonts w:cs="Calibri"/>
          <w:szCs w:val="18"/>
        </w:rPr>
        <w:t xml:space="preserve"> en </w:t>
      </w:r>
      <w:r w:rsidRPr="00D52F04" w:rsidR="001530AD">
        <w:rPr>
          <w:rFonts w:cs="Calibri"/>
          <w:i/>
          <w:iCs/>
          <w:szCs w:val="18"/>
        </w:rPr>
        <w:t xml:space="preserve">life </w:t>
      </w:r>
      <w:proofErr w:type="spellStart"/>
      <w:r w:rsidRPr="00D52F04" w:rsidR="001530AD">
        <w:rPr>
          <w:rFonts w:cs="Calibri"/>
          <w:i/>
          <w:iCs/>
          <w:szCs w:val="18"/>
        </w:rPr>
        <w:t>sciences</w:t>
      </w:r>
      <w:proofErr w:type="spellEnd"/>
      <w:r w:rsidRPr="00D52F04" w:rsidR="001530AD">
        <w:rPr>
          <w:rFonts w:cs="Calibri"/>
          <w:szCs w:val="18"/>
        </w:rPr>
        <w:t xml:space="preserve"> en biotechnologie. </w:t>
      </w:r>
      <w:r w:rsidR="00EB7B49">
        <w:rPr>
          <w:rFonts w:cs="Calibri"/>
          <w:szCs w:val="18"/>
        </w:rPr>
        <w:t>I</w:t>
      </w:r>
      <w:r w:rsidRPr="00D52F04" w:rsidR="001530AD">
        <w:rPr>
          <w:rFonts w:cs="Calibri"/>
          <w:szCs w:val="18"/>
        </w:rPr>
        <w:t>k</w:t>
      </w:r>
      <w:r w:rsidR="00EB7B49">
        <w:rPr>
          <w:rFonts w:cs="Calibri"/>
          <w:szCs w:val="18"/>
        </w:rPr>
        <w:t xml:space="preserve"> </w:t>
      </w:r>
      <w:r w:rsidR="009A443E">
        <w:rPr>
          <w:rFonts w:cs="Calibri"/>
          <w:szCs w:val="18"/>
        </w:rPr>
        <w:t>voeg</w:t>
      </w:r>
      <w:r w:rsidRPr="00D52F04" w:rsidR="001530AD">
        <w:rPr>
          <w:rFonts w:cs="Calibri"/>
          <w:szCs w:val="18"/>
        </w:rPr>
        <w:t xml:space="preserve"> </w:t>
      </w:r>
      <w:r w:rsidRPr="00D52F04" w:rsidR="00110591">
        <w:rPr>
          <w:rFonts w:cs="Calibri"/>
          <w:szCs w:val="18"/>
        </w:rPr>
        <w:t xml:space="preserve">aan </w:t>
      </w:r>
      <w:r w:rsidR="00EB7B49">
        <w:rPr>
          <w:rFonts w:cs="Calibri"/>
          <w:szCs w:val="18"/>
        </w:rPr>
        <w:t>elke</w:t>
      </w:r>
      <w:r w:rsidRPr="00D52F04" w:rsidR="00110591">
        <w:rPr>
          <w:rFonts w:cs="Calibri"/>
          <w:szCs w:val="18"/>
        </w:rPr>
        <w:t xml:space="preserve"> sectorplancommissie een lid </w:t>
      </w:r>
      <w:r w:rsidR="00AB23FB">
        <w:rPr>
          <w:rFonts w:cs="Calibri"/>
          <w:szCs w:val="18"/>
        </w:rPr>
        <w:t xml:space="preserve">toe </w:t>
      </w:r>
      <w:r w:rsidRPr="00D52F04" w:rsidR="00110591">
        <w:rPr>
          <w:rFonts w:cs="Calibri"/>
          <w:szCs w:val="18"/>
        </w:rPr>
        <w:t xml:space="preserve">met expertise op </w:t>
      </w:r>
      <w:r w:rsidRPr="00D52F04" w:rsidR="00842DE4">
        <w:rPr>
          <w:rFonts w:cs="Calibri"/>
          <w:szCs w:val="18"/>
        </w:rPr>
        <w:t>de</w:t>
      </w:r>
      <w:r w:rsidR="009A443E">
        <w:rPr>
          <w:rFonts w:cs="Calibri"/>
          <w:szCs w:val="18"/>
        </w:rPr>
        <w:t>ze</w:t>
      </w:r>
      <w:r w:rsidRPr="00D52F04" w:rsidR="00842DE4">
        <w:rPr>
          <w:rFonts w:cs="Calibri"/>
          <w:szCs w:val="18"/>
        </w:rPr>
        <w:t xml:space="preserve"> prioriteitsdomeinen</w:t>
      </w:r>
      <w:r w:rsidR="009A443E">
        <w:rPr>
          <w:rFonts w:cs="Calibri"/>
          <w:szCs w:val="18"/>
        </w:rPr>
        <w:t>.</w:t>
      </w:r>
      <w:r w:rsidRPr="00EB7B49" w:rsidR="00EB7B49">
        <w:rPr>
          <w:rFonts w:cs="Calibri"/>
          <w:szCs w:val="18"/>
        </w:rPr>
        <w:t xml:space="preserve"> </w:t>
      </w:r>
      <w:r w:rsidR="009A443E">
        <w:rPr>
          <w:rFonts w:cs="Calibri"/>
          <w:szCs w:val="18"/>
        </w:rPr>
        <w:t>Omdat ik</w:t>
      </w:r>
      <w:r w:rsidRPr="00D52F04" w:rsidR="00EB7B49">
        <w:rPr>
          <w:rFonts w:cs="Calibri"/>
          <w:szCs w:val="18"/>
        </w:rPr>
        <w:t xml:space="preserve"> de administratieve lasten van het instrument </w:t>
      </w:r>
      <w:r w:rsidR="009A443E">
        <w:rPr>
          <w:rFonts w:cs="Calibri"/>
          <w:szCs w:val="18"/>
        </w:rPr>
        <w:t xml:space="preserve">wil </w:t>
      </w:r>
      <w:r w:rsidRPr="00D52F04" w:rsidR="00EB7B49">
        <w:rPr>
          <w:rFonts w:cs="Calibri"/>
          <w:szCs w:val="18"/>
        </w:rPr>
        <w:t>verlichten</w:t>
      </w:r>
      <w:r w:rsidR="009A443E">
        <w:rPr>
          <w:rFonts w:cs="Calibri"/>
          <w:szCs w:val="18"/>
        </w:rPr>
        <w:t xml:space="preserve">, </w:t>
      </w:r>
      <w:r w:rsidR="00AB23FB">
        <w:rPr>
          <w:rFonts w:cs="Calibri"/>
          <w:szCs w:val="18"/>
        </w:rPr>
        <w:t xml:space="preserve">richt </w:t>
      </w:r>
      <w:r w:rsidRPr="00D52F04" w:rsidR="00EB7B49">
        <w:rPr>
          <w:rFonts w:cs="Calibri"/>
          <w:szCs w:val="18"/>
        </w:rPr>
        <w:t xml:space="preserve">ik de monitoring door de sectorplancommissies lichter in. Een overkoepelende commissie voert de planbeoordeling uit en adviseert over de toekenning van de middelen. </w:t>
      </w:r>
    </w:p>
    <w:p w:rsidR="00EB7B49" w:rsidP="001530AD" w:rsidRDefault="00EB7B49" w14:paraId="35DF4A5B" w14:textId="77777777">
      <w:pPr>
        <w:spacing w:line="276" w:lineRule="auto"/>
        <w:rPr>
          <w:rFonts w:cs="Calibri"/>
          <w:szCs w:val="18"/>
        </w:rPr>
      </w:pPr>
    </w:p>
    <w:p w:rsidRPr="00D52F04" w:rsidR="00110591" w:rsidP="00110591" w:rsidRDefault="001530AD" w14:paraId="06B1851C" w14:textId="2B0FD784">
      <w:pPr>
        <w:spacing w:line="276" w:lineRule="auto"/>
        <w:rPr>
          <w:rFonts w:cs="Calibri"/>
          <w:szCs w:val="18"/>
        </w:rPr>
      </w:pPr>
      <w:r w:rsidRPr="00D52F04">
        <w:rPr>
          <w:rFonts w:cs="Calibri"/>
          <w:szCs w:val="18"/>
        </w:rPr>
        <w:t xml:space="preserve">Profilering en samenwerking op het gebied van onderzoek beperkt zich niet tot universiteiten, maar strekt zich ook uit naar NWO- en KNAW-instituten, hogescholen, </w:t>
      </w:r>
      <w:proofErr w:type="spellStart"/>
      <w:r w:rsidRPr="00D52F04">
        <w:rPr>
          <w:rFonts w:cs="Calibri"/>
          <w:szCs w:val="18"/>
        </w:rPr>
        <w:t>rijkskennisinstellingen</w:t>
      </w:r>
      <w:proofErr w:type="spellEnd"/>
      <w:r w:rsidRPr="00D52F04">
        <w:rPr>
          <w:rFonts w:cs="Calibri"/>
          <w:szCs w:val="18"/>
        </w:rPr>
        <w:t xml:space="preserve"> en TO2-instellingen.</w:t>
      </w:r>
      <w:r w:rsidRPr="00D52F04" w:rsidR="00CC48F0">
        <w:rPr>
          <w:rFonts w:cs="Calibri"/>
          <w:szCs w:val="18"/>
        </w:rPr>
        <w:t xml:space="preserve"> </w:t>
      </w:r>
      <w:r w:rsidRPr="00D52F04" w:rsidR="002958B2">
        <w:rPr>
          <w:rFonts w:cs="Calibri"/>
          <w:szCs w:val="18"/>
        </w:rPr>
        <w:t xml:space="preserve">Ik roep universiteiten daarom op om bij </w:t>
      </w:r>
      <w:r w:rsidR="002958B2">
        <w:rPr>
          <w:rFonts w:cs="Calibri"/>
          <w:szCs w:val="18"/>
        </w:rPr>
        <w:t>het ontwikkelen van</w:t>
      </w:r>
      <w:r w:rsidRPr="00D52F04" w:rsidR="002958B2">
        <w:rPr>
          <w:rFonts w:cs="Calibri"/>
          <w:szCs w:val="18"/>
        </w:rPr>
        <w:t xml:space="preserve"> de sectorplannen aansluiting </w:t>
      </w:r>
      <w:r w:rsidR="002958B2">
        <w:rPr>
          <w:rFonts w:cs="Calibri"/>
          <w:szCs w:val="18"/>
        </w:rPr>
        <w:t>te zoeken bij</w:t>
      </w:r>
      <w:r w:rsidRPr="00D52F04" w:rsidR="002958B2">
        <w:rPr>
          <w:rFonts w:cs="Calibri"/>
          <w:szCs w:val="18"/>
        </w:rPr>
        <w:t xml:space="preserve"> andere kennisinstellingen.</w:t>
      </w:r>
      <w:r w:rsidR="002958B2">
        <w:rPr>
          <w:rFonts w:cs="Calibri"/>
          <w:szCs w:val="18"/>
        </w:rPr>
        <w:t xml:space="preserve"> </w:t>
      </w:r>
    </w:p>
    <w:p w:rsidRPr="00D52F04" w:rsidR="00110591" w:rsidP="00110591" w:rsidRDefault="00110591" w14:paraId="7EF5E32B" w14:textId="77777777">
      <w:pPr>
        <w:spacing w:line="276" w:lineRule="auto"/>
        <w:rPr>
          <w:rFonts w:cs="Calibri"/>
          <w:szCs w:val="18"/>
        </w:rPr>
      </w:pPr>
    </w:p>
    <w:p w:rsidRPr="00D52F04" w:rsidR="00220C02" w:rsidP="00220C02" w:rsidRDefault="004A5843" w14:paraId="12626ED2" w14:textId="2DB6AC03">
      <w:pPr>
        <w:spacing w:line="276" w:lineRule="auto"/>
        <w:rPr>
          <w:rFonts w:cs="Calibri"/>
          <w:szCs w:val="18"/>
        </w:rPr>
      </w:pPr>
      <w:r w:rsidRPr="00D52F04">
        <w:rPr>
          <w:rFonts w:cs="Calibri"/>
          <w:szCs w:val="18"/>
        </w:rPr>
        <w:t xml:space="preserve">Een investering in wetenschappelijk onderzoek is ook een investering in wetenschappelijk onderwijs. </w:t>
      </w:r>
      <w:r w:rsidR="00CB74DE">
        <w:rPr>
          <w:rFonts w:cs="Calibri"/>
          <w:szCs w:val="18"/>
        </w:rPr>
        <w:t>U</w:t>
      </w:r>
      <w:r w:rsidRPr="00D52F04">
        <w:rPr>
          <w:rFonts w:cs="Calibri"/>
          <w:szCs w:val="18"/>
        </w:rPr>
        <w:t xml:space="preserve">niversiteiten lichten in de sectorplannen toe hoe de keuzes op het gebied van profilering en samenwerking </w:t>
      </w:r>
      <w:r w:rsidRPr="00D52F04" w:rsidR="00420E14">
        <w:rPr>
          <w:rFonts w:cs="Calibri"/>
          <w:szCs w:val="18"/>
        </w:rPr>
        <w:t>voor</w:t>
      </w:r>
      <w:r w:rsidRPr="00D52F04">
        <w:rPr>
          <w:rFonts w:cs="Calibri"/>
          <w:szCs w:val="18"/>
        </w:rPr>
        <w:t xml:space="preserve"> het onderzoek van invloed zijn</w:t>
      </w:r>
      <w:r w:rsidR="007F4B48">
        <w:rPr>
          <w:rFonts w:cs="Calibri"/>
          <w:szCs w:val="18"/>
        </w:rPr>
        <w:t xml:space="preserve"> op het onderwijs</w:t>
      </w:r>
      <w:r w:rsidRPr="00D52F04">
        <w:rPr>
          <w:rFonts w:cs="Calibri"/>
          <w:szCs w:val="18"/>
        </w:rPr>
        <w:t xml:space="preserve">. </w:t>
      </w:r>
      <w:r w:rsidR="00EB7B49">
        <w:rPr>
          <w:rFonts w:cs="Calibri"/>
          <w:szCs w:val="18"/>
        </w:rPr>
        <w:t xml:space="preserve">Vooral </w:t>
      </w:r>
      <w:r w:rsidR="00AB23FB">
        <w:rPr>
          <w:rFonts w:cs="Calibri"/>
          <w:szCs w:val="18"/>
        </w:rPr>
        <w:t xml:space="preserve">voor </w:t>
      </w:r>
      <w:r w:rsidR="00EB7B49">
        <w:rPr>
          <w:rFonts w:cs="Calibri"/>
          <w:szCs w:val="18"/>
        </w:rPr>
        <w:t xml:space="preserve">het </w:t>
      </w:r>
      <w:r w:rsidRPr="00D52F04" w:rsidR="00EB7B49">
        <w:rPr>
          <w:rFonts w:cs="Calibri"/>
          <w:szCs w:val="18"/>
        </w:rPr>
        <w:t>masteronderwijs</w:t>
      </w:r>
      <w:r w:rsidR="00EB7B49">
        <w:rPr>
          <w:rFonts w:cs="Calibri"/>
          <w:szCs w:val="18"/>
        </w:rPr>
        <w:t xml:space="preserve"> en de </w:t>
      </w:r>
      <w:proofErr w:type="spellStart"/>
      <w:r w:rsidRPr="00D52F04" w:rsidR="00EB7B49">
        <w:rPr>
          <w:rFonts w:cs="Calibri"/>
          <w:szCs w:val="18"/>
        </w:rPr>
        <w:t>graduate</w:t>
      </w:r>
      <w:proofErr w:type="spellEnd"/>
      <w:r w:rsidRPr="00D52F04" w:rsidR="00EB7B49">
        <w:rPr>
          <w:rFonts w:cs="Calibri"/>
          <w:szCs w:val="18"/>
        </w:rPr>
        <w:t xml:space="preserve"> schools</w:t>
      </w:r>
      <w:r w:rsidR="00EB7B49">
        <w:rPr>
          <w:rFonts w:cs="Calibri"/>
          <w:szCs w:val="18"/>
        </w:rPr>
        <w:t xml:space="preserve"> is d</w:t>
      </w:r>
      <w:r w:rsidRPr="00D52F04">
        <w:rPr>
          <w:rFonts w:cs="Calibri"/>
          <w:szCs w:val="18"/>
        </w:rPr>
        <w:t xml:space="preserve">e verwevenheid tussen onderzoek en onderwijs </w:t>
      </w:r>
      <w:r w:rsidR="00CB74DE">
        <w:rPr>
          <w:rFonts w:cs="Calibri"/>
          <w:szCs w:val="18"/>
        </w:rPr>
        <w:t>sterk</w:t>
      </w:r>
      <w:r w:rsidRPr="00D52F04">
        <w:rPr>
          <w:rFonts w:cs="Calibri"/>
          <w:szCs w:val="18"/>
        </w:rPr>
        <w:t xml:space="preserve">. De middelen mogen daarom ook worden </w:t>
      </w:r>
      <w:r w:rsidR="00EB7B49">
        <w:rPr>
          <w:rFonts w:cs="Calibri"/>
          <w:szCs w:val="18"/>
        </w:rPr>
        <w:t>gebruikt</w:t>
      </w:r>
      <w:r w:rsidRPr="00D52F04">
        <w:rPr>
          <w:rFonts w:cs="Calibri"/>
          <w:szCs w:val="18"/>
        </w:rPr>
        <w:t xml:space="preserve"> voor onderwijs, </w:t>
      </w:r>
      <w:r w:rsidRPr="00D52F04" w:rsidR="00420E14">
        <w:rPr>
          <w:rFonts w:cs="Calibri"/>
          <w:szCs w:val="18"/>
        </w:rPr>
        <w:t>als</w:t>
      </w:r>
      <w:r w:rsidRPr="00D52F04">
        <w:rPr>
          <w:rFonts w:cs="Calibri"/>
          <w:szCs w:val="18"/>
        </w:rPr>
        <w:t xml:space="preserve"> dit de doelen van een sectorplan versterkt. Samenwerking blijft ook </w:t>
      </w:r>
      <w:r w:rsidR="007F4B48">
        <w:rPr>
          <w:rFonts w:cs="Calibri"/>
          <w:szCs w:val="18"/>
        </w:rPr>
        <w:t>in</w:t>
      </w:r>
      <w:r w:rsidRPr="00D52F04">
        <w:rPr>
          <w:rFonts w:cs="Calibri"/>
          <w:szCs w:val="18"/>
        </w:rPr>
        <w:t xml:space="preserve"> het onderwijs belangrijk, zeker </w:t>
      </w:r>
      <w:r w:rsidR="007F4B48">
        <w:rPr>
          <w:rFonts w:cs="Calibri"/>
          <w:szCs w:val="18"/>
        </w:rPr>
        <w:t>door</w:t>
      </w:r>
      <w:r w:rsidRPr="00D52F04" w:rsidR="00420E14">
        <w:rPr>
          <w:rFonts w:cs="Calibri"/>
          <w:szCs w:val="18"/>
        </w:rPr>
        <w:t xml:space="preserve"> </w:t>
      </w:r>
      <w:r w:rsidRPr="00D52F04" w:rsidR="0046002B">
        <w:rPr>
          <w:rFonts w:cs="Calibri"/>
          <w:szCs w:val="18"/>
        </w:rPr>
        <w:t xml:space="preserve">de dalende </w:t>
      </w:r>
      <w:r w:rsidRPr="00D52F04">
        <w:rPr>
          <w:rFonts w:cs="Calibri"/>
          <w:szCs w:val="18"/>
        </w:rPr>
        <w:t>studenten</w:t>
      </w:r>
      <w:r w:rsidRPr="00D52F04" w:rsidR="0046002B">
        <w:rPr>
          <w:rFonts w:cs="Calibri"/>
          <w:szCs w:val="18"/>
        </w:rPr>
        <w:t>aantallen</w:t>
      </w:r>
      <w:r w:rsidRPr="00D52F04">
        <w:rPr>
          <w:rFonts w:cs="Calibri"/>
          <w:szCs w:val="18"/>
        </w:rPr>
        <w:t xml:space="preserve">. </w:t>
      </w:r>
      <w:r w:rsidR="00EB7B49">
        <w:rPr>
          <w:rFonts w:cs="Calibri"/>
          <w:szCs w:val="18"/>
        </w:rPr>
        <w:t>U</w:t>
      </w:r>
      <w:r w:rsidRPr="00D52F04">
        <w:rPr>
          <w:rFonts w:cs="Calibri"/>
          <w:szCs w:val="18"/>
        </w:rPr>
        <w:t>niversiteiten werken daarom</w:t>
      </w:r>
      <w:r w:rsidR="00EB7B49">
        <w:rPr>
          <w:rFonts w:cs="Calibri"/>
          <w:szCs w:val="18"/>
        </w:rPr>
        <w:t xml:space="preserve"> samen</w:t>
      </w:r>
      <w:r w:rsidRPr="00D52F04">
        <w:rPr>
          <w:rFonts w:cs="Calibri"/>
          <w:szCs w:val="18"/>
        </w:rPr>
        <w:t xml:space="preserve"> aan</w:t>
      </w:r>
      <w:r w:rsidR="00EB7B49">
        <w:rPr>
          <w:rFonts w:cs="Calibri"/>
          <w:szCs w:val="18"/>
        </w:rPr>
        <w:t xml:space="preserve"> </w:t>
      </w:r>
      <w:r w:rsidRPr="00D52F04">
        <w:rPr>
          <w:rFonts w:cs="Calibri"/>
          <w:szCs w:val="18"/>
        </w:rPr>
        <w:lastRenderedPageBreak/>
        <w:t xml:space="preserve">procedures </w:t>
      </w:r>
      <w:r w:rsidR="007F4B48">
        <w:rPr>
          <w:rFonts w:cs="Calibri"/>
          <w:szCs w:val="18"/>
        </w:rPr>
        <w:t>voor</w:t>
      </w:r>
      <w:r w:rsidRPr="00D52F04">
        <w:rPr>
          <w:rFonts w:cs="Calibri"/>
          <w:szCs w:val="18"/>
        </w:rPr>
        <w:t xml:space="preserve"> de afstemming </w:t>
      </w:r>
      <w:r w:rsidR="007F4B48">
        <w:rPr>
          <w:rFonts w:cs="Calibri"/>
          <w:szCs w:val="18"/>
        </w:rPr>
        <w:t>van</w:t>
      </w:r>
      <w:r w:rsidRPr="00D52F04">
        <w:rPr>
          <w:rFonts w:cs="Calibri"/>
          <w:szCs w:val="18"/>
        </w:rPr>
        <w:t xml:space="preserve"> het landelijke</w:t>
      </w:r>
      <w:r w:rsidR="00EB7B49">
        <w:rPr>
          <w:rFonts w:cs="Calibri"/>
          <w:szCs w:val="18"/>
        </w:rPr>
        <w:t xml:space="preserve"> </w:t>
      </w:r>
      <w:r w:rsidRPr="00D52F04">
        <w:rPr>
          <w:rFonts w:cs="Calibri"/>
          <w:szCs w:val="18"/>
        </w:rPr>
        <w:t>opleidingsaanbod</w:t>
      </w:r>
      <w:r w:rsidR="00B17E4D">
        <w:rPr>
          <w:rFonts w:cs="Calibri"/>
          <w:szCs w:val="18"/>
        </w:rPr>
        <w:t>.</w:t>
      </w:r>
      <w:r w:rsidR="009A443E">
        <w:rPr>
          <w:rFonts w:cs="Calibri"/>
          <w:szCs w:val="18"/>
        </w:rPr>
        <w:t xml:space="preserve"> </w:t>
      </w:r>
      <w:r w:rsidR="00B17E4D">
        <w:rPr>
          <w:rFonts w:cs="Calibri"/>
          <w:szCs w:val="18"/>
        </w:rPr>
        <w:t>Deze zijn</w:t>
      </w:r>
      <w:r w:rsidR="009A443E">
        <w:rPr>
          <w:rFonts w:cs="Calibri"/>
          <w:szCs w:val="18"/>
        </w:rPr>
        <w:t xml:space="preserve"> naar verwachting i</w:t>
      </w:r>
      <w:r w:rsidRPr="00D52F04" w:rsidR="00220C02">
        <w:rPr>
          <w:rFonts w:cs="Calibri"/>
          <w:szCs w:val="18"/>
        </w:rPr>
        <w:t>n de komende maanden gereed.</w:t>
      </w:r>
      <w:r w:rsidRPr="00D52F04" w:rsidR="00220C02">
        <w:rPr>
          <w:rFonts w:cs="Calibri"/>
          <w:i/>
          <w:iCs/>
          <w:szCs w:val="18"/>
        </w:rPr>
        <w:t xml:space="preserve"> </w:t>
      </w:r>
    </w:p>
    <w:p w:rsidRPr="00D52F04" w:rsidR="00110591" w:rsidP="00110591" w:rsidRDefault="00110591" w14:paraId="6AB100EA" w14:textId="77777777">
      <w:pPr>
        <w:spacing w:line="276" w:lineRule="auto"/>
        <w:rPr>
          <w:rFonts w:cs="Calibri"/>
          <w:szCs w:val="18"/>
        </w:rPr>
      </w:pPr>
    </w:p>
    <w:p w:rsidRPr="00D52F04" w:rsidR="001214C2" w:rsidP="001214C2" w:rsidRDefault="00110591" w14:paraId="4AC34773" w14:textId="007B22B9">
      <w:pPr>
        <w:spacing w:line="276" w:lineRule="auto"/>
        <w:rPr>
          <w:rFonts w:cs="Calibri"/>
          <w:szCs w:val="18"/>
        </w:rPr>
      </w:pPr>
      <w:r w:rsidRPr="00D52F04">
        <w:rPr>
          <w:rFonts w:cs="Calibri"/>
          <w:szCs w:val="18"/>
        </w:rPr>
        <w:t>De investeringen in de sectorplannen moet</w:t>
      </w:r>
      <w:r w:rsidRPr="00D52F04" w:rsidR="000578BD">
        <w:rPr>
          <w:rFonts w:cs="Calibri"/>
          <w:szCs w:val="18"/>
        </w:rPr>
        <w:t>en</w:t>
      </w:r>
      <w:r w:rsidRPr="00D52F04">
        <w:rPr>
          <w:rFonts w:cs="Calibri"/>
          <w:szCs w:val="18"/>
        </w:rPr>
        <w:t xml:space="preserve"> direct ten goede komen aan het primaire wetenschappelijke proces. </w:t>
      </w:r>
      <w:r w:rsidR="00AB23FB">
        <w:rPr>
          <w:rFonts w:cs="Calibri"/>
          <w:szCs w:val="18"/>
        </w:rPr>
        <w:t>Ze kunnen bijvoorbeeld worden ingezet voor</w:t>
      </w:r>
      <w:r w:rsidRPr="00D52F04">
        <w:rPr>
          <w:rFonts w:cs="Calibri"/>
          <w:szCs w:val="18"/>
        </w:rPr>
        <w:t xml:space="preserve"> personeel</w:t>
      </w:r>
      <w:r w:rsidRPr="00D52F04" w:rsidR="001214C2">
        <w:rPr>
          <w:rFonts w:cs="Calibri"/>
          <w:szCs w:val="18"/>
        </w:rPr>
        <w:t xml:space="preserve">, </w:t>
      </w:r>
      <w:r w:rsidRPr="00D52F04">
        <w:rPr>
          <w:rFonts w:cs="Calibri"/>
          <w:szCs w:val="18"/>
        </w:rPr>
        <w:t xml:space="preserve">kleine </w:t>
      </w:r>
      <w:r w:rsidRPr="00BE74E3">
        <w:rPr>
          <w:rFonts w:cs="Calibri"/>
          <w:szCs w:val="18"/>
        </w:rPr>
        <w:t xml:space="preserve">infrastructuur, het bevorderen van doorgroeimogelijkheden of het beschikbaar stellen van budget </w:t>
      </w:r>
      <w:r w:rsidRPr="00BE74E3" w:rsidR="00EB7B49">
        <w:rPr>
          <w:rFonts w:cs="Calibri"/>
          <w:szCs w:val="18"/>
        </w:rPr>
        <w:t>voor</w:t>
      </w:r>
      <w:r w:rsidRPr="00BE74E3">
        <w:rPr>
          <w:rFonts w:cs="Calibri"/>
          <w:szCs w:val="18"/>
        </w:rPr>
        <w:t xml:space="preserve"> het verlagen van de werk-, competitie</w:t>
      </w:r>
      <w:r w:rsidRPr="00BE74E3" w:rsidR="000578BD">
        <w:rPr>
          <w:rFonts w:cs="Calibri"/>
          <w:szCs w:val="18"/>
        </w:rPr>
        <w:t>-</w:t>
      </w:r>
      <w:r w:rsidRPr="00BE74E3">
        <w:rPr>
          <w:rFonts w:cs="Calibri"/>
          <w:szCs w:val="18"/>
        </w:rPr>
        <w:t xml:space="preserve"> en aanvraagdruk</w:t>
      </w:r>
      <w:r w:rsidRPr="00BE74E3" w:rsidR="00EB7B49">
        <w:rPr>
          <w:rFonts w:cs="Calibri"/>
          <w:szCs w:val="18"/>
        </w:rPr>
        <w:t xml:space="preserve">. </w:t>
      </w:r>
      <w:r w:rsidRPr="00BE74E3" w:rsidR="00084C0E">
        <w:rPr>
          <w:rFonts w:cs="Calibri"/>
          <w:szCs w:val="18"/>
        </w:rPr>
        <w:t>C</w:t>
      </w:r>
      <w:r w:rsidRPr="00BE74E3" w:rsidR="001214C2">
        <w:rPr>
          <w:rFonts w:cs="Calibri"/>
          <w:szCs w:val="18"/>
        </w:rPr>
        <w:t>oncreet</w:t>
      </w:r>
      <w:r w:rsidRPr="00BE74E3" w:rsidR="00084C0E">
        <w:rPr>
          <w:rFonts w:cs="Calibri"/>
          <w:szCs w:val="18"/>
        </w:rPr>
        <w:t xml:space="preserve"> ga</w:t>
      </w:r>
      <w:r w:rsidRPr="00BE74E3" w:rsidR="001214C2">
        <w:rPr>
          <w:rFonts w:cs="Calibri"/>
          <w:szCs w:val="18"/>
        </w:rPr>
        <w:t xml:space="preserve"> ik ervan uit dat de structurele middelen</w:t>
      </w:r>
      <w:r w:rsidRPr="00BE74E3" w:rsidR="004D47BC">
        <w:rPr>
          <w:rFonts w:cs="Calibri"/>
          <w:szCs w:val="18"/>
        </w:rPr>
        <w:t xml:space="preserve"> die besteed worden aan personeel</w:t>
      </w:r>
      <w:r w:rsidRPr="00BE74E3" w:rsidR="001214C2">
        <w:rPr>
          <w:rFonts w:cs="Calibri"/>
          <w:szCs w:val="18"/>
        </w:rPr>
        <w:t xml:space="preserve"> in de sectorplannen grotendeels worden ingezet voor vaste contracten en voor ruimte </w:t>
      </w:r>
      <w:r w:rsidRPr="00BE74E3" w:rsidR="009A443E">
        <w:rPr>
          <w:rFonts w:cs="Calibri"/>
          <w:szCs w:val="18"/>
        </w:rPr>
        <w:t>voor</w:t>
      </w:r>
      <w:r w:rsidRPr="00BE74E3" w:rsidR="001214C2">
        <w:rPr>
          <w:rFonts w:cs="Calibri"/>
          <w:szCs w:val="18"/>
        </w:rPr>
        <w:t xml:space="preserve"> onderzoekers om door te groeien.</w:t>
      </w:r>
      <w:r w:rsidRPr="00D52F04" w:rsidR="001214C2">
        <w:rPr>
          <w:rFonts w:cs="Calibri"/>
          <w:szCs w:val="18"/>
        </w:rPr>
        <w:t xml:space="preserve"> </w:t>
      </w:r>
    </w:p>
    <w:p w:rsidRPr="00D52F04" w:rsidR="00110591" w:rsidP="00110591" w:rsidRDefault="00110591" w14:paraId="0D6C546D" w14:textId="77777777">
      <w:pPr>
        <w:spacing w:line="276" w:lineRule="auto"/>
        <w:rPr>
          <w:rFonts w:cs="Calibri"/>
          <w:szCs w:val="18"/>
        </w:rPr>
      </w:pPr>
    </w:p>
    <w:p w:rsidR="00110591" w:rsidP="00110591" w:rsidRDefault="00110591" w14:paraId="741DC268" w14:textId="544BBECA">
      <w:pPr>
        <w:spacing w:line="276" w:lineRule="auto"/>
        <w:rPr>
          <w:rFonts w:cs="Calibri"/>
          <w:szCs w:val="18"/>
        </w:rPr>
      </w:pPr>
      <w:r w:rsidRPr="00D52F04">
        <w:rPr>
          <w:rFonts w:cs="Calibri"/>
          <w:szCs w:val="18"/>
        </w:rPr>
        <w:t xml:space="preserve">Ik vind het van belang dat de sectorplannen aansluiten op de instellingsplannen van de universiteiten. De colleges van </w:t>
      </w:r>
      <w:r w:rsidRPr="00D52F04" w:rsidR="000578BD">
        <w:rPr>
          <w:rFonts w:cs="Calibri"/>
          <w:szCs w:val="18"/>
        </w:rPr>
        <w:t xml:space="preserve">bestuur </w:t>
      </w:r>
      <w:r w:rsidRPr="00D52F04">
        <w:rPr>
          <w:rFonts w:cs="Calibri"/>
          <w:szCs w:val="18"/>
        </w:rPr>
        <w:t xml:space="preserve">en decanen stemmen </w:t>
      </w:r>
      <w:r w:rsidRPr="00D52F04" w:rsidR="00F43373">
        <w:rPr>
          <w:rFonts w:cs="Calibri"/>
          <w:szCs w:val="18"/>
        </w:rPr>
        <w:t>dit</w:t>
      </w:r>
      <w:r w:rsidRPr="00D52F04">
        <w:rPr>
          <w:rFonts w:cs="Calibri"/>
          <w:szCs w:val="18"/>
        </w:rPr>
        <w:t xml:space="preserve"> </w:t>
      </w:r>
      <w:r w:rsidR="00AB23FB">
        <w:rPr>
          <w:rFonts w:cs="Calibri"/>
          <w:szCs w:val="18"/>
        </w:rPr>
        <w:t xml:space="preserve">met elkaar </w:t>
      </w:r>
      <w:r w:rsidRPr="00D52F04">
        <w:rPr>
          <w:rFonts w:cs="Calibri"/>
          <w:szCs w:val="18"/>
        </w:rPr>
        <w:t>af.</w:t>
      </w:r>
      <w:r w:rsidR="00084C0E">
        <w:rPr>
          <w:rFonts w:cs="Calibri"/>
          <w:szCs w:val="18"/>
        </w:rPr>
        <w:t xml:space="preserve"> </w:t>
      </w:r>
      <w:r w:rsidRPr="00D52F04">
        <w:rPr>
          <w:rFonts w:cs="Calibri"/>
          <w:szCs w:val="18"/>
        </w:rPr>
        <w:t xml:space="preserve">Daarnaast verwacht ik dat de medezeggenschap </w:t>
      </w:r>
      <w:r w:rsidR="00AB23FB">
        <w:rPr>
          <w:rFonts w:cs="Calibri"/>
          <w:szCs w:val="18"/>
        </w:rPr>
        <w:t xml:space="preserve">betrokken is </w:t>
      </w:r>
      <w:r w:rsidRPr="00D52F04">
        <w:rPr>
          <w:rFonts w:cs="Calibri"/>
          <w:szCs w:val="18"/>
        </w:rPr>
        <w:t xml:space="preserve">bij </w:t>
      </w:r>
      <w:r w:rsidRPr="00D52F04" w:rsidR="00DC659E">
        <w:rPr>
          <w:rFonts w:cs="Calibri"/>
          <w:szCs w:val="18"/>
        </w:rPr>
        <w:t xml:space="preserve">het opstellen van </w:t>
      </w:r>
      <w:r w:rsidRPr="00D52F04">
        <w:rPr>
          <w:rFonts w:cs="Calibri"/>
          <w:szCs w:val="18"/>
        </w:rPr>
        <w:t xml:space="preserve">de sectorplannen. </w:t>
      </w:r>
      <w:r w:rsidR="000F15D6">
        <w:rPr>
          <w:rFonts w:cs="Calibri"/>
          <w:szCs w:val="18"/>
        </w:rPr>
        <w:t>Dit najaar informeer ik u verder over de uitwerking van de sectorplannen.</w:t>
      </w:r>
    </w:p>
    <w:p w:rsidRPr="00D52F04" w:rsidR="00084C0E" w:rsidP="00110591" w:rsidRDefault="00084C0E" w14:paraId="25878D8F" w14:textId="77777777">
      <w:pPr>
        <w:spacing w:line="276" w:lineRule="auto"/>
        <w:rPr>
          <w:rFonts w:cs="Calibri"/>
          <w:szCs w:val="18"/>
        </w:rPr>
      </w:pPr>
    </w:p>
    <w:p w:rsidRPr="00D52F04" w:rsidR="00110591" w:rsidP="00110591" w:rsidRDefault="00110591" w14:paraId="0B726D80" w14:textId="57D4AC57">
      <w:pPr>
        <w:spacing w:line="276" w:lineRule="auto"/>
        <w:rPr>
          <w:rFonts w:cs="Calibri"/>
          <w:i/>
          <w:iCs/>
          <w:szCs w:val="18"/>
        </w:rPr>
      </w:pPr>
      <w:r w:rsidRPr="00D52F04">
        <w:rPr>
          <w:rFonts w:cs="Calibri"/>
          <w:i/>
          <w:iCs/>
          <w:szCs w:val="18"/>
        </w:rPr>
        <w:t>Europese onderzoek</w:t>
      </w:r>
      <w:r w:rsidRPr="00D52F04" w:rsidR="00AD7899">
        <w:rPr>
          <w:rFonts w:cs="Calibri"/>
          <w:i/>
          <w:iCs/>
          <w:szCs w:val="18"/>
        </w:rPr>
        <w:t>s</w:t>
      </w:r>
      <w:r w:rsidRPr="00D52F04">
        <w:rPr>
          <w:rFonts w:cs="Calibri"/>
          <w:i/>
          <w:iCs/>
          <w:szCs w:val="18"/>
        </w:rPr>
        <w:t>- en innovatieprogramma’s</w:t>
      </w:r>
    </w:p>
    <w:p w:rsidRPr="00D52F04" w:rsidR="00110591" w:rsidP="00110591" w:rsidRDefault="00B17E4D" w14:paraId="1B49A547" w14:textId="203F8B53">
      <w:pPr>
        <w:spacing w:line="276" w:lineRule="auto"/>
        <w:rPr>
          <w:rFonts w:cs="Calibri"/>
          <w:szCs w:val="18"/>
        </w:rPr>
      </w:pPr>
      <w:r>
        <w:rPr>
          <w:rFonts w:cs="Calibri"/>
          <w:szCs w:val="18"/>
        </w:rPr>
        <w:t>Kennis kent geen</w:t>
      </w:r>
      <w:r w:rsidRPr="00D52F04" w:rsidR="00110591">
        <w:rPr>
          <w:rFonts w:cs="Calibri"/>
          <w:szCs w:val="18"/>
        </w:rPr>
        <w:t xml:space="preserve"> grenzen. Het is </w:t>
      </w:r>
      <w:r w:rsidR="00084C0E">
        <w:rPr>
          <w:rFonts w:cs="Calibri"/>
          <w:szCs w:val="18"/>
        </w:rPr>
        <w:t xml:space="preserve">daarom </w:t>
      </w:r>
      <w:r w:rsidRPr="00D52F04" w:rsidR="00110591">
        <w:rPr>
          <w:rFonts w:cs="Calibri"/>
          <w:szCs w:val="18"/>
        </w:rPr>
        <w:t>cruciaal dat nationale onderzoeks- en innovatienetwerken goed zijn aangesloten op internationale (Europese) netwerken</w:t>
      </w:r>
      <w:r w:rsidR="00084C0E">
        <w:rPr>
          <w:rFonts w:cs="Calibri"/>
          <w:szCs w:val="18"/>
        </w:rPr>
        <w:t>.</w:t>
      </w:r>
      <w:r w:rsidRPr="00D52F04" w:rsidR="00110591">
        <w:rPr>
          <w:rFonts w:cs="Calibri"/>
          <w:szCs w:val="18"/>
        </w:rPr>
        <w:t xml:space="preserve"> Een Europees kaderprogramma voor samenwerking </w:t>
      </w:r>
      <w:r w:rsidR="00AB23FB">
        <w:rPr>
          <w:rFonts w:cs="Calibri"/>
          <w:szCs w:val="18"/>
        </w:rPr>
        <w:t>in</w:t>
      </w:r>
      <w:r w:rsidRPr="00D52F04" w:rsidR="00AB23FB">
        <w:rPr>
          <w:rFonts w:cs="Calibri"/>
          <w:szCs w:val="18"/>
        </w:rPr>
        <w:t xml:space="preserve"> </w:t>
      </w:r>
      <w:r w:rsidRPr="00D52F04" w:rsidR="00110591">
        <w:rPr>
          <w:rFonts w:cs="Calibri"/>
          <w:szCs w:val="18"/>
        </w:rPr>
        <w:t xml:space="preserve">onderzoek en innovatie is voor Nederland </w:t>
      </w:r>
      <w:r w:rsidR="00AB23FB">
        <w:rPr>
          <w:rFonts w:cs="Calibri"/>
          <w:szCs w:val="18"/>
        </w:rPr>
        <w:t>en</w:t>
      </w:r>
      <w:r w:rsidRPr="00D52F04" w:rsidR="00AB23FB">
        <w:rPr>
          <w:rFonts w:cs="Calibri"/>
          <w:szCs w:val="18"/>
        </w:rPr>
        <w:t xml:space="preserve"> </w:t>
      </w:r>
      <w:r w:rsidRPr="00D52F04" w:rsidR="00110591">
        <w:rPr>
          <w:rFonts w:cs="Calibri"/>
          <w:szCs w:val="18"/>
        </w:rPr>
        <w:t xml:space="preserve">Europa </w:t>
      </w:r>
      <w:r w:rsidRPr="00D52F04" w:rsidR="00084C0E">
        <w:rPr>
          <w:rFonts w:cs="Calibri"/>
          <w:szCs w:val="18"/>
        </w:rPr>
        <w:t xml:space="preserve">van belang </w:t>
      </w:r>
      <w:r w:rsidRPr="00D52F04" w:rsidR="00110591">
        <w:rPr>
          <w:rFonts w:cs="Calibri"/>
          <w:szCs w:val="18"/>
        </w:rPr>
        <w:t xml:space="preserve">om te kunnen concurreren met andere grootmachten, zoals China en de VS. </w:t>
      </w:r>
      <w:r w:rsidR="00084C0E">
        <w:rPr>
          <w:rFonts w:cs="Calibri"/>
          <w:szCs w:val="18"/>
        </w:rPr>
        <w:t>I</w:t>
      </w:r>
      <w:r w:rsidRPr="00D52F04" w:rsidR="00110591">
        <w:rPr>
          <w:rFonts w:cs="Calibri"/>
          <w:szCs w:val="18"/>
        </w:rPr>
        <w:t>n Europa trek ik hiervoor samen op met mijn collega van EZK.</w:t>
      </w:r>
      <w:r>
        <w:rPr>
          <w:rFonts w:cs="Calibri"/>
          <w:szCs w:val="18"/>
        </w:rPr>
        <w:t xml:space="preserve"> </w:t>
      </w:r>
      <w:r w:rsidRPr="00D52F04" w:rsidR="00110591">
        <w:rPr>
          <w:rFonts w:cs="Calibri"/>
          <w:szCs w:val="18"/>
        </w:rPr>
        <w:t xml:space="preserve">In 2028 gaat het tiende Europese onderzoeks- en innovatiekaderprogramma van start, dat </w:t>
      </w:r>
      <w:r w:rsidR="00084C0E">
        <w:rPr>
          <w:rFonts w:cs="Calibri"/>
          <w:szCs w:val="18"/>
        </w:rPr>
        <w:t>opnieuw</w:t>
      </w:r>
      <w:r w:rsidRPr="00D52F04" w:rsidR="00110591">
        <w:rPr>
          <w:rFonts w:cs="Calibri"/>
          <w:szCs w:val="18"/>
        </w:rPr>
        <w:t xml:space="preserve"> </w:t>
      </w:r>
      <w:r w:rsidRPr="00D52F04" w:rsidR="00110591">
        <w:rPr>
          <w:rFonts w:cs="Calibri"/>
          <w:i/>
          <w:iCs/>
          <w:szCs w:val="18"/>
        </w:rPr>
        <w:t>Horizon Europe</w:t>
      </w:r>
      <w:r w:rsidRPr="00D52F04" w:rsidR="00110591">
        <w:rPr>
          <w:rFonts w:cs="Calibri"/>
          <w:szCs w:val="18"/>
        </w:rPr>
        <w:t xml:space="preserve"> heet. </w:t>
      </w:r>
      <w:r w:rsidR="00084C0E">
        <w:rPr>
          <w:rFonts w:cs="Calibri"/>
          <w:szCs w:val="18"/>
        </w:rPr>
        <w:t>De</w:t>
      </w:r>
      <w:r w:rsidRPr="00D52F04" w:rsidR="00110591">
        <w:rPr>
          <w:rFonts w:cs="Calibri"/>
          <w:szCs w:val="18"/>
        </w:rPr>
        <w:t xml:space="preserve"> </w:t>
      </w:r>
      <w:r w:rsidRPr="00D52F04" w:rsidR="00084C0E">
        <w:rPr>
          <w:rFonts w:cs="Calibri"/>
          <w:szCs w:val="18"/>
        </w:rPr>
        <w:t xml:space="preserve">door de Europese Commissie </w:t>
      </w:r>
      <w:r w:rsidRPr="00D52F04" w:rsidR="00110591">
        <w:rPr>
          <w:rFonts w:cs="Calibri"/>
          <w:szCs w:val="18"/>
        </w:rPr>
        <w:t xml:space="preserve">voorgestelde </w:t>
      </w:r>
      <w:r w:rsidR="00084C0E">
        <w:rPr>
          <w:rFonts w:cs="Calibri"/>
          <w:szCs w:val="18"/>
        </w:rPr>
        <w:t>omvang</w:t>
      </w:r>
      <w:r w:rsidRPr="00D52F04" w:rsidR="00110591">
        <w:rPr>
          <w:rFonts w:cs="Calibri"/>
          <w:szCs w:val="18"/>
        </w:rPr>
        <w:t xml:space="preserve"> </w:t>
      </w:r>
      <w:r w:rsidR="00084C0E">
        <w:rPr>
          <w:rFonts w:cs="Calibri"/>
          <w:szCs w:val="18"/>
        </w:rPr>
        <w:t>hier</w:t>
      </w:r>
      <w:r w:rsidRPr="00D52F04" w:rsidR="00110591">
        <w:rPr>
          <w:rFonts w:cs="Calibri"/>
          <w:szCs w:val="18"/>
        </w:rPr>
        <w:t>v</w:t>
      </w:r>
      <w:r w:rsidR="00084C0E">
        <w:rPr>
          <w:rFonts w:cs="Calibri"/>
          <w:szCs w:val="18"/>
        </w:rPr>
        <w:t>an is</w:t>
      </w:r>
      <w:r w:rsidRPr="00D52F04" w:rsidR="00110591">
        <w:rPr>
          <w:rFonts w:cs="Calibri"/>
          <w:szCs w:val="18"/>
        </w:rPr>
        <w:t xml:space="preserve"> € 175 miljard. Daarmee </w:t>
      </w:r>
      <w:r w:rsidR="00F20842">
        <w:rPr>
          <w:rFonts w:cs="Calibri"/>
          <w:szCs w:val="18"/>
        </w:rPr>
        <w:t xml:space="preserve">wordt </w:t>
      </w:r>
      <w:r w:rsidRPr="00D52F04" w:rsidR="00110591">
        <w:rPr>
          <w:rFonts w:cs="Calibri"/>
          <w:szCs w:val="18"/>
        </w:rPr>
        <w:t xml:space="preserve">Horizon Europe 2028-2034 het grootste internationale programma voor onderzoek en innovatie ter wereld. Er wordt een nauwe koppeling voorzien met het Europees </w:t>
      </w:r>
      <w:proofErr w:type="spellStart"/>
      <w:r w:rsidRPr="00D52F04" w:rsidR="00110591">
        <w:rPr>
          <w:rFonts w:cs="Calibri"/>
          <w:szCs w:val="18"/>
        </w:rPr>
        <w:t>Concurrentievermogenfonds</w:t>
      </w:r>
      <w:proofErr w:type="spellEnd"/>
      <w:r w:rsidRPr="00D52F04" w:rsidR="00110591">
        <w:rPr>
          <w:rFonts w:cs="Calibri"/>
          <w:szCs w:val="18"/>
        </w:rPr>
        <w:t xml:space="preserve"> om </w:t>
      </w:r>
      <w:r w:rsidR="00D874C1">
        <w:rPr>
          <w:rFonts w:cs="Calibri"/>
          <w:szCs w:val="18"/>
        </w:rPr>
        <w:t>de</w:t>
      </w:r>
      <w:r w:rsidRPr="00D52F04" w:rsidR="00110591">
        <w:rPr>
          <w:rFonts w:cs="Calibri"/>
          <w:szCs w:val="18"/>
        </w:rPr>
        <w:t xml:space="preserve"> doorstroming te garanderen van fundamenteel</w:t>
      </w:r>
      <w:r w:rsidRPr="00D52F04" w:rsidR="00741931">
        <w:rPr>
          <w:rFonts w:cs="Calibri"/>
          <w:szCs w:val="18"/>
        </w:rPr>
        <w:t xml:space="preserve"> en ongebonden</w:t>
      </w:r>
      <w:r w:rsidRPr="00D52F04" w:rsidR="00110591">
        <w:rPr>
          <w:rFonts w:cs="Calibri"/>
          <w:szCs w:val="18"/>
        </w:rPr>
        <w:t xml:space="preserve"> onderzoek naar toegepaste innovatie, startups en </w:t>
      </w:r>
      <w:proofErr w:type="spellStart"/>
      <w:r w:rsidRPr="00D52F04" w:rsidR="00110591">
        <w:rPr>
          <w:rFonts w:cs="Calibri"/>
          <w:szCs w:val="18"/>
        </w:rPr>
        <w:t>scale</w:t>
      </w:r>
      <w:proofErr w:type="spellEnd"/>
      <w:r w:rsidRPr="00D52F04" w:rsidR="00110591">
        <w:rPr>
          <w:rFonts w:cs="Calibri"/>
          <w:szCs w:val="18"/>
        </w:rPr>
        <w:t>-ups en</w:t>
      </w:r>
      <w:r w:rsidR="00084C0E">
        <w:rPr>
          <w:rFonts w:cs="Calibri"/>
          <w:szCs w:val="18"/>
        </w:rPr>
        <w:t xml:space="preserve"> </w:t>
      </w:r>
      <w:r w:rsidRPr="00D52F04" w:rsidR="00110591">
        <w:rPr>
          <w:rFonts w:cs="Calibri"/>
          <w:szCs w:val="18"/>
        </w:rPr>
        <w:t>industriebeleid.</w:t>
      </w:r>
      <w:r w:rsidRPr="00D52F04" w:rsidR="00F16D50">
        <w:rPr>
          <w:rStyle w:val="Voetnootmarkering"/>
          <w:rFonts w:cs="Calibri"/>
          <w:szCs w:val="18"/>
        </w:rPr>
        <w:footnoteReference w:id="9"/>
      </w:r>
      <w:r w:rsidRPr="00D52F04" w:rsidR="00110591">
        <w:rPr>
          <w:rFonts w:cs="Calibri"/>
          <w:szCs w:val="18"/>
        </w:rPr>
        <w:t xml:space="preserve"> Horizon Europe </w:t>
      </w:r>
      <w:r w:rsidR="00F20842">
        <w:rPr>
          <w:rFonts w:cs="Calibri"/>
          <w:szCs w:val="18"/>
        </w:rPr>
        <w:t xml:space="preserve">moet </w:t>
      </w:r>
      <w:r w:rsidRPr="00D52F04" w:rsidR="00110591">
        <w:rPr>
          <w:rFonts w:cs="Calibri"/>
          <w:szCs w:val="18"/>
        </w:rPr>
        <w:t xml:space="preserve">op een samenhangende en integrale wijze </w:t>
      </w:r>
      <w:r w:rsidRPr="00D52F04" w:rsidR="00D06F35">
        <w:rPr>
          <w:rFonts w:cs="Calibri"/>
          <w:szCs w:val="18"/>
        </w:rPr>
        <w:t xml:space="preserve">de hele keten </w:t>
      </w:r>
      <w:r w:rsidRPr="00D52F04" w:rsidR="00110591">
        <w:rPr>
          <w:rFonts w:cs="Calibri"/>
          <w:szCs w:val="18"/>
        </w:rPr>
        <w:t xml:space="preserve">van onderzoek en innovatie ondersteunen: van fundamenteel onderzoek tot innovatie, commercialisatie en maatschappelijke impact en van </w:t>
      </w:r>
      <w:proofErr w:type="spellStart"/>
      <w:r w:rsidRPr="00D52F04" w:rsidR="00084C0E">
        <w:rPr>
          <w:rFonts w:cs="Calibri"/>
          <w:szCs w:val="18"/>
        </w:rPr>
        <w:t>nieuwsgierigheid</w:t>
      </w:r>
      <w:r w:rsidR="00FA73C4">
        <w:rPr>
          <w:rFonts w:cs="Calibri"/>
          <w:szCs w:val="18"/>
        </w:rPr>
        <w:t>s</w:t>
      </w:r>
      <w:r w:rsidRPr="00D52F04" w:rsidR="00084C0E">
        <w:rPr>
          <w:rFonts w:cs="Calibri"/>
          <w:szCs w:val="18"/>
        </w:rPr>
        <w:t>gedreven</w:t>
      </w:r>
      <w:proofErr w:type="spellEnd"/>
      <w:r w:rsidRPr="00D52F04" w:rsidR="00110591">
        <w:rPr>
          <w:rFonts w:cs="Calibri"/>
          <w:szCs w:val="18"/>
        </w:rPr>
        <w:t xml:space="preserve"> tot thematisch gestuurd onderzoek. </w:t>
      </w:r>
    </w:p>
    <w:p w:rsidRPr="00D52F04" w:rsidR="00110591" w:rsidP="00110591" w:rsidRDefault="00110591" w14:paraId="735645B8" w14:textId="77777777">
      <w:pPr>
        <w:spacing w:line="276" w:lineRule="auto"/>
        <w:rPr>
          <w:rFonts w:cs="Calibri"/>
          <w:szCs w:val="18"/>
        </w:rPr>
      </w:pPr>
    </w:p>
    <w:p w:rsidRPr="00D52F04" w:rsidR="007430A0" w:rsidP="007430A0" w:rsidRDefault="00110591" w14:paraId="588D8A1F" w14:textId="7E104D89">
      <w:pPr>
        <w:spacing w:line="276" w:lineRule="auto"/>
        <w:rPr>
          <w:rFonts w:cs="Calibri"/>
          <w:szCs w:val="18"/>
        </w:rPr>
      </w:pPr>
      <w:r w:rsidRPr="00D52F04">
        <w:rPr>
          <w:rFonts w:cs="Calibri"/>
          <w:szCs w:val="18"/>
        </w:rPr>
        <w:t>Nederland neemt succesvol deel aan het huidige Horizon Europe 2021-2027</w:t>
      </w:r>
      <w:r w:rsidR="00740899">
        <w:rPr>
          <w:rFonts w:cs="Calibri"/>
          <w:szCs w:val="18"/>
        </w:rPr>
        <w:t>.</w:t>
      </w:r>
      <w:r w:rsidRPr="00CB74DE" w:rsidR="00CB74DE">
        <w:rPr>
          <w:rFonts w:cs="Calibri"/>
          <w:szCs w:val="18"/>
        </w:rPr>
        <w:t xml:space="preserve"> </w:t>
      </w:r>
      <w:r w:rsidR="00740899">
        <w:rPr>
          <w:rFonts w:cs="Calibri"/>
          <w:szCs w:val="18"/>
        </w:rPr>
        <w:t>Dit versterkt</w:t>
      </w:r>
      <w:r w:rsidR="00CB74DE">
        <w:rPr>
          <w:rFonts w:cs="Calibri"/>
          <w:szCs w:val="18"/>
        </w:rPr>
        <w:t xml:space="preserve"> </w:t>
      </w:r>
      <w:r w:rsidRPr="00D52F04" w:rsidR="00CB74DE">
        <w:rPr>
          <w:rFonts w:cs="Calibri"/>
          <w:szCs w:val="18"/>
        </w:rPr>
        <w:t>de Nederlandse onderzoeks- en innovatiesector</w:t>
      </w:r>
      <w:r w:rsidRPr="00D52F04">
        <w:rPr>
          <w:rFonts w:cs="Calibri"/>
          <w:szCs w:val="18"/>
        </w:rPr>
        <w:t>.</w:t>
      </w:r>
      <w:r w:rsidRPr="00D52F04" w:rsidR="00CD73E5">
        <w:rPr>
          <w:rFonts w:cs="Calibri"/>
          <w:szCs w:val="18"/>
        </w:rPr>
        <w:t xml:space="preserve"> Nederlandse kennisinstellingen en innovatieve bedrijven hebben via Horizon Europe 2021-2027 tot nu toe € 5 miljard opgehaald.</w:t>
      </w:r>
      <w:r w:rsidRPr="00D52F04" w:rsidR="00AB5280">
        <w:rPr>
          <w:rFonts w:cs="Calibri"/>
          <w:szCs w:val="18"/>
        </w:rPr>
        <w:t xml:space="preserve"> Alleen grote lidstaten </w:t>
      </w:r>
      <w:r w:rsidR="00CB74DE">
        <w:rPr>
          <w:rFonts w:cs="Calibri"/>
          <w:szCs w:val="18"/>
        </w:rPr>
        <w:t>zo</w:t>
      </w:r>
      <w:r w:rsidRPr="00D52F04" w:rsidR="00AB5280">
        <w:rPr>
          <w:rFonts w:cs="Calibri"/>
          <w:szCs w:val="18"/>
        </w:rPr>
        <w:t xml:space="preserve">als Duitsland, Frankrijk en Spanje ontvangen meer. </w:t>
      </w:r>
      <w:r w:rsidRPr="00D52F04">
        <w:rPr>
          <w:rFonts w:cs="Calibri"/>
          <w:szCs w:val="18"/>
        </w:rPr>
        <w:t>Het aandeel dat Nederland ontvangt uit Horizon Europe is bijna tweemaal zo hoog als het aandeel dat Nederland bijdraagt aan de Europese begroting.</w:t>
      </w:r>
      <w:r w:rsidRPr="00D52F04">
        <w:rPr>
          <w:rStyle w:val="Voetnootmarkering"/>
          <w:rFonts w:cs="Calibri"/>
          <w:szCs w:val="18"/>
        </w:rPr>
        <w:footnoteReference w:id="10"/>
      </w:r>
      <w:r w:rsidRPr="00D52F04">
        <w:rPr>
          <w:rFonts w:cs="Calibri"/>
          <w:szCs w:val="18"/>
        </w:rPr>
        <w:t xml:space="preserve"> Om de succesvolle deelname van Nederland aan Horizon Europe te behouden en te verbeteren, </w:t>
      </w:r>
      <w:r w:rsidRPr="00D52F04" w:rsidR="0046002B">
        <w:rPr>
          <w:rFonts w:cs="Calibri"/>
          <w:szCs w:val="18"/>
        </w:rPr>
        <w:t xml:space="preserve">maakt </w:t>
      </w:r>
      <w:r w:rsidRPr="00D52F04">
        <w:rPr>
          <w:rFonts w:cs="Calibri"/>
          <w:szCs w:val="18"/>
        </w:rPr>
        <w:t>het kabinet</w:t>
      </w:r>
      <w:r w:rsidRPr="00D52F04" w:rsidR="0046002B">
        <w:rPr>
          <w:rFonts w:cs="Calibri"/>
          <w:szCs w:val="18"/>
        </w:rPr>
        <w:t xml:space="preserve"> </w:t>
      </w:r>
      <w:r w:rsidRPr="00D52F04" w:rsidR="00E93EE7">
        <w:rPr>
          <w:rFonts w:cs="Calibri"/>
          <w:szCs w:val="18"/>
        </w:rPr>
        <w:t xml:space="preserve">het budget voor de </w:t>
      </w:r>
      <w:r w:rsidRPr="00D52F04" w:rsidR="0046002B">
        <w:rPr>
          <w:rFonts w:cs="Calibri"/>
          <w:szCs w:val="18"/>
        </w:rPr>
        <w:t>tijdelijke subsidieregeling Matching Horizon Europe</w:t>
      </w:r>
      <w:r w:rsidRPr="00D52F04">
        <w:rPr>
          <w:rFonts w:cs="Calibri"/>
          <w:szCs w:val="18"/>
        </w:rPr>
        <w:t xml:space="preserve"> structureel</w:t>
      </w:r>
      <w:r w:rsidRPr="00D52F04" w:rsidR="0046002B">
        <w:rPr>
          <w:rFonts w:cs="Calibri"/>
          <w:szCs w:val="18"/>
        </w:rPr>
        <w:t xml:space="preserve"> met</w:t>
      </w:r>
      <w:r w:rsidRPr="00D52F04">
        <w:rPr>
          <w:rFonts w:cs="Calibri"/>
          <w:szCs w:val="18"/>
        </w:rPr>
        <w:t xml:space="preserve"> € 80 miljoen</w:t>
      </w:r>
      <w:r w:rsidRPr="00D52F04" w:rsidR="0046002B">
        <w:rPr>
          <w:rFonts w:cs="Calibri"/>
          <w:szCs w:val="18"/>
        </w:rPr>
        <w:t xml:space="preserve"> per jaar. </w:t>
      </w:r>
      <w:r w:rsidR="00F20842">
        <w:rPr>
          <w:rFonts w:cs="Calibri"/>
          <w:szCs w:val="18"/>
        </w:rPr>
        <w:t>I</w:t>
      </w:r>
      <w:r w:rsidRPr="00D52F04">
        <w:rPr>
          <w:rFonts w:cs="Calibri"/>
          <w:szCs w:val="18"/>
        </w:rPr>
        <w:t xml:space="preserve">nstellingen </w:t>
      </w:r>
      <w:r w:rsidRPr="00D52F04" w:rsidR="00F20842">
        <w:rPr>
          <w:rFonts w:cs="Calibri"/>
          <w:szCs w:val="18"/>
        </w:rPr>
        <w:t>ontvangen</w:t>
      </w:r>
      <w:r w:rsidR="00F20842">
        <w:rPr>
          <w:rFonts w:cs="Calibri"/>
          <w:szCs w:val="18"/>
        </w:rPr>
        <w:t xml:space="preserve"> hiermee</w:t>
      </w:r>
      <w:r w:rsidRPr="00D52F04" w:rsidR="00F20842">
        <w:rPr>
          <w:rFonts w:cs="Calibri"/>
          <w:szCs w:val="18"/>
        </w:rPr>
        <w:t xml:space="preserve"> </w:t>
      </w:r>
      <w:r w:rsidRPr="00D52F04">
        <w:rPr>
          <w:rFonts w:cs="Calibri"/>
          <w:szCs w:val="18"/>
        </w:rPr>
        <w:t xml:space="preserve">compensatie voor de eigen bijdrage die zij inleggen om deel te nemen aan projecten in Horizon Europe. Door deze subsidieregeling </w:t>
      </w:r>
      <w:r w:rsidR="00E52A7B">
        <w:rPr>
          <w:rFonts w:cs="Calibri"/>
          <w:szCs w:val="18"/>
        </w:rPr>
        <w:t>bevorder ik</w:t>
      </w:r>
      <w:r w:rsidRPr="00D52F04">
        <w:rPr>
          <w:rFonts w:cs="Calibri"/>
          <w:szCs w:val="18"/>
        </w:rPr>
        <w:t xml:space="preserve"> de toegang van Nederlandse onderzoekers </w:t>
      </w:r>
      <w:r w:rsidR="00F20842">
        <w:rPr>
          <w:rFonts w:cs="Calibri"/>
          <w:szCs w:val="18"/>
        </w:rPr>
        <w:t xml:space="preserve">tot </w:t>
      </w:r>
      <w:r w:rsidRPr="00D52F04">
        <w:rPr>
          <w:rFonts w:cs="Calibri"/>
          <w:szCs w:val="18"/>
        </w:rPr>
        <w:lastRenderedPageBreak/>
        <w:t xml:space="preserve">Horizon Europe. </w:t>
      </w:r>
      <w:r w:rsidRPr="00D52F04" w:rsidR="007430A0">
        <w:rPr>
          <w:rFonts w:cs="Calibri"/>
          <w:szCs w:val="18"/>
        </w:rPr>
        <w:t xml:space="preserve">Daarnaast blijft het kabinet inzetten op het ondersteunen van Nederlandse indieners </w:t>
      </w:r>
      <w:r w:rsidR="00740899">
        <w:rPr>
          <w:rFonts w:cs="Calibri"/>
          <w:szCs w:val="18"/>
        </w:rPr>
        <w:t>met het</w:t>
      </w:r>
      <w:r w:rsidRPr="00D52F04" w:rsidR="007430A0">
        <w:rPr>
          <w:rFonts w:cs="Calibri"/>
          <w:szCs w:val="18"/>
        </w:rPr>
        <w:t xml:space="preserve"> National Contact Point.</w:t>
      </w:r>
    </w:p>
    <w:p w:rsidRPr="00D52F04" w:rsidR="00110591" w:rsidP="00110591" w:rsidRDefault="00110591" w14:paraId="429C777C" w14:textId="77777777">
      <w:pPr>
        <w:spacing w:line="276" w:lineRule="auto"/>
        <w:rPr>
          <w:rFonts w:cs="Calibri"/>
          <w:szCs w:val="18"/>
        </w:rPr>
      </w:pPr>
    </w:p>
    <w:p w:rsidRPr="004D47BC" w:rsidR="007C05CA" w:rsidP="00110591" w:rsidRDefault="00110591" w14:paraId="64A8411A" w14:textId="1F309394">
      <w:pPr>
        <w:spacing w:line="276" w:lineRule="auto"/>
        <w:rPr>
          <w:rFonts w:cs="Calibri"/>
          <w:szCs w:val="18"/>
        </w:rPr>
      </w:pPr>
      <w:r w:rsidRPr="00D52F04">
        <w:rPr>
          <w:rFonts w:cs="Calibri"/>
          <w:szCs w:val="18"/>
        </w:rPr>
        <w:t>Het kabinet investeert daarnaast structureel € 47 miljoen in de cofinanciering van Europese partnerschappen</w:t>
      </w:r>
      <w:r w:rsidR="00E52A7B">
        <w:rPr>
          <w:rFonts w:cs="Calibri"/>
          <w:szCs w:val="18"/>
        </w:rPr>
        <w:t xml:space="preserve">. </w:t>
      </w:r>
      <w:r w:rsidRPr="00D52F04">
        <w:rPr>
          <w:rFonts w:cs="Calibri"/>
          <w:szCs w:val="18"/>
        </w:rPr>
        <w:t xml:space="preserve">Bij Europese </w:t>
      </w:r>
      <w:r w:rsidR="00F20842">
        <w:rPr>
          <w:rFonts w:cs="Calibri"/>
          <w:szCs w:val="18"/>
        </w:rPr>
        <w:t>p</w:t>
      </w:r>
      <w:r w:rsidRPr="00D52F04" w:rsidR="00F20842">
        <w:rPr>
          <w:rFonts w:cs="Calibri"/>
          <w:szCs w:val="18"/>
        </w:rPr>
        <w:t xml:space="preserve">artnerschappen </w:t>
      </w:r>
      <w:r w:rsidRPr="00D52F04">
        <w:rPr>
          <w:rFonts w:cs="Calibri"/>
          <w:szCs w:val="18"/>
        </w:rPr>
        <w:t xml:space="preserve">worden nationale </w:t>
      </w:r>
      <w:r w:rsidR="00E52A7B">
        <w:rPr>
          <w:rFonts w:cs="Calibri"/>
          <w:szCs w:val="18"/>
        </w:rPr>
        <w:t>en</w:t>
      </w:r>
      <w:r w:rsidRPr="00D52F04">
        <w:rPr>
          <w:rFonts w:cs="Calibri"/>
          <w:szCs w:val="18"/>
        </w:rPr>
        <w:t xml:space="preserve"> Europese middelen </w:t>
      </w:r>
      <w:r w:rsidRPr="00D52F04" w:rsidR="00E52A7B">
        <w:rPr>
          <w:rFonts w:cs="Calibri"/>
          <w:szCs w:val="18"/>
        </w:rPr>
        <w:t xml:space="preserve">gecombineerd </w:t>
      </w:r>
      <w:r w:rsidRPr="00D52F04">
        <w:rPr>
          <w:rFonts w:cs="Calibri"/>
          <w:szCs w:val="18"/>
        </w:rPr>
        <w:t xml:space="preserve">om met publieke </w:t>
      </w:r>
      <w:r w:rsidRPr="00D52F04" w:rsidR="007C05CA">
        <w:rPr>
          <w:rFonts w:cs="Calibri"/>
          <w:szCs w:val="18"/>
        </w:rPr>
        <w:t xml:space="preserve">en </w:t>
      </w:r>
      <w:r w:rsidRPr="00D52F04">
        <w:rPr>
          <w:rFonts w:cs="Calibri"/>
          <w:szCs w:val="18"/>
        </w:rPr>
        <w:t xml:space="preserve">private </w:t>
      </w:r>
      <w:r w:rsidRPr="00D52F04" w:rsidR="007C05CA">
        <w:rPr>
          <w:rFonts w:cs="Calibri"/>
          <w:szCs w:val="18"/>
        </w:rPr>
        <w:t xml:space="preserve">partijen </w:t>
      </w:r>
      <w:r w:rsidRPr="00D52F04">
        <w:rPr>
          <w:rFonts w:cs="Calibri"/>
          <w:szCs w:val="18"/>
        </w:rPr>
        <w:t xml:space="preserve">samen te werken aan </w:t>
      </w:r>
      <w:r w:rsidR="004D47BC">
        <w:rPr>
          <w:rFonts w:cs="Calibri"/>
          <w:szCs w:val="18"/>
        </w:rPr>
        <w:t xml:space="preserve">belangrijke </w:t>
      </w:r>
      <w:r w:rsidRPr="00D52F04">
        <w:rPr>
          <w:rFonts w:cs="Calibri"/>
          <w:szCs w:val="18"/>
        </w:rPr>
        <w:t>thema’s</w:t>
      </w:r>
      <w:r w:rsidRPr="00D52F04" w:rsidR="007C05CA">
        <w:rPr>
          <w:rFonts w:cs="Calibri"/>
          <w:szCs w:val="18"/>
        </w:rPr>
        <w:t>,</w:t>
      </w:r>
      <w:r w:rsidR="00E52A7B">
        <w:rPr>
          <w:rFonts w:cs="Calibri"/>
          <w:szCs w:val="18"/>
        </w:rPr>
        <w:t xml:space="preserve"> zo</w:t>
      </w:r>
      <w:r w:rsidRPr="00D52F04">
        <w:rPr>
          <w:rFonts w:cs="Calibri"/>
          <w:szCs w:val="18"/>
        </w:rPr>
        <w:t xml:space="preserve">als </w:t>
      </w:r>
      <w:r w:rsidR="00740899">
        <w:rPr>
          <w:rFonts w:cs="Calibri"/>
          <w:szCs w:val="18"/>
        </w:rPr>
        <w:t>klimaatverandering, toegang tot schoon water</w:t>
      </w:r>
      <w:r w:rsidR="004D47BC">
        <w:rPr>
          <w:rFonts w:cs="Calibri"/>
          <w:szCs w:val="18"/>
        </w:rPr>
        <w:t>, gezondheid</w:t>
      </w:r>
      <w:r w:rsidR="00740899">
        <w:rPr>
          <w:rFonts w:cs="Calibri"/>
          <w:szCs w:val="18"/>
        </w:rPr>
        <w:t xml:space="preserve"> en </w:t>
      </w:r>
      <w:r w:rsidR="002958B2">
        <w:rPr>
          <w:rFonts w:cs="Calibri"/>
          <w:szCs w:val="18"/>
        </w:rPr>
        <w:t>het ontwikkelen van supercomputers</w:t>
      </w:r>
      <w:r w:rsidRPr="00D52F04">
        <w:rPr>
          <w:rFonts w:cs="Calibri"/>
          <w:szCs w:val="18"/>
        </w:rPr>
        <w:t xml:space="preserve">. Nederland zorgt </w:t>
      </w:r>
      <w:r w:rsidR="00E52A7B">
        <w:rPr>
          <w:rFonts w:cs="Calibri"/>
          <w:szCs w:val="18"/>
        </w:rPr>
        <w:t>er met de inzet op</w:t>
      </w:r>
      <w:r w:rsidRPr="00D52F04" w:rsidR="00E52A7B">
        <w:rPr>
          <w:rFonts w:cs="Calibri"/>
          <w:szCs w:val="18"/>
        </w:rPr>
        <w:t xml:space="preserve"> Europese </w:t>
      </w:r>
      <w:r w:rsidR="00F20842">
        <w:rPr>
          <w:rFonts w:cs="Calibri"/>
          <w:szCs w:val="18"/>
        </w:rPr>
        <w:t>p</w:t>
      </w:r>
      <w:r w:rsidRPr="00D52F04" w:rsidR="00F20842">
        <w:rPr>
          <w:rFonts w:cs="Calibri"/>
          <w:szCs w:val="18"/>
        </w:rPr>
        <w:t xml:space="preserve">artnerschappen </w:t>
      </w:r>
      <w:r w:rsidRPr="00D52F04" w:rsidR="0047718B">
        <w:rPr>
          <w:rFonts w:cs="Calibri"/>
          <w:szCs w:val="18"/>
        </w:rPr>
        <w:t xml:space="preserve">bijvoorbeeld </w:t>
      </w:r>
      <w:r w:rsidRPr="00D52F04">
        <w:rPr>
          <w:rFonts w:cs="Calibri"/>
          <w:szCs w:val="18"/>
        </w:rPr>
        <w:t xml:space="preserve">voor dat de Nederlandse kennissector en </w:t>
      </w:r>
      <w:r w:rsidR="00F20842">
        <w:rPr>
          <w:rFonts w:cs="Calibri"/>
          <w:szCs w:val="18"/>
        </w:rPr>
        <w:t xml:space="preserve">het </w:t>
      </w:r>
      <w:r w:rsidRPr="00D52F04" w:rsidR="00AB5280">
        <w:rPr>
          <w:rFonts w:cs="Calibri"/>
          <w:szCs w:val="18"/>
        </w:rPr>
        <w:t xml:space="preserve">bedrijfsleven </w:t>
      </w:r>
      <w:r w:rsidRPr="00D52F04">
        <w:rPr>
          <w:rFonts w:cs="Calibri"/>
          <w:szCs w:val="18"/>
        </w:rPr>
        <w:t>toegang h</w:t>
      </w:r>
      <w:r w:rsidRPr="00D52F04" w:rsidR="00AB5280">
        <w:rPr>
          <w:rFonts w:cs="Calibri"/>
          <w:szCs w:val="18"/>
        </w:rPr>
        <w:t>ouden</w:t>
      </w:r>
      <w:r w:rsidRPr="00D52F04">
        <w:rPr>
          <w:rFonts w:cs="Calibri"/>
          <w:szCs w:val="18"/>
        </w:rPr>
        <w:t xml:space="preserve"> </w:t>
      </w:r>
      <w:r w:rsidRPr="00D52F04" w:rsidR="00D7755A">
        <w:rPr>
          <w:rFonts w:cs="Calibri"/>
          <w:szCs w:val="18"/>
        </w:rPr>
        <w:t xml:space="preserve">tot </w:t>
      </w:r>
      <w:proofErr w:type="spellStart"/>
      <w:r w:rsidRPr="00D52F04" w:rsidR="00D7755A">
        <w:rPr>
          <w:rFonts w:cs="Calibri"/>
          <w:szCs w:val="18"/>
        </w:rPr>
        <w:t>onderzoeksdata</w:t>
      </w:r>
      <w:proofErr w:type="spellEnd"/>
      <w:r w:rsidRPr="00D52F04" w:rsidR="00D7755A">
        <w:rPr>
          <w:rFonts w:cs="Calibri"/>
          <w:szCs w:val="18"/>
        </w:rPr>
        <w:t xml:space="preserve"> via de European Open </w:t>
      </w:r>
      <w:proofErr w:type="spellStart"/>
      <w:r w:rsidRPr="00D52F04" w:rsidR="00D7755A">
        <w:rPr>
          <w:rFonts w:cs="Calibri"/>
          <w:szCs w:val="18"/>
        </w:rPr>
        <w:t>Science</w:t>
      </w:r>
      <w:proofErr w:type="spellEnd"/>
      <w:r w:rsidRPr="00D52F04" w:rsidR="00D7755A">
        <w:rPr>
          <w:rFonts w:cs="Calibri"/>
          <w:szCs w:val="18"/>
        </w:rPr>
        <w:t xml:space="preserve"> Cloud en </w:t>
      </w:r>
      <w:r w:rsidRPr="00D52F04">
        <w:rPr>
          <w:rFonts w:cs="Calibri"/>
          <w:szCs w:val="18"/>
        </w:rPr>
        <w:t xml:space="preserve">tot supercomputers via </w:t>
      </w:r>
      <w:proofErr w:type="spellStart"/>
      <w:r w:rsidRPr="00D52F04">
        <w:rPr>
          <w:rFonts w:cs="Calibri"/>
          <w:szCs w:val="18"/>
        </w:rPr>
        <w:t>EuroHPC</w:t>
      </w:r>
      <w:proofErr w:type="spellEnd"/>
      <w:r w:rsidRPr="00D52F04">
        <w:rPr>
          <w:rFonts w:cs="Calibri"/>
          <w:szCs w:val="18"/>
        </w:rPr>
        <w:t>.</w:t>
      </w:r>
      <w:r w:rsidRPr="00D52F04" w:rsidR="005D06BB">
        <w:rPr>
          <w:rFonts w:cs="Calibri"/>
          <w:szCs w:val="18"/>
        </w:rPr>
        <w:t xml:space="preserve"> </w:t>
      </w:r>
      <w:r w:rsidRPr="00D52F04" w:rsidR="00E52A7B">
        <w:rPr>
          <w:rFonts w:cs="Calibri"/>
          <w:szCs w:val="18"/>
        </w:rPr>
        <w:t>De</w:t>
      </w:r>
      <w:r w:rsidR="00E52A7B">
        <w:rPr>
          <w:rFonts w:cs="Calibri"/>
          <w:szCs w:val="18"/>
        </w:rPr>
        <w:t xml:space="preserve"> inzet</w:t>
      </w:r>
      <w:r w:rsidRPr="00D52F04" w:rsidR="00E52A7B">
        <w:rPr>
          <w:rFonts w:cs="Calibri"/>
          <w:szCs w:val="18"/>
        </w:rPr>
        <w:t xml:space="preserve"> loopt </w:t>
      </w:r>
      <w:r w:rsidR="00E52A7B">
        <w:rPr>
          <w:rFonts w:cs="Calibri"/>
          <w:szCs w:val="18"/>
        </w:rPr>
        <w:t>deels</w:t>
      </w:r>
      <w:r w:rsidRPr="00D52F04" w:rsidR="00E52A7B">
        <w:rPr>
          <w:rFonts w:cs="Calibri"/>
          <w:szCs w:val="18"/>
        </w:rPr>
        <w:t xml:space="preserve"> via het ministerie van EZK.</w:t>
      </w:r>
      <w:r w:rsidR="00E52A7B">
        <w:rPr>
          <w:rFonts w:cs="Calibri"/>
          <w:szCs w:val="18"/>
        </w:rPr>
        <w:t xml:space="preserve"> </w:t>
      </w:r>
      <w:r w:rsidRPr="00D52F04" w:rsidR="005D06BB">
        <w:rPr>
          <w:rFonts w:cs="Calibri"/>
          <w:szCs w:val="18"/>
        </w:rPr>
        <w:t xml:space="preserve">EZK </w:t>
      </w:r>
      <w:r w:rsidR="00F20842">
        <w:rPr>
          <w:rFonts w:cs="Calibri"/>
          <w:szCs w:val="18"/>
        </w:rPr>
        <w:t xml:space="preserve">zet </w:t>
      </w:r>
      <w:r w:rsidRPr="00D52F04" w:rsidR="005D06BB">
        <w:rPr>
          <w:rFonts w:cs="Calibri"/>
          <w:szCs w:val="18"/>
        </w:rPr>
        <w:t>deze middelen in</w:t>
      </w:r>
      <w:r w:rsidR="002C4410">
        <w:rPr>
          <w:rFonts w:cs="Calibri"/>
          <w:szCs w:val="18"/>
        </w:rPr>
        <w:t xml:space="preserve"> </w:t>
      </w:r>
      <w:r w:rsidR="00CB74DE">
        <w:rPr>
          <w:rFonts w:cs="Calibri"/>
          <w:szCs w:val="18"/>
        </w:rPr>
        <w:t>voor</w:t>
      </w:r>
      <w:r w:rsidRPr="00D52F04" w:rsidR="005D06BB">
        <w:rPr>
          <w:rFonts w:cs="Calibri"/>
          <w:szCs w:val="18"/>
        </w:rPr>
        <w:t xml:space="preserve"> het stimuleren van publiek-private </w:t>
      </w:r>
      <w:r w:rsidR="00F20842">
        <w:rPr>
          <w:rFonts w:cs="Calibri"/>
          <w:szCs w:val="18"/>
        </w:rPr>
        <w:t>onderzoeks- en innovatie</w:t>
      </w:r>
      <w:r w:rsidR="00E52A7B">
        <w:rPr>
          <w:rFonts w:cs="Calibri"/>
          <w:szCs w:val="18"/>
        </w:rPr>
        <w:t>-</w:t>
      </w:r>
      <w:r w:rsidRPr="00D52F04" w:rsidR="005D06BB">
        <w:rPr>
          <w:rFonts w:cs="Calibri"/>
          <w:szCs w:val="18"/>
        </w:rPr>
        <w:t>samenwerking via strategische hoogtechnologische Europese partnerschappen</w:t>
      </w:r>
      <w:r w:rsidR="00CB74DE">
        <w:rPr>
          <w:rFonts w:cs="Calibri"/>
          <w:szCs w:val="18"/>
        </w:rPr>
        <w:t>. D</w:t>
      </w:r>
      <w:r w:rsidRPr="00D52F04" w:rsidR="005D06BB">
        <w:rPr>
          <w:rFonts w:cs="Calibri"/>
          <w:szCs w:val="18"/>
        </w:rPr>
        <w:t>e middelen die OCW inzet via NWO</w:t>
      </w:r>
      <w:r w:rsidR="002C4410">
        <w:rPr>
          <w:rFonts w:cs="Calibri"/>
          <w:szCs w:val="18"/>
        </w:rPr>
        <w:t xml:space="preserve"> </w:t>
      </w:r>
      <w:r w:rsidR="00F20842">
        <w:rPr>
          <w:rFonts w:cs="Calibri"/>
          <w:szCs w:val="18"/>
        </w:rPr>
        <w:t>zijn</w:t>
      </w:r>
      <w:r w:rsidR="00CB74DE">
        <w:rPr>
          <w:rFonts w:cs="Calibri"/>
          <w:szCs w:val="18"/>
        </w:rPr>
        <w:t xml:space="preserve"> </w:t>
      </w:r>
      <w:r w:rsidRPr="00D52F04" w:rsidR="005D06BB">
        <w:rPr>
          <w:rFonts w:cs="Calibri"/>
          <w:szCs w:val="18"/>
        </w:rPr>
        <w:t>gericht op een breder wetenschappelijk bereik</w:t>
      </w:r>
      <w:r w:rsidR="00C97369">
        <w:rPr>
          <w:rFonts w:cs="Calibri"/>
          <w:szCs w:val="18"/>
        </w:rPr>
        <w:t xml:space="preserve"> en </w:t>
      </w:r>
      <w:r w:rsidR="003E72FC">
        <w:rPr>
          <w:rFonts w:cs="Calibri"/>
          <w:szCs w:val="18"/>
        </w:rPr>
        <w:t xml:space="preserve">meer op </w:t>
      </w:r>
      <w:r w:rsidR="00C97369">
        <w:rPr>
          <w:rFonts w:cs="Calibri"/>
          <w:szCs w:val="18"/>
        </w:rPr>
        <w:t>maatschappelijke uitdagingen</w:t>
      </w:r>
      <w:r w:rsidR="004D47BC">
        <w:rPr>
          <w:rFonts w:cs="Calibri"/>
          <w:szCs w:val="18"/>
        </w:rPr>
        <w:t xml:space="preserve">, </w:t>
      </w:r>
      <w:r w:rsidRPr="00CD4707" w:rsidR="004D47BC">
        <w:rPr>
          <w:rFonts w:cs="Calibri"/>
          <w:szCs w:val="18"/>
        </w:rPr>
        <w:t>bijvoorbeeld op het gebied van democratie en veerkracht of de weerbaarheid van Europees cultureel erfgoed tegen klimaatverandering</w:t>
      </w:r>
      <w:r w:rsidRPr="004D47BC" w:rsidR="005D06BB">
        <w:rPr>
          <w:rFonts w:cs="Calibri"/>
          <w:szCs w:val="18"/>
        </w:rPr>
        <w:t>.</w:t>
      </w:r>
      <w:r w:rsidRPr="004D47BC" w:rsidR="00E52A7B">
        <w:rPr>
          <w:rFonts w:cs="Calibri"/>
          <w:szCs w:val="18"/>
        </w:rPr>
        <w:t xml:space="preserve"> </w:t>
      </w:r>
    </w:p>
    <w:p w:rsidRPr="00D52F04" w:rsidR="00247CCB" w:rsidP="00110591" w:rsidRDefault="00247CCB" w14:paraId="6AD1BF14" w14:textId="77777777">
      <w:pPr>
        <w:spacing w:line="276" w:lineRule="auto"/>
        <w:rPr>
          <w:rFonts w:cs="Calibri"/>
          <w:i/>
          <w:iCs/>
          <w:szCs w:val="18"/>
        </w:rPr>
      </w:pPr>
      <w:r w:rsidRPr="00D52F04">
        <w:rPr>
          <w:rFonts w:cs="Calibri"/>
          <w:szCs w:val="18"/>
        </w:rPr>
        <w:br/>
      </w:r>
      <w:proofErr w:type="spellStart"/>
      <w:r w:rsidRPr="00D52F04">
        <w:rPr>
          <w:rFonts w:cs="Calibri"/>
          <w:i/>
          <w:iCs/>
          <w:szCs w:val="18"/>
        </w:rPr>
        <w:t>Onderzoeksinfrastructuur</w:t>
      </w:r>
      <w:proofErr w:type="spellEnd"/>
    </w:p>
    <w:p w:rsidRPr="00E52A7B" w:rsidR="00AC3EBE" w:rsidP="00110591" w:rsidRDefault="00AC3EBE" w14:paraId="5424C7CA" w14:textId="7879F87A">
      <w:pPr>
        <w:spacing w:line="276" w:lineRule="auto"/>
        <w:rPr>
          <w:rFonts w:cs="Calibri"/>
          <w:szCs w:val="18"/>
        </w:rPr>
      </w:pPr>
      <w:proofErr w:type="spellStart"/>
      <w:r w:rsidRPr="00D52F04">
        <w:rPr>
          <w:rFonts w:cs="Calibri"/>
          <w:szCs w:val="18"/>
        </w:rPr>
        <w:t>Onderzoeksinfrastructuur</w:t>
      </w:r>
      <w:proofErr w:type="spellEnd"/>
      <w:r w:rsidRPr="00D52F04">
        <w:rPr>
          <w:rFonts w:cs="Calibri"/>
          <w:szCs w:val="18"/>
        </w:rPr>
        <w:t xml:space="preserve"> van topkwaliteit</w:t>
      </w:r>
      <w:r w:rsidRPr="00D52F04" w:rsidR="00102B21">
        <w:rPr>
          <w:rFonts w:cs="Calibri"/>
          <w:szCs w:val="18"/>
        </w:rPr>
        <w:t xml:space="preserve"> is een basisvoorwaarde voor </w:t>
      </w:r>
      <w:r w:rsidRPr="00D52F04">
        <w:rPr>
          <w:rFonts w:cs="Calibri"/>
          <w:szCs w:val="18"/>
        </w:rPr>
        <w:t xml:space="preserve">de ontwikkeling en toepassing van kennis voor Nederland. </w:t>
      </w:r>
      <w:r w:rsidRPr="00E52A7B" w:rsidR="00D5480E">
        <w:rPr>
          <w:rFonts w:cs="Calibri"/>
          <w:szCs w:val="18"/>
        </w:rPr>
        <w:t>Voorbeelden van infrastructuur zijn</w:t>
      </w:r>
      <w:r w:rsidRPr="00E52A7B" w:rsidR="009D37FD">
        <w:rPr>
          <w:rFonts w:cs="Calibri"/>
          <w:szCs w:val="18"/>
        </w:rPr>
        <w:t xml:space="preserve"> </w:t>
      </w:r>
      <w:r w:rsidRPr="00E52A7B" w:rsidR="00D5480E">
        <w:rPr>
          <w:rFonts w:cs="Calibri"/>
          <w:szCs w:val="18"/>
        </w:rPr>
        <w:t>telescopen</w:t>
      </w:r>
      <w:r w:rsidR="00F20842">
        <w:rPr>
          <w:rFonts w:cs="Calibri"/>
          <w:szCs w:val="18"/>
        </w:rPr>
        <w:t>,</w:t>
      </w:r>
      <w:r w:rsidR="002C4410">
        <w:rPr>
          <w:rFonts w:cs="Calibri"/>
          <w:szCs w:val="18"/>
        </w:rPr>
        <w:t xml:space="preserve"> </w:t>
      </w:r>
      <w:r w:rsidRPr="00E52A7B" w:rsidR="00D5480E">
        <w:rPr>
          <w:rFonts w:cs="Calibri"/>
          <w:szCs w:val="18"/>
        </w:rPr>
        <w:t>geavanceerde sensoren</w:t>
      </w:r>
      <w:r w:rsidR="00F20842">
        <w:rPr>
          <w:rFonts w:cs="Calibri"/>
          <w:szCs w:val="18"/>
        </w:rPr>
        <w:t xml:space="preserve">, </w:t>
      </w:r>
      <w:r w:rsidRPr="00E52A7B" w:rsidR="00796DD3">
        <w:rPr>
          <w:rFonts w:cs="Calibri"/>
          <w:szCs w:val="18"/>
        </w:rPr>
        <w:t>speciale laboratoria</w:t>
      </w:r>
      <w:r w:rsidR="00F20842">
        <w:rPr>
          <w:rFonts w:cs="Calibri"/>
          <w:szCs w:val="18"/>
        </w:rPr>
        <w:t xml:space="preserve">, </w:t>
      </w:r>
      <w:r w:rsidRPr="00E52A7B" w:rsidR="00545B58">
        <w:rPr>
          <w:rFonts w:cs="Calibri"/>
          <w:szCs w:val="18"/>
        </w:rPr>
        <w:t>omvangrijke verzamelingen van boeken, cohorten van patiënten en tekst</w:t>
      </w:r>
      <w:r w:rsidRPr="00E52A7B" w:rsidR="00C170B1">
        <w:rPr>
          <w:rFonts w:cs="Calibri"/>
          <w:szCs w:val="18"/>
        </w:rPr>
        <w:t xml:space="preserve">-, </w:t>
      </w:r>
      <w:r w:rsidRPr="00E52A7B" w:rsidR="00545B58">
        <w:rPr>
          <w:rFonts w:cs="Calibri"/>
          <w:szCs w:val="18"/>
        </w:rPr>
        <w:t>spraak- en multimedia</w:t>
      </w:r>
      <w:r w:rsidR="00F20842">
        <w:rPr>
          <w:rFonts w:cs="Calibri"/>
          <w:szCs w:val="18"/>
        </w:rPr>
        <w:t>-</w:t>
      </w:r>
      <w:r w:rsidRPr="00E52A7B" w:rsidR="00545B58">
        <w:rPr>
          <w:rFonts w:cs="Calibri"/>
          <w:szCs w:val="18"/>
        </w:rPr>
        <w:t xml:space="preserve">uitingen. </w:t>
      </w:r>
      <w:r w:rsidRPr="00E52A7B" w:rsidR="0012468C">
        <w:rPr>
          <w:rFonts w:cs="Calibri"/>
          <w:szCs w:val="18"/>
        </w:rPr>
        <w:t xml:space="preserve">Het belang </w:t>
      </w:r>
      <w:r w:rsidR="00740899">
        <w:rPr>
          <w:rFonts w:cs="Calibri"/>
          <w:szCs w:val="18"/>
        </w:rPr>
        <w:t>en</w:t>
      </w:r>
      <w:r w:rsidRPr="00E52A7B" w:rsidR="0012468C">
        <w:rPr>
          <w:rFonts w:cs="Calibri"/>
          <w:szCs w:val="18"/>
        </w:rPr>
        <w:t xml:space="preserve"> de complexiteit van lokale, nationale en internationale </w:t>
      </w:r>
      <w:proofErr w:type="spellStart"/>
      <w:r w:rsidRPr="00E52A7B" w:rsidR="003E2727">
        <w:rPr>
          <w:rFonts w:cs="Calibri"/>
          <w:szCs w:val="18"/>
        </w:rPr>
        <w:t>onde</w:t>
      </w:r>
      <w:r w:rsidRPr="00E52A7B" w:rsidR="00C62545">
        <w:rPr>
          <w:rFonts w:cs="Calibri"/>
          <w:szCs w:val="18"/>
        </w:rPr>
        <w:t>r</w:t>
      </w:r>
      <w:r w:rsidRPr="00E52A7B" w:rsidR="003E2727">
        <w:rPr>
          <w:rFonts w:cs="Calibri"/>
          <w:szCs w:val="18"/>
        </w:rPr>
        <w:t>zoeks</w:t>
      </w:r>
      <w:r w:rsidRPr="00E52A7B" w:rsidR="0012468C">
        <w:rPr>
          <w:rFonts w:cs="Calibri"/>
          <w:szCs w:val="18"/>
        </w:rPr>
        <w:t>infrastructuur</w:t>
      </w:r>
      <w:proofErr w:type="spellEnd"/>
      <w:r w:rsidRPr="00E52A7B" w:rsidR="0012468C">
        <w:rPr>
          <w:rFonts w:cs="Calibri"/>
          <w:szCs w:val="18"/>
        </w:rPr>
        <w:t xml:space="preserve"> </w:t>
      </w:r>
      <w:r w:rsidR="00F20842">
        <w:rPr>
          <w:rFonts w:cs="Calibri"/>
          <w:szCs w:val="18"/>
        </w:rPr>
        <w:t>zijn</w:t>
      </w:r>
      <w:r w:rsidRPr="00E52A7B" w:rsidR="00F20842">
        <w:rPr>
          <w:rFonts w:cs="Calibri"/>
          <w:szCs w:val="18"/>
        </w:rPr>
        <w:t xml:space="preserve"> </w:t>
      </w:r>
      <w:r w:rsidRPr="00E52A7B" w:rsidR="0012468C">
        <w:rPr>
          <w:rFonts w:cs="Calibri"/>
          <w:szCs w:val="18"/>
        </w:rPr>
        <w:t xml:space="preserve">in de afgelopen vijftien jaar sterk toegenomen. Het waarborgen van een doelmatig en doeltreffend stelsel vraagt om reflectie en vooruitkijken. </w:t>
      </w:r>
      <w:r w:rsidRPr="0080664A" w:rsidR="0012468C">
        <w:rPr>
          <w:rFonts w:cs="Calibri"/>
          <w:szCs w:val="18"/>
        </w:rPr>
        <w:t xml:space="preserve">Om dit goed te kunnen doen, </w:t>
      </w:r>
      <w:r w:rsidRPr="0080664A" w:rsidR="00FA5601">
        <w:rPr>
          <w:rFonts w:cs="Calibri"/>
          <w:szCs w:val="18"/>
        </w:rPr>
        <w:t>laat</w:t>
      </w:r>
      <w:r w:rsidRPr="0080664A" w:rsidR="0012468C">
        <w:rPr>
          <w:rFonts w:cs="Calibri"/>
          <w:szCs w:val="18"/>
        </w:rPr>
        <w:t xml:space="preserve"> ik me </w:t>
      </w:r>
      <w:r w:rsidRPr="00E841BB" w:rsidR="0012468C">
        <w:rPr>
          <w:rFonts w:cs="Calibri"/>
          <w:szCs w:val="18"/>
        </w:rPr>
        <w:t xml:space="preserve">hierover </w:t>
      </w:r>
      <w:r w:rsidRPr="00E841BB" w:rsidR="00E841BB">
        <w:rPr>
          <w:rFonts w:cs="Calibri"/>
          <w:szCs w:val="18"/>
        </w:rPr>
        <w:t>door de Adviesraad voor wetenschap, technologie en innovatie</w:t>
      </w:r>
      <w:r w:rsidRPr="00CD4707" w:rsidR="00E841BB">
        <w:rPr>
          <w:rFonts w:cs="Calibri"/>
          <w:szCs w:val="18"/>
        </w:rPr>
        <w:t xml:space="preserve"> (</w:t>
      </w:r>
      <w:r w:rsidRPr="00E841BB" w:rsidR="00E841BB">
        <w:rPr>
          <w:rFonts w:cs="Calibri"/>
          <w:szCs w:val="18"/>
        </w:rPr>
        <w:t xml:space="preserve">AWTI) </w:t>
      </w:r>
      <w:r w:rsidRPr="00E841BB" w:rsidR="0012468C">
        <w:rPr>
          <w:rFonts w:cs="Calibri"/>
          <w:szCs w:val="18"/>
        </w:rPr>
        <w:t>adviseren</w:t>
      </w:r>
      <w:r w:rsidRPr="0080664A" w:rsidR="0012468C">
        <w:rPr>
          <w:rFonts w:cs="Calibri"/>
          <w:szCs w:val="18"/>
        </w:rPr>
        <w:t>.</w:t>
      </w:r>
      <w:r w:rsidR="00E841BB">
        <w:rPr>
          <w:rFonts w:cs="Calibri"/>
          <w:szCs w:val="18"/>
        </w:rPr>
        <w:t xml:space="preserve"> </w:t>
      </w:r>
      <w:r w:rsidRPr="00E52A7B" w:rsidR="008A7D8B">
        <w:rPr>
          <w:rFonts w:cs="Calibri"/>
          <w:szCs w:val="18"/>
        </w:rPr>
        <w:t>Tegelijkertijd</w:t>
      </w:r>
      <w:r w:rsidRPr="00E52A7B" w:rsidR="0012468C">
        <w:rPr>
          <w:rFonts w:cs="Calibri"/>
          <w:szCs w:val="18"/>
        </w:rPr>
        <w:t xml:space="preserve"> zijn er urgente zaken om direct op te pakken.</w:t>
      </w:r>
      <w:r w:rsidR="00E841BB">
        <w:rPr>
          <w:rFonts w:cs="Calibri"/>
          <w:szCs w:val="18"/>
        </w:rPr>
        <w:t xml:space="preserve"> Dit licht ik hieronder toe. </w:t>
      </w:r>
    </w:p>
    <w:p w:rsidRPr="00E52A7B" w:rsidR="00D7755A" w:rsidP="00110591" w:rsidRDefault="00D7755A" w14:paraId="56F70EF2" w14:textId="77777777">
      <w:pPr>
        <w:spacing w:line="276" w:lineRule="auto"/>
        <w:rPr>
          <w:rFonts w:cs="Calibri"/>
          <w:szCs w:val="18"/>
        </w:rPr>
      </w:pPr>
    </w:p>
    <w:p w:rsidRPr="00E52A7B" w:rsidR="007F4B48" w:rsidP="007F4B48" w:rsidRDefault="00D7755A" w14:paraId="483CA9C0" w14:textId="45B6F6A4">
      <w:pPr>
        <w:spacing w:line="276" w:lineRule="auto"/>
        <w:rPr>
          <w:rFonts w:cs="Calibri"/>
          <w:szCs w:val="18"/>
        </w:rPr>
      </w:pPr>
      <w:r w:rsidRPr="00E52A7B">
        <w:rPr>
          <w:rFonts w:cs="Calibri"/>
          <w:szCs w:val="18"/>
        </w:rPr>
        <w:t xml:space="preserve">NWO is een belangrijke partner in het landschap van </w:t>
      </w:r>
      <w:proofErr w:type="spellStart"/>
      <w:r w:rsidRPr="00E52A7B">
        <w:rPr>
          <w:rFonts w:cs="Calibri"/>
          <w:szCs w:val="18"/>
        </w:rPr>
        <w:t>onderzoeksinfrastructuren</w:t>
      </w:r>
      <w:proofErr w:type="spellEnd"/>
      <w:r w:rsidRPr="00E52A7B">
        <w:rPr>
          <w:rFonts w:cs="Calibri"/>
          <w:szCs w:val="18"/>
        </w:rPr>
        <w:t xml:space="preserve">. </w:t>
      </w:r>
      <w:r w:rsidRPr="00E52A7B" w:rsidR="00B558EC">
        <w:t xml:space="preserve">Daarom investeer ik € </w:t>
      </w:r>
      <w:r w:rsidRPr="00E52A7B" w:rsidR="00E52A7B">
        <w:rPr>
          <w:rFonts w:cs="Calibri"/>
          <w:szCs w:val="18"/>
        </w:rPr>
        <w:t>3</w:t>
      </w:r>
      <w:r w:rsidRPr="00E52A7B" w:rsidR="00B558EC">
        <w:t xml:space="preserve">5,3 miljoen voor </w:t>
      </w:r>
      <w:r w:rsidR="003E72FC">
        <w:t xml:space="preserve">wetenschappelijke </w:t>
      </w:r>
      <w:proofErr w:type="spellStart"/>
      <w:r w:rsidRPr="00E52A7B" w:rsidR="00B558EC">
        <w:t>onderzoeksinfrastructuur</w:t>
      </w:r>
      <w:proofErr w:type="spellEnd"/>
      <w:r w:rsidRPr="00E52A7B" w:rsidR="00B558EC">
        <w:t xml:space="preserve"> </w:t>
      </w:r>
      <w:r w:rsidRPr="00E52A7B">
        <w:t>via NWO. Om</w:t>
      </w:r>
      <w:r w:rsidRPr="00E52A7B">
        <w:rPr>
          <w:rFonts w:cs="Calibri"/>
          <w:szCs w:val="18"/>
        </w:rPr>
        <w:t xml:space="preserve"> de toegekende middelen adequaat voor </w:t>
      </w:r>
      <w:proofErr w:type="spellStart"/>
      <w:r w:rsidRPr="00E52A7B">
        <w:rPr>
          <w:rFonts w:cs="Calibri"/>
          <w:szCs w:val="18"/>
        </w:rPr>
        <w:t>onderzoeksinfrastructuur</w:t>
      </w:r>
      <w:proofErr w:type="spellEnd"/>
      <w:r w:rsidRPr="00E52A7B">
        <w:rPr>
          <w:rFonts w:cs="Calibri"/>
          <w:szCs w:val="18"/>
        </w:rPr>
        <w:t xml:space="preserve"> in te zetten, maakt NWO keuzes op basis van eigen kennis en </w:t>
      </w:r>
      <w:r w:rsidR="00F20842">
        <w:rPr>
          <w:rFonts w:cs="Calibri"/>
          <w:szCs w:val="18"/>
        </w:rPr>
        <w:t>adviezen</w:t>
      </w:r>
      <w:r w:rsidRPr="00E52A7B">
        <w:rPr>
          <w:rFonts w:cs="Calibri"/>
          <w:szCs w:val="18"/>
        </w:rPr>
        <w:t xml:space="preserve"> uit het veld.</w:t>
      </w:r>
      <w:r w:rsidRPr="00E52A7B" w:rsidR="00215A37">
        <w:rPr>
          <w:rFonts w:cs="Calibri"/>
          <w:szCs w:val="18"/>
        </w:rPr>
        <w:t xml:space="preserve"> NWO </w:t>
      </w:r>
      <w:r w:rsidRPr="00E52A7B" w:rsidR="00F21163">
        <w:rPr>
          <w:rFonts w:cs="Calibri"/>
          <w:szCs w:val="18"/>
        </w:rPr>
        <w:t xml:space="preserve">draagt </w:t>
      </w:r>
      <w:r w:rsidRPr="00E52A7B" w:rsidR="003F4BD6">
        <w:rPr>
          <w:rFonts w:cs="Calibri"/>
          <w:szCs w:val="18"/>
        </w:rPr>
        <w:t>hiermee</w:t>
      </w:r>
      <w:r w:rsidRPr="00E52A7B" w:rsidR="00F21163">
        <w:rPr>
          <w:rFonts w:cs="Calibri"/>
          <w:szCs w:val="18"/>
        </w:rPr>
        <w:t xml:space="preserve"> onder andere bij aan</w:t>
      </w:r>
      <w:r w:rsidRPr="00E52A7B" w:rsidR="00DD1E9E">
        <w:rPr>
          <w:rFonts w:cs="Calibri"/>
          <w:szCs w:val="18"/>
        </w:rPr>
        <w:t xml:space="preserve"> </w:t>
      </w:r>
      <w:proofErr w:type="spellStart"/>
      <w:r w:rsidRPr="00E52A7B" w:rsidR="003F4BD6">
        <w:rPr>
          <w:rFonts w:cs="Calibri"/>
          <w:szCs w:val="18"/>
        </w:rPr>
        <w:t>onderzoeksinfrastructuur</w:t>
      </w:r>
      <w:proofErr w:type="spellEnd"/>
      <w:r w:rsidRPr="00E52A7B" w:rsidR="00215A37">
        <w:rPr>
          <w:rFonts w:cs="Calibri"/>
          <w:szCs w:val="18"/>
        </w:rPr>
        <w:t xml:space="preserve"> en digitale infrastructuur</w:t>
      </w:r>
      <w:r w:rsidRPr="00E52A7B" w:rsidR="003F4BD6">
        <w:rPr>
          <w:rFonts w:cs="Calibri"/>
          <w:szCs w:val="18"/>
        </w:rPr>
        <w:t xml:space="preserve"> voor onderzoek</w:t>
      </w:r>
      <w:r w:rsidRPr="00E52A7B" w:rsidR="00215A37">
        <w:rPr>
          <w:rFonts w:cs="Calibri"/>
          <w:szCs w:val="18"/>
        </w:rPr>
        <w:t>.</w:t>
      </w:r>
      <w:r w:rsidRPr="00E52A7B" w:rsidR="00E52A7B">
        <w:rPr>
          <w:rFonts w:cs="Calibri"/>
          <w:szCs w:val="18"/>
        </w:rPr>
        <w:t xml:space="preserve"> </w:t>
      </w:r>
      <w:r w:rsidRPr="00E52A7B" w:rsidR="007F4B48">
        <w:rPr>
          <w:rFonts w:cs="Calibri"/>
          <w:szCs w:val="18"/>
        </w:rPr>
        <w:t xml:space="preserve">Ook heb ik structureel € 30 miljoen gereserveerd voor toegepaste </w:t>
      </w:r>
      <w:proofErr w:type="spellStart"/>
      <w:r w:rsidRPr="00E52A7B" w:rsidR="007F4B48">
        <w:rPr>
          <w:rFonts w:cs="Calibri"/>
          <w:szCs w:val="18"/>
        </w:rPr>
        <w:t>onderzoeksinfrastructuur</w:t>
      </w:r>
      <w:proofErr w:type="spellEnd"/>
      <w:r w:rsidRPr="00E52A7B" w:rsidR="007F4B48">
        <w:rPr>
          <w:rFonts w:cs="Calibri"/>
          <w:szCs w:val="18"/>
        </w:rPr>
        <w:t xml:space="preserve">. Mijn collega van EZK draagt hiervoor de verantwoordelijkheid en zal u hier later over informeren. </w:t>
      </w:r>
    </w:p>
    <w:p w:rsidRPr="00E52A7B" w:rsidR="007F4B48" w:rsidP="00D7755A" w:rsidRDefault="007F4B48" w14:paraId="7A878C36" w14:textId="77777777">
      <w:pPr>
        <w:spacing w:line="276" w:lineRule="auto"/>
        <w:rPr>
          <w:rFonts w:cs="Calibri"/>
          <w:szCs w:val="18"/>
        </w:rPr>
      </w:pPr>
    </w:p>
    <w:p w:rsidRPr="00D52F04" w:rsidR="00D7755A" w:rsidP="00D7755A" w:rsidRDefault="00F20842" w14:paraId="2E15102F" w14:textId="4A921BCA">
      <w:pPr>
        <w:spacing w:line="276" w:lineRule="auto"/>
        <w:rPr>
          <w:rFonts w:cs="Calibri"/>
          <w:szCs w:val="18"/>
        </w:rPr>
      </w:pPr>
      <w:r>
        <w:rPr>
          <w:rFonts w:cs="Calibri"/>
          <w:szCs w:val="18"/>
        </w:rPr>
        <w:t>In de volgende alinea’s</w:t>
      </w:r>
      <w:r w:rsidRPr="00E52A7B">
        <w:rPr>
          <w:rFonts w:cs="Calibri"/>
          <w:szCs w:val="18"/>
        </w:rPr>
        <w:t xml:space="preserve"> </w:t>
      </w:r>
      <w:r w:rsidRPr="00E52A7B" w:rsidR="008A7D8B">
        <w:rPr>
          <w:rFonts w:cs="Calibri"/>
          <w:szCs w:val="18"/>
        </w:rPr>
        <w:t xml:space="preserve">licht ik mijn </w:t>
      </w:r>
      <w:r w:rsidRPr="00E52A7B" w:rsidR="00E52A7B">
        <w:rPr>
          <w:rFonts w:cs="Calibri"/>
          <w:szCs w:val="18"/>
        </w:rPr>
        <w:t xml:space="preserve">andere </w:t>
      </w:r>
      <w:r w:rsidRPr="00E52A7B" w:rsidR="008A7D8B">
        <w:rPr>
          <w:rFonts w:cs="Calibri"/>
          <w:szCs w:val="18"/>
        </w:rPr>
        <w:t xml:space="preserve">voorgenomen investeringen in internationale lidmaatschappen, digitale </w:t>
      </w:r>
      <w:proofErr w:type="spellStart"/>
      <w:r w:rsidRPr="00E52A7B" w:rsidR="008A7D8B">
        <w:rPr>
          <w:rFonts w:cs="Calibri"/>
          <w:szCs w:val="18"/>
        </w:rPr>
        <w:t>onderzoeksinfrastructuur</w:t>
      </w:r>
      <w:proofErr w:type="spellEnd"/>
      <w:r w:rsidRPr="00E52A7B" w:rsidR="008A7D8B">
        <w:rPr>
          <w:rFonts w:cs="Calibri"/>
          <w:szCs w:val="18"/>
        </w:rPr>
        <w:t xml:space="preserve"> en de Einstein </w:t>
      </w:r>
      <w:proofErr w:type="spellStart"/>
      <w:r w:rsidRPr="00E52A7B" w:rsidR="008A7D8B">
        <w:rPr>
          <w:rFonts w:cs="Calibri"/>
          <w:szCs w:val="18"/>
        </w:rPr>
        <w:t>Telescope</w:t>
      </w:r>
      <w:proofErr w:type="spellEnd"/>
      <w:r w:rsidRPr="00E52A7B" w:rsidR="008A7D8B">
        <w:rPr>
          <w:rFonts w:cs="Calibri"/>
          <w:szCs w:val="18"/>
        </w:rPr>
        <w:t xml:space="preserve"> verder toe.</w:t>
      </w:r>
    </w:p>
    <w:p w:rsidRPr="00D52F04" w:rsidR="00AC3EBE" w:rsidP="00110591" w:rsidRDefault="00AC3EBE" w14:paraId="63AE2B0F" w14:textId="77777777">
      <w:pPr>
        <w:spacing w:line="276" w:lineRule="auto"/>
        <w:rPr>
          <w:rFonts w:cs="Calibri"/>
          <w:szCs w:val="18"/>
        </w:rPr>
      </w:pPr>
    </w:p>
    <w:p w:rsidRPr="00D52F04" w:rsidR="007826AB" w:rsidP="004427A2" w:rsidRDefault="007826AB" w14:paraId="17193D68" w14:textId="5001E359">
      <w:pPr>
        <w:pStyle w:val="Lijstalinea"/>
        <w:numPr>
          <w:ilvl w:val="0"/>
          <w:numId w:val="19"/>
        </w:numPr>
        <w:spacing w:after="0" w:line="276" w:lineRule="auto"/>
        <w:rPr>
          <w:rFonts w:ascii="Verdana" w:hAnsi="Verdana" w:cs="Calibri"/>
          <w:sz w:val="18"/>
          <w:szCs w:val="14"/>
        </w:rPr>
      </w:pPr>
      <w:r w:rsidRPr="00D52F04">
        <w:rPr>
          <w:rFonts w:ascii="Verdana" w:hAnsi="Verdana" w:cs="Calibri"/>
          <w:sz w:val="18"/>
          <w:szCs w:val="14"/>
        </w:rPr>
        <w:t>Internationale lidmaatschappen</w:t>
      </w:r>
    </w:p>
    <w:p w:rsidRPr="00D52F04" w:rsidR="00AC3EBE" w:rsidP="00110591" w:rsidRDefault="00AC3EBE" w14:paraId="67B58C89" w14:textId="7218FECC">
      <w:pPr>
        <w:spacing w:line="276" w:lineRule="auto"/>
        <w:rPr>
          <w:rFonts w:cs="Calibri"/>
          <w:szCs w:val="18"/>
        </w:rPr>
      </w:pPr>
      <w:r w:rsidRPr="00D52F04">
        <w:rPr>
          <w:rFonts w:cs="Calibri"/>
          <w:szCs w:val="18"/>
        </w:rPr>
        <w:t xml:space="preserve">Nederlandse lidmaatschappen van internationale </w:t>
      </w:r>
      <w:proofErr w:type="spellStart"/>
      <w:r w:rsidRPr="00D52F04" w:rsidR="00BF5174">
        <w:rPr>
          <w:rFonts w:cs="Calibri"/>
          <w:szCs w:val="18"/>
        </w:rPr>
        <w:t>onderzoeksinfrastructuren</w:t>
      </w:r>
      <w:proofErr w:type="spellEnd"/>
      <w:r w:rsidRPr="00D52F04" w:rsidR="00BF5174">
        <w:rPr>
          <w:rFonts w:cs="Calibri"/>
          <w:szCs w:val="18"/>
        </w:rPr>
        <w:t xml:space="preserve"> </w:t>
      </w:r>
      <w:r w:rsidRPr="00D52F04">
        <w:rPr>
          <w:rFonts w:cs="Calibri"/>
          <w:szCs w:val="18"/>
        </w:rPr>
        <w:t xml:space="preserve">zijn noodzakelijk om onze onderzoekers en wetenschappers toegang te geven tot innovatieve infrastructuur. </w:t>
      </w:r>
      <w:r w:rsidRPr="00D52F04" w:rsidR="00892C4A">
        <w:rPr>
          <w:rFonts w:cs="Calibri"/>
          <w:szCs w:val="18"/>
        </w:rPr>
        <w:t xml:space="preserve">Daarom </w:t>
      </w:r>
      <w:r w:rsidRPr="00216CB2" w:rsidR="00361DEC">
        <w:rPr>
          <w:rFonts w:cs="Calibri"/>
          <w:szCs w:val="18"/>
        </w:rPr>
        <w:t xml:space="preserve">continueer </w:t>
      </w:r>
      <w:r w:rsidR="00361DEC">
        <w:rPr>
          <w:rFonts w:cs="Calibri"/>
          <w:szCs w:val="18"/>
        </w:rPr>
        <w:t xml:space="preserve">ik vanaf 2031 </w:t>
      </w:r>
      <w:r w:rsidRPr="00216CB2" w:rsidR="00361DEC">
        <w:rPr>
          <w:rFonts w:cs="Calibri"/>
          <w:szCs w:val="18"/>
        </w:rPr>
        <w:t xml:space="preserve">de middelen voor </w:t>
      </w:r>
      <w:r w:rsidR="00361DEC">
        <w:rPr>
          <w:rFonts w:cs="Calibri"/>
          <w:szCs w:val="18"/>
        </w:rPr>
        <w:lastRenderedPageBreak/>
        <w:t xml:space="preserve">het portfolio van </w:t>
      </w:r>
      <w:r w:rsidRPr="00216CB2" w:rsidR="00361DEC">
        <w:rPr>
          <w:rFonts w:cs="Calibri"/>
          <w:szCs w:val="18"/>
        </w:rPr>
        <w:t>internationale lidmaatschappen</w:t>
      </w:r>
      <w:r w:rsidR="00361DEC">
        <w:rPr>
          <w:rFonts w:cs="Calibri"/>
          <w:szCs w:val="18"/>
        </w:rPr>
        <w:t xml:space="preserve">, zoals dat nu door </w:t>
      </w:r>
      <w:r w:rsidRPr="00216CB2" w:rsidR="00361DEC">
        <w:rPr>
          <w:rFonts w:cs="Calibri"/>
          <w:szCs w:val="18"/>
        </w:rPr>
        <w:t xml:space="preserve">NWO </w:t>
      </w:r>
      <w:r w:rsidR="00361DEC">
        <w:rPr>
          <w:rFonts w:cs="Calibri"/>
          <w:szCs w:val="18"/>
        </w:rPr>
        <w:t>wordt</w:t>
      </w:r>
      <w:r w:rsidRPr="00216CB2" w:rsidR="00361DEC">
        <w:rPr>
          <w:rFonts w:cs="Calibri"/>
          <w:szCs w:val="18"/>
        </w:rPr>
        <w:t xml:space="preserve"> </w:t>
      </w:r>
      <w:r w:rsidR="00361DEC">
        <w:rPr>
          <w:rFonts w:cs="Calibri"/>
          <w:szCs w:val="18"/>
        </w:rPr>
        <w:t>uitgevoerd</w:t>
      </w:r>
      <w:r w:rsidRPr="00216CB2" w:rsidR="00361DEC">
        <w:rPr>
          <w:rFonts w:cs="Calibri"/>
          <w:szCs w:val="18"/>
        </w:rPr>
        <w:t>.</w:t>
      </w:r>
      <w:r w:rsidR="00361DEC">
        <w:rPr>
          <w:rFonts w:cs="Calibri"/>
          <w:szCs w:val="18"/>
        </w:rPr>
        <w:t xml:space="preserve"> NWO is samen met de verschillende betrokken stakeholders bezig met een voorstel voor de gezamenlijke sturing op en bestendigheid van het portfolio. </w:t>
      </w:r>
      <w:r w:rsidRPr="00D52F04" w:rsidR="00892C4A">
        <w:rPr>
          <w:rFonts w:cs="Calibri"/>
          <w:szCs w:val="18"/>
        </w:rPr>
        <w:t>Verder</w:t>
      </w:r>
      <w:r w:rsidRPr="00D52F04" w:rsidR="00796DD3">
        <w:rPr>
          <w:rFonts w:cs="Calibri"/>
          <w:szCs w:val="18"/>
        </w:rPr>
        <w:t xml:space="preserve"> </w:t>
      </w:r>
      <w:r w:rsidRPr="00D52F04" w:rsidR="00892C4A">
        <w:rPr>
          <w:rFonts w:cs="Calibri"/>
          <w:szCs w:val="18"/>
        </w:rPr>
        <w:t>investeer ik</w:t>
      </w:r>
      <w:r w:rsidR="00E52A7B">
        <w:rPr>
          <w:rFonts w:cs="Calibri"/>
          <w:szCs w:val="18"/>
        </w:rPr>
        <w:t xml:space="preserve"> structureel</w:t>
      </w:r>
      <w:r w:rsidRPr="00D52F04" w:rsidR="00796DD3">
        <w:rPr>
          <w:rFonts w:cs="Calibri"/>
          <w:szCs w:val="18"/>
        </w:rPr>
        <w:t xml:space="preserve"> </w:t>
      </w:r>
      <w:r w:rsidR="00E52A7B">
        <w:rPr>
          <w:rFonts w:cs="Calibri"/>
          <w:szCs w:val="18"/>
        </w:rPr>
        <w:t>€ 8,7 miljoen in het lidmaatschap voor</w:t>
      </w:r>
      <w:r w:rsidRPr="00D52F04" w:rsidR="00796DD3">
        <w:rPr>
          <w:rFonts w:cs="Calibri"/>
          <w:szCs w:val="18"/>
        </w:rPr>
        <w:t xml:space="preserve"> de Square </w:t>
      </w:r>
      <w:proofErr w:type="spellStart"/>
      <w:r w:rsidRPr="00D52F04" w:rsidR="00796DD3">
        <w:rPr>
          <w:rFonts w:cs="Calibri"/>
          <w:szCs w:val="18"/>
        </w:rPr>
        <w:t>Kilometre</w:t>
      </w:r>
      <w:proofErr w:type="spellEnd"/>
      <w:r w:rsidRPr="00D52F04" w:rsidR="00796DD3">
        <w:rPr>
          <w:rFonts w:cs="Calibri"/>
          <w:szCs w:val="18"/>
        </w:rPr>
        <w:t xml:space="preserve"> Array </w:t>
      </w:r>
      <w:proofErr w:type="spellStart"/>
      <w:r w:rsidRPr="00D52F04" w:rsidR="00796DD3">
        <w:rPr>
          <w:rFonts w:cs="Calibri"/>
          <w:szCs w:val="18"/>
        </w:rPr>
        <w:t>Observatory</w:t>
      </w:r>
      <w:proofErr w:type="spellEnd"/>
      <w:r w:rsidRPr="00D52F04" w:rsidR="00796DD3">
        <w:rPr>
          <w:rFonts w:cs="Calibri"/>
          <w:szCs w:val="18"/>
        </w:rPr>
        <w:t xml:space="preserve"> (SKAO), de grootste radiotelescoop ter wereld. Ik vind het van wetenschappelijk belang om internationaal mee te blijven doen in SKAO</w:t>
      </w:r>
      <w:r w:rsidR="00F20842">
        <w:rPr>
          <w:rFonts w:cs="Calibri"/>
          <w:szCs w:val="18"/>
        </w:rPr>
        <w:t>.</w:t>
      </w:r>
      <w:r w:rsidRPr="00D52F04" w:rsidR="00796DD3">
        <w:rPr>
          <w:rFonts w:cs="Calibri"/>
          <w:szCs w:val="18"/>
        </w:rPr>
        <w:t xml:space="preserve"> Hiermee</w:t>
      </w:r>
      <w:r w:rsidR="00E52A7B">
        <w:rPr>
          <w:rFonts w:cs="Calibri"/>
          <w:szCs w:val="18"/>
        </w:rPr>
        <w:t xml:space="preserve"> houden </w:t>
      </w:r>
      <w:r w:rsidRPr="00D52F04" w:rsidR="00796DD3">
        <w:rPr>
          <w:rFonts w:cs="Calibri"/>
          <w:szCs w:val="18"/>
        </w:rPr>
        <w:t xml:space="preserve">Nederlandse wetenschappers, bijvoorbeeld werkzaam bij ASTRON in Dwingeloo, toegang tot internationale toonaangevende </w:t>
      </w:r>
      <w:proofErr w:type="spellStart"/>
      <w:r w:rsidRPr="00D52F04" w:rsidR="00796DD3">
        <w:rPr>
          <w:rFonts w:cs="Calibri"/>
          <w:szCs w:val="18"/>
        </w:rPr>
        <w:t>onderzoeksinfrastructuur</w:t>
      </w:r>
      <w:proofErr w:type="spellEnd"/>
      <w:r w:rsidR="00F20842">
        <w:rPr>
          <w:rFonts w:cs="Calibri"/>
          <w:szCs w:val="18"/>
        </w:rPr>
        <w:t xml:space="preserve"> en behouden we </w:t>
      </w:r>
      <w:r w:rsidRPr="00D52F04" w:rsidR="00F20842">
        <w:rPr>
          <w:rFonts w:cs="Calibri"/>
          <w:szCs w:val="18"/>
        </w:rPr>
        <w:t>onze toppositie in dit vakgebied</w:t>
      </w:r>
      <w:r w:rsidR="00F20842">
        <w:rPr>
          <w:rFonts w:cs="Calibri"/>
          <w:szCs w:val="18"/>
        </w:rPr>
        <w:t>.</w:t>
      </w:r>
    </w:p>
    <w:p w:rsidRPr="00D52F04" w:rsidR="00E841BB" w:rsidP="00110591" w:rsidRDefault="00E841BB" w14:paraId="7A998D80" w14:textId="77777777">
      <w:pPr>
        <w:spacing w:line="276" w:lineRule="auto"/>
        <w:rPr>
          <w:rFonts w:cs="Calibri"/>
          <w:szCs w:val="18"/>
        </w:rPr>
      </w:pPr>
    </w:p>
    <w:p w:rsidRPr="00D52F04" w:rsidR="000153B7" w:rsidP="004427A2" w:rsidRDefault="000153B7" w14:paraId="4AAA83E7" w14:textId="35DE090C">
      <w:pPr>
        <w:pStyle w:val="Lijstalinea"/>
        <w:numPr>
          <w:ilvl w:val="0"/>
          <w:numId w:val="19"/>
        </w:numPr>
        <w:spacing w:after="0" w:line="276" w:lineRule="auto"/>
        <w:rPr>
          <w:rFonts w:ascii="Verdana" w:hAnsi="Verdana" w:cs="Calibri"/>
          <w:sz w:val="18"/>
          <w:szCs w:val="18"/>
        </w:rPr>
      </w:pPr>
      <w:r w:rsidRPr="00D52F04">
        <w:rPr>
          <w:rFonts w:ascii="Verdana" w:hAnsi="Verdana" w:cs="Calibri"/>
          <w:sz w:val="18"/>
          <w:szCs w:val="18"/>
        </w:rPr>
        <w:t xml:space="preserve">Digitale </w:t>
      </w:r>
      <w:proofErr w:type="spellStart"/>
      <w:r w:rsidRPr="00D52F04">
        <w:rPr>
          <w:rFonts w:ascii="Verdana" w:hAnsi="Verdana" w:cs="Calibri"/>
          <w:sz w:val="18"/>
          <w:szCs w:val="18"/>
        </w:rPr>
        <w:t>onderzoeksinfrastructuur</w:t>
      </w:r>
      <w:proofErr w:type="spellEnd"/>
    </w:p>
    <w:p w:rsidRPr="00D52F04" w:rsidR="00591FA7" w:rsidP="00591FA7" w:rsidRDefault="004B2067" w14:paraId="2AB3E415" w14:textId="259A4519">
      <w:pPr>
        <w:spacing w:line="276" w:lineRule="auto"/>
        <w:rPr>
          <w:rFonts w:cs="Calibri" w:eastAsiaTheme="minorHAnsi"/>
          <w:kern w:val="2"/>
          <w:szCs w:val="18"/>
          <w:lang w:eastAsia="en-US"/>
          <w14:ligatures w14:val="standardContextual"/>
        </w:rPr>
      </w:pPr>
      <w:r w:rsidRPr="00D52F04">
        <w:rPr>
          <w:rFonts w:cs="Calibri" w:eastAsiaTheme="minorHAnsi"/>
          <w:kern w:val="2"/>
          <w:szCs w:val="18"/>
          <w:lang w:eastAsia="en-US"/>
          <w14:ligatures w14:val="standardContextual"/>
        </w:rPr>
        <w:t>O</w:t>
      </w:r>
      <w:r w:rsidRPr="00D52F04" w:rsidR="000153B7">
        <w:rPr>
          <w:rFonts w:cs="Calibri" w:eastAsiaTheme="minorHAnsi"/>
          <w:kern w:val="2"/>
          <w:szCs w:val="18"/>
          <w:lang w:eastAsia="en-US"/>
          <w14:ligatures w14:val="standardContextual"/>
        </w:rPr>
        <w:t xml:space="preserve">nderzoek </w:t>
      </w:r>
      <w:r w:rsidRPr="00D52F04">
        <w:rPr>
          <w:rFonts w:cs="Calibri" w:eastAsiaTheme="minorHAnsi"/>
          <w:kern w:val="2"/>
          <w:szCs w:val="18"/>
          <w:lang w:eastAsia="en-US"/>
          <w14:ligatures w14:val="standardContextual"/>
        </w:rPr>
        <w:t xml:space="preserve">in alle disciplines </w:t>
      </w:r>
      <w:r w:rsidRPr="00D52F04" w:rsidR="000153B7">
        <w:rPr>
          <w:rFonts w:cs="Calibri" w:eastAsiaTheme="minorHAnsi"/>
          <w:kern w:val="2"/>
          <w:szCs w:val="18"/>
          <w:lang w:eastAsia="en-US"/>
          <w14:ligatures w14:val="standardContextual"/>
        </w:rPr>
        <w:t xml:space="preserve">is in toenemende mate </w:t>
      </w:r>
      <w:proofErr w:type="spellStart"/>
      <w:r w:rsidRPr="00D52F04" w:rsidR="000153B7">
        <w:rPr>
          <w:rFonts w:cs="Calibri" w:eastAsiaTheme="minorHAnsi"/>
          <w:kern w:val="2"/>
          <w:szCs w:val="18"/>
          <w:lang w:eastAsia="en-US"/>
          <w14:ligatures w14:val="standardContextual"/>
        </w:rPr>
        <w:t>datagedreven</w:t>
      </w:r>
      <w:proofErr w:type="spellEnd"/>
      <w:r w:rsidRPr="00D52F04" w:rsidR="000153B7">
        <w:rPr>
          <w:rFonts w:cs="Calibri" w:eastAsiaTheme="minorHAnsi"/>
          <w:kern w:val="2"/>
          <w:szCs w:val="18"/>
          <w:lang w:eastAsia="en-US"/>
          <w14:ligatures w14:val="standardContextual"/>
        </w:rPr>
        <w:t xml:space="preserve"> en </w:t>
      </w:r>
      <w:r w:rsidRPr="00D52F04" w:rsidR="00D7755A">
        <w:rPr>
          <w:rFonts w:cs="Calibri" w:eastAsiaTheme="minorHAnsi"/>
          <w:kern w:val="2"/>
          <w:szCs w:val="18"/>
          <w:lang w:eastAsia="en-US"/>
          <w14:ligatures w14:val="standardContextual"/>
        </w:rPr>
        <w:t>digitaal</w:t>
      </w:r>
      <w:r w:rsidRPr="00D52F04" w:rsidR="000153B7">
        <w:rPr>
          <w:rFonts w:cs="Calibri" w:eastAsiaTheme="minorHAnsi"/>
          <w:kern w:val="2"/>
          <w:szCs w:val="18"/>
          <w:lang w:eastAsia="en-US"/>
          <w14:ligatures w14:val="standardContextual"/>
        </w:rPr>
        <w:t xml:space="preserve">. </w:t>
      </w:r>
      <w:r w:rsidRPr="00D52F04" w:rsidR="00FA4D67">
        <w:rPr>
          <w:rFonts w:cs="Calibri" w:eastAsiaTheme="minorHAnsi"/>
          <w:kern w:val="2"/>
          <w:szCs w:val="18"/>
          <w:lang w:eastAsia="en-US"/>
          <w14:ligatures w14:val="standardContextual"/>
        </w:rPr>
        <w:t xml:space="preserve">Instellingen organiseren </w:t>
      </w:r>
      <w:r w:rsidR="00F20842">
        <w:rPr>
          <w:rFonts w:cs="Calibri" w:eastAsiaTheme="minorHAnsi"/>
          <w:kern w:val="2"/>
          <w:szCs w:val="18"/>
          <w:lang w:eastAsia="en-US"/>
          <w14:ligatures w14:val="standardContextual"/>
        </w:rPr>
        <w:t>hun digitale infrastructuur</w:t>
      </w:r>
      <w:r w:rsidRPr="00D52F04" w:rsidR="00F20842">
        <w:rPr>
          <w:rFonts w:cs="Calibri" w:eastAsiaTheme="minorHAnsi"/>
          <w:kern w:val="2"/>
          <w:szCs w:val="18"/>
          <w:lang w:eastAsia="en-US"/>
          <w14:ligatures w14:val="standardContextual"/>
        </w:rPr>
        <w:t xml:space="preserve"> </w:t>
      </w:r>
      <w:r w:rsidRPr="00D52F04" w:rsidR="00FA4D67">
        <w:rPr>
          <w:rFonts w:cs="Calibri" w:eastAsiaTheme="minorHAnsi"/>
          <w:kern w:val="2"/>
          <w:szCs w:val="18"/>
          <w:lang w:eastAsia="en-US"/>
          <w14:ligatures w14:val="standardContextual"/>
        </w:rPr>
        <w:t xml:space="preserve">vaak zelf, maar steeds vaker </w:t>
      </w:r>
      <w:r w:rsidR="00E52A7B">
        <w:rPr>
          <w:rFonts w:cs="Calibri" w:eastAsiaTheme="minorHAnsi"/>
          <w:kern w:val="2"/>
          <w:szCs w:val="18"/>
          <w:lang w:eastAsia="en-US"/>
          <w14:ligatures w14:val="standardContextual"/>
        </w:rPr>
        <w:t>is</w:t>
      </w:r>
      <w:r w:rsidRPr="00D52F04" w:rsidR="00FA4D67">
        <w:rPr>
          <w:rFonts w:cs="Calibri" w:eastAsiaTheme="minorHAnsi"/>
          <w:kern w:val="2"/>
          <w:szCs w:val="18"/>
          <w:lang w:eastAsia="en-US"/>
          <w14:ligatures w14:val="standardContextual"/>
        </w:rPr>
        <w:t xml:space="preserve"> </w:t>
      </w:r>
      <w:r w:rsidRPr="00D52F04" w:rsidR="000153B7">
        <w:rPr>
          <w:rFonts w:cs="Calibri" w:eastAsiaTheme="minorHAnsi"/>
          <w:kern w:val="2"/>
          <w:szCs w:val="18"/>
          <w:lang w:eastAsia="en-US"/>
          <w14:ligatures w14:val="standardContextual"/>
        </w:rPr>
        <w:t xml:space="preserve">de omvang en complexiteit te groot voor één instelling. Daarom is digitale </w:t>
      </w:r>
      <w:proofErr w:type="spellStart"/>
      <w:r w:rsidRPr="00D52F04" w:rsidR="00BB22F8">
        <w:rPr>
          <w:rFonts w:cs="Calibri" w:eastAsiaTheme="minorHAnsi"/>
          <w:kern w:val="2"/>
          <w:szCs w:val="18"/>
          <w:lang w:eastAsia="en-US"/>
          <w14:ligatures w14:val="standardContextual"/>
        </w:rPr>
        <w:t>onderzoeks</w:t>
      </w:r>
      <w:r w:rsidRPr="00D52F04" w:rsidR="000153B7">
        <w:rPr>
          <w:rFonts w:cs="Calibri" w:eastAsiaTheme="minorHAnsi"/>
          <w:kern w:val="2"/>
          <w:szCs w:val="18"/>
          <w:lang w:eastAsia="en-US"/>
          <w14:ligatures w14:val="standardContextual"/>
        </w:rPr>
        <w:t>infrastructuur</w:t>
      </w:r>
      <w:proofErr w:type="spellEnd"/>
      <w:r w:rsidRPr="00D52F04" w:rsidR="000153B7">
        <w:rPr>
          <w:rFonts w:cs="Calibri" w:eastAsiaTheme="minorHAnsi"/>
          <w:kern w:val="2"/>
          <w:szCs w:val="18"/>
          <w:lang w:eastAsia="en-US"/>
          <w14:ligatures w14:val="standardContextual"/>
        </w:rPr>
        <w:t xml:space="preserve"> op nationaal en Europees niveau nodig. Het gaat om zeer grote rekenkracht, betrouwbare dataopslag, snelle internationale netwerk</w:t>
      </w:r>
      <w:r w:rsidR="00D47253">
        <w:rPr>
          <w:rFonts w:cs="Calibri" w:eastAsiaTheme="minorHAnsi"/>
          <w:kern w:val="2"/>
          <w:szCs w:val="18"/>
          <w:lang w:eastAsia="en-US"/>
          <w14:ligatures w14:val="standardContextual"/>
        </w:rPr>
        <w:t>-</w:t>
      </w:r>
      <w:r w:rsidRPr="00D52F04" w:rsidR="000153B7">
        <w:rPr>
          <w:rFonts w:cs="Calibri" w:eastAsiaTheme="minorHAnsi"/>
          <w:kern w:val="2"/>
          <w:szCs w:val="18"/>
          <w:lang w:eastAsia="en-US"/>
          <w14:ligatures w14:val="standardContextual"/>
        </w:rPr>
        <w:t xml:space="preserve">verbindingen, </w:t>
      </w:r>
      <w:r w:rsidRPr="00D52F04">
        <w:rPr>
          <w:rFonts w:cs="Calibri" w:eastAsiaTheme="minorHAnsi"/>
          <w:kern w:val="2"/>
          <w:szCs w:val="18"/>
          <w:lang w:eastAsia="en-US"/>
          <w14:ligatures w14:val="standardContextual"/>
        </w:rPr>
        <w:t xml:space="preserve">krachtige </w:t>
      </w:r>
      <w:r w:rsidRPr="00D52F04" w:rsidR="000153B7">
        <w:rPr>
          <w:rFonts w:cs="Calibri" w:eastAsiaTheme="minorHAnsi"/>
          <w:kern w:val="2"/>
          <w:szCs w:val="18"/>
          <w:lang w:eastAsia="en-US"/>
          <w14:ligatures w14:val="standardContextual"/>
        </w:rPr>
        <w:t>software en deskundige technische ondersteuning.</w:t>
      </w:r>
      <w:r w:rsidRPr="00D52F04" w:rsidR="00C170B1">
        <w:rPr>
          <w:rFonts w:cs="Calibri" w:eastAsiaTheme="minorHAnsi"/>
          <w:kern w:val="2"/>
          <w:szCs w:val="18"/>
          <w:lang w:eastAsia="en-US"/>
          <w14:ligatures w14:val="standardContextual"/>
        </w:rPr>
        <w:t xml:space="preserve"> </w:t>
      </w:r>
      <w:r w:rsidRPr="00D52F04" w:rsidR="000153B7">
        <w:rPr>
          <w:rFonts w:cs="Calibri" w:eastAsiaTheme="minorHAnsi"/>
          <w:kern w:val="2"/>
          <w:szCs w:val="18"/>
          <w:lang w:eastAsia="en-US"/>
          <w14:ligatures w14:val="standardContextual"/>
        </w:rPr>
        <w:t xml:space="preserve">Het adviesrapport </w:t>
      </w:r>
      <w:r w:rsidRPr="00D52F04" w:rsidR="000153B7">
        <w:rPr>
          <w:rFonts w:cs="Calibri" w:eastAsiaTheme="minorHAnsi"/>
          <w:i/>
          <w:iCs/>
          <w:kern w:val="2"/>
          <w:szCs w:val="18"/>
          <w:lang w:eastAsia="en-US"/>
          <w14:ligatures w14:val="standardContextual"/>
        </w:rPr>
        <w:t>Reken er maar (niet meer) op</w:t>
      </w:r>
      <w:r w:rsidR="0080664A">
        <w:rPr>
          <w:rFonts w:cs="Calibri" w:eastAsiaTheme="minorHAnsi"/>
          <w:i/>
          <w:iCs/>
          <w:kern w:val="2"/>
          <w:szCs w:val="18"/>
          <w:lang w:eastAsia="en-US"/>
          <w14:ligatures w14:val="standardContextual"/>
        </w:rPr>
        <w:t xml:space="preserve"> </w:t>
      </w:r>
      <w:r w:rsidRPr="00D52F04" w:rsidR="000153B7">
        <w:rPr>
          <w:rFonts w:cs="Calibri" w:eastAsiaTheme="minorHAnsi"/>
          <w:kern w:val="2"/>
          <w:szCs w:val="18"/>
          <w:lang w:eastAsia="en-US"/>
          <w14:ligatures w14:val="standardContextual"/>
        </w:rPr>
        <w:t xml:space="preserve">laat zien dat extra investeringen nodig zijn als Nederland excellente wetenschap wil blijven </w:t>
      </w:r>
      <w:r w:rsidRPr="00D52F04" w:rsidR="00DD1E9E">
        <w:rPr>
          <w:rFonts w:cs="Calibri" w:eastAsiaTheme="minorHAnsi"/>
          <w:kern w:val="2"/>
          <w:szCs w:val="18"/>
          <w:lang w:eastAsia="en-US"/>
          <w14:ligatures w14:val="standardContextual"/>
        </w:rPr>
        <w:t>beoefenen</w:t>
      </w:r>
      <w:r w:rsidRPr="00D52F04" w:rsidR="000153B7">
        <w:rPr>
          <w:rFonts w:cs="Calibri" w:eastAsiaTheme="minorHAnsi"/>
          <w:kern w:val="2"/>
          <w:szCs w:val="18"/>
          <w:lang w:eastAsia="en-US"/>
          <w14:ligatures w14:val="standardContextual"/>
        </w:rPr>
        <w:t>.</w:t>
      </w:r>
      <w:r w:rsidRPr="00D47253" w:rsidR="00D47253">
        <w:rPr>
          <w:rStyle w:val="Voetnootmarkering"/>
          <w:rFonts w:cs="Calibri" w:eastAsiaTheme="minorHAnsi"/>
          <w:kern w:val="2"/>
          <w:szCs w:val="18"/>
          <w:lang w:eastAsia="en-US"/>
          <w14:ligatures w14:val="standardContextual"/>
        </w:rPr>
        <w:t xml:space="preserve"> </w:t>
      </w:r>
      <w:r w:rsidRPr="00D52F04" w:rsidR="00D47253">
        <w:rPr>
          <w:rStyle w:val="Voetnootmarkering"/>
          <w:rFonts w:cs="Calibri" w:eastAsiaTheme="minorHAnsi"/>
          <w:kern w:val="2"/>
          <w:szCs w:val="18"/>
          <w:lang w:eastAsia="en-US"/>
          <w14:ligatures w14:val="standardContextual"/>
        </w:rPr>
        <w:footnoteReference w:id="11"/>
      </w:r>
      <w:r w:rsidRPr="00D52F04" w:rsidR="00D47253">
        <w:rPr>
          <w:rFonts w:cs="Calibri" w:eastAsiaTheme="minorHAnsi"/>
          <w:kern w:val="2"/>
          <w:szCs w:val="18"/>
          <w:lang w:eastAsia="en-US"/>
          <w14:ligatures w14:val="standardContextual"/>
        </w:rPr>
        <w:t xml:space="preserve"> </w:t>
      </w:r>
      <w:r w:rsidR="001B1269">
        <w:rPr>
          <w:rFonts w:cs="Calibri" w:eastAsiaTheme="minorHAnsi"/>
          <w:kern w:val="2"/>
          <w:szCs w:val="18"/>
          <w:lang w:eastAsia="en-US"/>
          <w14:ligatures w14:val="standardContextual"/>
        </w:rPr>
        <w:t>Het</w:t>
      </w:r>
      <w:r w:rsidRPr="00D52F04" w:rsidR="000153B7">
        <w:rPr>
          <w:rFonts w:cs="Calibri" w:eastAsiaTheme="minorHAnsi"/>
          <w:kern w:val="2"/>
          <w:szCs w:val="18"/>
          <w:lang w:eastAsia="en-US"/>
          <w14:ligatures w14:val="standardContextual"/>
        </w:rPr>
        <w:t xml:space="preserve"> </w:t>
      </w:r>
      <w:r w:rsidRPr="00D52F04">
        <w:rPr>
          <w:rFonts w:cs="Calibri" w:eastAsiaTheme="minorHAnsi"/>
          <w:kern w:val="2"/>
          <w:szCs w:val="18"/>
          <w:lang w:eastAsia="en-US"/>
          <w14:ligatures w14:val="standardContextual"/>
        </w:rPr>
        <w:t xml:space="preserve">bevorderen </w:t>
      </w:r>
      <w:r w:rsidRPr="00D52F04" w:rsidR="000153B7">
        <w:rPr>
          <w:rFonts w:cs="Calibri" w:eastAsiaTheme="minorHAnsi"/>
          <w:kern w:val="2"/>
          <w:szCs w:val="18"/>
          <w:lang w:eastAsia="en-US"/>
          <w14:ligatures w14:val="standardContextual"/>
        </w:rPr>
        <w:t xml:space="preserve">van autonomie </w:t>
      </w:r>
      <w:r w:rsidRPr="00D52F04" w:rsidR="00494B9E">
        <w:rPr>
          <w:rFonts w:cs="Calibri" w:eastAsiaTheme="minorHAnsi"/>
          <w:kern w:val="2"/>
          <w:szCs w:val="18"/>
          <w:lang w:eastAsia="en-US"/>
          <w14:ligatures w14:val="standardContextual"/>
        </w:rPr>
        <w:t>voor</w:t>
      </w:r>
      <w:r w:rsidRPr="00D52F04" w:rsidR="000153B7">
        <w:rPr>
          <w:rFonts w:cs="Calibri" w:eastAsiaTheme="minorHAnsi"/>
          <w:kern w:val="2"/>
          <w:szCs w:val="18"/>
          <w:lang w:eastAsia="en-US"/>
          <w14:ligatures w14:val="standardContextual"/>
        </w:rPr>
        <w:t xml:space="preserve"> </w:t>
      </w:r>
      <w:r w:rsidRPr="00D52F04" w:rsidR="00FF04BB">
        <w:rPr>
          <w:rFonts w:cs="Calibri" w:eastAsiaTheme="minorHAnsi"/>
          <w:kern w:val="2"/>
          <w:szCs w:val="18"/>
          <w:lang w:eastAsia="en-US"/>
          <w14:ligatures w14:val="standardContextual"/>
        </w:rPr>
        <w:t xml:space="preserve">digitale </w:t>
      </w:r>
      <w:proofErr w:type="spellStart"/>
      <w:r w:rsidRPr="00D52F04" w:rsidR="00FF04BB">
        <w:rPr>
          <w:rFonts w:cs="Calibri" w:eastAsiaTheme="minorHAnsi"/>
          <w:kern w:val="2"/>
          <w:szCs w:val="18"/>
          <w:lang w:eastAsia="en-US"/>
          <w14:ligatures w14:val="standardContextual"/>
        </w:rPr>
        <w:t>onderzoeksinfrastructuur</w:t>
      </w:r>
      <w:proofErr w:type="spellEnd"/>
      <w:r w:rsidR="001B1269">
        <w:rPr>
          <w:rFonts w:cs="Calibri" w:eastAsiaTheme="minorHAnsi"/>
          <w:kern w:val="2"/>
          <w:szCs w:val="18"/>
          <w:lang w:eastAsia="en-US"/>
          <w14:ligatures w14:val="standardContextual"/>
        </w:rPr>
        <w:t xml:space="preserve"> is</w:t>
      </w:r>
      <w:r w:rsidRPr="00D52F04" w:rsidR="000153B7">
        <w:rPr>
          <w:rFonts w:cs="Calibri" w:eastAsiaTheme="minorHAnsi"/>
          <w:kern w:val="2"/>
          <w:szCs w:val="18"/>
          <w:lang w:eastAsia="en-US"/>
          <w14:ligatures w14:val="standardContextual"/>
        </w:rPr>
        <w:t xml:space="preserve"> belangrijker geworden. Ik </w:t>
      </w:r>
      <w:r w:rsidR="001B1269">
        <w:rPr>
          <w:rFonts w:cs="Calibri" w:eastAsiaTheme="minorHAnsi"/>
          <w:kern w:val="2"/>
          <w:szCs w:val="18"/>
          <w:lang w:eastAsia="en-US"/>
          <w14:ligatures w14:val="standardContextual"/>
        </w:rPr>
        <w:t>investeer daarom</w:t>
      </w:r>
      <w:r w:rsidRPr="00D52F04" w:rsidR="000153B7">
        <w:rPr>
          <w:rFonts w:cs="Calibri" w:eastAsiaTheme="minorHAnsi"/>
          <w:kern w:val="2"/>
          <w:szCs w:val="18"/>
          <w:lang w:eastAsia="en-US"/>
          <w14:ligatures w14:val="standardContextual"/>
        </w:rPr>
        <w:t xml:space="preserve"> in</w:t>
      </w:r>
      <w:r w:rsidRPr="00D52F04" w:rsidR="00FF04BB">
        <w:rPr>
          <w:rFonts w:cs="Calibri" w:eastAsiaTheme="minorHAnsi"/>
          <w:kern w:val="2"/>
          <w:szCs w:val="18"/>
          <w:lang w:eastAsia="en-US"/>
          <w14:ligatures w14:val="standardContextual"/>
        </w:rPr>
        <w:t xml:space="preserve"> de versterking van</w:t>
      </w:r>
      <w:r w:rsidRPr="00D52F04" w:rsidR="000153B7">
        <w:rPr>
          <w:rFonts w:cs="Calibri" w:eastAsiaTheme="minorHAnsi"/>
          <w:kern w:val="2"/>
          <w:szCs w:val="18"/>
          <w:lang w:eastAsia="en-US"/>
          <w14:ligatures w14:val="standardContextual"/>
        </w:rPr>
        <w:t xml:space="preserve"> </w:t>
      </w:r>
      <w:r w:rsidR="001B1269">
        <w:rPr>
          <w:rFonts w:cs="Calibri" w:eastAsiaTheme="minorHAnsi"/>
          <w:kern w:val="2"/>
          <w:szCs w:val="18"/>
          <w:lang w:eastAsia="en-US"/>
          <w14:ligatures w14:val="standardContextual"/>
        </w:rPr>
        <w:t xml:space="preserve">de </w:t>
      </w:r>
      <w:r w:rsidRPr="00D52F04" w:rsidR="000153B7">
        <w:rPr>
          <w:rFonts w:cs="Calibri" w:eastAsiaTheme="minorHAnsi"/>
          <w:kern w:val="2"/>
          <w:szCs w:val="18"/>
          <w:lang w:eastAsia="en-US"/>
          <w14:ligatures w14:val="standardContextual"/>
        </w:rPr>
        <w:t xml:space="preserve">nationale digitale </w:t>
      </w:r>
      <w:proofErr w:type="spellStart"/>
      <w:r w:rsidRPr="00D52F04" w:rsidR="000153B7">
        <w:rPr>
          <w:rFonts w:cs="Calibri" w:eastAsiaTheme="minorHAnsi"/>
          <w:kern w:val="2"/>
          <w:szCs w:val="18"/>
          <w:lang w:eastAsia="en-US"/>
          <w14:ligatures w14:val="standardContextual"/>
        </w:rPr>
        <w:t>onderzoeksinfrastructuur</w:t>
      </w:r>
      <w:proofErr w:type="spellEnd"/>
      <w:r w:rsidRPr="00D52F04" w:rsidR="000153B7">
        <w:rPr>
          <w:rFonts w:cs="Calibri" w:eastAsiaTheme="minorHAnsi"/>
          <w:kern w:val="2"/>
          <w:szCs w:val="18"/>
          <w:lang w:eastAsia="en-US"/>
          <w14:ligatures w14:val="standardContextual"/>
        </w:rPr>
        <w:t xml:space="preserve">. </w:t>
      </w:r>
      <w:r w:rsidRPr="00D52F04" w:rsidR="00FF04BB">
        <w:rPr>
          <w:rFonts w:cs="Calibri" w:eastAsiaTheme="minorHAnsi"/>
          <w:kern w:val="2"/>
          <w:szCs w:val="18"/>
          <w:lang w:eastAsia="en-US"/>
          <w14:ligatures w14:val="standardContextual"/>
        </w:rPr>
        <w:t xml:space="preserve">NWO en SURF </w:t>
      </w:r>
      <w:r w:rsidR="001B1269">
        <w:rPr>
          <w:rFonts w:cs="Calibri" w:eastAsiaTheme="minorHAnsi"/>
          <w:kern w:val="2"/>
          <w:szCs w:val="18"/>
          <w:lang w:eastAsia="en-US"/>
          <w14:ligatures w14:val="standardContextual"/>
        </w:rPr>
        <w:t xml:space="preserve">zullen komen </w:t>
      </w:r>
      <w:r w:rsidRPr="00D52F04" w:rsidR="00FF04BB">
        <w:rPr>
          <w:rFonts w:cs="Calibri" w:eastAsiaTheme="minorHAnsi"/>
          <w:kern w:val="2"/>
          <w:szCs w:val="18"/>
          <w:lang w:eastAsia="en-US"/>
          <w14:ligatures w14:val="standardContextual"/>
        </w:rPr>
        <w:t>tot een duurzame inzet voor</w:t>
      </w:r>
      <w:r w:rsidRPr="00D52F04" w:rsidR="00647F8A">
        <w:rPr>
          <w:rFonts w:cs="Calibri" w:eastAsiaTheme="minorHAnsi"/>
          <w:kern w:val="2"/>
          <w:szCs w:val="18"/>
          <w:lang w:eastAsia="en-US"/>
          <w14:ligatures w14:val="standardContextual"/>
        </w:rPr>
        <w:t xml:space="preserve"> de</w:t>
      </w:r>
      <w:r w:rsidR="001B1269">
        <w:rPr>
          <w:rFonts w:cs="Calibri" w:eastAsiaTheme="minorHAnsi"/>
          <w:kern w:val="2"/>
          <w:szCs w:val="18"/>
          <w:lang w:eastAsia="en-US"/>
          <w14:ligatures w14:val="standardContextual"/>
        </w:rPr>
        <w:t>ze</w:t>
      </w:r>
      <w:r w:rsidRPr="00D52F04" w:rsidR="00647F8A">
        <w:rPr>
          <w:rFonts w:cs="Calibri" w:eastAsiaTheme="minorHAnsi"/>
          <w:kern w:val="2"/>
          <w:szCs w:val="18"/>
          <w:lang w:eastAsia="en-US"/>
          <w14:ligatures w14:val="standardContextual"/>
        </w:rPr>
        <w:t xml:space="preserve"> investeringen</w:t>
      </w:r>
      <w:r w:rsidRPr="00D52F04" w:rsidR="00BB7602">
        <w:rPr>
          <w:rFonts w:cs="Calibri" w:eastAsiaTheme="minorHAnsi"/>
          <w:kern w:val="2"/>
          <w:szCs w:val="18"/>
          <w:lang w:eastAsia="en-US"/>
          <w14:ligatures w14:val="standardContextual"/>
        </w:rPr>
        <w:t>.</w:t>
      </w:r>
      <w:r w:rsidRPr="00D52F04" w:rsidR="00FF04BB">
        <w:rPr>
          <w:rFonts w:cs="Calibri" w:eastAsiaTheme="minorHAnsi"/>
          <w:kern w:val="2"/>
          <w:szCs w:val="18"/>
          <w:lang w:eastAsia="en-US"/>
          <w14:ligatures w14:val="standardContextual"/>
        </w:rPr>
        <w:t xml:space="preserve"> </w:t>
      </w:r>
    </w:p>
    <w:p w:rsidRPr="00D52F04" w:rsidR="000153B7" w:rsidP="00110591" w:rsidRDefault="000153B7" w14:paraId="09FB8A1D" w14:textId="77777777">
      <w:pPr>
        <w:spacing w:line="276" w:lineRule="auto"/>
        <w:rPr>
          <w:rFonts w:cs="Calibri" w:eastAsiaTheme="minorHAnsi"/>
          <w:kern w:val="2"/>
          <w:szCs w:val="18"/>
          <w:lang w:eastAsia="en-US"/>
          <w14:ligatures w14:val="standardContextual"/>
        </w:rPr>
      </w:pPr>
    </w:p>
    <w:p w:rsidR="00BB22F8" w:rsidP="00110591" w:rsidRDefault="000153B7" w14:paraId="0B66F958" w14:textId="39654875">
      <w:pPr>
        <w:spacing w:line="276" w:lineRule="auto"/>
        <w:rPr>
          <w:rFonts w:cs="Calibri" w:eastAsiaTheme="minorHAnsi"/>
          <w:kern w:val="2"/>
          <w:szCs w:val="18"/>
          <w:lang w:eastAsia="en-US"/>
          <w14:ligatures w14:val="standardContextual"/>
        </w:rPr>
      </w:pPr>
      <w:r w:rsidRPr="00D52F04">
        <w:rPr>
          <w:rFonts w:cs="Calibri" w:eastAsiaTheme="minorHAnsi"/>
          <w:kern w:val="2"/>
          <w:szCs w:val="18"/>
          <w:lang w:eastAsia="en-US"/>
          <w14:ligatures w14:val="standardContextual"/>
        </w:rPr>
        <w:t xml:space="preserve">De huidige nationale supercomputer </w:t>
      </w:r>
      <w:proofErr w:type="spellStart"/>
      <w:r w:rsidRPr="00D52F04">
        <w:rPr>
          <w:rFonts w:cs="Calibri" w:eastAsiaTheme="minorHAnsi"/>
          <w:kern w:val="2"/>
          <w:szCs w:val="18"/>
          <w:lang w:eastAsia="en-US"/>
          <w14:ligatures w14:val="standardContextual"/>
        </w:rPr>
        <w:t>Snellius</w:t>
      </w:r>
      <w:proofErr w:type="spellEnd"/>
      <w:r w:rsidRPr="00D52F04">
        <w:rPr>
          <w:rFonts w:cs="Calibri" w:eastAsiaTheme="minorHAnsi"/>
          <w:kern w:val="2"/>
          <w:szCs w:val="18"/>
          <w:lang w:eastAsia="en-US"/>
          <w14:ligatures w14:val="standardContextual"/>
        </w:rPr>
        <w:t xml:space="preserve"> is dringend aan vervanging toe. Om voor Nederland voldoende super</w:t>
      </w:r>
      <w:r w:rsidR="0050115A">
        <w:rPr>
          <w:rFonts w:cs="Calibri" w:eastAsiaTheme="minorHAnsi"/>
          <w:kern w:val="2"/>
          <w:szCs w:val="18"/>
          <w:lang w:eastAsia="en-US"/>
          <w14:ligatures w14:val="standardContextual"/>
        </w:rPr>
        <w:t>-</w:t>
      </w:r>
      <w:r w:rsidRPr="00D52F04">
        <w:rPr>
          <w:rFonts w:cs="Calibri" w:eastAsiaTheme="minorHAnsi"/>
          <w:kern w:val="2"/>
          <w:szCs w:val="18"/>
          <w:lang w:eastAsia="en-US"/>
          <w14:ligatures w14:val="standardContextual"/>
        </w:rPr>
        <w:t>computing</w:t>
      </w:r>
      <w:r w:rsidRPr="00D52F04" w:rsidR="00194135">
        <w:rPr>
          <w:rFonts w:cs="Calibri" w:eastAsiaTheme="minorHAnsi"/>
          <w:kern w:val="2"/>
          <w:szCs w:val="18"/>
          <w:lang w:eastAsia="en-US"/>
          <w14:ligatures w14:val="standardContextual"/>
        </w:rPr>
        <w:t>capaciteit</w:t>
      </w:r>
      <w:r w:rsidRPr="00D52F04">
        <w:rPr>
          <w:rFonts w:cs="Calibri" w:eastAsiaTheme="minorHAnsi"/>
          <w:kern w:val="2"/>
          <w:szCs w:val="18"/>
          <w:lang w:eastAsia="en-US"/>
          <w14:ligatures w14:val="standardContextual"/>
        </w:rPr>
        <w:t xml:space="preserve"> te waarborgen, heb ik</w:t>
      </w:r>
      <w:r w:rsidR="002C4410">
        <w:rPr>
          <w:rFonts w:cs="Calibri" w:eastAsiaTheme="minorHAnsi"/>
          <w:kern w:val="2"/>
          <w:szCs w:val="18"/>
          <w:lang w:eastAsia="en-US"/>
          <w14:ligatures w14:val="standardContextual"/>
        </w:rPr>
        <w:t xml:space="preserve"> </w:t>
      </w:r>
      <w:r w:rsidRPr="00D52F04">
        <w:rPr>
          <w:rFonts w:cs="Calibri" w:eastAsiaTheme="minorHAnsi"/>
          <w:kern w:val="2"/>
          <w:szCs w:val="18"/>
          <w:lang w:eastAsia="en-US"/>
          <w14:ligatures w14:val="standardContextual"/>
        </w:rPr>
        <w:t xml:space="preserve">incidenteel € 185 miljoen toegezegd voor de opvolger van </w:t>
      </w:r>
      <w:proofErr w:type="spellStart"/>
      <w:r w:rsidRPr="00D52F04">
        <w:rPr>
          <w:rFonts w:cs="Calibri" w:eastAsiaTheme="minorHAnsi"/>
          <w:kern w:val="2"/>
          <w:szCs w:val="18"/>
          <w:lang w:eastAsia="en-US"/>
          <w14:ligatures w14:val="standardContextual"/>
        </w:rPr>
        <w:t>Snellius</w:t>
      </w:r>
      <w:proofErr w:type="spellEnd"/>
      <w:r w:rsidRPr="00D52F04">
        <w:rPr>
          <w:rFonts w:cs="Calibri" w:eastAsiaTheme="minorHAnsi"/>
          <w:kern w:val="2"/>
          <w:szCs w:val="18"/>
          <w:lang w:eastAsia="en-US"/>
          <w14:ligatures w14:val="standardContextual"/>
        </w:rPr>
        <w:t>. Bij de aanschaf en uitvoering van de</w:t>
      </w:r>
      <w:r w:rsidR="001B1269">
        <w:rPr>
          <w:rFonts w:cs="Calibri" w:eastAsiaTheme="minorHAnsi"/>
          <w:kern w:val="2"/>
          <w:szCs w:val="18"/>
          <w:lang w:eastAsia="en-US"/>
          <w14:ligatures w14:val="standardContextual"/>
        </w:rPr>
        <w:t>ze</w:t>
      </w:r>
      <w:r w:rsidRPr="00D52F04">
        <w:rPr>
          <w:rFonts w:cs="Calibri" w:eastAsiaTheme="minorHAnsi"/>
          <w:kern w:val="2"/>
          <w:szCs w:val="18"/>
          <w:lang w:eastAsia="en-US"/>
          <w14:ligatures w14:val="standardContextual"/>
        </w:rPr>
        <w:t xml:space="preserve"> opvolger </w:t>
      </w:r>
      <w:r w:rsidRPr="00D52F04" w:rsidR="00FA4D67">
        <w:rPr>
          <w:rFonts w:cs="Calibri" w:eastAsiaTheme="minorHAnsi"/>
          <w:kern w:val="2"/>
          <w:szCs w:val="18"/>
          <w:lang w:eastAsia="en-US"/>
          <w14:ligatures w14:val="standardContextual"/>
        </w:rPr>
        <w:t>zullen</w:t>
      </w:r>
      <w:r w:rsidRPr="00D52F04">
        <w:rPr>
          <w:rFonts w:cs="Calibri" w:eastAsiaTheme="minorHAnsi"/>
          <w:kern w:val="2"/>
          <w:szCs w:val="18"/>
          <w:lang w:eastAsia="en-US"/>
          <w14:ligatures w14:val="standardContextual"/>
        </w:rPr>
        <w:t xml:space="preserve"> NWO en SURF digitale autonomie, (cyber- en kennis-)veiligheid en (energie)duurzaamheid </w:t>
      </w:r>
      <w:r w:rsidRPr="00D52F04" w:rsidR="004B2067">
        <w:rPr>
          <w:rFonts w:cs="Calibri" w:eastAsiaTheme="minorHAnsi"/>
          <w:kern w:val="2"/>
          <w:szCs w:val="18"/>
          <w:lang w:eastAsia="en-US"/>
          <w14:ligatures w14:val="standardContextual"/>
        </w:rPr>
        <w:t>bevorderen</w:t>
      </w:r>
      <w:r w:rsidR="001B1269">
        <w:rPr>
          <w:rFonts w:cs="Calibri" w:eastAsiaTheme="minorHAnsi"/>
          <w:kern w:val="2"/>
          <w:szCs w:val="18"/>
          <w:lang w:eastAsia="en-US"/>
          <w14:ligatures w14:val="standardContextual"/>
        </w:rPr>
        <w:t xml:space="preserve">. </w:t>
      </w:r>
      <w:r w:rsidR="00D874C1">
        <w:rPr>
          <w:rFonts w:cs="Calibri" w:eastAsiaTheme="minorHAnsi"/>
          <w:kern w:val="2"/>
          <w:szCs w:val="18"/>
          <w:lang w:eastAsia="en-US"/>
          <w14:ligatures w14:val="standardContextual"/>
        </w:rPr>
        <w:t>Z</w:t>
      </w:r>
      <w:r w:rsidR="001B1269">
        <w:rPr>
          <w:rFonts w:cs="Calibri" w:eastAsiaTheme="minorHAnsi"/>
          <w:kern w:val="2"/>
          <w:szCs w:val="18"/>
          <w:lang w:eastAsia="en-US"/>
          <w14:ligatures w14:val="standardContextual"/>
        </w:rPr>
        <w:t>e stellen</w:t>
      </w:r>
      <w:r w:rsidRPr="00D52F04" w:rsidR="004B2067">
        <w:rPr>
          <w:rFonts w:cs="Calibri" w:eastAsiaTheme="minorHAnsi"/>
          <w:kern w:val="2"/>
          <w:szCs w:val="18"/>
          <w:lang w:eastAsia="en-US"/>
          <w14:ligatures w14:val="standardContextual"/>
        </w:rPr>
        <w:t xml:space="preserve"> </w:t>
      </w:r>
      <w:r w:rsidRPr="00D52F04">
        <w:rPr>
          <w:rFonts w:cs="Calibri" w:eastAsiaTheme="minorHAnsi"/>
          <w:kern w:val="2"/>
          <w:szCs w:val="18"/>
          <w:lang w:eastAsia="en-US"/>
          <w14:ligatures w14:val="standardContextual"/>
        </w:rPr>
        <w:t xml:space="preserve">waar mogelijk Europese technologie centraal. NWO en kennisinstellingen </w:t>
      </w:r>
      <w:r w:rsidRPr="00D52F04" w:rsidR="004B2067">
        <w:rPr>
          <w:rFonts w:cs="Calibri" w:eastAsiaTheme="minorHAnsi"/>
          <w:kern w:val="2"/>
          <w:szCs w:val="18"/>
          <w:lang w:eastAsia="en-US"/>
          <w14:ligatures w14:val="standardContextual"/>
        </w:rPr>
        <w:t xml:space="preserve">die </w:t>
      </w:r>
      <w:r w:rsidRPr="00D52F04">
        <w:rPr>
          <w:rFonts w:cs="Calibri" w:eastAsiaTheme="minorHAnsi"/>
          <w:kern w:val="2"/>
          <w:szCs w:val="18"/>
          <w:lang w:eastAsia="en-US"/>
          <w14:ligatures w14:val="standardContextual"/>
        </w:rPr>
        <w:t xml:space="preserve">lid </w:t>
      </w:r>
      <w:r w:rsidR="00E52A7B">
        <w:rPr>
          <w:rFonts w:cs="Calibri" w:eastAsiaTheme="minorHAnsi"/>
          <w:kern w:val="2"/>
          <w:szCs w:val="18"/>
          <w:lang w:eastAsia="en-US"/>
          <w14:ligatures w14:val="standardContextual"/>
        </w:rPr>
        <w:t xml:space="preserve">zijn </w:t>
      </w:r>
      <w:r w:rsidRPr="00D52F04">
        <w:rPr>
          <w:rFonts w:cs="Calibri" w:eastAsiaTheme="minorHAnsi"/>
          <w:kern w:val="2"/>
          <w:szCs w:val="18"/>
          <w:lang w:eastAsia="en-US"/>
          <w14:ligatures w14:val="standardContextual"/>
        </w:rPr>
        <w:t>van SURF</w:t>
      </w:r>
      <w:r w:rsidRPr="00D52F04" w:rsidR="004B2067">
        <w:rPr>
          <w:rFonts w:cs="Calibri" w:eastAsiaTheme="minorHAnsi"/>
          <w:kern w:val="2"/>
          <w:szCs w:val="18"/>
          <w:lang w:eastAsia="en-US"/>
          <w14:ligatures w14:val="standardContextual"/>
        </w:rPr>
        <w:t xml:space="preserve"> </w:t>
      </w:r>
      <w:r w:rsidRPr="00D52F04">
        <w:rPr>
          <w:rFonts w:cs="Calibri" w:eastAsiaTheme="minorHAnsi"/>
          <w:kern w:val="2"/>
          <w:szCs w:val="18"/>
          <w:lang w:eastAsia="en-US"/>
          <w14:ligatures w14:val="standardContextual"/>
        </w:rPr>
        <w:t xml:space="preserve">hebben voor de lange termijn het initiatief genomen om </w:t>
      </w:r>
      <w:r w:rsidRPr="00D52F04" w:rsidR="00607617">
        <w:rPr>
          <w:rFonts w:cs="Calibri" w:eastAsiaTheme="minorHAnsi"/>
          <w:kern w:val="2"/>
          <w:szCs w:val="18"/>
          <w:lang w:eastAsia="en-US"/>
          <w14:ligatures w14:val="standardContextual"/>
        </w:rPr>
        <w:t>de</w:t>
      </w:r>
      <w:r w:rsidRPr="00D52F04">
        <w:rPr>
          <w:rFonts w:cs="Calibri" w:eastAsiaTheme="minorHAnsi"/>
          <w:kern w:val="2"/>
          <w:szCs w:val="18"/>
          <w:lang w:eastAsia="en-US"/>
          <w14:ligatures w14:val="standardContextual"/>
        </w:rPr>
        <w:t xml:space="preserve"> structurele</w:t>
      </w:r>
      <w:r w:rsidRPr="00D52F04" w:rsidR="00607617">
        <w:rPr>
          <w:rFonts w:cs="Calibri" w:eastAsiaTheme="minorHAnsi"/>
          <w:kern w:val="2"/>
          <w:szCs w:val="18"/>
          <w:lang w:eastAsia="en-US"/>
          <w14:ligatures w14:val="standardContextual"/>
        </w:rPr>
        <w:t xml:space="preserve"> middelen voor</w:t>
      </w:r>
      <w:r w:rsidRPr="00D52F04">
        <w:rPr>
          <w:rFonts w:cs="Calibri" w:eastAsiaTheme="minorHAnsi"/>
          <w:kern w:val="2"/>
          <w:szCs w:val="18"/>
          <w:lang w:eastAsia="en-US"/>
          <w14:ligatures w14:val="standardContextual"/>
        </w:rPr>
        <w:t xml:space="preserve"> super</w:t>
      </w:r>
      <w:r w:rsidR="0050115A">
        <w:rPr>
          <w:rFonts w:cs="Calibri" w:eastAsiaTheme="minorHAnsi"/>
          <w:kern w:val="2"/>
          <w:szCs w:val="18"/>
          <w:lang w:eastAsia="en-US"/>
          <w14:ligatures w14:val="standardContextual"/>
        </w:rPr>
        <w:t>-</w:t>
      </w:r>
      <w:r w:rsidRPr="00D52F04">
        <w:rPr>
          <w:rFonts w:cs="Calibri" w:eastAsiaTheme="minorHAnsi"/>
          <w:kern w:val="2"/>
          <w:szCs w:val="18"/>
          <w:lang w:eastAsia="en-US"/>
          <w14:ligatures w14:val="standardContextual"/>
        </w:rPr>
        <w:t>computingfaciliteiten</w:t>
      </w:r>
      <w:r w:rsidRPr="00D52F04" w:rsidR="00607617">
        <w:rPr>
          <w:rFonts w:cs="Calibri" w:eastAsiaTheme="minorHAnsi"/>
          <w:kern w:val="2"/>
          <w:szCs w:val="18"/>
          <w:lang w:eastAsia="en-US"/>
          <w14:ligatures w14:val="standardContextual"/>
        </w:rPr>
        <w:t xml:space="preserve"> te borge</w:t>
      </w:r>
      <w:r w:rsidRPr="00D52F04" w:rsidR="00BB7602">
        <w:rPr>
          <w:rFonts w:cs="Calibri" w:eastAsiaTheme="minorHAnsi"/>
          <w:kern w:val="2"/>
          <w:szCs w:val="18"/>
          <w:lang w:eastAsia="en-US"/>
          <w14:ligatures w14:val="standardContextual"/>
        </w:rPr>
        <w:t>n door voldoende te sparen</w:t>
      </w:r>
      <w:r w:rsidRPr="00D52F04" w:rsidR="00BF5174">
        <w:t xml:space="preserve">, </w:t>
      </w:r>
      <w:r w:rsidRPr="00D52F04" w:rsidR="003E72FC">
        <w:t>boven op</w:t>
      </w:r>
      <w:r w:rsidRPr="00D52F04" w:rsidR="00BF5174">
        <w:t xml:space="preserve"> het </w:t>
      </w:r>
      <w:r w:rsidRPr="00D52F04" w:rsidR="00AC6425">
        <w:t xml:space="preserve">bedrag dat zij </w:t>
      </w:r>
      <w:r w:rsidR="00E52A7B">
        <w:t>al</w:t>
      </w:r>
      <w:r w:rsidRPr="00D52F04" w:rsidR="00BF5174">
        <w:t xml:space="preserve"> spa</w:t>
      </w:r>
      <w:r w:rsidRPr="00D52F04" w:rsidR="00AC6425">
        <w:t>ren</w:t>
      </w:r>
      <w:r w:rsidRPr="00D52F04" w:rsidR="00BF5174">
        <w:t xml:space="preserve">. Zij hebben toegezegd vanaf 2027 hun jaarlijkse spaarbijdrage te verdubbelen. </w:t>
      </w:r>
    </w:p>
    <w:p w:rsidRPr="00D52F04" w:rsidR="0080664A" w:rsidP="00110591" w:rsidRDefault="0080664A" w14:paraId="5625D349" w14:textId="77777777">
      <w:pPr>
        <w:spacing w:line="276" w:lineRule="auto"/>
        <w:rPr>
          <w:rFonts w:cs="Calibri" w:eastAsiaTheme="minorHAnsi"/>
          <w:kern w:val="2"/>
          <w:szCs w:val="18"/>
          <w:lang w:eastAsia="en-US"/>
          <w14:ligatures w14:val="standardContextual"/>
        </w:rPr>
      </w:pPr>
    </w:p>
    <w:p w:rsidRPr="00D52F04" w:rsidR="00BB22F8" w:rsidP="004427A2" w:rsidRDefault="00BB22F8" w14:paraId="5C70FF57" w14:textId="77777777">
      <w:pPr>
        <w:pStyle w:val="Lijstalinea"/>
        <w:numPr>
          <w:ilvl w:val="0"/>
          <w:numId w:val="19"/>
        </w:numPr>
        <w:spacing w:after="0" w:line="276" w:lineRule="auto"/>
        <w:rPr>
          <w:rFonts w:ascii="Verdana" w:hAnsi="Verdana" w:cs="Calibri"/>
          <w:sz w:val="18"/>
          <w:szCs w:val="18"/>
        </w:rPr>
      </w:pPr>
      <w:r w:rsidRPr="00D52F04">
        <w:rPr>
          <w:rFonts w:ascii="Verdana" w:hAnsi="Verdana" w:cs="Calibri"/>
          <w:sz w:val="18"/>
          <w:szCs w:val="18"/>
        </w:rPr>
        <w:t xml:space="preserve">Einstein </w:t>
      </w:r>
      <w:proofErr w:type="spellStart"/>
      <w:r w:rsidRPr="00D52F04">
        <w:rPr>
          <w:rFonts w:ascii="Verdana" w:hAnsi="Verdana" w:cs="Calibri"/>
          <w:sz w:val="18"/>
          <w:szCs w:val="18"/>
        </w:rPr>
        <w:t>Telescope</w:t>
      </w:r>
      <w:proofErr w:type="spellEnd"/>
    </w:p>
    <w:p w:rsidR="00110591" w:rsidP="00110591" w:rsidRDefault="00BB22F8" w14:paraId="0EB4DC07" w14:textId="333217E6">
      <w:pPr>
        <w:spacing w:line="276" w:lineRule="auto"/>
        <w:rPr>
          <w:rFonts w:cs="Calibri"/>
          <w:szCs w:val="18"/>
        </w:rPr>
      </w:pPr>
      <w:r w:rsidRPr="00D52F04">
        <w:rPr>
          <w:rFonts w:cs="Calibri"/>
          <w:szCs w:val="18"/>
        </w:rPr>
        <w:t xml:space="preserve">De Einstein </w:t>
      </w:r>
      <w:proofErr w:type="spellStart"/>
      <w:r w:rsidRPr="00D52F04">
        <w:rPr>
          <w:rFonts w:cs="Calibri"/>
          <w:szCs w:val="18"/>
        </w:rPr>
        <w:t>Telescope</w:t>
      </w:r>
      <w:proofErr w:type="spellEnd"/>
      <w:r w:rsidRPr="00D52F04">
        <w:rPr>
          <w:rFonts w:cs="Calibri"/>
          <w:szCs w:val="18"/>
        </w:rPr>
        <w:t xml:space="preserve"> (ET) </w:t>
      </w:r>
      <w:r w:rsidRPr="00D52F04" w:rsidR="00FA4D67">
        <w:rPr>
          <w:rFonts w:cs="Calibri"/>
          <w:szCs w:val="18"/>
        </w:rPr>
        <w:t>wordt</w:t>
      </w:r>
      <w:r w:rsidRPr="00D52F04">
        <w:rPr>
          <w:rFonts w:cs="Calibri"/>
          <w:szCs w:val="18"/>
        </w:rPr>
        <w:t xml:space="preserve"> een geavanceerd ondergronds meetinstrument voor zwaartekrachtgolven. Het kabinet </w:t>
      </w:r>
      <w:r w:rsidR="001B1269">
        <w:rPr>
          <w:rFonts w:cs="Calibri"/>
          <w:szCs w:val="18"/>
        </w:rPr>
        <w:t xml:space="preserve">vindt </w:t>
      </w:r>
      <w:r w:rsidRPr="00D52F04">
        <w:rPr>
          <w:rFonts w:cs="Calibri"/>
          <w:szCs w:val="18"/>
        </w:rPr>
        <w:t xml:space="preserve">het project essentieel voor de technologische en wetenschappelijke autonomie van Nederland en </w:t>
      </w:r>
      <w:r w:rsidRPr="00D52F04" w:rsidR="00FA4D67">
        <w:rPr>
          <w:rFonts w:cs="Calibri"/>
          <w:szCs w:val="18"/>
        </w:rPr>
        <w:t>Europa</w:t>
      </w:r>
      <w:r w:rsidR="001B1269">
        <w:rPr>
          <w:rFonts w:cs="Calibri"/>
          <w:szCs w:val="18"/>
        </w:rPr>
        <w:t xml:space="preserve">. </w:t>
      </w:r>
      <w:r w:rsidRPr="00D52F04" w:rsidR="001B1269">
        <w:rPr>
          <w:rFonts w:cs="Calibri"/>
          <w:szCs w:val="18"/>
        </w:rPr>
        <w:t xml:space="preserve">Bovendien levert dit voor de </w:t>
      </w:r>
      <w:r w:rsidRPr="003E72FC" w:rsidR="003E72FC">
        <w:rPr>
          <w:rFonts w:cs="Calibri"/>
          <w:szCs w:val="18"/>
        </w:rPr>
        <w:t xml:space="preserve">Euregio Maas-Rijn </w:t>
      </w:r>
      <w:r w:rsidRPr="00D52F04" w:rsidR="001B1269">
        <w:rPr>
          <w:rFonts w:cs="Calibri"/>
          <w:szCs w:val="18"/>
        </w:rPr>
        <w:t>hoogwaardige werkgelegenheid en innovaties op.</w:t>
      </w:r>
      <w:r w:rsidR="001B1269">
        <w:rPr>
          <w:rFonts w:cs="Calibri"/>
          <w:szCs w:val="18"/>
        </w:rPr>
        <w:t xml:space="preserve"> Het is daarom een</w:t>
      </w:r>
      <w:r w:rsidRPr="00D52F04">
        <w:rPr>
          <w:rFonts w:cs="Calibri"/>
          <w:szCs w:val="18"/>
        </w:rPr>
        <w:t xml:space="preserve"> kabinetsprioriteit om</w:t>
      </w:r>
      <w:r w:rsidR="00D874C1">
        <w:rPr>
          <w:rFonts w:cs="Calibri"/>
          <w:szCs w:val="18"/>
        </w:rPr>
        <w:t xml:space="preserve"> de</w:t>
      </w:r>
      <w:r w:rsidRPr="00D52F04">
        <w:rPr>
          <w:rFonts w:cs="Calibri"/>
          <w:szCs w:val="18"/>
        </w:rPr>
        <w:t xml:space="preserve"> ET naar de grensregio van Nederland, België en Duitsland te halen. </w:t>
      </w:r>
      <w:r w:rsidR="001B1269">
        <w:rPr>
          <w:rFonts w:cs="Calibri"/>
          <w:szCs w:val="18"/>
        </w:rPr>
        <w:t>Ik heb</w:t>
      </w:r>
      <w:r w:rsidRPr="00D52F04">
        <w:rPr>
          <w:rFonts w:cs="Calibri"/>
          <w:szCs w:val="18"/>
        </w:rPr>
        <w:t xml:space="preserve"> eenmalig € 25 miljoen</w:t>
      </w:r>
      <w:r w:rsidR="001B1269">
        <w:rPr>
          <w:rFonts w:cs="Calibri"/>
          <w:szCs w:val="18"/>
        </w:rPr>
        <w:t xml:space="preserve"> gereserveerd</w:t>
      </w:r>
      <w:r w:rsidRPr="00D52F04">
        <w:rPr>
          <w:rFonts w:cs="Calibri"/>
          <w:szCs w:val="18"/>
        </w:rPr>
        <w:t xml:space="preserve"> voor de bouw van het R&amp;D-centrum voor de ET-</w:t>
      </w:r>
      <w:proofErr w:type="spellStart"/>
      <w:r w:rsidRPr="00D52F04">
        <w:rPr>
          <w:rFonts w:cs="Calibri"/>
          <w:szCs w:val="18"/>
        </w:rPr>
        <w:t>Pathfinder</w:t>
      </w:r>
      <w:proofErr w:type="spellEnd"/>
      <w:r w:rsidRPr="00D52F04">
        <w:rPr>
          <w:rFonts w:cs="Calibri"/>
          <w:szCs w:val="18"/>
        </w:rPr>
        <w:t xml:space="preserve">: het ET-Low </w:t>
      </w:r>
      <w:proofErr w:type="spellStart"/>
      <w:r w:rsidRPr="00D52F04">
        <w:rPr>
          <w:rFonts w:cs="Calibri"/>
          <w:szCs w:val="18"/>
        </w:rPr>
        <w:t>Frequency</w:t>
      </w:r>
      <w:proofErr w:type="spellEnd"/>
      <w:r w:rsidRPr="00D52F04">
        <w:rPr>
          <w:rFonts w:cs="Calibri"/>
          <w:szCs w:val="18"/>
        </w:rPr>
        <w:t xml:space="preserve"> Center (ET-LFC). In aanvulling op deze middelen hebben de Provinciale Staten van Limburg een extra investering van € 4 miljoen goedgekeurd voor de bouw van het ET-LFC. Dit is een unieke faciliteit die speciaal wordt ingericht om innovatieve technologieën </w:t>
      </w:r>
      <w:r w:rsidRPr="00D52F04" w:rsidR="00D874C1">
        <w:rPr>
          <w:rFonts w:cs="Calibri"/>
          <w:szCs w:val="18"/>
        </w:rPr>
        <w:t xml:space="preserve">die nodig zijn voor de ET </w:t>
      </w:r>
      <w:r w:rsidRPr="00D52F04">
        <w:rPr>
          <w:rFonts w:cs="Calibri"/>
          <w:szCs w:val="18"/>
        </w:rPr>
        <w:t xml:space="preserve">te </w:t>
      </w:r>
      <w:r w:rsidRPr="00D52F04">
        <w:rPr>
          <w:rFonts w:cs="Calibri"/>
          <w:szCs w:val="18"/>
        </w:rPr>
        <w:lastRenderedPageBreak/>
        <w:t>ontwikkelen en</w:t>
      </w:r>
      <w:r w:rsidR="00BB5FF2">
        <w:rPr>
          <w:rFonts w:cs="Calibri"/>
          <w:szCs w:val="18"/>
        </w:rPr>
        <w:t xml:space="preserve"> te</w:t>
      </w:r>
      <w:r w:rsidRPr="00D52F04">
        <w:rPr>
          <w:rFonts w:cs="Calibri"/>
          <w:szCs w:val="18"/>
        </w:rPr>
        <w:t xml:space="preserve"> testen. Om ons ET-locatievoorstel verder kracht bij te zetten, reserveer ik vanaf 2032 </w:t>
      </w:r>
      <w:r w:rsidRPr="00D52F04" w:rsidR="00361DEC">
        <w:rPr>
          <w:rFonts w:cs="Calibri"/>
          <w:szCs w:val="18"/>
        </w:rPr>
        <w:t xml:space="preserve">structureel </w:t>
      </w:r>
      <w:r w:rsidRPr="00D52F04">
        <w:rPr>
          <w:rFonts w:cs="Calibri"/>
          <w:szCs w:val="18"/>
        </w:rPr>
        <w:t xml:space="preserve">€ 10 miljoen voor het </w:t>
      </w:r>
      <w:r w:rsidR="001B1269">
        <w:rPr>
          <w:rFonts w:cs="Calibri"/>
          <w:szCs w:val="18"/>
        </w:rPr>
        <w:t xml:space="preserve">Nederlandse </w:t>
      </w:r>
      <w:r w:rsidRPr="00D52F04">
        <w:rPr>
          <w:rFonts w:cs="Calibri"/>
          <w:szCs w:val="18"/>
        </w:rPr>
        <w:t xml:space="preserve">lidmaatschap van ET. </w:t>
      </w:r>
      <w:r w:rsidRPr="00D52F04" w:rsidR="00211B9C">
        <w:rPr>
          <w:rFonts w:cs="Calibri"/>
          <w:szCs w:val="18"/>
        </w:rPr>
        <w:t xml:space="preserve">Verder </w:t>
      </w:r>
      <w:r w:rsidR="001B1269">
        <w:rPr>
          <w:rFonts w:cs="Calibri"/>
          <w:szCs w:val="18"/>
        </w:rPr>
        <w:t>kijk ik</w:t>
      </w:r>
      <w:r w:rsidR="003E72FC">
        <w:rPr>
          <w:rFonts w:cs="Calibri"/>
          <w:szCs w:val="18"/>
        </w:rPr>
        <w:t xml:space="preserve"> </w:t>
      </w:r>
      <w:r w:rsidRPr="00D52F04" w:rsidR="00211B9C">
        <w:rPr>
          <w:rFonts w:cs="Calibri"/>
          <w:szCs w:val="18"/>
        </w:rPr>
        <w:t xml:space="preserve">met NWO </w:t>
      </w:r>
      <w:r w:rsidRPr="00D52F04" w:rsidR="003F4BD6">
        <w:rPr>
          <w:rFonts w:cs="Calibri"/>
          <w:szCs w:val="18"/>
        </w:rPr>
        <w:t xml:space="preserve">waar </w:t>
      </w:r>
      <w:r w:rsidRPr="00D52F04" w:rsidR="00211B9C">
        <w:rPr>
          <w:rFonts w:cs="Calibri"/>
          <w:szCs w:val="18"/>
        </w:rPr>
        <w:t xml:space="preserve">strategische investeringen </w:t>
      </w:r>
      <w:r w:rsidRPr="00D52F04">
        <w:rPr>
          <w:rFonts w:cs="Calibri"/>
          <w:szCs w:val="18"/>
        </w:rPr>
        <w:t xml:space="preserve">in </w:t>
      </w:r>
      <w:proofErr w:type="spellStart"/>
      <w:r w:rsidRPr="00D52F04">
        <w:rPr>
          <w:rFonts w:cs="Calibri"/>
          <w:szCs w:val="18"/>
        </w:rPr>
        <w:t>onderzoeksinfrastructuren</w:t>
      </w:r>
      <w:proofErr w:type="spellEnd"/>
      <w:r w:rsidRPr="00D52F04">
        <w:rPr>
          <w:rFonts w:cs="Calibri"/>
          <w:szCs w:val="18"/>
        </w:rPr>
        <w:t xml:space="preserve"> van onze partnerlanden</w:t>
      </w:r>
      <w:r w:rsidR="001B1269">
        <w:rPr>
          <w:rFonts w:cs="Calibri"/>
          <w:szCs w:val="18"/>
        </w:rPr>
        <w:t>,</w:t>
      </w:r>
      <w:r w:rsidRPr="00D52F04">
        <w:rPr>
          <w:rFonts w:cs="Calibri"/>
          <w:szCs w:val="18"/>
        </w:rPr>
        <w:t xml:space="preserve"> in aanvulling op bestaande lidmaatschappen</w:t>
      </w:r>
      <w:r w:rsidR="001B1269">
        <w:rPr>
          <w:rFonts w:cs="Calibri"/>
          <w:szCs w:val="18"/>
        </w:rPr>
        <w:t>,</w:t>
      </w:r>
      <w:r w:rsidRPr="001B1269" w:rsidR="001B1269">
        <w:rPr>
          <w:rFonts w:cs="Calibri"/>
          <w:szCs w:val="18"/>
        </w:rPr>
        <w:t xml:space="preserve"> </w:t>
      </w:r>
      <w:r w:rsidRPr="00D52F04" w:rsidR="001B1269">
        <w:rPr>
          <w:rFonts w:cs="Calibri"/>
          <w:szCs w:val="18"/>
        </w:rPr>
        <w:t xml:space="preserve">mogelijk en nodig </w:t>
      </w:r>
      <w:r w:rsidR="001B1269">
        <w:rPr>
          <w:rFonts w:cs="Calibri"/>
          <w:szCs w:val="18"/>
        </w:rPr>
        <w:t>zijn</w:t>
      </w:r>
      <w:r w:rsidRPr="004913D6" w:rsidR="004913D6">
        <w:rPr>
          <w:rFonts w:cs="Calibri"/>
          <w:szCs w:val="18"/>
        </w:rPr>
        <w:t xml:space="preserve"> </w:t>
      </w:r>
      <w:r w:rsidR="004913D6">
        <w:rPr>
          <w:rFonts w:cs="Calibri"/>
          <w:szCs w:val="18"/>
        </w:rPr>
        <w:t xml:space="preserve">voor </w:t>
      </w:r>
      <w:r w:rsidRPr="00D52F04" w:rsidR="004913D6">
        <w:rPr>
          <w:rFonts w:cs="Calibri"/>
          <w:szCs w:val="18"/>
        </w:rPr>
        <w:t>ons ET-locatievoorstel</w:t>
      </w:r>
      <w:r w:rsidRPr="00D52F04">
        <w:rPr>
          <w:rFonts w:cs="Calibri"/>
          <w:szCs w:val="18"/>
        </w:rPr>
        <w:t>.</w:t>
      </w:r>
    </w:p>
    <w:p w:rsidRPr="00D52F04" w:rsidR="00BE74E3" w:rsidP="00110591" w:rsidRDefault="00BE74E3" w14:paraId="672AF13D" w14:textId="77777777">
      <w:pPr>
        <w:spacing w:line="276" w:lineRule="auto"/>
        <w:rPr>
          <w:rFonts w:cs="Calibri"/>
          <w:szCs w:val="18"/>
        </w:rPr>
      </w:pPr>
    </w:p>
    <w:p w:rsidRPr="00D52F04" w:rsidR="00247CCB" w:rsidP="00110591" w:rsidRDefault="00247CCB" w14:paraId="01405BE6" w14:textId="7D07E859">
      <w:pPr>
        <w:spacing w:line="276" w:lineRule="auto"/>
        <w:rPr>
          <w:rFonts w:cs="Calibri"/>
          <w:i/>
          <w:iCs/>
          <w:szCs w:val="18"/>
        </w:rPr>
      </w:pPr>
      <w:r w:rsidRPr="00D52F04">
        <w:rPr>
          <w:rFonts w:cs="Calibri"/>
          <w:i/>
          <w:iCs/>
          <w:szCs w:val="18"/>
        </w:rPr>
        <w:t xml:space="preserve">Praktijkgericht onderzoek </w:t>
      </w:r>
      <w:r w:rsidRPr="00D52F04" w:rsidR="008F7A3D">
        <w:rPr>
          <w:rFonts w:cs="Calibri"/>
          <w:i/>
          <w:iCs/>
          <w:szCs w:val="18"/>
        </w:rPr>
        <w:t>aan hogescholen</w:t>
      </w:r>
    </w:p>
    <w:p w:rsidRPr="00D52F04" w:rsidR="00ED02FD" w:rsidP="00110591" w:rsidRDefault="008F7A3D" w14:paraId="27E32000" w14:textId="0732BD40">
      <w:pPr>
        <w:spacing w:line="276" w:lineRule="auto"/>
        <w:rPr>
          <w:rFonts w:cs="Calibri"/>
          <w:szCs w:val="18"/>
        </w:rPr>
      </w:pPr>
      <w:r w:rsidRPr="00D52F04">
        <w:rPr>
          <w:rFonts w:cs="Calibri"/>
          <w:szCs w:val="18"/>
        </w:rPr>
        <w:t xml:space="preserve">Praktijkgericht onderzoek (PGO) is onderzoek </w:t>
      </w:r>
      <w:r w:rsidR="001B1269">
        <w:rPr>
          <w:rFonts w:cs="Calibri"/>
          <w:szCs w:val="18"/>
        </w:rPr>
        <w:t xml:space="preserve">dat ontstaat </w:t>
      </w:r>
      <w:r w:rsidRPr="00D52F04">
        <w:rPr>
          <w:rFonts w:cs="Calibri"/>
          <w:szCs w:val="18"/>
        </w:rPr>
        <w:t>vanuit een maatschappelijke vraag of vanuit een uitdaging in de praktijk</w:t>
      </w:r>
      <w:r w:rsidRPr="00D52F04" w:rsidR="004B2067">
        <w:rPr>
          <w:rFonts w:cs="Calibri"/>
          <w:szCs w:val="18"/>
        </w:rPr>
        <w:t xml:space="preserve">. </w:t>
      </w:r>
      <w:r w:rsidRPr="00D52F04">
        <w:rPr>
          <w:rFonts w:cs="Calibri"/>
          <w:szCs w:val="18"/>
        </w:rPr>
        <w:t>PGO</w:t>
      </w:r>
      <w:r w:rsidRPr="00D52F04" w:rsidR="00F05704">
        <w:rPr>
          <w:rFonts w:cs="Calibri"/>
          <w:szCs w:val="18"/>
        </w:rPr>
        <w:t xml:space="preserve"> aan hogescholen</w:t>
      </w:r>
      <w:r w:rsidRPr="00D52F04" w:rsidR="00ED02FD">
        <w:rPr>
          <w:rFonts w:cs="Calibri"/>
          <w:szCs w:val="18"/>
        </w:rPr>
        <w:t xml:space="preserve"> is essentieel voor de aansluiting van onderwijs </w:t>
      </w:r>
      <w:r w:rsidR="001B1269">
        <w:rPr>
          <w:rFonts w:cs="Calibri"/>
          <w:szCs w:val="18"/>
        </w:rPr>
        <w:t>op de</w:t>
      </w:r>
      <w:r w:rsidRPr="00D52F04" w:rsidR="001B1269">
        <w:rPr>
          <w:rFonts w:cs="Calibri"/>
          <w:szCs w:val="18"/>
        </w:rPr>
        <w:t xml:space="preserve"> </w:t>
      </w:r>
      <w:r w:rsidRPr="00D52F04" w:rsidR="002B32FC">
        <w:rPr>
          <w:rFonts w:cs="Calibri"/>
          <w:szCs w:val="18"/>
        </w:rPr>
        <w:t>beroepspraktijk</w:t>
      </w:r>
      <w:r w:rsidRPr="00D52F04" w:rsidR="00ED02FD">
        <w:rPr>
          <w:rFonts w:cs="Calibri"/>
          <w:szCs w:val="18"/>
        </w:rPr>
        <w:t xml:space="preserve">, het bevorderen van innovatie en de bijdrage aan het Nederlandse kennisecosysteem. </w:t>
      </w:r>
      <w:r w:rsidR="001B1269">
        <w:rPr>
          <w:rFonts w:cs="Calibri"/>
          <w:szCs w:val="18"/>
        </w:rPr>
        <w:t xml:space="preserve">Hogescholen werken voor PGO </w:t>
      </w:r>
      <w:r w:rsidRPr="00D52F04" w:rsidR="001B1269">
        <w:rPr>
          <w:rFonts w:cs="Calibri"/>
          <w:szCs w:val="18"/>
        </w:rPr>
        <w:t>intensie</w:t>
      </w:r>
      <w:r w:rsidR="001B1269">
        <w:rPr>
          <w:rFonts w:cs="Calibri"/>
          <w:szCs w:val="18"/>
        </w:rPr>
        <w:t>f</w:t>
      </w:r>
      <w:r w:rsidRPr="00D52F04" w:rsidR="001B1269">
        <w:rPr>
          <w:rFonts w:cs="Calibri"/>
          <w:szCs w:val="18"/>
        </w:rPr>
        <w:t xml:space="preserve"> </w:t>
      </w:r>
      <w:r w:rsidRPr="00D52F04" w:rsidR="00ED02FD">
        <w:rPr>
          <w:rFonts w:cs="Calibri"/>
          <w:szCs w:val="18"/>
        </w:rPr>
        <w:t>samen met bedrijven en maatschappelijke partners</w:t>
      </w:r>
      <w:r w:rsidR="00E52A7B">
        <w:rPr>
          <w:rFonts w:cs="Calibri"/>
          <w:szCs w:val="18"/>
        </w:rPr>
        <w:t>,</w:t>
      </w:r>
      <w:r w:rsidRPr="00D52F04" w:rsidR="00ED02FD">
        <w:rPr>
          <w:rFonts w:cs="Calibri"/>
          <w:szCs w:val="18"/>
        </w:rPr>
        <w:t xml:space="preserve"> in thematische </w:t>
      </w:r>
      <w:r w:rsidRPr="00D52F04" w:rsidR="00E547BA">
        <w:rPr>
          <w:rFonts w:cs="Calibri"/>
          <w:szCs w:val="18"/>
        </w:rPr>
        <w:t xml:space="preserve">en </w:t>
      </w:r>
      <w:r w:rsidRPr="00D52F04" w:rsidR="00ED02FD">
        <w:rPr>
          <w:rFonts w:cs="Calibri"/>
          <w:szCs w:val="18"/>
        </w:rPr>
        <w:t>regionale clusters</w:t>
      </w:r>
      <w:r w:rsidR="00E52A7B">
        <w:rPr>
          <w:rFonts w:cs="Calibri"/>
          <w:szCs w:val="18"/>
        </w:rPr>
        <w:t>.</w:t>
      </w:r>
    </w:p>
    <w:p w:rsidR="00BB5FF2" w:rsidP="00110591" w:rsidRDefault="00BB5FF2" w14:paraId="07734334" w14:textId="77777777">
      <w:pPr>
        <w:spacing w:line="276" w:lineRule="auto"/>
        <w:rPr>
          <w:rFonts w:cs="Calibri"/>
          <w:szCs w:val="18"/>
        </w:rPr>
      </w:pPr>
    </w:p>
    <w:p w:rsidR="00ED02FD" w:rsidP="00110591" w:rsidRDefault="00BB5FF2" w14:paraId="2C94A821" w14:textId="6E1F4FE3">
      <w:pPr>
        <w:spacing w:line="276" w:lineRule="auto"/>
        <w:rPr>
          <w:rFonts w:cs="Calibri"/>
          <w:szCs w:val="18"/>
        </w:rPr>
      </w:pPr>
      <w:r>
        <w:rPr>
          <w:rFonts w:cs="Calibri"/>
          <w:szCs w:val="18"/>
        </w:rPr>
        <w:t xml:space="preserve">Hogescholen spelen een belangrijke rol in de ontwikkeling van </w:t>
      </w:r>
      <w:proofErr w:type="spellStart"/>
      <w:r>
        <w:rPr>
          <w:rFonts w:cs="Calibri"/>
          <w:szCs w:val="18"/>
        </w:rPr>
        <w:t>hoog</w:t>
      </w:r>
      <w:r w:rsidR="00406CD0">
        <w:rPr>
          <w:rFonts w:cs="Calibri"/>
          <w:szCs w:val="18"/>
        </w:rPr>
        <w:t>-</w:t>
      </w:r>
      <w:r>
        <w:rPr>
          <w:rFonts w:cs="Calibri"/>
          <w:szCs w:val="18"/>
        </w:rPr>
        <w:t>gekwalificeerde</w:t>
      </w:r>
      <w:proofErr w:type="spellEnd"/>
      <w:r>
        <w:rPr>
          <w:rFonts w:cs="Calibri"/>
          <w:szCs w:val="18"/>
        </w:rPr>
        <w:t xml:space="preserve"> professionals. </w:t>
      </w:r>
      <w:r w:rsidRPr="00D52F04" w:rsidR="004B2067">
        <w:t>Hogescholen spelen</w:t>
      </w:r>
      <w:r w:rsidR="00EC0ACE">
        <w:t xml:space="preserve"> </w:t>
      </w:r>
      <w:r w:rsidRPr="00D52F04" w:rsidR="004B2067">
        <w:t>een belangrijke rol door hun onderwijsaanbod af te stemmen op de eisen en behoeften van de arbeidsmarkt</w:t>
      </w:r>
      <w:r w:rsidR="00EC0ACE">
        <w:t xml:space="preserve">. </w:t>
      </w:r>
      <w:r w:rsidRPr="00D52F04" w:rsidR="004B2067">
        <w:t xml:space="preserve">Veel instellingen hebben een verscheidenheid aan onderzoeksactiviteiten ontwikkeld </w:t>
      </w:r>
      <w:r w:rsidR="00EC0ACE">
        <w:t>om</w:t>
      </w:r>
      <w:r w:rsidRPr="00D52F04" w:rsidR="004B2067">
        <w:t xml:space="preserve"> bij te dragen aan regionale innovatie en</w:t>
      </w:r>
      <w:r w:rsidR="001B1269">
        <w:t xml:space="preserve"> om</w:t>
      </w:r>
      <w:r w:rsidRPr="00D52F04" w:rsidR="004B2067">
        <w:t xml:space="preserve"> de beroepspraktijk te verbeteren.</w:t>
      </w:r>
      <w:r w:rsidRPr="00D52F04" w:rsidR="004B2067">
        <w:rPr>
          <w:rStyle w:val="Voetnootmarkering"/>
        </w:rPr>
        <w:footnoteReference w:id="12"/>
      </w:r>
      <w:r w:rsidRPr="00D52F04" w:rsidR="00ED02FD">
        <w:rPr>
          <w:rFonts w:cs="Calibri"/>
          <w:szCs w:val="18"/>
        </w:rPr>
        <w:t xml:space="preserve"> Ik ben overtuigd van de toegevoegde waarde </w:t>
      </w:r>
      <w:r w:rsidRPr="00D52F04" w:rsidR="00534446">
        <w:rPr>
          <w:rFonts w:cs="Calibri"/>
          <w:szCs w:val="18"/>
        </w:rPr>
        <w:t>hiervan</w:t>
      </w:r>
      <w:r w:rsidRPr="00D52F04" w:rsidR="004B2067">
        <w:rPr>
          <w:rFonts w:cs="Calibri"/>
          <w:szCs w:val="18"/>
        </w:rPr>
        <w:t>.</w:t>
      </w:r>
      <w:r w:rsidR="00406CD0">
        <w:rPr>
          <w:rFonts w:cs="Calibri"/>
          <w:szCs w:val="18"/>
        </w:rPr>
        <w:t xml:space="preserve"> </w:t>
      </w:r>
      <w:r w:rsidRPr="00D52F04" w:rsidR="005D5FCD">
        <w:rPr>
          <w:rFonts w:cs="Calibri"/>
          <w:szCs w:val="18"/>
        </w:rPr>
        <w:t>Met mijn investering van structureel € 68 miljoen voeg ik i</w:t>
      </w:r>
      <w:r w:rsidRPr="00D52F04" w:rsidR="00ED02FD">
        <w:rPr>
          <w:rFonts w:cs="Calibri"/>
          <w:szCs w:val="18"/>
        </w:rPr>
        <w:t>n de eerste plaats</w:t>
      </w:r>
      <w:r w:rsidRPr="00D52F04" w:rsidR="005D5FCD">
        <w:rPr>
          <w:rFonts w:cs="Calibri"/>
          <w:szCs w:val="18"/>
        </w:rPr>
        <w:t xml:space="preserve"> structureel</w:t>
      </w:r>
      <w:r w:rsidRPr="00D52F04" w:rsidR="00ED02FD">
        <w:rPr>
          <w:rFonts w:cs="Calibri"/>
          <w:szCs w:val="18"/>
        </w:rPr>
        <w:t xml:space="preserve"> </w:t>
      </w:r>
      <w:r w:rsidRPr="00D52F04" w:rsidR="005D5FCD">
        <w:rPr>
          <w:rFonts w:cs="Calibri"/>
          <w:szCs w:val="18"/>
        </w:rPr>
        <w:t xml:space="preserve">€ 46 miljoen </w:t>
      </w:r>
      <w:r w:rsidRPr="00D52F04" w:rsidR="00ED02FD">
        <w:rPr>
          <w:rFonts w:cs="Calibri"/>
          <w:szCs w:val="18"/>
        </w:rPr>
        <w:t>t</w:t>
      </w:r>
      <w:r w:rsidRPr="00D52F04" w:rsidR="005D5FCD">
        <w:rPr>
          <w:rFonts w:cs="Calibri"/>
          <w:szCs w:val="18"/>
        </w:rPr>
        <w:t>oe</w:t>
      </w:r>
      <w:r w:rsidRPr="00D52F04" w:rsidR="00ED02FD">
        <w:rPr>
          <w:rFonts w:cs="Calibri"/>
          <w:szCs w:val="18"/>
        </w:rPr>
        <w:t xml:space="preserve"> aan de bekostiging van hogescholen</w:t>
      </w:r>
      <w:r w:rsidR="00EC0ACE">
        <w:rPr>
          <w:rFonts w:cs="Calibri"/>
          <w:szCs w:val="18"/>
        </w:rPr>
        <w:t xml:space="preserve">. </w:t>
      </w:r>
      <w:r w:rsidRPr="00D52F04" w:rsidR="00ED02FD">
        <w:rPr>
          <w:rFonts w:cs="Calibri"/>
          <w:szCs w:val="18"/>
        </w:rPr>
        <w:t xml:space="preserve">In de tweede plaats </w:t>
      </w:r>
      <w:r w:rsidR="00EC0ACE">
        <w:rPr>
          <w:rFonts w:cs="Calibri"/>
          <w:szCs w:val="18"/>
        </w:rPr>
        <w:t xml:space="preserve">investeer </w:t>
      </w:r>
      <w:r w:rsidRPr="00D52F04" w:rsidR="00ED02FD">
        <w:rPr>
          <w:rFonts w:cs="Calibri"/>
          <w:szCs w:val="18"/>
        </w:rPr>
        <w:t>ik</w:t>
      </w:r>
      <w:r w:rsidRPr="00D52F04" w:rsidR="005D5FCD">
        <w:rPr>
          <w:rFonts w:cs="Calibri"/>
          <w:szCs w:val="18"/>
        </w:rPr>
        <w:t xml:space="preserve"> structureel</w:t>
      </w:r>
      <w:r w:rsidRPr="00D52F04" w:rsidR="00ED02FD">
        <w:rPr>
          <w:rFonts w:cs="Calibri"/>
          <w:szCs w:val="18"/>
        </w:rPr>
        <w:t xml:space="preserve"> € 22 miljoen </w:t>
      </w:r>
      <w:r w:rsidR="00FE4739">
        <w:rPr>
          <w:rFonts w:cs="Calibri"/>
          <w:szCs w:val="18"/>
        </w:rPr>
        <w:t xml:space="preserve">in </w:t>
      </w:r>
      <w:r w:rsidRPr="00D52F04" w:rsidR="00FE4739">
        <w:rPr>
          <w:rFonts w:cs="Calibri"/>
          <w:szCs w:val="18"/>
        </w:rPr>
        <w:t xml:space="preserve">praktijkgericht onderzoek </w:t>
      </w:r>
      <w:r w:rsidRPr="00D52F04" w:rsidR="00ED02FD">
        <w:rPr>
          <w:rFonts w:cs="Calibri"/>
          <w:szCs w:val="18"/>
        </w:rPr>
        <w:t xml:space="preserve">via </w:t>
      </w:r>
      <w:r w:rsidRPr="00D52F04" w:rsidR="00FE4739">
        <w:rPr>
          <w:rFonts w:cs="Calibri"/>
          <w:szCs w:val="18"/>
        </w:rPr>
        <w:t>het regieorgaan SIA</w:t>
      </w:r>
      <w:r w:rsidR="00FE4739">
        <w:rPr>
          <w:rFonts w:cs="Calibri"/>
          <w:szCs w:val="18"/>
        </w:rPr>
        <w:t xml:space="preserve"> van</w:t>
      </w:r>
      <w:r w:rsidRPr="00D52F04" w:rsidR="00FE4739">
        <w:rPr>
          <w:rFonts w:cs="Calibri"/>
          <w:szCs w:val="18"/>
        </w:rPr>
        <w:t xml:space="preserve"> </w:t>
      </w:r>
      <w:r w:rsidRPr="00D52F04" w:rsidR="004B2067">
        <w:rPr>
          <w:rFonts w:cs="Calibri"/>
          <w:szCs w:val="18"/>
        </w:rPr>
        <w:t>NWO</w:t>
      </w:r>
      <w:r w:rsidRPr="00D52F04" w:rsidR="00F05704">
        <w:rPr>
          <w:rFonts w:cs="Calibri"/>
          <w:szCs w:val="18"/>
        </w:rPr>
        <w:t>.</w:t>
      </w:r>
      <w:r w:rsidRPr="00D52F04" w:rsidR="00ED02FD">
        <w:rPr>
          <w:rFonts w:cs="Calibri"/>
          <w:szCs w:val="18"/>
        </w:rPr>
        <w:t xml:space="preserve"> </w:t>
      </w:r>
      <w:r w:rsidR="00EC0ACE">
        <w:rPr>
          <w:rFonts w:cs="Calibri"/>
          <w:szCs w:val="18"/>
        </w:rPr>
        <w:t>Ik</w:t>
      </w:r>
      <w:r w:rsidRPr="00D52F04" w:rsidR="00057944">
        <w:rPr>
          <w:rFonts w:cs="Calibri"/>
          <w:szCs w:val="18"/>
        </w:rPr>
        <w:t xml:space="preserve"> </w:t>
      </w:r>
      <w:r w:rsidR="00EC0ACE">
        <w:rPr>
          <w:rFonts w:cs="Calibri"/>
          <w:szCs w:val="18"/>
        </w:rPr>
        <w:t>zet</w:t>
      </w:r>
      <w:r w:rsidRPr="00D52F04" w:rsidR="00057944">
        <w:rPr>
          <w:rFonts w:cs="Calibri"/>
          <w:szCs w:val="18"/>
        </w:rPr>
        <w:t xml:space="preserve"> de huidige verdeling van onderzoeksmiddelen over de eerste en tweede geldstroom voor hogescholen</w:t>
      </w:r>
      <w:r w:rsidRPr="00D52F04" w:rsidR="00534446">
        <w:rPr>
          <w:rFonts w:cs="Calibri"/>
          <w:szCs w:val="18"/>
        </w:rPr>
        <w:t xml:space="preserve"> </w:t>
      </w:r>
      <w:r w:rsidR="00EC0ACE">
        <w:rPr>
          <w:rFonts w:cs="Calibri"/>
          <w:szCs w:val="18"/>
        </w:rPr>
        <w:t xml:space="preserve">door </w:t>
      </w:r>
      <w:r w:rsidRPr="00D52F04" w:rsidR="00534446">
        <w:rPr>
          <w:rFonts w:cs="Calibri"/>
          <w:szCs w:val="18"/>
        </w:rPr>
        <w:t xml:space="preserve">tot en met 2031. </w:t>
      </w:r>
      <w:r w:rsidR="00EC0ACE">
        <w:rPr>
          <w:rFonts w:cs="Calibri"/>
          <w:szCs w:val="18"/>
        </w:rPr>
        <w:t>Daarna</w:t>
      </w:r>
      <w:r w:rsidRPr="00D52F04" w:rsidR="00534446">
        <w:rPr>
          <w:rFonts w:cs="Calibri"/>
          <w:szCs w:val="18"/>
        </w:rPr>
        <w:t xml:space="preserve"> </w:t>
      </w:r>
      <w:r w:rsidR="00E841BB">
        <w:rPr>
          <w:rFonts w:cs="Calibri"/>
          <w:szCs w:val="18"/>
        </w:rPr>
        <w:t>kijk</w:t>
      </w:r>
      <w:r w:rsidRPr="00D52F04" w:rsidR="00E841BB">
        <w:rPr>
          <w:rFonts w:cs="Calibri"/>
          <w:szCs w:val="18"/>
        </w:rPr>
        <w:t xml:space="preserve"> </w:t>
      </w:r>
      <w:r w:rsidRPr="00D52F04" w:rsidR="00534446">
        <w:rPr>
          <w:rFonts w:cs="Calibri"/>
          <w:szCs w:val="18"/>
        </w:rPr>
        <w:t>ik of het voor</w:t>
      </w:r>
      <w:r w:rsidRPr="00D52F04" w:rsidR="00F30D12">
        <w:rPr>
          <w:rFonts w:cs="Calibri"/>
          <w:szCs w:val="18"/>
        </w:rPr>
        <w:t>t</w:t>
      </w:r>
      <w:r w:rsidRPr="00D52F04" w:rsidR="00534446">
        <w:rPr>
          <w:rFonts w:cs="Calibri"/>
          <w:szCs w:val="18"/>
        </w:rPr>
        <w:t>zetten van deze verdeling na 2031 nog passend is.</w:t>
      </w:r>
    </w:p>
    <w:p w:rsidRPr="00D52F04" w:rsidR="0003139D" w:rsidP="00110591" w:rsidRDefault="0003139D" w14:paraId="1569F3B2" w14:textId="77777777">
      <w:pPr>
        <w:spacing w:line="276" w:lineRule="auto"/>
        <w:rPr>
          <w:rFonts w:cs="Calibri"/>
          <w:szCs w:val="18"/>
        </w:rPr>
      </w:pPr>
    </w:p>
    <w:p w:rsidRPr="00D52F04" w:rsidR="0003139D" w:rsidP="00110591" w:rsidRDefault="0003139D" w14:paraId="114176C7" w14:textId="52CF1484">
      <w:pPr>
        <w:spacing w:line="276" w:lineRule="auto"/>
        <w:rPr>
          <w:rFonts w:cs="Calibri"/>
          <w:i/>
          <w:iCs/>
          <w:szCs w:val="18"/>
        </w:rPr>
      </w:pPr>
      <w:r w:rsidRPr="00D52F04">
        <w:rPr>
          <w:rFonts w:cs="Calibri"/>
          <w:i/>
          <w:iCs/>
          <w:szCs w:val="18"/>
        </w:rPr>
        <w:t>Onderzoek aan mbo-instellingen</w:t>
      </w:r>
    </w:p>
    <w:p w:rsidRPr="00D52F04" w:rsidR="005A2C3E" w:rsidP="005A2C3E" w:rsidRDefault="005A2C3E" w14:paraId="7C21413A" w14:textId="59C3AC87">
      <w:pPr>
        <w:spacing w:line="276" w:lineRule="auto"/>
        <w:rPr>
          <w:rFonts w:cs="Calibri"/>
          <w:szCs w:val="18"/>
        </w:rPr>
      </w:pPr>
      <w:r w:rsidRPr="00D52F04">
        <w:rPr>
          <w:rFonts w:cs="Calibri"/>
          <w:szCs w:val="18"/>
        </w:rPr>
        <w:t xml:space="preserve">Het kabinet investeert structureel in regionale innovatie en de kracht van publiek-private samenwerking, dus ook in het mbo. </w:t>
      </w:r>
      <w:r w:rsidR="00FE4739">
        <w:rPr>
          <w:rFonts w:cs="Calibri"/>
          <w:szCs w:val="18"/>
        </w:rPr>
        <w:t>Ik</w:t>
      </w:r>
      <w:r w:rsidRPr="00D52F04">
        <w:rPr>
          <w:rFonts w:cs="Calibri"/>
          <w:szCs w:val="18"/>
        </w:rPr>
        <w:t xml:space="preserve"> </w:t>
      </w:r>
      <w:r w:rsidR="00EC0ACE">
        <w:rPr>
          <w:rFonts w:cs="Calibri"/>
          <w:szCs w:val="18"/>
        </w:rPr>
        <w:t>investeer</w:t>
      </w:r>
      <w:r w:rsidR="0050115A">
        <w:rPr>
          <w:rFonts w:cs="Calibri"/>
          <w:szCs w:val="18"/>
        </w:rPr>
        <w:t xml:space="preserve"> </w:t>
      </w:r>
      <w:r w:rsidR="00EC0ACE">
        <w:rPr>
          <w:rFonts w:cs="Calibri"/>
          <w:szCs w:val="18"/>
        </w:rPr>
        <w:t>structureel</w:t>
      </w:r>
      <w:r w:rsidRPr="00D52F04">
        <w:rPr>
          <w:rFonts w:cs="Calibri"/>
          <w:szCs w:val="18"/>
        </w:rPr>
        <w:t xml:space="preserve"> € 17 miljoen om de opgebouwde basis van </w:t>
      </w:r>
      <w:proofErr w:type="spellStart"/>
      <w:r w:rsidRPr="00D52F04">
        <w:rPr>
          <w:rFonts w:cs="Calibri"/>
          <w:szCs w:val="18"/>
        </w:rPr>
        <w:t>practoraten</w:t>
      </w:r>
      <w:proofErr w:type="spellEnd"/>
      <w:r w:rsidRPr="00D52F04">
        <w:rPr>
          <w:rFonts w:cs="Calibri"/>
          <w:szCs w:val="18"/>
        </w:rPr>
        <w:t xml:space="preserve"> en praktijkgericht onderzoek voort te zetten en verder uit te bouwen. De </w:t>
      </w:r>
      <w:r w:rsidRPr="00D52F04" w:rsidR="000319CA">
        <w:rPr>
          <w:rFonts w:cs="Calibri"/>
          <w:szCs w:val="18"/>
        </w:rPr>
        <w:t>AWTI</w:t>
      </w:r>
      <w:r w:rsidRPr="00D52F04">
        <w:rPr>
          <w:rFonts w:cs="Calibri"/>
          <w:szCs w:val="18"/>
        </w:rPr>
        <w:t xml:space="preserve"> brengt in het najaar van 2026 een advies uit over de meerwaarde van </w:t>
      </w:r>
      <w:proofErr w:type="spellStart"/>
      <w:r w:rsidRPr="00D52F04">
        <w:rPr>
          <w:rFonts w:cs="Calibri"/>
          <w:szCs w:val="18"/>
        </w:rPr>
        <w:t>practoraten</w:t>
      </w:r>
      <w:proofErr w:type="spellEnd"/>
      <w:r w:rsidRPr="00D52F04">
        <w:rPr>
          <w:rFonts w:cs="Calibri"/>
          <w:szCs w:val="18"/>
        </w:rPr>
        <w:t xml:space="preserve"> in het mbo</w:t>
      </w:r>
      <w:r w:rsidR="002C4410">
        <w:rPr>
          <w:rFonts w:cs="Calibri"/>
          <w:szCs w:val="18"/>
        </w:rPr>
        <w:t xml:space="preserve"> </w:t>
      </w:r>
      <w:r w:rsidR="00FE4739">
        <w:rPr>
          <w:rFonts w:cs="Calibri"/>
          <w:szCs w:val="18"/>
        </w:rPr>
        <w:t>voor</w:t>
      </w:r>
      <w:r w:rsidRPr="00D52F04">
        <w:rPr>
          <w:rFonts w:cs="Calibri"/>
          <w:szCs w:val="18"/>
        </w:rPr>
        <w:t xml:space="preserve"> het aanpakken van maatschappelijke uitdagingen. Daarbij wordt ook onderzocht of een wettelijke onderzoekstaak voor mbo-</w:t>
      </w:r>
      <w:r w:rsidR="00E841BB">
        <w:rPr>
          <w:rFonts w:cs="Calibri"/>
          <w:szCs w:val="18"/>
        </w:rPr>
        <w:t>instellingen</w:t>
      </w:r>
      <w:r w:rsidRPr="00D52F04" w:rsidR="00E841BB">
        <w:rPr>
          <w:rFonts w:cs="Calibri"/>
          <w:szCs w:val="18"/>
        </w:rPr>
        <w:t xml:space="preserve"> </w:t>
      </w:r>
      <w:r w:rsidRPr="00D52F04" w:rsidR="003117BE">
        <w:rPr>
          <w:rFonts w:cs="Calibri"/>
          <w:szCs w:val="18"/>
        </w:rPr>
        <w:t xml:space="preserve">wenselijk en </w:t>
      </w:r>
      <w:r w:rsidRPr="00D52F04">
        <w:rPr>
          <w:rFonts w:cs="Calibri"/>
          <w:szCs w:val="18"/>
        </w:rPr>
        <w:t xml:space="preserve">noodzakelijk is om die potentie te realiseren. </w:t>
      </w:r>
      <w:r w:rsidRPr="00D52F04" w:rsidR="00075D67">
        <w:rPr>
          <w:rFonts w:cs="Calibri"/>
          <w:szCs w:val="18"/>
        </w:rPr>
        <w:t xml:space="preserve">Uw </w:t>
      </w:r>
      <w:r w:rsidRPr="00D52F04">
        <w:rPr>
          <w:rFonts w:cs="Calibri"/>
          <w:szCs w:val="18"/>
        </w:rPr>
        <w:t>Kamer wordt hierover begin 2027 geïnformeerd.</w:t>
      </w:r>
    </w:p>
    <w:p w:rsidRPr="00D52F04" w:rsidR="00110591" w:rsidP="00110591" w:rsidRDefault="00110591" w14:paraId="15BC4EFD" w14:textId="77777777">
      <w:pPr>
        <w:spacing w:line="276" w:lineRule="auto"/>
        <w:rPr>
          <w:rFonts w:cs="Calibri"/>
          <w:szCs w:val="18"/>
        </w:rPr>
      </w:pPr>
    </w:p>
    <w:p w:rsidRPr="00D52F04" w:rsidR="00110591" w:rsidP="00110591" w:rsidRDefault="00110591" w14:paraId="31019775" w14:textId="77777777">
      <w:pPr>
        <w:spacing w:line="276" w:lineRule="auto"/>
        <w:rPr>
          <w:rFonts w:cs="Calibri"/>
          <w:i/>
          <w:iCs/>
          <w:szCs w:val="18"/>
        </w:rPr>
      </w:pPr>
      <w:r w:rsidRPr="00D52F04">
        <w:rPr>
          <w:rFonts w:cs="Calibri"/>
          <w:i/>
          <w:iCs/>
          <w:szCs w:val="18"/>
        </w:rPr>
        <w:t xml:space="preserve">Valorisatie </w:t>
      </w:r>
    </w:p>
    <w:p w:rsidRPr="00D52F04" w:rsidR="008B4FFF" w:rsidP="008B4FFF" w:rsidRDefault="0089541C" w14:paraId="70DA78F3" w14:textId="7438913B">
      <w:pPr>
        <w:spacing w:line="276" w:lineRule="auto"/>
        <w:rPr>
          <w:rFonts w:cs="Calibri"/>
          <w:szCs w:val="18"/>
        </w:rPr>
      </w:pPr>
      <w:r w:rsidRPr="00D52F04">
        <w:rPr>
          <w:rFonts w:cs="Calibri"/>
          <w:szCs w:val="18"/>
        </w:rPr>
        <w:t xml:space="preserve">Nederland kent een sterke basis in onderzoek en excellente wetenschap. </w:t>
      </w:r>
      <w:r w:rsidRPr="00D52F04" w:rsidR="00110591">
        <w:rPr>
          <w:rFonts w:cs="Calibri"/>
          <w:szCs w:val="18"/>
        </w:rPr>
        <w:t xml:space="preserve">De toepassing van kennis uit onderzoek naar maatschappelijke </w:t>
      </w:r>
      <w:r w:rsidRPr="00D52F04">
        <w:rPr>
          <w:rFonts w:cs="Calibri"/>
          <w:szCs w:val="18"/>
        </w:rPr>
        <w:t>impact</w:t>
      </w:r>
      <w:r w:rsidRPr="00D52F04" w:rsidR="00110591">
        <w:rPr>
          <w:rFonts w:cs="Calibri"/>
          <w:szCs w:val="18"/>
        </w:rPr>
        <w:t xml:space="preserve"> gebeurt </w:t>
      </w:r>
      <w:r w:rsidRPr="00D52F04">
        <w:rPr>
          <w:rFonts w:cs="Calibri"/>
          <w:szCs w:val="18"/>
        </w:rPr>
        <w:t xml:space="preserve">al </w:t>
      </w:r>
      <w:r w:rsidRPr="00D52F04" w:rsidR="00110591">
        <w:rPr>
          <w:rFonts w:cs="Calibri"/>
          <w:szCs w:val="18"/>
        </w:rPr>
        <w:t xml:space="preserve">volop. </w:t>
      </w:r>
      <w:r w:rsidRPr="00D52F04">
        <w:t>De manier waarop</w:t>
      </w:r>
      <w:r w:rsidRPr="00D52F04" w:rsidR="008B4FFF">
        <w:t>,</w:t>
      </w:r>
      <w:r w:rsidRPr="00D52F04">
        <w:t xml:space="preserve"> bijvoorbeeld </w:t>
      </w:r>
      <w:r w:rsidRPr="00D52F04" w:rsidR="008B4FFF">
        <w:t xml:space="preserve">via </w:t>
      </w:r>
      <w:r w:rsidRPr="00D52F04">
        <w:t xml:space="preserve">ondernemerschap, </w:t>
      </w:r>
      <w:r w:rsidRPr="00D52F04" w:rsidR="006E00AE">
        <w:t xml:space="preserve">communicatie </w:t>
      </w:r>
      <w:r w:rsidR="006E00AE">
        <w:t xml:space="preserve">of </w:t>
      </w:r>
      <w:r w:rsidRPr="00D52F04">
        <w:t>samenwerkingsverbanden</w:t>
      </w:r>
      <w:r w:rsidR="00D874C1">
        <w:t>,</w:t>
      </w:r>
      <w:r w:rsidRPr="00D52F04">
        <w:t xml:space="preserve"> moet passen bij het type onderzoek, de opgedane kennis en de maatschappelijke stakeholders.</w:t>
      </w:r>
      <w:r w:rsidR="00416E82">
        <w:rPr>
          <w:rFonts w:cs="Calibri"/>
          <w:szCs w:val="18"/>
        </w:rPr>
        <w:t xml:space="preserve"> </w:t>
      </w:r>
      <w:r w:rsidRPr="00D52F04" w:rsidR="00110591">
        <w:rPr>
          <w:rFonts w:cs="Calibri"/>
          <w:szCs w:val="18"/>
        </w:rPr>
        <w:t xml:space="preserve">Het </w:t>
      </w:r>
      <w:r w:rsidRPr="00D52F04" w:rsidR="008B4FFF">
        <w:rPr>
          <w:rFonts w:cs="Calibri"/>
          <w:szCs w:val="18"/>
        </w:rPr>
        <w:t>verbeteren van de ver</w:t>
      </w:r>
      <w:r w:rsidRPr="00D52F04">
        <w:rPr>
          <w:rFonts w:cs="Calibri"/>
          <w:szCs w:val="18"/>
        </w:rPr>
        <w:t xml:space="preserve">taling </w:t>
      </w:r>
      <w:r w:rsidRPr="00D52F04" w:rsidR="008B4FFF">
        <w:rPr>
          <w:rFonts w:cs="Calibri"/>
          <w:szCs w:val="18"/>
        </w:rPr>
        <w:t xml:space="preserve">van nieuwe kennis </w:t>
      </w:r>
      <w:r w:rsidRPr="00D52F04">
        <w:rPr>
          <w:rFonts w:cs="Calibri"/>
          <w:szCs w:val="18"/>
        </w:rPr>
        <w:t>naar concrete toepassingen</w:t>
      </w:r>
      <w:r w:rsidRPr="00D52F04" w:rsidR="008B4FFF">
        <w:rPr>
          <w:rFonts w:cs="Calibri"/>
          <w:szCs w:val="18"/>
        </w:rPr>
        <w:t xml:space="preserve"> </w:t>
      </w:r>
      <w:r w:rsidRPr="00D52F04" w:rsidR="00110591">
        <w:rPr>
          <w:rFonts w:cs="Calibri"/>
          <w:szCs w:val="18"/>
        </w:rPr>
        <w:t xml:space="preserve">is een gezamenlijke </w:t>
      </w:r>
      <w:r w:rsidR="006E00AE">
        <w:rPr>
          <w:rFonts w:cs="Calibri"/>
          <w:szCs w:val="18"/>
        </w:rPr>
        <w:t>opgave</w:t>
      </w:r>
      <w:r w:rsidRPr="00D52F04" w:rsidR="00110591">
        <w:rPr>
          <w:rFonts w:cs="Calibri"/>
          <w:szCs w:val="18"/>
        </w:rPr>
        <w:t xml:space="preserve">. </w:t>
      </w:r>
      <w:r w:rsidR="00FE4739">
        <w:rPr>
          <w:rFonts w:cs="Calibri"/>
          <w:szCs w:val="18"/>
        </w:rPr>
        <w:t>S</w:t>
      </w:r>
      <w:r w:rsidRPr="00D52F04" w:rsidR="006E00AE">
        <w:rPr>
          <w:rFonts w:cs="Calibri"/>
          <w:szCs w:val="18"/>
        </w:rPr>
        <w:t xml:space="preserve">amen met de minister van EZK </w:t>
      </w:r>
      <w:r w:rsidR="00FE4739">
        <w:rPr>
          <w:rFonts w:cs="Calibri"/>
          <w:szCs w:val="18"/>
        </w:rPr>
        <w:t xml:space="preserve">verken ik </w:t>
      </w:r>
      <w:r w:rsidRPr="00D52F04" w:rsidR="006E00AE">
        <w:rPr>
          <w:rFonts w:cs="Calibri"/>
          <w:szCs w:val="18"/>
        </w:rPr>
        <w:t xml:space="preserve">de mogelijkheden voor een nationale Knowledge Transfer Office (KTO) als brug tussen wetenschap en </w:t>
      </w:r>
      <w:r w:rsidR="006E00AE">
        <w:rPr>
          <w:rFonts w:cs="Calibri"/>
          <w:szCs w:val="18"/>
        </w:rPr>
        <w:t>maatschappij</w:t>
      </w:r>
      <w:r w:rsidRPr="00D52F04" w:rsidR="006E00AE">
        <w:rPr>
          <w:rFonts w:cs="Calibri"/>
          <w:szCs w:val="18"/>
        </w:rPr>
        <w:t>.</w:t>
      </w:r>
      <w:r w:rsidR="006E00AE">
        <w:rPr>
          <w:rFonts w:cs="Calibri"/>
          <w:szCs w:val="18"/>
        </w:rPr>
        <w:t xml:space="preserve"> </w:t>
      </w:r>
      <w:r w:rsidRPr="00D52F04" w:rsidR="00110591">
        <w:rPr>
          <w:rFonts w:cs="Calibri"/>
          <w:szCs w:val="18"/>
        </w:rPr>
        <w:t>OCW</w:t>
      </w:r>
      <w:r w:rsidR="006E00AE">
        <w:rPr>
          <w:rFonts w:cs="Calibri"/>
          <w:szCs w:val="18"/>
        </w:rPr>
        <w:t xml:space="preserve">, </w:t>
      </w:r>
      <w:r w:rsidRPr="00D52F04" w:rsidR="009A5FAC">
        <w:rPr>
          <w:rFonts w:cs="Calibri"/>
          <w:szCs w:val="18"/>
        </w:rPr>
        <w:t>EZK</w:t>
      </w:r>
      <w:r w:rsidRPr="00D52F04" w:rsidR="00884295">
        <w:rPr>
          <w:rFonts w:cs="Calibri"/>
          <w:szCs w:val="18"/>
        </w:rPr>
        <w:t xml:space="preserve"> </w:t>
      </w:r>
      <w:r w:rsidR="006E00AE">
        <w:rPr>
          <w:rFonts w:cs="Calibri"/>
          <w:szCs w:val="18"/>
        </w:rPr>
        <w:t xml:space="preserve">en de kennisinstellingen </w:t>
      </w:r>
      <w:r w:rsidR="00FE4739">
        <w:rPr>
          <w:rFonts w:cs="Calibri"/>
          <w:szCs w:val="18"/>
        </w:rPr>
        <w:t xml:space="preserve">dragen </w:t>
      </w:r>
      <w:r w:rsidR="006E00AE">
        <w:rPr>
          <w:rFonts w:cs="Calibri"/>
          <w:szCs w:val="18"/>
        </w:rPr>
        <w:t>daarnaast</w:t>
      </w:r>
      <w:r w:rsidRPr="00D52F04" w:rsidR="00110591">
        <w:rPr>
          <w:rFonts w:cs="Calibri"/>
          <w:szCs w:val="18"/>
        </w:rPr>
        <w:t xml:space="preserve"> verantwoordelijkheid </w:t>
      </w:r>
      <w:r w:rsidR="00FE4739">
        <w:rPr>
          <w:rFonts w:cs="Calibri"/>
          <w:szCs w:val="18"/>
        </w:rPr>
        <w:t>voor</w:t>
      </w:r>
      <w:r w:rsidR="002C4410">
        <w:rPr>
          <w:rFonts w:cs="Calibri"/>
          <w:szCs w:val="18"/>
        </w:rPr>
        <w:t xml:space="preserve"> </w:t>
      </w:r>
      <w:r w:rsidRPr="00D52F04" w:rsidR="00110591">
        <w:rPr>
          <w:rFonts w:cs="Calibri"/>
          <w:szCs w:val="18"/>
        </w:rPr>
        <w:lastRenderedPageBreak/>
        <w:t xml:space="preserve">het standaardiseren en versnellen van de overdracht van </w:t>
      </w:r>
      <w:r w:rsidRPr="00D52F04" w:rsidR="009A5FAC">
        <w:rPr>
          <w:rFonts w:cs="Calibri"/>
          <w:szCs w:val="18"/>
        </w:rPr>
        <w:t>i</w:t>
      </w:r>
      <w:r w:rsidRPr="00D52F04" w:rsidR="00110591">
        <w:rPr>
          <w:rFonts w:cs="Calibri"/>
          <w:szCs w:val="18"/>
        </w:rPr>
        <w:t>ntellectueel eigendom van kennisinstellingen naar</w:t>
      </w:r>
      <w:r w:rsidR="00DC30FC">
        <w:rPr>
          <w:rFonts w:cs="Calibri"/>
          <w:szCs w:val="18"/>
        </w:rPr>
        <w:t xml:space="preserve"> startups</w:t>
      </w:r>
      <w:r w:rsidRPr="00D52F04" w:rsidR="00110591">
        <w:rPr>
          <w:rFonts w:cs="Calibri"/>
          <w:szCs w:val="18"/>
        </w:rPr>
        <w:t xml:space="preserve">. </w:t>
      </w:r>
      <w:r w:rsidR="00FE4739">
        <w:rPr>
          <w:rFonts w:cs="Calibri"/>
          <w:szCs w:val="18"/>
        </w:rPr>
        <w:t>O</w:t>
      </w:r>
      <w:r w:rsidRPr="00D52F04" w:rsidR="00FE4739">
        <w:rPr>
          <w:rFonts w:cs="Calibri"/>
          <w:szCs w:val="18"/>
        </w:rPr>
        <w:t>m het starten van bedrijven door onderzoekers te vergemakkelijken</w:t>
      </w:r>
      <w:r w:rsidR="00FE4739">
        <w:rPr>
          <w:rFonts w:cs="Calibri"/>
          <w:szCs w:val="18"/>
        </w:rPr>
        <w:t xml:space="preserve">, </w:t>
      </w:r>
      <w:r w:rsidRPr="00D52F04" w:rsidR="008B4FFF">
        <w:rPr>
          <w:rFonts w:cs="Calibri"/>
          <w:szCs w:val="18"/>
        </w:rPr>
        <w:t xml:space="preserve">onderzoeken we of een </w:t>
      </w:r>
      <w:r w:rsidRPr="00D52F04" w:rsidR="00D34B86">
        <w:rPr>
          <w:rFonts w:cs="Calibri"/>
          <w:szCs w:val="18"/>
        </w:rPr>
        <w:t>commissie</w:t>
      </w:r>
      <w:r w:rsidRPr="00D52F04" w:rsidR="008B4FFF">
        <w:rPr>
          <w:rFonts w:cs="Calibri"/>
          <w:szCs w:val="18"/>
        </w:rPr>
        <w:t xml:space="preserve"> kan bemiddelen bij conflicten over intellectueel eigendom.</w:t>
      </w:r>
      <w:r w:rsidRPr="00D52F04" w:rsidR="00896E80">
        <w:rPr>
          <w:rFonts w:cs="Calibri"/>
          <w:szCs w:val="18"/>
        </w:rPr>
        <w:t xml:space="preserve"> Voor kennisbenutting </w:t>
      </w:r>
      <w:r w:rsidRPr="00D52F04" w:rsidR="000731D1">
        <w:rPr>
          <w:rFonts w:cs="Calibri"/>
          <w:szCs w:val="18"/>
        </w:rPr>
        <w:t xml:space="preserve">in brede zin </w:t>
      </w:r>
      <w:r w:rsidR="00FE4739">
        <w:rPr>
          <w:rFonts w:cs="Calibri"/>
          <w:szCs w:val="18"/>
        </w:rPr>
        <w:t xml:space="preserve">laat </w:t>
      </w:r>
      <w:r w:rsidRPr="00D52F04" w:rsidR="000731D1">
        <w:rPr>
          <w:rFonts w:cs="Calibri"/>
          <w:szCs w:val="18"/>
        </w:rPr>
        <w:t>ik mij</w:t>
      </w:r>
      <w:r w:rsidR="002C4410">
        <w:rPr>
          <w:rFonts w:cs="Calibri"/>
          <w:szCs w:val="18"/>
        </w:rPr>
        <w:t xml:space="preserve"> </w:t>
      </w:r>
      <w:r w:rsidRPr="00D52F04" w:rsidR="000731D1">
        <w:rPr>
          <w:rFonts w:cs="Calibri"/>
          <w:szCs w:val="18"/>
        </w:rPr>
        <w:t xml:space="preserve">adviseren door de AWTI. </w:t>
      </w:r>
    </w:p>
    <w:p w:rsidRPr="00D52F04" w:rsidR="00110591" w:rsidP="00110591" w:rsidRDefault="00110591" w14:paraId="3AF597A9" w14:textId="77777777">
      <w:pPr>
        <w:spacing w:line="276" w:lineRule="auto"/>
        <w:rPr>
          <w:szCs w:val="18"/>
        </w:rPr>
      </w:pPr>
    </w:p>
    <w:p w:rsidRPr="00D52F04" w:rsidR="00247CCB" w:rsidP="00110591" w:rsidRDefault="00247CCB" w14:paraId="673E6D57" w14:textId="77777777">
      <w:pPr>
        <w:spacing w:line="276" w:lineRule="auto"/>
        <w:rPr>
          <w:rFonts w:cs="Calibri"/>
          <w:i/>
          <w:iCs/>
          <w:szCs w:val="18"/>
        </w:rPr>
      </w:pPr>
      <w:r w:rsidRPr="00D52F04">
        <w:rPr>
          <w:rFonts w:cs="Calibri"/>
          <w:i/>
          <w:iCs/>
          <w:szCs w:val="18"/>
        </w:rPr>
        <w:t>Kennisveiligheid en cyberweerbaarheid</w:t>
      </w:r>
    </w:p>
    <w:p w:rsidRPr="00D52F04" w:rsidR="00FE5AD2" w:rsidP="00BA6D21" w:rsidRDefault="00FE5AD2" w14:paraId="6F9BA420" w14:textId="21284D43">
      <w:pPr>
        <w:spacing w:line="276" w:lineRule="auto"/>
      </w:pPr>
      <w:r w:rsidRPr="00D52F04">
        <w:t>Wetenschap en hoger onderwijs kunnen niet zonder internationale samenwerking. Tegelijkertijd zetten statelijke actoren kennis en innovatie in als strategisch machtsmiddel naast of in combinatie met klassieke middelen, zoals spionage. Het Dreigingsbeeld Statelijke Actoren laat zien dat Nederlandse kennisinstellingen en wetenschappers doelwit zijn van (digitale) aanvalscampagnes om hoogwaardige technologie buit te maken</w:t>
      </w:r>
      <w:r w:rsidR="00FE4739">
        <w:t>. Ook toont het dreigingsbeeld</w:t>
      </w:r>
      <w:r w:rsidR="002C4410">
        <w:t xml:space="preserve"> </w:t>
      </w:r>
      <w:r w:rsidRPr="00D52F04">
        <w:t>dat kennis en technologie ook op reguliere wijze worden verkregen, bijvoorbeeld via academische samenwerkingen.</w:t>
      </w:r>
      <w:r w:rsidRPr="00D52F04">
        <w:rPr>
          <w:rStyle w:val="Voetnootmarkering"/>
        </w:rPr>
        <w:footnoteReference w:id="13"/>
      </w:r>
      <w:r w:rsidRPr="00D52F04">
        <w:t xml:space="preserve"> </w:t>
      </w:r>
      <w:r w:rsidRPr="00D52F04">
        <w:rPr>
          <w:rFonts w:cs="Calibri"/>
        </w:rPr>
        <w:t>Ongewenste kennis- en technologieoverdracht levert risico</w:t>
      </w:r>
      <w:r w:rsidR="00FE4739">
        <w:rPr>
          <w:rFonts w:cs="Calibri"/>
        </w:rPr>
        <w:t>’</w:t>
      </w:r>
      <w:r w:rsidRPr="00D52F04">
        <w:rPr>
          <w:rFonts w:cs="Calibri"/>
        </w:rPr>
        <w:t xml:space="preserve">s </w:t>
      </w:r>
      <w:r w:rsidR="00FE4739">
        <w:rPr>
          <w:rFonts w:cs="Calibri"/>
        </w:rPr>
        <w:t xml:space="preserve">op </w:t>
      </w:r>
      <w:r w:rsidRPr="00D52F04">
        <w:rPr>
          <w:rFonts w:cs="Calibri"/>
        </w:rPr>
        <w:t xml:space="preserve">voor de nationale veiligheid. </w:t>
      </w:r>
      <w:r w:rsidRPr="00D52F04">
        <w:t>Daarom werkt het kabinet met de kennissector aan het verbeteren van de kennisveiligheid en het weerbaarder maken van kennisinstellingen.</w:t>
      </w:r>
    </w:p>
    <w:p w:rsidRPr="00D52F04" w:rsidR="00FE5AD2" w:rsidP="00BA6D21" w:rsidRDefault="00FE5AD2" w14:paraId="3D64AC39" w14:textId="77777777">
      <w:pPr>
        <w:spacing w:line="276" w:lineRule="auto"/>
        <w:rPr>
          <w:rFonts w:cs="Calibri"/>
        </w:rPr>
      </w:pPr>
    </w:p>
    <w:p w:rsidRPr="00D52F04" w:rsidR="00FE5AD2" w:rsidP="00BA6D21" w:rsidRDefault="00FE5AD2" w14:paraId="40F44A19" w14:textId="5868C9F5">
      <w:pPr>
        <w:spacing w:line="276" w:lineRule="auto"/>
      </w:pPr>
      <w:r w:rsidRPr="00D52F04">
        <w:rPr>
          <w:rFonts w:cs="Calibri"/>
        </w:rPr>
        <w:t xml:space="preserve">Om instellingen op weg te helpen op het </w:t>
      </w:r>
      <w:r w:rsidR="00FE4739">
        <w:rPr>
          <w:rFonts w:cs="Calibri"/>
        </w:rPr>
        <w:t>gebied</w:t>
      </w:r>
      <w:r w:rsidRPr="00D52F04" w:rsidR="00FE4739">
        <w:rPr>
          <w:rFonts w:cs="Calibri"/>
        </w:rPr>
        <w:t xml:space="preserve"> </w:t>
      </w:r>
      <w:r w:rsidRPr="00D52F04">
        <w:rPr>
          <w:rFonts w:cs="Calibri"/>
        </w:rPr>
        <w:t>van kennis</w:t>
      </w:r>
      <w:r w:rsidR="00FE4739">
        <w:rPr>
          <w:rFonts w:cs="Calibri"/>
        </w:rPr>
        <w:t>-</w:t>
      </w:r>
      <w:r w:rsidR="00D874C1">
        <w:rPr>
          <w:rFonts w:cs="Calibri"/>
        </w:rPr>
        <w:t xml:space="preserve"> </w:t>
      </w:r>
      <w:r w:rsidRPr="00D52F04">
        <w:rPr>
          <w:rFonts w:cs="Calibri"/>
        </w:rPr>
        <w:t xml:space="preserve">en cyberveiligheid investeert dit kabinet tot en met 2031 </w:t>
      </w:r>
      <w:r w:rsidRPr="00D52F04" w:rsidR="00681B74">
        <w:rPr>
          <w:rFonts w:cs="Calibri"/>
        </w:rPr>
        <w:t>cumulatief</w:t>
      </w:r>
      <w:r w:rsidRPr="00D52F04">
        <w:rPr>
          <w:rFonts w:cs="Calibri"/>
        </w:rPr>
        <w:t xml:space="preserve"> € 80 miljoen. De middelen worden via de Rijksbijdrage beschikbaar gesteld aan de universiteiten, hogescholen, </w:t>
      </w:r>
      <w:proofErr w:type="spellStart"/>
      <w:r w:rsidRPr="00D52F04">
        <w:rPr>
          <w:rFonts w:cs="Calibri"/>
        </w:rPr>
        <w:t>umc’s</w:t>
      </w:r>
      <w:proofErr w:type="spellEnd"/>
      <w:r w:rsidRPr="00D52F04">
        <w:rPr>
          <w:rFonts w:cs="Calibri"/>
        </w:rPr>
        <w:t xml:space="preserve"> en de instituten van KNAW en NWO. </w:t>
      </w:r>
      <w:r w:rsidR="00FE4739">
        <w:rPr>
          <w:rFonts w:cs="Calibri"/>
        </w:rPr>
        <w:t xml:space="preserve">De investering is een </w:t>
      </w:r>
      <w:r w:rsidRPr="00D52F04" w:rsidR="00E9530C">
        <w:rPr>
          <w:rFonts w:cs="Calibri"/>
        </w:rPr>
        <w:t>tijdelijke impuls om instelling</w:t>
      </w:r>
      <w:r w:rsidRPr="00D52F04" w:rsidR="00DF1B15">
        <w:rPr>
          <w:rFonts w:cs="Calibri"/>
        </w:rPr>
        <w:t>en</w:t>
      </w:r>
      <w:r w:rsidRPr="00D52F04" w:rsidR="00E9530C">
        <w:rPr>
          <w:rFonts w:cs="Calibri"/>
        </w:rPr>
        <w:t xml:space="preserve"> te</w:t>
      </w:r>
      <w:r w:rsidRPr="00D52F04" w:rsidR="001214C2">
        <w:rPr>
          <w:rFonts w:cs="Calibri"/>
        </w:rPr>
        <w:t xml:space="preserve"> helpen</w:t>
      </w:r>
      <w:r w:rsidRPr="00D52F04" w:rsidR="00DF1B15">
        <w:rPr>
          <w:rFonts w:cs="Calibri"/>
        </w:rPr>
        <w:t xml:space="preserve"> </w:t>
      </w:r>
      <w:r w:rsidRPr="00D52F04" w:rsidR="001214C2">
        <w:rPr>
          <w:rFonts w:cs="Calibri"/>
        </w:rPr>
        <w:t xml:space="preserve">om werk te maken van </w:t>
      </w:r>
      <w:r w:rsidRPr="00D52F04">
        <w:rPr>
          <w:rFonts w:cs="Calibri"/>
        </w:rPr>
        <w:t>fysieke en digitale maatregelen ter bescherming van kennisontwikkeling en internationale samenwerking.</w:t>
      </w:r>
      <w:r w:rsidRPr="00D52F04" w:rsidR="009A3201">
        <w:t xml:space="preserve"> </w:t>
      </w:r>
      <w:r w:rsidRPr="00D52F04" w:rsidR="009A3201">
        <w:rPr>
          <w:rFonts w:cs="Calibri"/>
        </w:rPr>
        <w:t xml:space="preserve">Hierna achten wij de instellingen in staat de kosten voor deze uitdagingen te kunnen financieren uit de bestaande middelen van de lumpsum. </w:t>
      </w:r>
    </w:p>
    <w:p w:rsidRPr="00D52F04" w:rsidR="00FE5AD2" w:rsidP="00BA6D21" w:rsidRDefault="00FE5AD2" w14:paraId="0709E59C" w14:textId="77777777">
      <w:pPr>
        <w:spacing w:line="276" w:lineRule="auto"/>
        <w:rPr>
          <w:rFonts w:cs="Calibri"/>
        </w:rPr>
      </w:pPr>
    </w:p>
    <w:p w:rsidRPr="00D52F04" w:rsidR="00FE5AD2" w:rsidP="00BA6D21" w:rsidRDefault="00FE5AD2" w14:paraId="76CB7F44" w14:textId="6C8E43EC">
      <w:pPr>
        <w:spacing w:line="276" w:lineRule="auto"/>
        <w:rPr>
          <w:rFonts w:cs="Calibri"/>
        </w:rPr>
      </w:pPr>
      <w:r w:rsidRPr="00D52F04">
        <w:rPr>
          <w:rFonts w:cs="Calibri"/>
        </w:rPr>
        <w:t xml:space="preserve">Hiermee bouw ik met de instellingen voort op de solide basis voor kennisveiligheid die gelegd </w:t>
      </w:r>
      <w:r w:rsidR="00A5466C">
        <w:rPr>
          <w:rFonts w:cs="Calibri"/>
        </w:rPr>
        <w:t xml:space="preserve">is </w:t>
      </w:r>
      <w:r w:rsidRPr="00D52F04">
        <w:rPr>
          <w:rFonts w:cs="Calibri"/>
        </w:rPr>
        <w:t>in de afgelopen ja</w:t>
      </w:r>
      <w:r w:rsidR="00A5466C">
        <w:rPr>
          <w:rFonts w:cs="Calibri"/>
        </w:rPr>
        <w:t>ren</w:t>
      </w:r>
      <w:r w:rsidRPr="00D52F04">
        <w:rPr>
          <w:rFonts w:cs="Calibri"/>
        </w:rPr>
        <w:t>. Zo is het kabinetsbrede Loket Kennisveiligheid recent positief geëvalueerd.</w:t>
      </w:r>
      <w:r w:rsidRPr="00D52F04" w:rsidR="00AE669C">
        <w:rPr>
          <w:rStyle w:val="Voetnootmarkering"/>
          <w:rFonts w:cs="Calibri"/>
        </w:rPr>
        <w:footnoteReference w:id="14"/>
      </w:r>
      <w:r w:rsidRPr="00D52F04">
        <w:rPr>
          <w:rFonts w:cs="Calibri"/>
        </w:rPr>
        <w:t xml:space="preserve"> Het Loket heeft een belangrijke rol gespeeld in de bewustwording van kennisinstellingen </w:t>
      </w:r>
      <w:r w:rsidR="00FE4739">
        <w:rPr>
          <w:rFonts w:cs="Calibri"/>
        </w:rPr>
        <w:t>over</w:t>
      </w:r>
      <w:r w:rsidRPr="00D52F04">
        <w:rPr>
          <w:rFonts w:cs="Calibri"/>
        </w:rPr>
        <w:t xml:space="preserve"> kennisveiligheid. Instellingen zoeken nu, bij groeiende volwassenheid</w:t>
      </w:r>
      <w:r w:rsidRPr="00D52F04" w:rsidR="00E547BA">
        <w:rPr>
          <w:rFonts w:cs="Calibri"/>
        </w:rPr>
        <w:t>,</w:t>
      </w:r>
      <w:r w:rsidRPr="00D52F04">
        <w:rPr>
          <w:rFonts w:cs="Calibri"/>
        </w:rPr>
        <w:t xml:space="preserve"> naar concrete ondersteuning bij complexe casuïstiek, scherpere duiding van sancties en sensitieve technologie en een laagdrempelige sparringpartner. Daarom ga ik het Loket Kennisveiligheid </w:t>
      </w:r>
      <w:proofErr w:type="spellStart"/>
      <w:r w:rsidRPr="00D52F04">
        <w:rPr>
          <w:rFonts w:cs="Calibri"/>
        </w:rPr>
        <w:t>doorontwikkelen</w:t>
      </w:r>
      <w:proofErr w:type="spellEnd"/>
      <w:r w:rsidRPr="00D52F04">
        <w:rPr>
          <w:rFonts w:cs="Calibri"/>
        </w:rPr>
        <w:t xml:space="preserve"> </w:t>
      </w:r>
      <w:r w:rsidR="00FE4739">
        <w:rPr>
          <w:rFonts w:cs="Calibri"/>
        </w:rPr>
        <w:t xml:space="preserve">tot </w:t>
      </w:r>
      <w:r w:rsidRPr="00D52F04">
        <w:rPr>
          <w:rFonts w:cs="Calibri"/>
        </w:rPr>
        <w:t xml:space="preserve">een expertisecentrum dat hierin voorziet. Ook gaat het </w:t>
      </w:r>
      <w:r w:rsidR="00FE4739">
        <w:rPr>
          <w:rFonts w:cs="Calibri"/>
        </w:rPr>
        <w:t>l</w:t>
      </w:r>
      <w:r w:rsidRPr="00D52F04" w:rsidR="00FE4739">
        <w:rPr>
          <w:rFonts w:cs="Calibri"/>
        </w:rPr>
        <w:t xml:space="preserve">oket </w:t>
      </w:r>
      <w:r w:rsidRPr="00D52F04">
        <w:rPr>
          <w:rFonts w:cs="Calibri"/>
        </w:rPr>
        <w:t>de instellingen proactief informeren over risico’s, zoals uw Kamer via de motie Martens-America heeft verzocht</w:t>
      </w:r>
      <w:r w:rsidRPr="00D52F04" w:rsidR="00DE691D">
        <w:rPr>
          <w:rFonts w:cs="Calibri"/>
        </w:rPr>
        <w:t>.</w:t>
      </w:r>
      <w:r w:rsidRPr="00D52F04" w:rsidR="00DE691D">
        <w:rPr>
          <w:rStyle w:val="Voetnootmarkering"/>
          <w:rFonts w:cs="Calibri"/>
        </w:rPr>
        <w:footnoteReference w:id="15"/>
      </w:r>
      <w:r w:rsidRPr="00D52F04">
        <w:rPr>
          <w:rFonts w:cs="Calibri"/>
        </w:rPr>
        <w:t xml:space="preserve"> Verder onderzoek ik</w:t>
      </w:r>
      <w:r w:rsidRPr="00D52F04" w:rsidR="00BE3189">
        <w:rPr>
          <w:rFonts w:cs="Calibri"/>
        </w:rPr>
        <w:t xml:space="preserve">, </w:t>
      </w:r>
      <w:r w:rsidRPr="00D52F04" w:rsidR="00BE3189">
        <w:rPr>
          <w:szCs w:val="18"/>
        </w:rPr>
        <w:t>binnen de budgettaire kaders van het kennisveiligheidsbeleid,</w:t>
      </w:r>
      <w:r w:rsidRPr="00D52F04">
        <w:rPr>
          <w:rFonts w:cs="Calibri"/>
        </w:rPr>
        <w:t xml:space="preserve"> </w:t>
      </w:r>
      <w:r w:rsidRPr="00D52F04" w:rsidR="00681B74">
        <w:rPr>
          <w:rFonts w:cs="Calibri"/>
        </w:rPr>
        <w:t xml:space="preserve">of het nodig is en </w:t>
      </w:r>
      <w:r w:rsidRPr="00D52F04">
        <w:rPr>
          <w:rFonts w:cs="Calibri"/>
        </w:rPr>
        <w:t>wat nodig is om het Loket een structurele plek</w:t>
      </w:r>
      <w:r w:rsidR="00FE4739">
        <w:rPr>
          <w:rFonts w:cs="Calibri"/>
        </w:rPr>
        <w:t xml:space="preserve"> te geven</w:t>
      </w:r>
      <w:r w:rsidRPr="00D52F04">
        <w:rPr>
          <w:rFonts w:cs="Calibri"/>
        </w:rPr>
        <w:t xml:space="preserve"> in kabinetsbrede aanpak kennisveiligheid.</w:t>
      </w:r>
    </w:p>
    <w:p w:rsidRPr="00D52F04" w:rsidR="00FE5AD2" w:rsidP="00BA6D21" w:rsidRDefault="00FE5AD2" w14:paraId="2B9DF891" w14:textId="77777777">
      <w:pPr>
        <w:spacing w:line="276" w:lineRule="auto"/>
        <w:rPr>
          <w:rFonts w:cs="Calibri"/>
        </w:rPr>
      </w:pPr>
    </w:p>
    <w:p w:rsidRPr="00D52F04" w:rsidR="00FE5AD2" w:rsidP="00BA6D21" w:rsidRDefault="004427A2" w14:paraId="77DE39E7" w14:textId="59ACF095">
      <w:pPr>
        <w:spacing w:line="276" w:lineRule="auto"/>
        <w:rPr>
          <w:rFonts w:cs="Calibri"/>
        </w:rPr>
      </w:pPr>
      <w:r w:rsidRPr="00D52F04">
        <w:rPr>
          <w:rFonts w:cs="Calibri"/>
        </w:rPr>
        <w:t>Ik heb uw</w:t>
      </w:r>
      <w:r w:rsidRPr="00D52F04" w:rsidR="00FE5AD2">
        <w:rPr>
          <w:rFonts w:cs="Calibri"/>
        </w:rPr>
        <w:t xml:space="preserve"> Kamer</w:t>
      </w:r>
      <w:r w:rsidRPr="00D52F04">
        <w:rPr>
          <w:rFonts w:cs="Calibri"/>
        </w:rPr>
        <w:t xml:space="preserve"> </w:t>
      </w:r>
      <w:r w:rsidRPr="00D52F04" w:rsidR="00FE5AD2">
        <w:rPr>
          <w:rFonts w:cs="Calibri"/>
        </w:rPr>
        <w:t xml:space="preserve">geïnformeerd over de voortgang </w:t>
      </w:r>
      <w:r w:rsidR="00FE4739">
        <w:rPr>
          <w:rFonts w:cs="Calibri"/>
        </w:rPr>
        <w:t xml:space="preserve">van </w:t>
      </w:r>
      <w:r w:rsidRPr="00D52F04" w:rsidR="00FE5AD2">
        <w:rPr>
          <w:rFonts w:cs="Calibri"/>
        </w:rPr>
        <w:t xml:space="preserve">de kabinetsbrede aanpak kennisveiligheid, waarbij ik naast versterking van het </w:t>
      </w:r>
      <w:r w:rsidR="00FE4739">
        <w:rPr>
          <w:rFonts w:cs="Calibri"/>
        </w:rPr>
        <w:t>l</w:t>
      </w:r>
      <w:r w:rsidRPr="00D52F04" w:rsidR="00FE4739">
        <w:rPr>
          <w:rFonts w:cs="Calibri"/>
        </w:rPr>
        <w:t xml:space="preserve">oket </w:t>
      </w:r>
      <w:r w:rsidRPr="00D52F04" w:rsidR="00FE5AD2">
        <w:rPr>
          <w:rFonts w:cs="Calibri"/>
        </w:rPr>
        <w:t>inzet op een gerichtere aanpak van kennisveiligheidsrisico’s.</w:t>
      </w:r>
      <w:r w:rsidRPr="00D52F04">
        <w:rPr>
          <w:rStyle w:val="Voetnootmarkering"/>
          <w:rFonts w:cs="Calibri"/>
        </w:rPr>
        <w:footnoteReference w:id="16"/>
      </w:r>
      <w:r w:rsidRPr="00D52F04" w:rsidR="00FE5AD2">
        <w:rPr>
          <w:rFonts w:cs="Calibri"/>
        </w:rPr>
        <w:t xml:space="preserve"> Daarvoor ontwikkel ik </w:t>
      </w:r>
      <w:r w:rsidR="00FE4739">
        <w:rPr>
          <w:rFonts w:cs="Calibri"/>
        </w:rPr>
        <w:t xml:space="preserve">samen met de instellingen </w:t>
      </w:r>
      <w:r w:rsidRPr="00D52F04" w:rsidR="00BE3189">
        <w:rPr>
          <w:rFonts w:cs="Calibri"/>
        </w:rPr>
        <w:t>kennisveiligheidsprofielen</w:t>
      </w:r>
      <w:r w:rsidRPr="00D52F04" w:rsidR="00FE5AD2">
        <w:rPr>
          <w:rFonts w:cs="Calibri"/>
        </w:rPr>
        <w:t xml:space="preserve">. </w:t>
      </w:r>
      <w:r w:rsidR="00FE4739">
        <w:rPr>
          <w:rFonts w:cs="Calibri"/>
        </w:rPr>
        <w:t>W</w:t>
      </w:r>
      <w:r w:rsidRPr="00D52F04" w:rsidR="00FE5AD2">
        <w:rPr>
          <w:rFonts w:cs="Calibri"/>
        </w:rPr>
        <w:t>aar de risico’s het grootst zijn</w:t>
      </w:r>
      <w:r w:rsidR="00FE4739">
        <w:rPr>
          <w:rFonts w:cs="Calibri"/>
        </w:rPr>
        <w:t>,</w:t>
      </w:r>
      <w:r w:rsidRPr="00D52F04" w:rsidR="00FE5AD2">
        <w:rPr>
          <w:rFonts w:cs="Calibri"/>
        </w:rPr>
        <w:t xml:space="preserve"> </w:t>
      </w:r>
      <w:r w:rsidRPr="00D52F04" w:rsidR="00FE5AD2">
        <w:rPr>
          <w:rFonts w:cs="Calibri"/>
        </w:rPr>
        <w:lastRenderedPageBreak/>
        <w:t>werk ik</w:t>
      </w:r>
      <w:r w:rsidR="00A5466C">
        <w:rPr>
          <w:rFonts w:cs="Calibri"/>
        </w:rPr>
        <w:t xml:space="preserve"> </w:t>
      </w:r>
      <w:r w:rsidRPr="00D52F04" w:rsidR="00FE5AD2">
        <w:rPr>
          <w:rFonts w:cs="Calibri"/>
        </w:rPr>
        <w:t xml:space="preserve">met de ministers van </w:t>
      </w:r>
      <w:proofErr w:type="spellStart"/>
      <w:r w:rsidRPr="00D52F04" w:rsidR="00FE5AD2">
        <w:rPr>
          <w:rFonts w:cs="Calibri"/>
        </w:rPr>
        <w:t>JenV</w:t>
      </w:r>
      <w:proofErr w:type="spellEnd"/>
      <w:r w:rsidRPr="00D52F04" w:rsidR="00FE5AD2">
        <w:rPr>
          <w:rFonts w:cs="Calibri"/>
        </w:rPr>
        <w:t xml:space="preserve"> en EZK aan een screening van personen die binnen een Nederlandse kennisinstelling toegang willen krijgen tot sensitieve technologie.</w:t>
      </w:r>
      <w:r w:rsidRPr="00D52F04" w:rsidR="001214C2">
        <w:rPr>
          <w:rFonts w:cs="Calibri"/>
        </w:rPr>
        <w:t xml:space="preserve"> Een gelijk speelveld is daarin een belangrijke randvoorwaarde.</w:t>
      </w:r>
      <w:r w:rsidRPr="00D52F04" w:rsidR="00FE5AD2">
        <w:rPr>
          <w:rFonts w:cs="Calibri"/>
        </w:rPr>
        <w:t xml:space="preserve"> Ik heb uw Kamer recent laten weten </w:t>
      </w:r>
      <w:r w:rsidRPr="00D52F04" w:rsidR="00BE3189">
        <w:rPr>
          <w:rFonts w:cs="Calibri"/>
        </w:rPr>
        <w:t xml:space="preserve">dat </w:t>
      </w:r>
      <w:r w:rsidRPr="00D52F04" w:rsidR="00FE5AD2">
        <w:rPr>
          <w:rFonts w:cs="Calibri"/>
        </w:rPr>
        <w:t>ik werk aan een uitvoerbare, effectieve en proportionele screening kennisveiligheid</w:t>
      </w:r>
      <w:r w:rsidRPr="00D52F04" w:rsidR="001C4D65">
        <w:rPr>
          <w:rFonts w:cs="Calibri"/>
        </w:rPr>
        <w:t>.</w:t>
      </w:r>
      <w:r w:rsidRPr="00D52F04" w:rsidR="001C4D65">
        <w:t xml:space="preserve"> N</w:t>
      </w:r>
      <w:r w:rsidRPr="00D52F04" w:rsidR="001C4D65">
        <w:rPr>
          <w:rFonts w:cs="Calibri"/>
        </w:rPr>
        <w:t xml:space="preserve">a de zomer informeer ik uw Kamer over een haalbaarheidsanalyse </w:t>
      </w:r>
      <w:r w:rsidR="00A5466C">
        <w:rPr>
          <w:rFonts w:cs="Calibri"/>
        </w:rPr>
        <w:t xml:space="preserve">waarbij </w:t>
      </w:r>
      <w:r w:rsidRPr="00D52F04" w:rsidR="001C4D65">
        <w:rPr>
          <w:rFonts w:cs="Calibri"/>
        </w:rPr>
        <w:t xml:space="preserve">ik naar </w:t>
      </w:r>
      <w:r w:rsidR="00E841BB">
        <w:rPr>
          <w:rFonts w:cs="Calibri"/>
        </w:rPr>
        <w:t xml:space="preserve">verschillende scenario’s </w:t>
      </w:r>
      <w:r w:rsidR="00A5466C">
        <w:rPr>
          <w:rFonts w:cs="Calibri"/>
        </w:rPr>
        <w:t>kijk</w:t>
      </w:r>
      <w:r w:rsidRPr="00D52F04" w:rsidR="00FE5AD2">
        <w:rPr>
          <w:rFonts w:cs="Calibri"/>
        </w:rPr>
        <w:t>.</w:t>
      </w:r>
      <w:r w:rsidRPr="00D52F04">
        <w:rPr>
          <w:rStyle w:val="Voetnootmarkering"/>
          <w:rFonts w:cs="Calibri"/>
        </w:rPr>
        <w:footnoteReference w:id="17"/>
      </w:r>
    </w:p>
    <w:p w:rsidRPr="00D52F04" w:rsidR="00661065" w:rsidP="00110591" w:rsidRDefault="00661065" w14:paraId="6C85C01A" w14:textId="77777777">
      <w:pPr>
        <w:spacing w:line="276" w:lineRule="auto"/>
        <w:rPr>
          <w:rFonts w:cs="Calibri"/>
          <w:szCs w:val="18"/>
        </w:rPr>
      </w:pPr>
    </w:p>
    <w:p w:rsidRPr="00D52F04" w:rsidR="00215356" w:rsidP="00110591" w:rsidRDefault="008F13E7" w14:paraId="3CFCA23B" w14:textId="3DF3325E">
      <w:pPr>
        <w:spacing w:line="276" w:lineRule="auto"/>
        <w:rPr>
          <w:szCs w:val="18"/>
        </w:rPr>
      </w:pPr>
      <w:r w:rsidRPr="00D52F04">
        <w:rPr>
          <w:i/>
          <w:iCs/>
          <w:szCs w:val="18"/>
        </w:rPr>
        <w:t>Tot slot</w:t>
      </w:r>
    </w:p>
    <w:p w:rsidRPr="00D52F04" w:rsidR="009156AE" w:rsidP="00110591" w:rsidRDefault="0024740D" w14:paraId="3FA29798" w14:textId="1B789980">
      <w:pPr>
        <w:spacing w:line="276" w:lineRule="auto"/>
        <w:rPr>
          <w:szCs w:val="18"/>
        </w:rPr>
      </w:pPr>
      <w:r>
        <w:rPr>
          <w:szCs w:val="18"/>
        </w:rPr>
        <w:t xml:space="preserve">In </w:t>
      </w:r>
      <w:r w:rsidRPr="00D52F04" w:rsidR="009156AE">
        <w:rPr>
          <w:szCs w:val="18"/>
        </w:rPr>
        <w:t xml:space="preserve">deze brief heb ik mijn voorstellen </w:t>
      </w:r>
      <w:r w:rsidR="00A5466C">
        <w:rPr>
          <w:szCs w:val="18"/>
        </w:rPr>
        <w:t xml:space="preserve">voor </w:t>
      </w:r>
      <w:r w:rsidRPr="00D52F04" w:rsidR="00A5466C">
        <w:rPr>
          <w:szCs w:val="18"/>
        </w:rPr>
        <w:t xml:space="preserve">onderzoek en wetenschap </w:t>
      </w:r>
      <w:r w:rsidRPr="00D52F04" w:rsidR="009156AE">
        <w:rPr>
          <w:szCs w:val="18"/>
        </w:rPr>
        <w:t>toegelicht en uitgewerkt</w:t>
      </w:r>
      <w:r w:rsidRPr="00D52F04" w:rsidR="00B33ECF">
        <w:rPr>
          <w:szCs w:val="18"/>
        </w:rPr>
        <w:t>.</w:t>
      </w:r>
      <w:r w:rsidRPr="00805B36" w:rsidR="00805B36">
        <w:rPr>
          <w:szCs w:val="18"/>
        </w:rPr>
        <w:t xml:space="preserve"> </w:t>
      </w:r>
      <w:r w:rsidR="00805B36">
        <w:rPr>
          <w:szCs w:val="18"/>
        </w:rPr>
        <w:t xml:space="preserve">Deze voorstellen zijn onder voorbehoud van de augustus-besluitvorming van het kabinet. </w:t>
      </w:r>
      <w:r w:rsidRPr="00D52F04" w:rsidR="00E64170">
        <w:rPr>
          <w:szCs w:val="18"/>
        </w:rPr>
        <w:t xml:space="preserve">In de overzichtstabel op de laatste pagina heb ik </w:t>
      </w:r>
      <w:r>
        <w:rPr>
          <w:szCs w:val="18"/>
        </w:rPr>
        <w:t>deze</w:t>
      </w:r>
      <w:r w:rsidRPr="00D52F04" w:rsidR="00E64170">
        <w:rPr>
          <w:szCs w:val="18"/>
        </w:rPr>
        <w:t xml:space="preserve"> samengevat.</w:t>
      </w:r>
      <w:r w:rsidRPr="00D52F04" w:rsidR="009156AE">
        <w:rPr>
          <w:szCs w:val="18"/>
        </w:rPr>
        <w:t xml:space="preserve"> </w:t>
      </w:r>
      <w:r w:rsidRPr="00D52F04" w:rsidR="00406EEF">
        <w:rPr>
          <w:szCs w:val="18"/>
        </w:rPr>
        <w:t xml:space="preserve">Uiteraard weet ik mij daarbij strikt gebonden aan het budgetrecht. </w:t>
      </w:r>
      <w:r>
        <w:rPr>
          <w:szCs w:val="18"/>
        </w:rPr>
        <w:t>I</w:t>
      </w:r>
      <w:r w:rsidRPr="00D52F04" w:rsidR="009156AE">
        <w:rPr>
          <w:szCs w:val="18"/>
        </w:rPr>
        <w:t xml:space="preserve">k </w:t>
      </w:r>
      <w:r>
        <w:rPr>
          <w:szCs w:val="18"/>
        </w:rPr>
        <w:t xml:space="preserve">kijk </w:t>
      </w:r>
      <w:r w:rsidRPr="00D52F04" w:rsidR="009156AE">
        <w:rPr>
          <w:szCs w:val="18"/>
        </w:rPr>
        <w:t>ernaar uit om samen met uw Kamer met ambitie aan de slag te gaan met deze uitwerking. Dat doe ik ook samen met de mensen om wie het gaat. In de afgelopen maanden heb ik al velen van hen gesproken om te komen tot de huidige uitwerking.</w:t>
      </w:r>
    </w:p>
    <w:p w:rsidRPr="00D52F04" w:rsidR="006205C0" w:rsidP="00110591" w:rsidRDefault="006205C0" w14:paraId="42E87C49" w14:textId="77777777">
      <w:pPr>
        <w:spacing w:line="276" w:lineRule="auto"/>
        <w:rPr>
          <w:szCs w:val="18"/>
        </w:rPr>
      </w:pPr>
    </w:p>
    <w:p w:rsidRPr="00D52F04" w:rsidR="000F521E" w:rsidP="00110591" w:rsidRDefault="00694107" w14:paraId="668EE6AE" w14:textId="72684DCE">
      <w:pPr>
        <w:spacing w:line="276" w:lineRule="auto"/>
        <w:rPr>
          <w:szCs w:val="18"/>
        </w:rPr>
      </w:pPr>
      <w:r w:rsidRPr="00D52F04">
        <w:rPr>
          <w:szCs w:val="18"/>
        </w:rPr>
        <w:t>De minister van Onderwijs, Cultuur en Wetenschap,</w:t>
      </w:r>
    </w:p>
    <w:p w:rsidR="000F521E" w:rsidP="00110591" w:rsidRDefault="000F521E" w14:paraId="13348B3D" w14:textId="77777777">
      <w:pPr>
        <w:spacing w:line="276" w:lineRule="auto"/>
        <w:rPr>
          <w:szCs w:val="18"/>
        </w:rPr>
      </w:pPr>
    </w:p>
    <w:p w:rsidRPr="00D52F04" w:rsidR="00A5466C" w:rsidP="00110591" w:rsidRDefault="00A5466C" w14:paraId="0FB7E1B9" w14:textId="77777777">
      <w:pPr>
        <w:spacing w:line="276" w:lineRule="auto"/>
        <w:rPr>
          <w:szCs w:val="18"/>
        </w:rPr>
      </w:pPr>
    </w:p>
    <w:p w:rsidRPr="00D52F04" w:rsidR="00A5466C" w:rsidP="00110591" w:rsidRDefault="00A5466C" w14:paraId="4AA51A44" w14:textId="77777777">
      <w:pPr>
        <w:spacing w:line="276" w:lineRule="auto"/>
        <w:rPr>
          <w:szCs w:val="18"/>
        </w:rPr>
      </w:pPr>
    </w:p>
    <w:p w:rsidR="009A3201" w:rsidP="00110591" w:rsidRDefault="00694107" w14:paraId="48996499" w14:textId="3840B51D">
      <w:pPr>
        <w:spacing w:line="276" w:lineRule="auto"/>
        <w:rPr>
          <w:szCs w:val="18"/>
          <w:lang w:eastAsia="en-US"/>
        </w:rPr>
      </w:pPr>
      <w:r w:rsidRPr="00D52F04">
        <w:rPr>
          <w:szCs w:val="18"/>
          <w:lang w:eastAsia="en-US"/>
        </w:rPr>
        <w:t>Rianne Letschert</w:t>
      </w:r>
    </w:p>
    <w:p w:rsidR="005A3721" w:rsidP="00110591" w:rsidRDefault="005A3721" w14:paraId="5CE93D48" w14:textId="77777777">
      <w:pPr>
        <w:spacing w:line="276" w:lineRule="auto"/>
        <w:rPr>
          <w:szCs w:val="18"/>
          <w:lang w:eastAsia="en-US"/>
        </w:rPr>
      </w:pPr>
    </w:p>
    <w:p w:rsidR="00E841BB" w:rsidP="00110591" w:rsidRDefault="00E841BB" w14:paraId="49D71DE1" w14:textId="77777777">
      <w:pPr>
        <w:spacing w:line="276" w:lineRule="auto"/>
        <w:rPr>
          <w:szCs w:val="18"/>
          <w:lang w:eastAsia="en-US"/>
        </w:rPr>
      </w:pPr>
    </w:p>
    <w:p w:rsidR="00E841BB" w:rsidP="00110591" w:rsidRDefault="00E841BB" w14:paraId="4AA512C1" w14:textId="77777777">
      <w:pPr>
        <w:spacing w:line="276" w:lineRule="auto"/>
        <w:rPr>
          <w:szCs w:val="18"/>
          <w:lang w:eastAsia="en-US"/>
        </w:rPr>
      </w:pPr>
    </w:p>
    <w:p w:rsidR="00E841BB" w:rsidP="00110591" w:rsidRDefault="00E841BB" w14:paraId="3C6FE00D" w14:textId="77777777">
      <w:pPr>
        <w:spacing w:line="276" w:lineRule="auto"/>
        <w:rPr>
          <w:szCs w:val="18"/>
          <w:lang w:eastAsia="en-US"/>
        </w:rPr>
      </w:pPr>
    </w:p>
    <w:p w:rsidR="00E841BB" w:rsidP="00110591" w:rsidRDefault="00E841BB" w14:paraId="7ED8863A" w14:textId="77777777">
      <w:pPr>
        <w:spacing w:line="276" w:lineRule="auto"/>
        <w:rPr>
          <w:szCs w:val="18"/>
          <w:lang w:eastAsia="en-US"/>
        </w:rPr>
      </w:pPr>
    </w:p>
    <w:p w:rsidR="00E841BB" w:rsidP="00110591" w:rsidRDefault="00E841BB" w14:paraId="40CF2F49" w14:textId="77777777">
      <w:pPr>
        <w:spacing w:line="276" w:lineRule="auto"/>
        <w:rPr>
          <w:szCs w:val="18"/>
          <w:lang w:eastAsia="en-US"/>
        </w:rPr>
      </w:pPr>
    </w:p>
    <w:p w:rsidR="00E841BB" w:rsidP="00110591" w:rsidRDefault="00E841BB" w14:paraId="4A20ED15" w14:textId="77777777">
      <w:pPr>
        <w:spacing w:line="276" w:lineRule="auto"/>
        <w:rPr>
          <w:szCs w:val="18"/>
          <w:lang w:eastAsia="en-US"/>
        </w:rPr>
      </w:pPr>
    </w:p>
    <w:p w:rsidR="00E841BB" w:rsidP="00110591" w:rsidRDefault="00E841BB" w14:paraId="2DCB9E77" w14:textId="77777777">
      <w:pPr>
        <w:spacing w:line="276" w:lineRule="auto"/>
        <w:rPr>
          <w:szCs w:val="18"/>
          <w:lang w:eastAsia="en-US"/>
        </w:rPr>
      </w:pPr>
    </w:p>
    <w:p w:rsidR="00E841BB" w:rsidP="00110591" w:rsidRDefault="00E841BB" w14:paraId="4D48DAB9" w14:textId="77777777">
      <w:pPr>
        <w:spacing w:line="276" w:lineRule="auto"/>
        <w:rPr>
          <w:szCs w:val="18"/>
          <w:lang w:eastAsia="en-US"/>
        </w:rPr>
      </w:pPr>
    </w:p>
    <w:p w:rsidR="00E841BB" w:rsidP="00110591" w:rsidRDefault="00E841BB" w14:paraId="71ED3C28" w14:textId="77777777">
      <w:pPr>
        <w:spacing w:line="276" w:lineRule="auto"/>
        <w:rPr>
          <w:szCs w:val="18"/>
          <w:lang w:eastAsia="en-US"/>
        </w:rPr>
      </w:pPr>
    </w:p>
    <w:p w:rsidR="00E841BB" w:rsidP="00110591" w:rsidRDefault="00E841BB" w14:paraId="73045044" w14:textId="77777777">
      <w:pPr>
        <w:spacing w:line="276" w:lineRule="auto"/>
        <w:rPr>
          <w:szCs w:val="18"/>
          <w:lang w:eastAsia="en-US"/>
        </w:rPr>
      </w:pPr>
    </w:p>
    <w:p w:rsidR="00E841BB" w:rsidP="00110591" w:rsidRDefault="00E841BB" w14:paraId="445F28F0" w14:textId="77777777">
      <w:pPr>
        <w:spacing w:line="276" w:lineRule="auto"/>
        <w:rPr>
          <w:szCs w:val="18"/>
          <w:lang w:eastAsia="en-US"/>
        </w:rPr>
      </w:pPr>
    </w:p>
    <w:p w:rsidR="00E841BB" w:rsidP="00110591" w:rsidRDefault="00E841BB" w14:paraId="6BE8A398" w14:textId="77777777">
      <w:pPr>
        <w:spacing w:line="276" w:lineRule="auto"/>
        <w:rPr>
          <w:szCs w:val="18"/>
          <w:lang w:eastAsia="en-US"/>
        </w:rPr>
      </w:pPr>
    </w:p>
    <w:p w:rsidR="00E841BB" w:rsidP="00110591" w:rsidRDefault="00E841BB" w14:paraId="0DE8D8F9" w14:textId="77777777">
      <w:pPr>
        <w:spacing w:line="276" w:lineRule="auto"/>
        <w:rPr>
          <w:szCs w:val="18"/>
          <w:lang w:eastAsia="en-US"/>
        </w:rPr>
      </w:pPr>
    </w:p>
    <w:p w:rsidR="00E841BB" w:rsidP="00110591" w:rsidRDefault="00E841BB" w14:paraId="3FB5DD15" w14:textId="77777777">
      <w:pPr>
        <w:spacing w:line="276" w:lineRule="auto"/>
        <w:rPr>
          <w:szCs w:val="18"/>
          <w:lang w:eastAsia="en-US"/>
        </w:rPr>
      </w:pPr>
    </w:p>
    <w:p w:rsidR="00E841BB" w:rsidP="00110591" w:rsidRDefault="00E841BB" w14:paraId="70E2B34B" w14:textId="77777777">
      <w:pPr>
        <w:spacing w:line="276" w:lineRule="auto"/>
        <w:rPr>
          <w:szCs w:val="18"/>
          <w:lang w:eastAsia="en-US"/>
        </w:rPr>
      </w:pPr>
    </w:p>
    <w:p w:rsidR="00416E82" w:rsidP="00110591" w:rsidRDefault="00416E82" w14:paraId="65FABAC7" w14:textId="77777777">
      <w:pPr>
        <w:spacing w:line="276" w:lineRule="auto"/>
        <w:rPr>
          <w:szCs w:val="18"/>
          <w:lang w:eastAsia="en-US"/>
        </w:rPr>
      </w:pPr>
    </w:p>
    <w:p w:rsidR="00416E82" w:rsidP="00110591" w:rsidRDefault="00416E82" w14:paraId="0E33CDD5" w14:textId="77777777">
      <w:pPr>
        <w:spacing w:line="276" w:lineRule="auto"/>
        <w:rPr>
          <w:szCs w:val="18"/>
          <w:lang w:eastAsia="en-US"/>
        </w:rPr>
      </w:pPr>
    </w:p>
    <w:p w:rsidR="00E841BB" w:rsidP="00110591" w:rsidRDefault="00E841BB" w14:paraId="72F59DE4" w14:textId="77777777">
      <w:pPr>
        <w:spacing w:line="276" w:lineRule="auto"/>
        <w:rPr>
          <w:szCs w:val="18"/>
          <w:lang w:eastAsia="en-US"/>
        </w:rPr>
      </w:pPr>
    </w:p>
    <w:p w:rsidR="00251BD0" w:rsidP="00110591" w:rsidRDefault="00251BD0" w14:paraId="736AC96A" w14:textId="77777777">
      <w:pPr>
        <w:spacing w:line="276" w:lineRule="auto"/>
        <w:rPr>
          <w:szCs w:val="18"/>
          <w:lang w:eastAsia="en-US"/>
        </w:rPr>
      </w:pPr>
    </w:p>
    <w:p w:rsidR="005A3721" w:rsidP="00110591" w:rsidRDefault="005A3721" w14:paraId="36B6F769" w14:textId="77777777">
      <w:pPr>
        <w:spacing w:line="276" w:lineRule="auto"/>
        <w:rPr>
          <w:szCs w:val="18"/>
          <w:lang w:eastAsia="en-US"/>
        </w:rPr>
      </w:pPr>
    </w:p>
    <w:p w:rsidR="00E841BB" w:rsidP="00110591" w:rsidRDefault="00E841BB" w14:paraId="3F2F1573" w14:textId="77777777">
      <w:pPr>
        <w:spacing w:line="276" w:lineRule="auto"/>
        <w:rPr>
          <w:szCs w:val="18"/>
          <w:lang w:eastAsia="en-US"/>
        </w:rPr>
      </w:pPr>
    </w:p>
    <w:p w:rsidR="002C4410" w:rsidP="00110591" w:rsidRDefault="002C4410" w14:paraId="02B97F20" w14:textId="77777777">
      <w:pPr>
        <w:spacing w:line="276" w:lineRule="auto"/>
        <w:rPr>
          <w:szCs w:val="18"/>
          <w:lang w:eastAsia="en-US"/>
        </w:rPr>
      </w:pPr>
    </w:p>
    <w:tbl>
      <w:tblPr>
        <w:tblStyle w:val="TableNormal0"/>
        <w:tblW w:w="0" w:type="auto"/>
        <w:tblInd w:w="11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left w:w="57" w:type="dxa"/>
        </w:tblCellMar>
        <w:tblLook w:val="01E0" w:firstRow="1" w:lastRow="1" w:firstColumn="1" w:lastColumn="1" w:noHBand="0" w:noVBand="0"/>
      </w:tblPr>
      <w:tblGrid>
        <w:gridCol w:w="2638"/>
        <w:gridCol w:w="4739"/>
      </w:tblGrid>
      <w:tr w:rsidRPr="00D52F04" w:rsidR="00AD7899" w:rsidTr="00F14198" w14:paraId="5434559D" w14:textId="77777777">
        <w:trPr>
          <w:trHeight w:val="1059"/>
        </w:trPr>
        <w:tc>
          <w:tcPr>
            <w:tcW w:w="8970" w:type="dxa"/>
            <w:gridSpan w:val="2"/>
            <w:tcBorders>
              <w:top w:val="single" w:color="FFFFFF" w:sz="4" w:space="0"/>
              <w:left w:val="nil"/>
              <w:bottom w:val="single" w:color="FFFFFF" w:sz="4" w:space="0"/>
              <w:right w:val="single" w:color="FFFFFF" w:sz="4" w:space="0"/>
            </w:tcBorders>
            <w:shd w:val="clear" w:color="auto" w:fill="7A7A7A"/>
            <w:vAlign w:val="center"/>
            <w:hideMark/>
          </w:tcPr>
          <w:p w:rsidRPr="00D52F04" w:rsidR="00AD7899" w:rsidP="00F14198" w:rsidRDefault="00AD7899" w14:paraId="66214764" w14:textId="77777777">
            <w:pPr>
              <w:pStyle w:val="TableParagraph"/>
              <w:ind w:left="103"/>
              <w:rPr>
                <w:rFonts w:asciiTheme="minorHAnsi" w:hAnsiTheme="minorHAnsi" w:cstheme="minorHAnsi"/>
                <w:b/>
                <w:color w:val="FFFFFF"/>
                <w:sz w:val="18"/>
                <w:szCs w:val="18"/>
              </w:rPr>
            </w:pPr>
            <w:bookmarkStart w:name="_Hlk87624695" w:id="0"/>
            <w:r w:rsidRPr="00D52F04">
              <w:rPr>
                <w:rFonts w:asciiTheme="minorHAnsi" w:hAnsiTheme="minorHAnsi" w:cstheme="minorHAnsi"/>
                <w:b/>
                <w:color w:val="FFFFFF"/>
                <w:sz w:val="18"/>
                <w:szCs w:val="18"/>
              </w:rPr>
              <w:lastRenderedPageBreak/>
              <w:t>Beleidskeuzes uitgelegd</w:t>
            </w:r>
          </w:p>
          <w:p w:rsidRPr="00D52F04" w:rsidR="00AD7899" w:rsidP="00F14198" w:rsidRDefault="00AD7899" w14:paraId="25BCB9E5" w14:textId="77777777">
            <w:pPr>
              <w:pStyle w:val="TableParagraph"/>
              <w:rPr>
                <w:rFonts w:asciiTheme="minorHAnsi" w:hAnsiTheme="minorHAnsi" w:cstheme="minorHAnsi"/>
                <w:color w:val="FFFFFF" w:themeColor="background1"/>
                <w:sz w:val="18"/>
                <w:szCs w:val="18"/>
              </w:rPr>
            </w:pPr>
            <w:r w:rsidRPr="00D52F04">
              <w:rPr>
                <w:rFonts w:asciiTheme="minorHAnsi" w:hAnsiTheme="minorHAnsi" w:cstheme="minorHAnsi"/>
                <w:b/>
                <w:color w:val="FFFFFF" w:themeColor="background1"/>
                <w:sz w:val="18"/>
                <w:szCs w:val="18"/>
              </w:rPr>
              <w:t xml:space="preserve"> </w:t>
            </w:r>
            <w:r w:rsidRPr="00D52F04">
              <w:rPr>
                <w:rFonts w:asciiTheme="minorHAnsi" w:hAnsiTheme="minorHAnsi" w:cstheme="minorHAnsi"/>
                <w:i/>
                <w:color w:val="FFFFFF" w:themeColor="background1"/>
                <w:sz w:val="18"/>
                <w:szCs w:val="18"/>
              </w:rPr>
              <w:t>Onderbouwing doeltreffendheid, doelmatigheid en evaluatie (CW 3.1)</w:t>
            </w:r>
          </w:p>
        </w:tc>
      </w:tr>
      <w:tr w:rsidRPr="00D52F04" w:rsidR="00AD7899" w:rsidTr="00F14198" w14:paraId="1D6ABCAF" w14:textId="77777777">
        <w:trPr>
          <w:trHeight w:val="666"/>
        </w:trPr>
        <w:tc>
          <w:tcPr>
            <w:tcW w:w="2640" w:type="dxa"/>
            <w:tcBorders>
              <w:top w:val="single" w:color="FFFFFF" w:sz="4" w:space="0"/>
              <w:left w:val="nil"/>
              <w:bottom w:val="single" w:color="FFFFFF" w:sz="4" w:space="0"/>
              <w:right w:val="single" w:color="FFFFFF" w:sz="4" w:space="0"/>
            </w:tcBorders>
            <w:shd w:val="clear" w:color="auto" w:fill="7A7A7A"/>
          </w:tcPr>
          <w:p w:rsidRPr="00D52F04" w:rsidR="00AD7899" w:rsidP="00F14198" w:rsidRDefault="00AD7899" w14:paraId="76C5568D" w14:textId="77777777">
            <w:pPr>
              <w:pStyle w:val="TableParagraph"/>
              <w:ind w:left="103"/>
              <w:rPr>
                <w:rFonts w:asciiTheme="minorHAnsi" w:hAnsiTheme="minorHAnsi" w:cstheme="minorHAnsi"/>
                <w:b/>
                <w:color w:val="FFFFFF"/>
                <w:sz w:val="18"/>
                <w:szCs w:val="18"/>
              </w:rPr>
            </w:pPr>
          </w:p>
          <w:p w:rsidRPr="00D52F04" w:rsidR="00AD7899" w:rsidP="00F14198" w:rsidRDefault="00AD7899" w14:paraId="0B965C5B" w14:textId="77777777">
            <w:pPr>
              <w:pStyle w:val="TableParagraph"/>
              <w:ind w:left="103"/>
              <w:rPr>
                <w:rFonts w:asciiTheme="minorHAnsi" w:hAnsiTheme="minorHAnsi" w:cstheme="minorHAnsi"/>
                <w:b/>
                <w:sz w:val="18"/>
                <w:szCs w:val="18"/>
              </w:rPr>
            </w:pPr>
            <w:r w:rsidRPr="00D52F04">
              <w:rPr>
                <w:rFonts w:asciiTheme="minorHAnsi" w:hAnsiTheme="minorHAnsi" w:cstheme="minorHAnsi"/>
                <w:b/>
                <w:color w:val="FFFFFF"/>
                <w:sz w:val="18"/>
                <w:szCs w:val="18"/>
              </w:rPr>
              <w:t xml:space="preserve">Doel(en) </w:t>
            </w:r>
          </w:p>
        </w:tc>
        <w:tc>
          <w:tcPr>
            <w:tcW w:w="6330" w:type="dxa"/>
            <w:tcBorders>
              <w:top w:val="single" w:color="FFFFFF" w:sz="4" w:space="0"/>
              <w:left w:val="single" w:color="FFFFFF" w:sz="4" w:space="0"/>
              <w:bottom w:val="single" w:color="FFFFFF" w:sz="4" w:space="0"/>
              <w:right w:val="nil"/>
            </w:tcBorders>
            <w:shd w:val="clear" w:color="auto" w:fill="DBDBDB"/>
            <w:vAlign w:val="center"/>
          </w:tcPr>
          <w:p w:rsidRPr="00D52F04" w:rsidR="00AD7899" w:rsidP="00F14198" w:rsidRDefault="00AD7899" w14:paraId="2261CFB9" w14:textId="54CF5249">
            <w:pPr>
              <w:pStyle w:val="TableParagraph"/>
              <w:spacing w:before="10" w:line="218" w:lineRule="exact"/>
              <w:ind w:right="154"/>
              <w:rPr>
                <w:rFonts w:asciiTheme="minorHAnsi" w:hAnsiTheme="minorHAnsi" w:cstheme="minorHAnsi"/>
                <w:sz w:val="18"/>
                <w:szCs w:val="18"/>
              </w:rPr>
            </w:pPr>
            <w:r w:rsidRPr="00D52F04">
              <w:rPr>
                <w:rFonts w:asciiTheme="minorHAnsi" w:hAnsiTheme="minorHAnsi" w:cstheme="minorHAnsi"/>
                <w:sz w:val="18"/>
                <w:szCs w:val="18"/>
              </w:rPr>
              <w:t xml:space="preserve">Met de voorgenomen maatregelen wil het kabinet dat de Nederlandse wetenschap van toonaangevend niveau blijft en internationaal concurrerend is. De wetenschap staat daarbij in verbinding met de samenleving. Ook het stelsel van onderzoek en wetenschap moet versterkt worden. Het kabinet zet een stap richting de Lissabon-doelstelling om 3% van het bbp aan publieke en private R&amp;D-investeringen te besteden. Daarnaast vraagt OCW meer samenwerking en profilering van universiteiten en minder </w:t>
            </w:r>
            <w:r w:rsidRPr="00D52F04" w:rsidR="008F42A1">
              <w:rPr>
                <w:rFonts w:asciiTheme="minorHAnsi" w:hAnsiTheme="minorHAnsi" w:cstheme="minorHAnsi"/>
                <w:sz w:val="18"/>
                <w:szCs w:val="18"/>
              </w:rPr>
              <w:t xml:space="preserve">onderlinge </w:t>
            </w:r>
            <w:r w:rsidRPr="00D52F04">
              <w:rPr>
                <w:rFonts w:asciiTheme="minorHAnsi" w:hAnsiTheme="minorHAnsi" w:cstheme="minorHAnsi"/>
                <w:sz w:val="18"/>
                <w:szCs w:val="18"/>
              </w:rPr>
              <w:t>concurrentie. OCW vindt het van belang dat er voor het veld door deze investeringen continuïteit en stabiliteit is.</w:t>
            </w:r>
          </w:p>
        </w:tc>
      </w:tr>
      <w:tr w:rsidRPr="00D52F04" w:rsidR="00AD7899" w:rsidTr="00F14198" w14:paraId="5DB8E53D" w14:textId="77777777">
        <w:trPr>
          <w:trHeight w:val="694"/>
        </w:trPr>
        <w:tc>
          <w:tcPr>
            <w:tcW w:w="2640" w:type="dxa"/>
            <w:tcBorders>
              <w:top w:val="single" w:color="FFFFFF" w:sz="4" w:space="0"/>
              <w:left w:val="nil"/>
              <w:bottom w:val="single" w:color="FFFFFF" w:sz="4" w:space="0"/>
              <w:right w:val="single" w:color="FFFFFF" w:sz="4" w:space="0"/>
            </w:tcBorders>
            <w:shd w:val="clear" w:color="auto" w:fill="7A7A7A"/>
          </w:tcPr>
          <w:p w:rsidRPr="00D52F04" w:rsidR="00AD7899" w:rsidP="00F14198" w:rsidRDefault="00AD7899" w14:paraId="22D53C33" w14:textId="77777777">
            <w:pPr>
              <w:pStyle w:val="TableParagraph"/>
              <w:ind w:left="103" w:right="231"/>
              <w:rPr>
                <w:rFonts w:asciiTheme="minorHAnsi" w:hAnsiTheme="minorHAnsi" w:cstheme="minorHAnsi"/>
                <w:b/>
                <w:color w:val="FFFFFF"/>
                <w:sz w:val="18"/>
                <w:szCs w:val="18"/>
              </w:rPr>
            </w:pPr>
          </w:p>
          <w:p w:rsidRPr="00D52F04" w:rsidR="00AD7899" w:rsidP="00F14198" w:rsidRDefault="00AD7899" w14:paraId="697333F6" w14:textId="77777777">
            <w:pPr>
              <w:pStyle w:val="TableParagraph"/>
              <w:ind w:left="103" w:right="231"/>
              <w:rPr>
                <w:rFonts w:asciiTheme="minorHAnsi" w:hAnsiTheme="minorHAnsi" w:cstheme="minorHAnsi"/>
                <w:b/>
                <w:sz w:val="18"/>
                <w:szCs w:val="18"/>
              </w:rPr>
            </w:pPr>
            <w:r w:rsidRPr="00D52F04">
              <w:rPr>
                <w:rFonts w:asciiTheme="minorHAnsi" w:hAnsiTheme="minorHAnsi" w:cstheme="minorHAnsi"/>
                <w:b/>
                <w:color w:val="FFFFFF"/>
                <w:sz w:val="18"/>
                <w:szCs w:val="18"/>
              </w:rPr>
              <w:t>Beleidsinstrument(en)</w:t>
            </w:r>
          </w:p>
        </w:tc>
        <w:tc>
          <w:tcPr>
            <w:tcW w:w="6330" w:type="dxa"/>
            <w:tcBorders>
              <w:top w:val="single" w:color="FFFFFF" w:sz="4" w:space="0"/>
              <w:left w:val="single" w:color="FFFFFF" w:sz="4" w:space="0"/>
              <w:bottom w:val="single" w:color="FFFFFF" w:sz="4" w:space="0"/>
              <w:right w:val="nil"/>
            </w:tcBorders>
            <w:shd w:val="clear" w:color="auto" w:fill="DBDBDB"/>
            <w:vAlign w:val="center"/>
            <w:hideMark/>
          </w:tcPr>
          <w:p w:rsidRPr="00D52F04" w:rsidR="00AD7899" w:rsidP="00F14198" w:rsidRDefault="00AD7899" w14:paraId="039D507E" w14:textId="77777777">
            <w:pPr>
              <w:pStyle w:val="TableParagraph"/>
              <w:spacing w:line="218" w:lineRule="exact"/>
              <w:ind w:right="543"/>
              <w:rPr>
                <w:rFonts w:asciiTheme="minorHAnsi" w:hAnsiTheme="minorHAnsi" w:cstheme="minorHAnsi"/>
                <w:sz w:val="18"/>
                <w:szCs w:val="18"/>
              </w:rPr>
            </w:pPr>
            <w:r w:rsidRPr="00D52F04">
              <w:rPr>
                <w:rFonts w:asciiTheme="minorHAnsi" w:hAnsiTheme="minorHAnsi" w:cstheme="minorHAnsi"/>
                <w:sz w:val="18"/>
                <w:szCs w:val="18"/>
              </w:rPr>
              <w:t>Voor het realiseren van de bovengenoemde doelen maken we zoveel mogelijk gebruik van bestaande instrumenten. Het gaat hierbij om:</w:t>
            </w:r>
          </w:p>
          <w:p w:rsidRPr="00D52F04" w:rsidR="00AD7899" w:rsidP="00AD7899" w:rsidRDefault="00AD7899" w14:paraId="4525A95F" w14:textId="77777777">
            <w:pPr>
              <w:pStyle w:val="TableParagraph"/>
              <w:numPr>
                <w:ilvl w:val="0"/>
                <w:numId w:val="21"/>
              </w:numPr>
              <w:spacing w:line="218" w:lineRule="exact"/>
              <w:ind w:right="543"/>
              <w:rPr>
                <w:rFonts w:asciiTheme="minorHAnsi" w:hAnsiTheme="minorHAnsi" w:cstheme="minorHAnsi"/>
                <w:sz w:val="18"/>
                <w:szCs w:val="18"/>
              </w:rPr>
            </w:pPr>
            <w:r w:rsidRPr="00D52F04">
              <w:rPr>
                <w:rFonts w:asciiTheme="minorHAnsi" w:hAnsiTheme="minorHAnsi" w:cstheme="minorHAnsi"/>
                <w:sz w:val="18"/>
                <w:szCs w:val="18"/>
              </w:rPr>
              <w:t xml:space="preserve">Sectorplannen: de sectorplannen zijn het instrument om de profilering in het onderzoek te vergroten en fundamenteel onderzoek te richten op de vier domeinen die het kabinet als prioriteit ziet (digitalisering en AI, veiligheid en weerbaarheid, energie- en klimaattechnologie en </w:t>
            </w:r>
            <w:r w:rsidRPr="00D52F04">
              <w:rPr>
                <w:rFonts w:asciiTheme="minorHAnsi" w:hAnsiTheme="minorHAnsi" w:cstheme="minorHAnsi"/>
                <w:i/>
                <w:iCs/>
                <w:sz w:val="18"/>
                <w:szCs w:val="18"/>
              </w:rPr>
              <w:t xml:space="preserve">life </w:t>
            </w:r>
            <w:proofErr w:type="spellStart"/>
            <w:r w:rsidRPr="00D52F04">
              <w:rPr>
                <w:rFonts w:asciiTheme="minorHAnsi" w:hAnsiTheme="minorHAnsi" w:cstheme="minorHAnsi"/>
                <w:i/>
                <w:iCs/>
                <w:sz w:val="18"/>
                <w:szCs w:val="18"/>
              </w:rPr>
              <w:t>sciences</w:t>
            </w:r>
            <w:proofErr w:type="spellEnd"/>
            <w:r w:rsidRPr="00D52F04">
              <w:rPr>
                <w:rFonts w:asciiTheme="minorHAnsi" w:hAnsiTheme="minorHAnsi" w:cstheme="minorHAnsi"/>
                <w:sz w:val="18"/>
                <w:szCs w:val="18"/>
              </w:rPr>
              <w:t xml:space="preserve"> en biotechnologie).</w:t>
            </w:r>
          </w:p>
          <w:p w:rsidRPr="00D52F04" w:rsidR="00AD7899" w:rsidP="00AD7899" w:rsidRDefault="00AD7899" w14:paraId="50DF72CF" w14:textId="7E58FB11">
            <w:pPr>
              <w:pStyle w:val="TableParagraph"/>
              <w:numPr>
                <w:ilvl w:val="0"/>
                <w:numId w:val="21"/>
              </w:numPr>
              <w:spacing w:line="218" w:lineRule="exact"/>
              <w:ind w:right="543"/>
              <w:rPr>
                <w:rFonts w:asciiTheme="minorHAnsi" w:hAnsiTheme="minorHAnsi" w:cstheme="minorHAnsi"/>
                <w:sz w:val="18"/>
                <w:szCs w:val="18"/>
              </w:rPr>
            </w:pPr>
            <w:r w:rsidRPr="00D52F04">
              <w:rPr>
                <w:rFonts w:asciiTheme="minorHAnsi" w:hAnsiTheme="minorHAnsi" w:cstheme="minorHAnsi"/>
                <w:sz w:val="18"/>
                <w:szCs w:val="18"/>
              </w:rPr>
              <w:t>Europese onderzoeks- en innovatieprogramma’s:</w:t>
            </w:r>
          </w:p>
          <w:p w:rsidRPr="00D52F04" w:rsidR="00AD7899" w:rsidP="00AD7899" w:rsidRDefault="00AD7899" w14:paraId="27444C1D" w14:textId="77777777">
            <w:pPr>
              <w:pStyle w:val="TableParagraph"/>
              <w:numPr>
                <w:ilvl w:val="1"/>
                <w:numId w:val="21"/>
              </w:numPr>
              <w:spacing w:line="218" w:lineRule="exact"/>
              <w:ind w:right="543"/>
              <w:rPr>
                <w:rFonts w:asciiTheme="minorHAnsi" w:hAnsiTheme="minorHAnsi" w:cstheme="minorHAnsi"/>
                <w:sz w:val="18"/>
                <w:szCs w:val="18"/>
              </w:rPr>
            </w:pPr>
            <w:r w:rsidRPr="00D52F04">
              <w:rPr>
                <w:rFonts w:asciiTheme="minorHAnsi" w:hAnsiTheme="minorHAnsi" w:cstheme="minorHAnsi"/>
                <w:sz w:val="18"/>
                <w:szCs w:val="18"/>
              </w:rPr>
              <w:t>Matching Horizon Europe: hiermee wordt de deelname van Nederlandse kennisinstellingen aan het Europese kaderprogramma voor wetenschap en innovatie gestimuleerd.</w:t>
            </w:r>
          </w:p>
          <w:p w:rsidRPr="00D52F04" w:rsidR="00AD7899" w:rsidP="00AD7899" w:rsidRDefault="00AD7899" w14:paraId="0228B102" w14:textId="77777777">
            <w:pPr>
              <w:pStyle w:val="TableParagraph"/>
              <w:numPr>
                <w:ilvl w:val="1"/>
                <w:numId w:val="21"/>
              </w:numPr>
              <w:spacing w:line="218" w:lineRule="exact"/>
              <w:ind w:right="543"/>
              <w:rPr>
                <w:rFonts w:asciiTheme="minorHAnsi" w:hAnsiTheme="minorHAnsi" w:cstheme="minorHAnsi"/>
                <w:sz w:val="18"/>
                <w:szCs w:val="18"/>
              </w:rPr>
            </w:pPr>
            <w:r w:rsidRPr="00D52F04">
              <w:rPr>
                <w:rFonts w:asciiTheme="minorHAnsi" w:hAnsiTheme="minorHAnsi" w:cstheme="minorHAnsi"/>
                <w:sz w:val="18"/>
                <w:szCs w:val="18"/>
              </w:rPr>
              <w:t xml:space="preserve">Europese partnerschappen: hiermee worden nationale middelen met Europese middelen gecombineerd om met publieke en private partijen samen te werken aan grote thema’s en wordt onderzoekers toegang geboden tot internationale netwerken en faciliteiten. </w:t>
            </w:r>
          </w:p>
          <w:p w:rsidRPr="00D52F04" w:rsidR="00AD7899" w:rsidP="00AD7899" w:rsidRDefault="00AD7899" w14:paraId="6E1B3D3D" w14:textId="77777777">
            <w:pPr>
              <w:pStyle w:val="TableParagraph"/>
              <w:numPr>
                <w:ilvl w:val="0"/>
                <w:numId w:val="21"/>
              </w:numPr>
              <w:spacing w:line="218" w:lineRule="exact"/>
              <w:ind w:right="543"/>
              <w:rPr>
                <w:rFonts w:asciiTheme="minorHAnsi" w:hAnsiTheme="minorHAnsi" w:cstheme="minorHAnsi"/>
                <w:sz w:val="18"/>
                <w:szCs w:val="18"/>
              </w:rPr>
            </w:pPr>
            <w:proofErr w:type="spellStart"/>
            <w:r w:rsidRPr="00D52F04">
              <w:rPr>
                <w:rFonts w:asciiTheme="minorHAnsi" w:hAnsiTheme="minorHAnsi" w:cstheme="minorHAnsi"/>
                <w:sz w:val="18"/>
                <w:szCs w:val="18"/>
              </w:rPr>
              <w:t>Onderzoeksinfrastructuur</w:t>
            </w:r>
            <w:proofErr w:type="spellEnd"/>
            <w:r w:rsidRPr="00D52F04">
              <w:rPr>
                <w:rFonts w:asciiTheme="minorHAnsi" w:hAnsiTheme="minorHAnsi" w:cstheme="minorHAnsi"/>
                <w:sz w:val="18"/>
                <w:szCs w:val="18"/>
              </w:rPr>
              <w:t xml:space="preserve">: </w:t>
            </w:r>
          </w:p>
          <w:p w:rsidRPr="00D52F04" w:rsidR="00AD7899" w:rsidP="00AD7899" w:rsidRDefault="00AD7899" w14:paraId="2609511D" w14:textId="77777777">
            <w:pPr>
              <w:pStyle w:val="TableParagraph"/>
              <w:numPr>
                <w:ilvl w:val="1"/>
                <w:numId w:val="21"/>
              </w:numPr>
              <w:spacing w:line="218" w:lineRule="exact"/>
              <w:ind w:right="543"/>
              <w:rPr>
                <w:rFonts w:asciiTheme="minorHAnsi" w:hAnsiTheme="minorHAnsi" w:cstheme="minorHAnsi"/>
                <w:sz w:val="18"/>
                <w:szCs w:val="18"/>
              </w:rPr>
            </w:pPr>
            <w:proofErr w:type="spellStart"/>
            <w:r w:rsidRPr="00D52F04">
              <w:rPr>
                <w:rFonts w:asciiTheme="minorHAnsi" w:hAnsiTheme="minorHAnsi" w:cstheme="minorHAnsi"/>
                <w:sz w:val="18"/>
                <w:szCs w:val="18"/>
              </w:rPr>
              <w:t>Onderzoeksinfrastructuur</w:t>
            </w:r>
            <w:proofErr w:type="spellEnd"/>
            <w:r w:rsidRPr="00D52F04">
              <w:rPr>
                <w:rFonts w:asciiTheme="minorHAnsi" w:hAnsiTheme="minorHAnsi" w:cstheme="minorHAnsi"/>
                <w:sz w:val="18"/>
                <w:szCs w:val="18"/>
              </w:rPr>
              <w:t xml:space="preserve"> via NWO: NWO maakt hierbij keuzes om de middelen via NWO adequaat in te zetten voor </w:t>
            </w:r>
            <w:proofErr w:type="spellStart"/>
            <w:r w:rsidRPr="00D52F04">
              <w:rPr>
                <w:rFonts w:asciiTheme="minorHAnsi" w:hAnsiTheme="minorHAnsi" w:cstheme="minorHAnsi"/>
                <w:sz w:val="18"/>
                <w:szCs w:val="18"/>
              </w:rPr>
              <w:t>onderzoeksinfrastructuur</w:t>
            </w:r>
            <w:proofErr w:type="spellEnd"/>
            <w:r w:rsidRPr="00D52F04">
              <w:rPr>
                <w:rFonts w:asciiTheme="minorHAnsi" w:hAnsiTheme="minorHAnsi" w:cstheme="minorHAnsi"/>
                <w:sz w:val="18"/>
                <w:szCs w:val="18"/>
              </w:rPr>
              <w:t xml:space="preserve"> via onder andere het internationaal lidmaatschappenportfolio en te investeren in digitale </w:t>
            </w:r>
            <w:proofErr w:type="spellStart"/>
            <w:r w:rsidRPr="00D52F04">
              <w:rPr>
                <w:rFonts w:asciiTheme="minorHAnsi" w:hAnsiTheme="minorHAnsi" w:cstheme="minorHAnsi"/>
                <w:sz w:val="18"/>
                <w:szCs w:val="18"/>
              </w:rPr>
              <w:t>onderzoeksinfrastructuur</w:t>
            </w:r>
            <w:proofErr w:type="spellEnd"/>
            <w:r w:rsidRPr="00D52F04">
              <w:rPr>
                <w:rFonts w:asciiTheme="minorHAnsi" w:hAnsiTheme="minorHAnsi" w:cstheme="minorHAnsi"/>
                <w:sz w:val="18"/>
                <w:szCs w:val="18"/>
              </w:rPr>
              <w:t xml:space="preserve">. </w:t>
            </w:r>
          </w:p>
          <w:p w:rsidRPr="00D52F04" w:rsidR="00AD7899" w:rsidP="00AD7899" w:rsidRDefault="00AD7899" w14:paraId="4E798AFE" w14:textId="77777777">
            <w:pPr>
              <w:pStyle w:val="TableParagraph"/>
              <w:numPr>
                <w:ilvl w:val="1"/>
                <w:numId w:val="21"/>
              </w:numPr>
              <w:spacing w:line="218" w:lineRule="exact"/>
              <w:ind w:right="543"/>
              <w:rPr>
                <w:rFonts w:asciiTheme="minorHAnsi" w:hAnsiTheme="minorHAnsi" w:cstheme="minorHAnsi"/>
                <w:sz w:val="18"/>
                <w:szCs w:val="18"/>
              </w:rPr>
            </w:pPr>
            <w:r w:rsidRPr="00D52F04">
              <w:rPr>
                <w:rFonts w:asciiTheme="minorHAnsi" w:hAnsiTheme="minorHAnsi" w:cstheme="minorHAnsi"/>
                <w:sz w:val="18"/>
                <w:szCs w:val="18"/>
              </w:rPr>
              <w:t xml:space="preserve">SKAO: Nederland neemt deel aan deze grootste radiotelescoop ter wereld. Deze internationale samenwerking gaat een nieuwe fase in, waardoor er nieuwe financiële afspraken zijn voor de lange termijn. </w:t>
            </w:r>
          </w:p>
          <w:p w:rsidRPr="00D52F04" w:rsidR="00AD7899" w:rsidP="00AD7899" w:rsidRDefault="00AD7899" w14:paraId="27D61ABA" w14:textId="1E03515C">
            <w:pPr>
              <w:pStyle w:val="TableParagraph"/>
              <w:numPr>
                <w:ilvl w:val="1"/>
                <w:numId w:val="21"/>
              </w:numPr>
              <w:spacing w:line="218" w:lineRule="exact"/>
              <w:ind w:right="543"/>
              <w:rPr>
                <w:rFonts w:asciiTheme="minorHAnsi" w:hAnsiTheme="minorHAnsi" w:cstheme="minorHAnsi"/>
                <w:sz w:val="18"/>
                <w:szCs w:val="18"/>
              </w:rPr>
            </w:pPr>
            <w:r w:rsidRPr="00D52F04">
              <w:rPr>
                <w:rFonts w:asciiTheme="minorHAnsi" w:hAnsiTheme="minorHAnsi" w:cstheme="minorHAnsi"/>
                <w:sz w:val="18"/>
                <w:szCs w:val="18"/>
              </w:rPr>
              <w:t xml:space="preserve">Digitale </w:t>
            </w:r>
            <w:proofErr w:type="spellStart"/>
            <w:r w:rsidRPr="00D52F04">
              <w:rPr>
                <w:rFonts w:asciiTheme="minorHAnsi" w:hAnsiTheme="minorHAnsi" w:cstheme="minorHAnsi"/>
                <w:sz w:val="18"/>
                <w:szCs w:val="18"/>
              </w:rPr>
              <w:t>onderzoeksinfrastructuur</w:t>
            </w:r>
            <w:proofErr w:type="spellEnd"/>
            <w:r w:rsidRPr="00D52F04">
              <w:rPr>
                <w:rFonts w:asciiTheme="minorHAnsi" w:hAnsiTheme="minorHAnsi" w:cstheme="minorHAnsi"/>
                <w:sz w:val="18"/>
                <w:szCs w:val="18"/>
              </w:rPr>
              <w:t>:</w:t>
            </w:r>
            <w:r w:rsidR="005B71DC">
              <w:rPr>
                <w:rFonts w:asciiTheme="minorHAnsi" w:hAnsiTheme="minorHAnsi" w:cstheme="minorHAnsi"/>
                <w:sz w:val="18"/>
                <w:szCs w:val="18"/>
              </w:rPr>
              <w:t xml:space="preserve"> </w:t>
            </w:r>
            <w:r w:rsidRPr="005B71DC" w:rsidR="005B71DC">
              <w:rPr>
                <w:rFonts w:asciiTheme="minorHAnsi" w:hAnsiTheme="minorHAnsi" w:cstheme="minorHAnsi"/>
                <w:sz w:val="18"/>
                <w:szCs w:val="18"/>
              </w:rPr>
              <w:t>investe</w:t>
            </w:r>
            <w:r w:rsidR="005B71DC">
              <w:rPr>
                <w:rFonts w:asciiTheme="minorHAnsi" w:hAnsiTheme="minorHAnsi" w:cstheme="minorHAnsi"/>
                <w:sz w:val="18"/>
                <w:szCs w:val="18"/>
              </w:rPr>
              <w:t>ring i</w:t>
            </w:r>
            <w:r w:rsidRPr="005B71DC" w:rsidR="005B71DC">
              <w:rPr>
                <w:rFonts w:asciiTheme="minorHAnsi" w:hAnsiTheme="minorHAnsi" w:cstheme="minorHAnsi"/>
                <w:sz w:val="18"/>
                <w:szCs w:val="18"/>
              </w:rPr>
              <w:t xml:space="preserve">n de versterking van de nationale digitale </w:t>
            </w:r>
            <w:proofErr w:type="spellStart"/>
            <w:r w:rsidRPr="005B71DC" w:rsidR="005B71DC">
              <w:rPr>
                <w:rFonts w:asciiTheme="minorHAnsi" w:hAnsiTheme="minorHAnsi" w:cstheme="minorHAnsi"/>
                <w:sz w:val="18"/>
                <w:szCs w:val="18"/>
              </w:rPr>
              <w:t>onderzoeksinfrastructuur</w:t>
            </w:r>
            <w:proofErr w:type="spellEnd"/>
            <w:r w:rsidR="005B71DC">
              <w:rPr>
                <w:rFonts w:asciiTheme="minorHAnsi" w:hAnsiTheme="minorHAnsi" w:cstheme="minorHAnsi"/>
                <w:sz w:val="18"/>
                <w:szCs w:val="18"/>
              </w:rPr>
              <w:t xml:space="preserve">, waaronder </w:t>
            </w:r>
            <w:r w:rsidR="005B71DC">
              <w:rPr>
                <w:rFonts w:asciiTheme="minorHAnsi" w:hAnsiTheme="minorHAnsi" w:cstheme="minorHAnsi"/>
                <w:sz w:val="18"/>
                <w:szCs w:val="18"/>
              </w:rPr>
              <w:lastRenderedPageBreak/>
              <w:t xml:space="preserve">de vervanging van </w:t>
            </w:r>
            <w:r w:rsidRPr="00D52F04">
              <w:rPr>
                <w:rFonts w:asciiTheme="minorHAnsi" w:hAnsiTheme="minorHAnsi" w:cstheme="minorHAnsi"/>
                <w:sz w:val="18"/>
                <w:szCs w:val="18"/>
              </w:rPr>
              <w:t>de nationale supercomputer.</w:t>
            </w:r>
          </w:p>
          <w:p w:rsidRPr="00D52F04" w:rsidR="00AD7899" w:rsidP="00AD7899" w:rsidRDefault="00AD7899" w14:paraId="5BCC0CFD" w14:textId="77777777">
            <w:pPr>
              <w:pStyle w:val="TableParagraph"/>
              <w:numPr>
                <w:ilvl w:val="1"/>
                <w:numId w:val="21"/>
              </w:numPr>
              <w:spacing w:line="218" w:lineRule="exact"/>
              <w:ind w:right="543"/>
              <w:rPr>
                <w:rFonts w:asciiTheme="minorHAnsi" w:hAnsiTheme="minorHAnsi" w:cstheme="minorHAnsi"/>
                <w:sz w:val="18"/>
                <w:szCs w:val="18"/>
              </w:rPr>
            </w:pPr>
            <w:r w:rsidRPr="00D52F04">
              <w:rPr>
                <w:rFonts w:asciiTheme="minorHAnsi" w:hAnsiTheme="minorHAnsi" w:cstheme="minorHAnsi"/>
                <w:sz w:val="18"/>
                <w:szCs w:val="18"/>
              </w:rPr>
              <w:t xml:space="preserve">Einstein Telescoop (ET): het kabinet investeert in de bouw en de exploitatie van het ET-Low </w:t>
            </w:r>
            <w:proofErr w:type="spellStart"/>
            <w:r w:rsidRPr="00D52F04">
              <w:rPr>
                <w:rFonts w:asciiTheme="minorHAnsi" w:hAnsiTheme="minorHAnsi" w:cstheme="minorHAnsi"/>
                <w:sz w:val="18"/>
                <w:szCs w:val="18"/>
              </w:rPr>
              <w:t>Frequency</w:t>
            </w:r>
            <w:proofErr w:type="spellEnd"/>
            <w:r w:rsidRPr="00D52F04">
              <w:rPr>
                <w:rFonts w:asciiTheme="minorHAnsi" w:hAnsiTheme="minorHAnsi" w:cstheme="minorHAnsi"/>
                <w:sz w:val="18"/>
                <w:szCs w:val="18"/>
              </w:rPr>
              <w:t xml:space="preserve"> Center. Hiermee worden innovatieve technologieën ontwikkeld en getest voor de latere bouw van de ET. Ook wordt er geld gereserveerd voor de structurele exploitatie van de ET. </w:t>
            </w:r>
          </w:p>
          <w:p w:rsidRPr="00D52F04" w:rsidR="00AD7899" w:rsidP="00AD7899" w:rsidRDefault="00AD7899" w14:paraId="3E1B2153" w14:textId="30B044F0">
            <w:pPr>
              <w:pStyle w:val="TableParagraph"/>
              <w:numPr>
                <w:ilvl w:val="0"/>
                <w:numId w:val="21"/>
              </w:numPr>
              <w:spacing w:line="218" w:lineRule="exact"/>
              <w:ind w:right="543"/>
              <w:rPr>
                <w:rFonts w:asciiTheme="minorHAnsi" w:hAnsiTheme="minorHAnsi" w:cstheme="minorHAnsi"/>
                <w:sz w:val="18"/>
                <w:szCs w:val="18"/>
              </w:rPr>
            </w:pPr>
            <w:r w:rsidRPr="00D52F04">
              <w:rPr>
                <w:rFonts w:asciiTheme="minorHAnsi" w:hAnsiTheme="minorHAnsi" w:cstheme="minorHAnsi"/>
                <w:sz w:val="18"/>
                <w:szCs w:val="18"/>
              </w:rPr>
              <w:t>Praktijkgericht onderzoek aan hogescholen: hiermee wordt geïnvesteerd in de eerste en tweede geldstroom voor praktijkgericht onderzoek.</w:t>
            </w:r>
          </w:p>
          <w:p w:rsidRPr="00D52F04" w:rsidR="00AD7899" w:rsidP="00AD7899" w:rsidRDefault="00AD7899" w14:paraId="31DA37B5" w14:textId="77777777">
            <w:pPr>
              <w:pStyle w:val="TableParagraph"/>
              <w:numPr>
                <w:ilvl w:val="0"/>
                <w:numId w:val="21"/>
              </w:numPr>
              <w:spacing w:line="218" w:lineRule="exact"/>
              <w:ind w:right="543"/>
              <w:rPr>
                <w:rFonts w:asciiTheme="minorHAnsi" w:hAnsiTheme="minorHAnsi" w:cstheme="minorHAnsi"/>
                <w:sz w:val="18"/>
                <w:szCs w:val="18"/>
              </w:rPr>
            </w:pPr>
            <w:r w:rsidRPr="00D52F04">
              <w:rPr>
                <w:rFonts w:asciiTheme="minorHAnsi" w:hAnsiTheme="minorHAnsi" w:cstheme="minorHAnsi"/>
                <w:sz w:val="18"/>
                <w:szCs w:val="18"/>
              </w:rPr>
              <w:t xml:space="preserve">Onderzoek aan mbo-instellingen: hiermee wordt geïnvesteerd in </w:t>
            </w:r>
            <w:proofErr w:type="spellStart"/>
            <w:r w:rsidRPr="00D52F04">
              <w:rPr>
                <w:rFonts w:asciiTheme="minorHAnsi" w:hAnsiTheme="minorHAnsi" w:cstheme="minorHAnsi"/>
                <w:sz w:val="18"/>
                <w:szCs w:val="18"/>
              </w:rPr>
              <w:t>practoraten</w:t>
            </w:r>
            <w:proofErr w:type="spellEnd"/>
            <w:r w:rsidRPr="00D52F04">
              <w:rPr>
                <w:rFonts w:asciiTheme="minorHAnsi" w:hAnsiTheme="minorHAnsi" w:cstheme="minorHAnsi"/>
                <w:sz w:val="18"/>
                <w:szCs w:val="18"/>
              </w:rPr>
              <w:t xml:space="preserve"> voor mbo-onderzoek. </w:t>
            </w:r>
          </w:p>
          <w:p w:rsidRPr="00D52F04" w:rsidR="00AD7899" w:rsidP="00AD7899" w:rsidRDefault="00AD7899" w14:paraId="1B97EA55" w14:textId="77777777">
            <w:pPr>
              <w:pStyle w:val="TableParagraph"/>
              <w:numPr>
                <w:ilvl w:val="0"/>
                <w:numId w:val="21"/>
              </w:numPr>
              <w:spacing w:line="218" w:lineRule="exact"/>
              <w:ind w:right="543"/>
              <w:rPr>
                <w:rFonts w:asciiTheme="minorHAnsi" w:hAnsiTheme="minorHAnsi" w:cstheme="minorHAnsi"/>
                <w:sz w:val="18"/>
                <w:szCs w:val="18"/>
              </w:rPr>
            </w:pPr>
            <w:r w:rsidRPr="00D52F04">
              <w:rPr>
                <w:rFonts w:asciiTheme="minorHAnsi" w:hAnsiTheme="minorHAnsi" w:cstheme="minorHAnsi"/>
                <w:sz w:val="18"/>
                <w:szCs w:val="18"/>
              </w:rPr>
              <w:t>Valorisatie: OCW en EZK bevorderen gezamenlijk de valorisatie.</w:t>
            </w:r>
          </w:p>
          <w:p w:rsidRPr="00D52F04" w:rsidR="00AD7899" w:rsidP="00AD7899" w:rsidRDefault="00AD7899" w14:paraId="2E056E9C" w14:textId="77777777">
            <w:pPr>
              <w:pStyle w:val="TableParagraph"/>
              <w:numPr>
                <w:ilvl w:val="0"/>
                <w:numId w:val="21"/>
              </w:numPr>
              <w:spacing w:line="218" w:lineRule="exact"/>
              <w:ind w:right="543"/>
              <w:rPr>
                <w:rFonts w:asciiTheme="minorHAnsi" w:hAnsiTheme="minorHAnsi" w:cstheme="minorHAnsi"/>
                <w:sz w:val="18"/>
                <w:szCs w:val="18"/>
              </w:rPr>
            </w:pPr>
            <w:r w:rsidRPr="00D52F04">
              <w:rPr>
                <w:rFonts w:asciiTheme="minorHAnsi" w:hAnsiTheme="minorHAnsi" w:cstheme="minorHAnsi"/>
                <w:sz w:val="18"/>
                <w:szCs w:val="18"/>
              </w:rPr>
              <w:t>Kennisveiligheid en cyberweerbaarheid: het kabinet investeert via de reguliere bekostiging van kennisinstellingen in de uitdagingen rondom kennisveiligheid en cyberveiligheid.</w:t>
            </w:r>
          </w:p>
          <w:p w:rsidRPr="00D52F04" w:rsidR="00AD7899" w:rsidP="00AD7899" w:rsidRDefault="00AD7899" w14:paraId="21712533" w14:textId="77777777">
            <w:pPr>
              <w:pStyle w:val="TableParagraph"/>
              <w:numPr>
                <w:ilvl w:val="0"/>
                <w:numId w:val="21"/>
              </w:numPr>
              <w:spacing w:line="218" w:lineRule="exact"/>
              <w:ind w:right="543"/>
              <w:rPr>
                <w:rFonts w:asciiTheme="minorHAnsi" w:hAnsiTheme="minorHAnsi" w:cstheme="minorHAnsi"/>
                <w:sz w:val="18"/>
                <w:szCs w:val="18"/>
              </w:rPr>
            </w:pPr>
            <w:r w:rsidRPr="00D52F04">
              <w:rPr>
                <w:rFonts w:asciiTheme="minorHAnsi" w:hAnsiTheme="minorHAnsi" w:cstheme="minorHAnsi"/>
                <w:sz w:val="18"/>
                <w:szCs w:val="18"/>
              </w:rPr>
              <w:t xml:space="preserve">Werkdruk: via de reguliere bekostiging van universiteiten wordt er geïnvesteerd om een bezuiniging van Kabinet-Schoof terug te draaien. Deze middelen kunnen gebruikt worden om werkdruk te reduceren. Hiermee wordt stabiliteit en continuïteit geboden. </w:t>
            </w:r>
          </w:p>
          <w:p w:rsidRPr="00D52F04" w:rsidR="00AD7899" w:rsidP="00AD7899" w:rsidRDefault="00AD7899" w14:paraId="0CACD6CB" w14:textId="77777777">
            <w:pPr>
              <w:pStyle w:val="TableParagraph"/>
              <w:numPr>
                <w:ilvl w:val="0"/>
                <w:numId w:val="21"/>
              </w:numPr>
              <w:spacing w:line="218" w:lineRule="exact"/>
              <w:ind w:right="543"/>
              <w:rPr>
                <w:rFonts w:asciiTheme="minorHAnsi" w:hAnsiTheme="minorHAnsi" w:cstheme="minorHAnsi"/>
                <w:sz w:val="18"/>
                <w:szCs w:val="18"/>
              </w:rPr>
            </w:pPr>
            <w:r w:rsidRPr="00D52F04">
              <w:rPr>
                <w:rFonts w:asciiTheme="minorHAnsi" w:hAnsiTheme="minorHAnsi" w:cstheme="minorHAnsi"/>
                <w:sz w:val="18"/>
                <w:szCs w:val="18"/>
              </w:rPr>
              <w:t xml:space="preserve">Bekostiging NWO: via de reguliere bekostiging van NWO wordt er geïnvesteerd om een bezuiniging van Kabinet-Schoof terug te draaien. Deze middelen zet NWO naar eigen inzicht adequaat in. Hiermee wordt stabiliteit en continuïteit geboden. </w:t>
            </w:r>
          </w:p>
        </w:tc>
      </w:tr>
      <w:tr w:rsidRPr="00D52F04" w:rsidR="00AD7899" w:rsidTr="00F14198" w14:paraId="7A7E9B68" w14:textId="77777777">
        <w:trPr>
          <w:trHeight w:val="805"/>
        </w:trPr>
        <w:tc>
          <w:tcPr>
            <w:tcW w:w="2640" w:type="dxa"/>
            <w:tcBorders>
              <w:top w:val="single" w:color="FFFFFF" w:sz="4" w:space="0"/>
              <w:left w:val="nil"/>
              <w:bottom w:val="single" w:color="FFFFFF" w:sz="4" w:space="0"/>
              <w:right w:val="single" w:color="FFFFFF" w:sz="4" w:space="0"/>
            </w:tcBorders>
            <w:shd w:val="clear" w:color="auto" w:fill="7A7A7A"/>
            <w:hideMark/>
          </w:tcPr>
          <w:p w:rsidRPr="00D52F04" w:rsidR="00AD7899" w:rsidP="00F14198" w:rsidRDefault="00AD7899" w14:paraId="193F378B" w14:textId="77777777">
            <w:pPr>
              <w:pStyle w:val="TableParagraph"/>
              <w:spacing w:before="144"/>
              <w:ind w:left="103" w:right="506"/>
              <w:rPr>
                <w:rFonts w:asciiTheme="minorHAnsi" w:hAnsiTheme="minorHAnsi" w:cstheme="minorHAnsi"/>
                <w:b/>
                <w:sz w:val="18"/>
                <w:szCs w:val="18"/>
              </w:rPr>
            </w:pPr>
            <w:r w:rsidRPr="00D52F04">
              <w:rPr>
                <w:rFonts w:asciiTheme="minorHAnsi" w:hAnsiTheme="minorHAnsi" w:cstheme="minorHAnsi"/>
                <w:b/>
                <w:color w:val="FFFFFF"/>
                <w:sz w:val="18"/>
                <w:szCs w:val="18"/>
              </w:rPr>
              <w:lastRenderedPageBreak/>
              <w:t>Financiële gevolgen voor het Rijk</w:t>
            </w:r>
          </w:p>
        </w:tc>
        <w:tc>
          <w:tcPr>
            <w:tcW w:w="6330" w:type="dxa"/>
            <w:tcBorders>
              <w:top w:val="single" w:color="FFFFFF" w:sz="4" w:space="0"/>
              <w:left w:val="single" w:color="FFFFFF" w:sz="4" w:space="0"/>
              <w:bottom w:val="single" w:color="FFFFFF" w:sz="4" w:space="0"/>
              <w:right w:val="nil"/>
            </w:tcBorders>
            <w:shd w:val="clear" w:color="auto" w:fill="DBDBDB"/>
            <w:vAlign w:val="center"/>
            <w:hideMark/>
          </w:tcPr>
          <w:p w:rsidRPr="00D52F04" w:rsidR="00AD7899" w:rsidP="00F14198" w:rsidRDefault="00AD7899" w14:paraId="294295EE" w14:textId="77777777">
            <w:pPr>
              <w:pStyle w:val="TableParagraph"/>
              <w:spacing w:before="3" w:line="218" w:lineRule="exact"/>
              <w:ind w:right="945"/>
              <w:rPr>
                <w:rFonts w:asciiTheme="minorHAnsi" w:hAnsiTheme="minorHAnsi" w:cstheme="minorHAnsi"/>
                <w:sz w:val="18"/>
                <w:szCs w:val="18"/>
              </w:rPr>
            </w:pPr>
            <w:r w:rsidRPr="00D52F04">
              <w:rPr>
                <w:rFonts w:asciiTheme="minorHAnsi" w:hAnsiTheme="minorHAnsi" w:cstheme="minorHAnsi"/>
                <w:sz w:val="18"/>
                <w:szCs w:val="18"/>
              </w:rPr>
              <w:t xml:space="preserve">Structureel is er € 428 miljoen beschikbaar gesteld vanuit de envelop van het coalitieakkoord. Daarnaast zijn er incidenteel extra middelen beschikbaar. </w:t>
            </w:r>
          </w:p>
        </w:tc>
      </w:tr>
      <w:tr w:rsidRPr="00D52F04" w:rsidR="00AD7899" w:rsidTr="00F14198" w14:paraId="52EE0314" w14:textId="77777777">
        <w:trPr>
          <w:trHeight w:val="891"/>
        </w:trPr>
        <w:tc>
          <w:tcPr>
            <w:tcW w:w="2640" w:type="dxa"/>
            <w:tcBorders>
              <w:top w:val="single" w:color="FFFFFF" w:sz="4" w:space="0"/>
              <w:left w:val="nil"/>
              <w:bottom w:val="single" w:color="FFFFFF" w:sz="4" w:space="0"/>
              <w:right w:val="single" w:color="FFFFFF" w:sz="4" w:space="0"/>
            </w:tcBorders>
            <w:shd w:val="clear" w:color="auto" w:fill="7A7A7A"/>
            <w:hideMark/>
          </w:tcPr>
          <w:p w:rsidRPr="00D52F04" w:rsidR="00AD7899" w:rsidP="00F14198" w:rsidRDefault="00AD7899" w14:paraId="661CDDB7" w14:textId="77777777">
            <w:pPr>
              <w:pStyle w:val="TableParagraph"/>
              <w:spacing w:before="120"/>
              <w:ind w:left="103" w:right="92"/>
              <w:rPr>
                <w:rFonts w:asciiTheme="minorHAnsi" w:hAnsiTheme="minorHAnsi" w:cstheme="minorHAnsi"/>
                <w:b/>
                <w:sz w:val="18"/>
                <w:szCs w:val="18"/>
              </w:rPr>
            </w:pPr>
            <w:r w:rsidRPr="00D52F04">
              <w:rPr>
                <w:rFonts w:asciiTheme="minorHAnsi" w:hAnsiTheme="minorHAnsi" w:cstheme="minorHAnsi"/>
                <w:b/>
                <w:color w:val="FFFFFF"/>
                <w:sz w:val="18"/>
                <w:szCs w:val="18"/>
              </w:rPr>
              <w:t xml:space="preserve">Financiële gevolgen voor maatschappelijke sectoren </w:t>
            </w:r>
          </w:p>
        </w:tc>
        <w:tc>
          <w:tcPr>
            <w:tcW w:w="6330" w:type="dxa"/>
            <w:tcBorders>
              <w:top w:val="single" w:color="FFFFFF" w:sz="4" w:space="0"/>
              <w:left w:val="single" w:color="FFFFFF" w:sz="4" w:space="0"/>
              <w:bottom w:val="single" w:color="FFFFFF" w:sz="4" w:space="0"/>
              <w:right w:val="nil"/>
            </w:tcBorders>
            <w:shd w:val="clear" w:color="auto" w:fill="DBDBDB"/>
            <w:vAlign w:val="center"/>
            <w:hideMark/>
          </w:tcPr>
          <w:p w:rsidRPr="00D52F04" w:rsidR="00AD7899" w:rsidP="00F14198" w:rsidRDefault="00AD7899" w14:paraId="7C7295E9" w14:textId="77777777">
            <w:pPr>
              <w:pStyle w:val="TableParagraph"/>
              <w:ind w:right="308"/>
              <w:rPr>
                <w:rFonts w:asciiTheme="minorHAnsi" w:hAnsiTheme="minorHAnsi" w:cstheme="minorHAnsi"/>
                <w:sz w:val="18"/>
                <w:szCs w:val="18"/>
              </w:rPr>
            </w:pPr>
            <w:r w:rsidRPr="00D52F04">
              <w:rPr>
                <w:rFonts w:asciiTheme="minorHAnsi" w:hAnsiTheme="minorHAnsi" w:cstheme="minorHAnsi"/>
                <w:sz w:val="18"/>
                <w:szCs w:val="18"/>
              </w:rPr>
              <w:t>N.v.t.</w:t>
            </w:r>
          </w:p>
        </w:tc>
      </w:tr>
      <w:tr w:rsidRPr="00D52F04" w:rsidR="00AD7899" w:rsidTr="00F14198" w14:paraId="389C2AE6" w14:textId="77777777">
        <w:trPr>
          <w:trHeight w:val="955"/>
        </w:trPr>
        <w:tc>
          <w:tcPr>
            <w:tcW w:w="2640" w:type="dxa"/>
            <w:tcBorders>
              <w:top w:val="single" w:color="FFFFFF" w:sz="4" w:space="0"/>
              <w:left w:val="nil"/>
              <w:bottom w:val="single" w:color="FFFFFF" w:sz="4" w:space="0"/>
              <w:right w:val="single" w:color="FFFFFF" w:sz="4" w:space="0"/>
            </w:tcBorders>
            <w:shd w:val="clear" w:color="auto" w:fill="7A7A7A"/>
            <w:hideMark/>
          </w:tcPr>
          <w:p w:rsidRPr="00D52F04" w:rsidR="00AD7899" w:rsidP="00F14198" w:rsidRDefault="00AD7899" w14:paraId="0FF904CA" w14:textId="77777777">
            <w:pPr>
              <w:pStyle w:val="TableParagraph"/>
              <w:spacing w:before="141"/>
              <w:ind w:left="103" w:right="829"/>
              <w:rPr>
                <w:rFonts w:asciiTheme="minorHAnsi" w:hAnsiTheme="minorHAnsi" w:cstheme="minorHAnsi"/>
                <w:b/>
                <w:sz w:val="18"/>
                <w:szCs w:val="18"/>
              </w:rPr>
            </w:pPr>
            <w:r w:rsidRPr="00D52F04">
              <w:rPr>
                <w:rFonts w:asciiTheme="minorHAnsi" w:hAnsiTheme="minorHAnsi" w:cstheme="minorHAnsi"/>
                <w:b/>
                <w:color w:val="FFFFFF"/>
                <w:sz w:val="18"/>
                <w:szCs w:val="18"/>
              </w:rPr>
              <w:t>Nagestreefde doeltreffendheid</w:t>
            </w:r>
          </w:p>
        </w:tc>
        <w:tc>
          <w:tcPr>
            <w:tcW w:w="6330" w:type="dxa"/>
            <w:tcBorders>
              <w:top w:val="single" w:color="FFFFFF" w:sz="4" w:space="0"/>
              <w:left w:val="single" w:color="FFFFFF" w:sz="4" w:space="0"/>
              <w:bottom w:val="single" w:color="FFFFFF" w:sz="4" w:space="0"/>
              <w:right w:val="nil"/>
            </w:tcBorders>
            <w:shd w:val="clear" w:color="auto" w:fill="DBDBDB"/>
            <w:vAlign w:val="center"/>
            <w:hideMark/>
          </w:tcPr>
          <w:p w:rsidRPr="00D52F04" w:rsidR="00AD7899" w:rsidP="00F14198" w:rsidRDefault="00AD7899" w14:paraId="5F3969C9" w14:textId="0054E93A">
            <w:pPr>
              <w:pStyle w:val="TableParagraph"/>
              <w:spacing w:before="4" w:line="218" w:lineRule="exact"/>
              <w:ind w:right="166"/>
              <w:rPr>
                <w:rFonts w:asciiTheme="minorHAnsi" w:hAnsiTheme="minorHAnsi" w:cstheme="minorHAnsi"/>
                <w:sz w:val="18"/>
                <w:szCs w:val="18"/>
              </w:rPr>
            </w:pPr>
            <w:r w:rsidRPr="00D52F04">
              <w:rPr>
                <w:rFonts w:asciiTheme="minorHAnsi" w:hAnsiTheme="minorHAnsi" w:cstheme="minorHAnsi"/>
                <w:sz w:val="18"/>
                <w:szCs w:val="18"/>
              </w:rPr>
              <w:t xml:space="preserve">De gekozen instrumenten zijn doeltreffend, omdat de langer lopende instrumenten al onderzocht en (positief) geëvalueerd zijn en ze direct verband houden met bovengenoemde doelen. Zo bereiken we met de sectorplannen profilering en samenwerking. Hiermee investeren we in fundamenteel onderzoek, waarbij excellentie nodig is op strategisch belangrijke gebieden. Met de investering in </w:t>
            </w:r>
            <w:proofErr w:type="spellStart"/>
            <w:r w:rsidRPr="00D52F04">
              <w:rPr>
                <w:rFonts w:asciiTheme="minorHAnsi" w:hAnsiTheme="minorHAnsi" w:cstheme="minorHAnsi"/>
                <w:sz w:val="18"/>
                <w:szCs w:val="18"/>
              </w:rPr>
              <w:t>onderzoeksinfrastructuur</w:t>
            </w:r>
            <w:proofErr w:type="spellEnd"/>
            <w:r w:rsidRPr="00D52F04">
              <w:rPr>
                <w:rFonts w:asciiTheme="minorHAnsi" w:hAnsiTheme="minorHAnsi" w:cstheme="minorHAnsi"/>
                <w:sz w:val="18"/>
                <w:szCs w:val="18"/>
              </w:rPr>
              <w:t xml:space="preserve"> en Europese onderzoeks- en innovatieprogramma’s zorgen we ervoor dat onderzoekers kunnen beschikken over hoogstaande </w:t>
            </w:r>
            <w:proofErr w:type="spellStart"/>
            <w:r w:rsidR="005B71DC">
              <w:rPr>
                <w:rFonts w:asciiTheme="minorHAnsi" w:hAnsiTheme="minorHAnsi" w:cstheme="minorHAnsi"/>
                <w:sz w:val="18"/>
                <w:szCs w:val="18"/>
              </w:rPr>
              <w:t>onderzoeksinfrastructuur</w:t>
            </w:r>
            <w:proofErr w:type="spellEnd"/>
            <w:r w:rsidRPr="00D52F04" w:rsidR="005B71DC">
              <w:rPr>
                <w:rFonts w:asciiTheme="minorHAnsi" w:hAnsiTheme="minorHAnsi" w:cstheme="minorHAnsi"/>
                <w:sz w:val="18"/>
                <w:szCs w:val="18"/>
              </w:rPr>
              <w:t xml:space="preserve"> </w:t>
            </w:r>
            <w:r w:rsidRPr="00D52F04">
              <w:rPr>
                <w:rFonts w:asciiTheme="minorHAnsi" w:hAnsiTheme="minorHAnsi" w:cstheme="minorHAnsi"/>
                <w:sz w:val="18"/>
                <w:szCs w:val="18"/>
              </w:rPr>
              <w:t xml:space="preserve">en toegang hebben tot internationale netwerken van onderzoek en innovatie. Wetenschap van hoog niveau kan niet zonder internationale samenwerking, maar dat moet wel veilig kunnen. Daarom investeren we in kennisveiligheid en cyberweerbaarheid. </w:t>
            </w:r>
            <w:r w:rsidRPr="00D52F04">
              <w:rPr>
                <w:rFonts w:asciiTheme="minorHAnsi" w:hAnsiTheme="minorHAnsi" w:cstheme="minorHAnsi"/>
                <w:sz w:val="18"/>
                <w:szCs w:val="18"/>
              </w:rPr>
              <w:lastRenderedPageBreak/>
              <w:t xml:space="preserve">Daarnaast is verbinding met de maatschappij en de regio van belang. Het praktijkgericht onderzoek en de </w:t>
            </w:r>
            <w:proofErr w:type="spellStart"/>
            <w:r w:rsidRPr="00D52F04">
              <w:rPr>
                <w:rFonts w:asciiTheme="minorHAnsi" w:hAnsiTheme="minorHAnsi" w:cstheme="minorHAnsi"/>
                <w:sz w:val="18"/>
                <w:szCs w:val="18"/>
              </w:rPr>
              <w:t>practoraten</w:t>
            </w:r>
            <w:proofErr w:type="spellEnd"/>
            <w:r w:rsidRPr="00D52F04">
              <w:rPr>
                <w:rFonts w:asciiTheme="minorHAnsi" w:hAnsiTheme="minorHAnsi" w:cstheme="minorHAnsi"/>
                <w:sz w:val="18"/>
                <w:szCs w:val="18"/>
              </w:rPr>
              <w:t xml:space="preserve"> staan bij uitstek in verbinding met de maatschappij en de regio. Ook de gezamenlijke inspanningen van OCW en EZK voor valorisatie dragen hieraan bij. Het geheel aan investeringen brengt de Lissabondoelstelling dichterbij en zorgt voor continuïteit en stabiliteit. Daarbij draagt ook het terugdraaien van de bezuinigingen voor de werkdrukmiddelen en bekostiging NWO bij aan continuïteit en stabiliteit. </w:t>
            </w:r>
          </w:p>
        </w:tc>
      </w:tr>
      <w:tr w:rsidRPr="00D52F04" w:rsidR="00AD7899" w:rsidTr="00F14198" w14:paraId="729E9582" w14:textId="77777777">
        <w:trPr>
          <w:trHeight w:val="983"/>
        </w:trPr>
        <w:tc>
          <w:tcPr>
            <w:tcW w:w="2640" w:type="dxa"/>
            <w:tcBorders>
              <w:top w:val="single" w:color="FFFFFF" w:sz="4" w:space="0"/>
              <w:left w:val="nil"/>
              <w:bottom w:val="single" w:color="FFFFFF" w:sz="4" w:space="0"/>
              <w:right w:val="single" w:color="FFFFFF" w:sz="4" w:space="0"/>
            </w:tcBorders>
            <w:shd w:val="clear" w:color="auto" w:fill="7A7A7A"/>
          </w:tcPr>
          <w:p w:rsidRPr="00D52F04" w:rsidR="00AD7899" w:rsidP="00F14198" w:rsidRDefault="00AD7899" w14:paraId="5A267C17" w14:textId="77777777">
            <w:pPr>
              <w:pStyle w:val="TableParagraph"/>
              <w:rPr>
                <w:rFonts w:asciiTheme="minorHAnsi" w:hAnsiTheme="minorHAnsi" w:cstheme="minorHAnsi"/>
                <w:i/>
                <w:sz w:val="18"/>
                <w:szCs w:val="18"/>
              </w:rPr>
            </w:pPr>
          </w:p>
          <w:p w:rsidRPr="00D52F04" w:rsidR="00AD7899" w:rsidP="00F14198" w:rsidRDefault="00AD7899" w14:paraId="11736396" w14:textId="77777777">
            <w:pPr>
              <w:pStyle w:val="TableParagraph"/>
              <w:ind w:left="103" w:right="1066"/>
              <w:rPr>
                <w:rFonts w:asciiTheme="minorHAnsi" w:hAnsiTheme="minorHAnsi" w:cstheme="minorHAnsi"/>
                <w:b/>
                <w:sz w:val="18"/>
                <w:szCs w:val="18"/>
              </w:rPr>
            </w:pPr>
            <w:r w:rsidRPr="00D52F04">
              <w:rPr>
                <w:rFonts w:asciiTheme="minorHAnsi" w:hAnsiTheme="minorHAnsi" w:cstheme="minorHAnsi"/>
                <w:b/>
                <w:color w:val="FFFFFF"/>
                <w:sz w:val="18"/>
                <w:szCs w:val="18"/>
              </w:rPr>
              <w:t>Nagestreefde doelmatigheid</w:t>
            </w:r>
          </w:p>
        </w:tc>
        <w:tc>
          <w:tcPr>
            <w:tcW w:w="6330" w:type="dxa"/>
            <w:tcBorders>
              <w:top w:val="single" w:color="FFFFFF" w:sz="4" w:space="0"/>
              <w:left w:val="single" w:color="FFFFFF" w:sz="4" w:space="0"/>
              <w:bottom w:val="single" w:color="FFFFFF" w:sz="4" w:space="0"/>
              <w:right w:val="nil"/>
            </w:tcBorders>
            <w:shd w:val="clear" w:color="auto" w:fill="DBDBDB"/>
            <w:vAlign w:val="center"/>
            <w:hideMark/>
          </w:tcPr>
          <w:p w:rsidRPr="00D52F04" w:rsidR="00AD7899" w:rsidP="00F14198" w:rsidRDefault="00AD7899" w14:paraId="12C0342E" w14:textId="6F87185D">
            <w:pPr>
              <w:pStyle w:val="TableParagraph"/>
              <w:spacing w:line="213" w:lineRule="exact"/>
              <w:rPr>
                <w:rFonts w:asciiTheme="minorHAnsi" w:hAnsiTheme="minorHAnsi" w:cstheme="minorHAnsi"/>
                <w:sz w:val="18"/>
                <w:szCs w:val="18"/>
              </w:rPr>
            </w:pPr>
            <w:r w:rsidRPr="00D52F04">
              <w:rPr>
                <w:rFonts w:asciiTheme="minorHAnsi" w:hAnsiTheme="minorHAnsi" w:cstheme="minorHAnsi"/>
                <w:sz w:val="18"/>
                <w:szCs w:val="18"/>
              </w:rPr>
              <w:t>We maken gebruik van bestaande instrumenten om zo efficiënt mogelijk te zijn. Een deel van de langer lopende instrumenten is al (positief) geëvalueerd. Om het zo efficiënt mogelijk te laten zijn, worden de administratieve lasten zo veel mogelijk teruggedrongen. Dit vergt bijvoorbeeld een aanpassing in de nieuwe ronde sectorplannen. Ook worden bijvoorbeeld de middelen voor kennisveiligheid en cyberweerbaarheid via de reguliere bekostiging weggezet, omdat dit zo min mogelijk administratieve lasten vraagt en omdat instellingen zelf het best in staat zijn om de uitdagingen binnen hun eigen organisatie te identificeren.</w:t>
            </w:r>
          </w:p>
        </w:tc>
      </w:tr>
      <w:tr w:rsidRPr="00D52F04" w:rsidR="00AD7899" w:rsidTr="00F14198" w14:paraId="560B5C9B" w14:textId="77777777">
        <w:trPr>
          <w:trHeight w:val="983"/>
        </w:trPr>
        <w:tc>
          <w:tcPr>
            <w:tcW w:w="2640" w:type="dxa"/>
            <w:tcBorders>
              <w:top w:val="single" w:color="FFFFFF" w:sz="4" w:space="0"/>
              <w:left w:val="nil"/>
              <w:bottom w:val="single" w:color="FFFFFF" w:sz="4" w:space="0"/>
              <w:right w:val="single" w:color="FFFFFF" w:sz="4" w:space="0"/>
            </w:tcBorders>
            <w:shd w:val="clear" w:color="auto" w:fill="7A7A7A"/>
          </w:tcPr>
          <w:p w:rsidRPr="00D52F04" w:rsidR="00AD7899" w:rsidP="00F14198" w:rsidRDefault="00AD7899" w14:paraId="48DAA366" w14:textId="77777777">
            <w:pPr>
              <w:pStyle w:val="TableParagraph"/>
              <w:ind w:left="103" w:right="1066"/>
              <w:rPr>
                <w:rFonts w:asciiTheme="minorHAnsi" w:hAnsiTheme="minorHAnsi" w:cstheme="minorHAnsi"/>
                <w:b/>
                <w:color w:val="FFFFFF"/>
                <w:sz w:val="18"/>
                <w:szCs w:val="18"/>
              </w:rPr>
            </w:pPr>
          </w:p>
          <w:p w:rsidRPr="00D52F04" w:rsidR="00AD7899" w:rsidP="00F14198" w:rsidRDefault="00AD7899" w14:paraId="06BB4D9C" w14:textId="77777777">
            <w:pPr>
              <w:pStyle w:val="TableParagraph"/>
              <w:ind w:left="103" w:right="1066"/>
              <w:rPr>
                <w:rFonts w:asciiTheme="minorHAnsi" w:hAnsiTheme="minorHAnsi" w:cstheme="minorHAnsi"/>
                <w:i/>
                <w:sz w:val="18"/>
                <w:szCs w:val="18"/>
              </w:rPr>
            </w:pPr>
            <w:r w:rsidRPr="00D52F04">
              <w:rPr>
                <w:rFonts w:asciiTheme="minorHAnsi" w:hAnsiTheme="minorHAnsi" w:cstheme="minorHAnsi"/>
                <w:b/>
                <w:color w:val="FFFFFF"/>
                <w:sz w:val="18"/>
                <w:szCs w:val="18"/>
              </w:rPr>
              <w:t>Evaluatieparagraaf</w:t>
            </w:r>
          </w:p>
        </w:tc>
        <w:tc>
          <w:tcPr>
            <w:tcW w:w="6330" w:type="dxa"/>
            <w:tcBorders>
              <w:top w:val="single" w:color="FFFFFF" w:sz="4" w:space="0"/>
              <w:left w:val="single" w:color="FFFFFF" w:sz="4" w:space="0"/>
              <w:bottom w:val="single" w:color="FFFFFF" w:sz="4" w:space="0"/>
              <w:right w:val="nil"/>
            </w:tcBorders>
            <w:shd w:val="clear" w:color="auto" w:fill="DBDBDB"/>
            <w:vAlign w:val="center"/>
            <w:hideMark/>
          </w:tcPr>
          <w:p w:rsidRPr="00D52F04" w:rsidR="00AD7899" w:rsidP="00F14198" w:rsidRDefault="00AD7899" w14:paraId="5A9D0D12" w14:textId="77777777">
            <w:pPr>
              <w:pStyle w:val="TableParagraph"/>
              <w:spacing w:line="213" w:lineRule="exact"/>
              <w:rPr>
                <w:rFonts w:asciiTheme="minorHAnsi" w:hAnsiTheme="minorHAnsi" w:cstheme="minorHAnsi"/>
                <w:sz w:val="18"/>
                <w:szCs w:val="18"/>
              </w:rPr>
            </w:pPr>
            <w:r w:rsidRPr="00D52F04">
              <w:rPr>
                <w:rFonts w:asciiTheme="minorHAnsi" w:hAnsiTheme="minorHAnsi" w:cstheme="minorHAnsi"/>
                <w:sz w:val="18"/>
                <w:szCs w:val="18"/>
              </w:rPr>
              <w:t>Omdat het bestaande instrumenten betreft wordt er gebruik gemaakt van lopende monitoring en evaluatie. De planning van deze evaluaties staat in de Strategische Evaluatieagenda (SEA) bij de begroting. Met behulp van indicatoren op OCWincijfers.nl brengen we het doelbereik inzicht. Voor 2027 staat de periodieke rapportage onderzoek en wetenschapsbeleid gepland. Hierin wordt onder andere gekeken naar de doeltreffendheid en doelmatigheid van deze instrumenten binnen het geheel van het onderzoek- en wetenschapsbeleid.</w:t>
            </w:r>
          </w:p>
        </w:tc>
        <w:bookmarkEnd w:id="0"/>
      </w:tr>
    </w:tbl>
    <w:p w:rsidRPr="00D52F04" w:rsidR="005114EB" w:rsidP="00110591" w:rsidRDefault="005114EB" w14:paraId="6E226D5E" w14:textId="77777777">
      <w:pPr>
        <w:spacing w:line="276" w:lineRule="auto"/>
        <w:rPr>
          <w:szCs w:val="18"/>
        </w:rPr>
      </w:pPr>
    </w:p>
    <w:p w:rsidRPr="00D52F04" w:rsidR="00E64170" w:rsidP="00110591" w:rsidRDefault="00E64170" w14:paraId="2778C65C" w14:textId="77777777">
      <w:pPr>
        <w:spacing w:line="276" w:lineRule="auto"/>
        <w:rPr>
          <w:szCs w:val="18"/>
        </w:rPr>
      </w:pPr>
    </w:p>
    <w:p w:rsidRPr="00D52F04" w:rsidR="00E64170" w:rsidP="00110591" w:rsidRDefault="00E64170" w14:paraId="7402B04B" w14:textId="77777777">
      <w:pPr>
        <w:spacing w:line="276" w:lineRule="auto"/>
        <w:rPr>
          <w:szCs w:val="18"/>
        </w:rPr>
      </w:pPr>
    </w:p>
    <w:p w:rsidRPr="00D52F04" w:rsidR="00E64170" w:rsidP="00110591" w:rsidRDefault="00E64170" w14:paraId="1350A2E8" w14:textId="77777777">
      <w:pPr>
        <w:spacing w:line="276" w:lineRule="auto"/>
        <w:rPr>
          <w:szCs w:val="18"/>
        </w:rPr>
      </w:pPr>
    </w:p>
    <w:p w:rsidRPr="00D52F04" w:rsidR="00E64170" w:rsidP="00110591" w:rsidRDefault="00E64170" w14:paraId="2D882CF6" w14:textId="77777777">
      <w:pPr>
        <w:spacing w:line="276" w:lineRule="auto"/>
        <w:rPr>
          <w:szCs w:val="18"/>
        </w:rPr>
      </w:pPr>
    </w:p>
    <w:p w:rsidRPr="00D52F04" w:rsidR="00E64170" w:rsidP="00110591" w:rsidRDefault="00E64170" w14:paraId="7BF944E8" w14:textId="77777777">
      <w:pPr>
        <w:spacing w:line="276" w:lineRule="auto"/>
        <w:rPr>
          <w:szCs w:val="18"/>
        </w:rPr>
      </w:pPr>
    </w:p>
    <w:p w:rsidRPr="00D52F04" w:rsidR="00E64170" w:rsidP="00110591" w:rsidRDefault="00E64170" w14:paraId="5F910471" w14:textId="77777777">
      <w:pPr>
        <w:spacing w:line="276" w:lineRule="auto"/>
        <w:rPr>
          <w:szCs w:val="18"/>
        </w:rPr>
      </w:pPr>
    </w:p>
    <w:p w:rsidRPr="00D52F04" w:rsidR="00E64170" w:rsidP="00110591" w:rsidRDefault="00E64170" w14:paraId="6F725F0C" w14:textId="77777777">
      <w:pPr>
        <w:spacing w:line="276" w:lineRule="auto"/>
        <w:rPr>
          <w:szCs w:val="18"/>
        </w:rPr>
      </w:pPr>
    </w:p>
    <w:p w:rsidRPr="00D52F04" w:rsidR="00E64170" w:rsidP="00110591" w:rsidRDefault="00E64170" w14:paraId="52F65D46" w14:textId="77777777">
      <w:pPr>
        <w:spacing w:line="276" w:lineRule="auto"/>
        <w:rPr>
          <w:szCs w:val="18"/>
        </w:rPr>
      </w:pPr>
    </w:p>
    <w:p w:rsidRPr="00D52F04" w:rsidR="00E64170" w:rsidP="00110591" w:rsidRDefault="00E64170" w14:paraId="1D9F9836" w14:textId="77777777">
      <w:pPr>
        <w:spacing w:line="276" w:lineRule="auto"/>
        <w:rPr>
          <w:szCs w:val="18"/>
        </w:rPr>
      </w:pPr>
    </w:p>
    <w:p w:rsidRPr="00D52F04" w:rsidR="00E64170" w:rsidP="00110591" w:rsidRDefault="00E64170" w14:paraId="59BE9DCD" w14:textId="77777777">
      <w:pPr>
        <w:spacing w:line="276" w:lineRule="auto"/>
        <w:rPr>
          <w:szCs w:val="18"/>
        </w:rPr>
      </w:pPr>
    </w:p>
    <w:p w:rsidRPr="00D52F04" w:rsidR="00E64170" w:rsidP="00110591" w:rsidRDefault="00E64170" w14:paraId="4FD32FAC" w14:textId="77777777">
      <w:pPr>
        <w:spacing w:line="276" w:lineRule="auto"/>
        <w:rPr>
          <w:szCs w:val="18"/>
        </w:rPr>
      </w:pPr>
    </w:p>
    <w:p w:rsidRPr="00D52F04" w:rsidR="00E64170" w:rsidP="00110591" w:rsidRDefault="00E64170" w14:paraId="3CD06D58" w14:textId="77777777">
      <w:pPr>
        <w:spacing w:line="276" w:lineRule="auto"/>
        <w:rPr>
          <w:szCs w:val="18"/>
        </w:rPr>
      </w:pPr>
    </w:p>
    <w:p w:rsidRPr="00D52F04" w:rsidR="00E64170" w:rsidP="00110591" w:rsidRDefault="00E64170" w14:paraId="5AE659C9" w14:textId="77777777">
      <w:pPr>
        <w:spacing w:line="276" w:lineRule="auto"/>
        <w:rPr>
          <w:szCs w:val="18"/>
        </w:rPr>
      </w:pPr>
    </w:p>
    <w:p w:rsidRPr="00D52F04" w:rsidR="00E64170" w:rsidP="00110591" w:rsidRDefault="00E64170" w14:paraId="362A343E" w14:textId="77777777">
      <w:pPr>
        <w:spacing w:line="276" w:lineRule="auto"/>
        <w:rPr>
          <w:szCs w:val="18"/>
        </w:rPr>
      </w:pPr>
    </w:p>
    <w:p w:rsidRPr="00D52F04" w:rsidR="009A3201" w:rsidP="00110591" w:rsidRDefault="009A3201" w14:paraId="5E5BB089" w14:textId="0EFBC26A">
      <w:pPr>
        <w:spacing w:line="276" w:lineRule="auto"/>
        <w:rPr>
          <w:szCs w:val="18"/>
        </w:rPr>
        <w:sectPr w:rsidRPr="00D52F04" w:rsidR="009A3201"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aperSrc w:first="1" w:other="3"/>
          <w:pgNumType w:start="1"/>
          <w:cols w:space="708"/>
          <w:titlePg/>
          <w:docGrid w:linePitch="360"/>
        </w:sectPr>
      </w:pPr>
    </w:p>
    <w:tbl>
      <w:tblPr>
        <w:tblpPr w:leftFromText="141" w:rightFromText="141" w:vertAnchor="page" w:horzAnchor="margin" w:tblpY="1606"/>
        <w:tblW w:w="13341" w:type="dxa"/>
        <w:tblCellMar>
          <w:left w:w="70" w:type="dxa"/>
          <w:right w:w="70" w:type="dxa"/>
        </w:tblCellMar>
        <w:tblLook w:val="04A0" w:firstRow="1" w:lastRow="0" w:firstColumn="1" w:lastColumn="0" w:noHBand="0" w:noVBand="1"/>
      </w:tblPr>
      <w:tblGrid>
        <w:gridCol w:w="6521"/>
        <w:gridCol w:w="1180"/>
        <w:gridCol w:w="1180"/>
        <w:gridCol w:w="1180"/>
        <w:gridCol w:w="1180"/>
        <w:gridCol w:w="920"/>
        <w:gridCol w:w="1180"/>
      </w:tblGrid>
      <w:tr w:rsidRPr="00D52F04" w:rsidR="00E64170" w:rsidTr="00251BD0" w14:paraId="3AAAFACF" w14:textId="77777777">
        <w:trPr>
          <w:trHeight w:val="210"/>
        </w:trPr>
        <w:tc>
          <w:tcPr>
            <w:tcW w:w="6521" w:type="dxa"/>
            <w:tcBorders>
              <w:top w:val="nil"/>
              <w:left w:val="nil"/>
              <w:bottom w:val="nil"/>
              <w:right w:val="nil"/>
            </w:tcBorders>
            <w:noWrap/>
            <w:vAlign w:val="center"/>
          </w:tcPr>
          <w:p w:rsidRPr="00D52F04" w:rsidR="00E64170" w:rsidP="009A3201" w:rsidRDefault="009A3201" w14:paraId="1CF31268" w14:textId="30C24361">
            <w:pPr>
              <w:spacing w:line="276" w:lineRule="auto"/>
              <w:rPr>
                <w:i/>
                <w:iCs/>
                <w:color w:val="000000"/>
                <w:sz w:val="16"/>
                <w:szCs w:val="16"/>
              </w:rPr>
            </w:pPr>
            <w:r w:rsidRPr="00D52F04">
              <w:rPr>
                <w:i/>
                <w:iCs/>
                <w:color w:val="000000"/>
                <w:sz w:val="16"/>
                <w:szCs w:val="16"/>
              </w:rPr>
              <w:lastRenderedPageBreak/>
              <w:t>B</w:t>
            </w:r>
            <w:r w:rsidRPr="00D52F04" w:rsidR="00E64170">
              <w:rPr>
                <w:i/>
                <w:iCs/>
                <w:color w:val="000000"/>
                <w:sz w:val="16"/>
                <w:szCs w:val="16"/>
              </w:rPr>
              <w:t>edragen * € 1000</w:t>
            </w:r>
          </w:p>
        </w:tc>
        <w:tc>
          <w:tcPr>
            <w:tcW w:w="1180" w:type="dxa"/>
            <w:tcBorders>
              <w:top w:val="nil"/>
              <w:left w:val="nil"/>
              <w:bottom w:val="nil"/>
              <w:right w:val="nil"/>
            </w:tcBorders>
            <w:noWrap/>
            <w:vAlign w:val="center"/>
          </w:tcPr>
          <w:p w:rsidRPr="00D52F04" w:rsidR="00E64170" w:rsidP="009A3201" w:rsidRDefault="00E64170" w14:paraId="3415EB16" w14:textId="77777777">
            <w:pPr>
              <w:spacing w:line="276" w:lineRule="auto"/>
              <w:jc w:val="center"/>
              <w:rPr>
                <w:b/>
                <w:bCs/>
                <w:color w:val="000000"/>
                <w:sz w:val="16"/>
                <w:szCs w:val="16"/>
              </w:rPr>
            </w:pPr>
            <w:r w:rsidRPr="00D52F04">
              <w:rPr>
                <w:b/>
                <w:bCs/>
                <w:color w:val="000000"/>
                <w:sz w:val="16"/>
                <w:szCs w:val="16"/>
              </w:rPr>
              <w:t>2027</w:t>
            </w:r>
          </w:p>
        </w:tc>
        <w:tc>
          <w:tcPr>
            <w:tcW w:w="1180" w:type="dxa"/>
            <w:tcBorders>
              <w:top w:val="nil"/>
              <w:left w:val="nil"/>
              <w:bottom w:val="nil"/>
              <w:right w:val="nil"/>
            </w:tcBorders>
            <w:noWrap/>
            <w:vAlign w:val="center"/>
          </w:tcPr>
          <w:p w:rsidRPr="00D52F04" w:rsidR="00E64170" w:rsidP="009A3201" w:rsidRDefault="00E64170" w14:paraId="47E87386" w14:textId="77777777">
            <w:pPr>
              <w:spacing w:line="276" w:lineRule="auto"/>
              <w:jc w:val="center"/>
              <w:rPr>
                <w:b/>
                <w:bCs/>
                <w:color w:val="000000"/>
                <w:sz w:val="16"/>
                <w:szCs w:val="16"/>
              </w:rPr>
            </w:pPr>
            <w:r w:rsidRPr="00D52F04">
              <w:rPr>
                <w:b/>
                <w:bCs/>
                <w:color w:val="000000"/>
                <w:sz w:val="16"/>
                <w:szCs w:val="16"/>
              </w:rPr>
              <w:t>2028</w:t>
            </w:r>
          </w:p>
        </w:tc>
        <w:tc>
          <w:tcPr>
            <w:tcW w:w="1180" w:type="dxa"/>
            <w:tcBorders>
              <w:top w:val="nil"/>
              <w:left w:val="nil"/>
              <w:bottom w:val="nil"/>
              <w:right w:val="nil"/>
            </w:tcBorders>
            <w:noWrap/>
            <w:vAlign w:val="center"/>
          </w:tcPr>
          <w:p w:rsidRPr="00D52F04" w:rsidR="00E64170" w:rsidP="009A3201" w:rsidRDefault="00E64170" w14:paraId="3BA4AEED" w14:textId="77777777">
            <w:pPr>
              <w:spacing w:line="276" w:lineRule="auto"/>
              <w:jc w:val="center"/>
              <w:rPr>
                <w:b/>
                <w:bCs/>
                <w:color w:val="000000"/>
                <w:sz w:val="16"/>
                <w:szCs w:val="16"/>
              </w:rPr>
            </w:pPr>
            <w:r w:rsidRPr="00D52F04">
              <w:rPr>
                <w:b/>
                <w:bCs/>
                <w:color w:val="000000"/>
                <w:sz w:val="16"/>
                <w:szCs w:val="16"/>
              </w:rPr>
              <w:t>2029</w:t>
            </w:r>
          </w:p>
        </w:tc>
        <w:tc>
          <w:tcPr>
            <w:tcW w:w="1180" w:type="dxa"/>
            <w:tcBorders>
              <w:top w:val="nil"/>
              <w:left w:val="nil"/>
              <w:bottom w:val="nil"/>
              <w:right w:val="nil"/>
            </w:tcBorders>
            <w:noWrap/>
            <w:vAlign w:val="center"/>
          </w:tcPr>
          <w:p w:rsidRPr="00D52F04" w:rsidR="00E64170" w:rsidP="009A3201" w:rsidRDefault="00E64170" w14:paraId="37D78C5F" w14:textId="77777777">
            <w:pPr>
              <w:spacing w:line="276" w:lineRule="auto"/>
              <w:jc w:val="center"/>
              <w:rPr>
                <w:b/>
                <w:bCs/>
                <w:color w:val="000000"/>
                <w:sz w:val="16"/>
                <w:szCs w:val="16"/>
              </w:rPr>
            </w:pPr>
            <w:r w:rsidRPr="00D52F04">
              <w:rPr>
                <w:b/>
                <w:bCs/>
                <w:color w:val="000000"/>
                <w:sz w:val="16"/>
                <w:szCs w:val="16"/>
              </w:rPr>
              <w:t>2030</w:t>
            </w:r>
          </w:p>
        </w:tc>
        <w:tc>
          <w:tcPr>
            <w:tcW w:w="920" w:type="dxa"/>
            <w:tcBorders>
              <w:top w:val="nil"/>
              <w:left w:val="nil"/>
              <w:bottom w:val="nil"/>
              <w:right w:val="nil"/>
            </w:tcBorders>
            <w:noWrap/>
            <w:vAlign w:val="center"/>
          </w:tcPr>
          <w:p w:rsidRPr="00D52F04" w:rsidR="00E64170" w:rsidP="009A3201" w:rsidRDefault="00E64170" w14:paraId="6330DCEB" w14:textId="77777777">
            <w:pPr>
              <w:spacing w:line="276" w:lineRule="auto"/>
              <w:jc w:val="center"/>
              <w:rPr>
                <w:b/>
                <w:bCs/>
                <w:color w:val="000000"/>
                <w:sz w:val="16"/>
                <w:szCs w:val="16"/>
              </w:rPr>
            </w:pPr>
            <w:r w:rsidRPr="00D52F04">
              <w:rPr>
                <w:b/>
                <w:bCs/>
                <w:color w:val="000000"/>
                <w:sz w:val="16"/>
                <w:szCs w:val="16"/>
              </w:rPr>
              <w:t>2031</w:t>
            </w:r>
          </w:p>
        </w:tc>
        <w:tc>
          <w:tcPr>
            <w:tcW w:w="1180" w:type="dxa"/>
            <w:tcBorders>
              <w:top w:val="nil"/>
              <w:left w:val="nil"/>
              <w:bottom w:val="nil"/>
              <w:right w:val="nil"/>
            </w:tcBorders>
            <w:noWrap/>
            <w:vAlign w:val="center"/>
          </w:tcPr>
          <w:p w:rsidRPr="00D52F04" w:rsidR="00E64170" w:rsidP="009A3201" w:rsidRDefault="00E64170" w14:paraId="64981D5A" w14:textId="77777777">
            <w:pPr>
              <w:spacing w:line="276" w:lineRule="auto"/>
              <w:jc w:val="center"/>
              <w:rPr>
                <w:b/>
                <w:bCs/>
                <w:color w:val="000000"/>
                <w:sz w:val="16"/>
                <w:szCs w:val="16"/>
              </w:rPr>
            </w:pPr>
            <w:proofErr w:type="spellStart"/>
            <w:r w:rsidRPr="00D52F04">
              <w:rPr>
                <w:b/>
                <w:bCs/>
                <w:color w:val="000000"/>
                <w:sz w:val="16"/>
                <w:szCs w:val="16"/>
              </w:rPr>
              <w:t>Struc</w:t>
            </w:r>
            <w:proofErr w:type="spellEnd"/>
            <w:r w:rsidRPr="00D52F04">
              <w:rPr>
                <w:b/>
                <w:bCs/>
                <w:color w:val="000000"/>
                <w:sz w:val="16"/>
                <w:szCs w:val="16"/>
              </w:rPr>
              <w:t>.</w:t>
            </w:r>
          </w:p>
        </w:tc>
      </w:tr>
      <w:tr w:rsidRPr="00D52F04" w:rsidR="00E64170" w:rsidTr="00251BD0" w14:paraId="71D4AFFE" w14:textId="77777777">
        <w:trPr>
          <w:trHeight w:val="210"/>
        </w:trPr>
        <w:tc>
          <w:tcPr>
            <w:tcW w:w="6521" w:type="dxa"/>
            <w:tcBorders>
              <w:top w:val="nil"/>
              <w:left w:val="nil"/>
              <w:bottom w:val="nil"/>
              <w:right w:val="nil"/>
            </w:tcBorders>
            <w:noWrap/>
            <w:vAlign w:val="center"/>
            <w:hideMark/>
          </w:tcPr>
          <w:p w:rsidRPr="00D52F04" w:rsidR="00E64170" w:rsidP="009A3201" w:rsidRDefault="00E64170" w14:paraId="4C64AD5E" w14:textId="77777777">
            <w:pPr>
              <w:spacing w:line="276" w:lineRule="auto"/>
              <w:rPr>
                <w:color w:val="000000"/>
                <w:sz w:val="16"/>
                <w:szCs w:val="16"/>
              </w:rPr>
            </w:pPr>
            <w:r w:rsidRPr="00D52F04">
              <w:rPr>
                <w:color w:val="000000"/>
                <w:sz w:val="16"/>
                <w:szCs w:val="16"/>
              </w:rPr>
              <w:t xml:space="preserve">Infrastructuur: </w:t>
            </w:r>
            <w:proofErr w:type="spellStart"/>
            <w:r w:rsidRPr="00D52F04">
              <w:rPr>
                <w:color w:val="000000"/>
                <w:sz w:val="16"/>
                <w:szCs w:val="16"/>
              </w:rPr>
              <w:t>onderzoeksinfrastructuur</w:t>
            </w:r>
            <w:proofErr w:type="spellEnd"/>
            <w:r w:rsidRPr="00D52F04">
              <w:rPr>
                <w:color w:val="000000"/>
                <w:sz w:val="16"/>
                <w:szCs w:val="16"/>
              </w:rPr>
              <w:t xml:space="preserve"> </w:t>
            </w:r>
          </w:p>
        </w:tc>
        <w:tc>
          <w:tcPr>
            <w:tcW w:w="1180" w:type="dxa"/>
            <w:tcBorders>
              <w:top w:val="nil"/>
              <w:left w:val="nil"/>
              <w:bottom w:val="nil"/>
              <w:right w:val="nil"/>
            </w:tcBorders>
            <w:noWrap/>
            <w:vAlign w:val="center"/>
            <w:hideMark/>
          </w:tcPr>
          <w:p w:rsidRPr="00D52F04" w:rsidR="00E64170" w:rsidP="009A3201" w:rsidRDefault="00E64170" w14:paraId="4D5BC4A4" w14:textId="77777777">
            <w:pPr>
              <w:spacing w:line="276" w:lineRule="auto"/>
              <w:jc w:val="right"/>
              <w:rPr>
                <w:color w:val="000000"/>
                <w:sz w:val="16"/>
                <w:szCs w:val="16"/>
              </w:rPr>
            </w:pPr>
            <w:r w:rsidRPr="00D52F04">
              <w:rPr>
                <w:color w:val="000000"/>
                <w:sz w:val="16"/>
                <w:szCs w:val="16"/>
              </w:rPr>
              <w:t xml:space="preserve">       31.000 </w:t>
            </w:r>
          </w:p>
        </w:tc>
        <w:tc>
          <w:tcPr>
            <w:tcW w:w="1180" w:type="dxa"/>
            <w:tcBorders>
              <w:top w:val="nil"/>
              <w:left w:val="nil"/>
              <w:bottom w:val="nil"/>
              <w:right w:val="nil"/>
            </w:tcBorders>
            <w:noWrap/>
            <w:vAlign w:val="center"/>
            <w:hideMark/>
          </w:tcPr>
          <w:p w:rsidRPr="00D52F04" w:rsidR="00E64170" w:rsidP="009A3201" w:rsidRDefault="00E64170" w14:paraId="5493AB15" w14:textId="77777777">
            <w:pPr>
              <w:spacing w:line="276" w:lineRule="auto"/>
              <w:jc w:val="right"/>
              <w:rPr>
                <w:color w:val="000000"/>
                <w:sz w:val="16"/>
                <w:szCs w:val="16"/>
              </w:rPr>
            </w:pPr>
            <w:r w:rsidRPr="00D52F04">
              <w:rPr>
                <w:color w:val="000000"/>
                <w:sz w:val="16"/>
                <w:szCs w:val="16"/>
              </w:rPr>
              <w:t xml:space="preserve">       31.000 </w:t>
            </w:r>
          </w:p>
        </w:tc>
        <w:tc>
          <w:tcPr>
            <w:tcW w:w="1180" w:type="dxa"/>
            <w:tcBorders>
              <w:top w:val="nil"/>
              <w:left w:val="nil"/>
              <w:bottom w:val="nil"/>
              <w:right w:val="nil"/>
            </w:tcBorders>
            <w:noWrap/>
            <w:vAlign w:val="center"/>
            <w:hideMark/>
          </w:tcPr>
          <w:p w:rsidRPr="00D52F04" w:rsidR="00E64170" w:rsidP="009A3201" w:rsidRDefault="00E64170" w14:paraId="401726DC" w14:textId="77777777">
            <w:pPr>
              <w:spacing w:line="276" w:lineRule="auto"/>
              <w:jc w:val="right"/>
              <w:rPr>
                <w:color w:val="000000"/>
                <w:sz w:val="16"/>
                <w:szCs w:val="16"/>
              </w:rPr>
            </w:pPr>
            <w:r w:rsidRPr="00D52F04">
              <w:rPr>
                <w:color w:val="000000"/>
                <w:sz w:val="16"/>
                <w:szCs w:val="16"/>
              </w:rPr>
              <w:t xml:space="preserve">       31.000 </w:t>
            </w:r>
          </w:p>
        </w:tc>
        <w:tc>
          <w:tcPr>
            <w:tcW w:w="1180" w:type="dxa"/>
            <w:tcBorders>
              <w:top w:val="nil"/>
              <w:left w:val="nil"/>
              <w:bottom w:val="nil"/>
              <w:right w:val="nil"/>
            </w:tcBorders>
            <w:noWrap/>
            <w:vAlign w:val="center"/>
            <w:hideMark/>
          </w:tcPr>
          <w:p w:rsidRPr="00D52F04" w:rsidR="00E64170" w:rsidP="009A3201" w:rsidRDefault="00E64170" w14:paraId="533AA4C8" w14:textId="77777777">
            <w:pPr>
              <w:spacing w:line="276" w:lineRule="auto"/>
              <w:jc w:val="right"/>
              <w:rPr>
                <w:color w:val="000000"/>
                <w:sz w:val="16"/>
                <w:szCs w:val="16"/>
              </w:rPr>
            </w:pPr>
            <w:r w:rsidRPr="00D52F04">
              <w:rPr>
                <w:color w:val="000000"/>
                <w:sz w:val="16"/>
                <w:szCs w:val="16"/>
              </w:rPr>
              <w:t xml:space="preserve">       31.000 </w:t>
            </w:r>
          </w:p>
        </w:tc>
        <w:tc>
          <w:tcPr>
            <w:tcW w:w="920" w:type="dxa"/>
            <w:tcBorders>
              <w:top w:val="nil"/>
              <w:left w:val="nil"/>
              <w:bottom w:val="nil"/>
              <w:right w:val="nil"/>
            </w:tcBorders>
            <w:noWrap/>
            <w:vAlign w:val="center"/>
            <w:hideMark/>
          </w:tcPr>
          <w:p w:rsidRPr="00D52F04" w:rsidR="00E64170" w:rsidP="009A3201" w:rsidRDefault="00E64170" w14:paraId="0BD064DA" w14:textId="77777777">
            <w:pPr>
              <w:spacing w:line="276" w:lineRule="auto"/>
              <w:jc w:val="right"/>
              <w:rPr>
                <w:color w:val="000000"/>
                <w:sz w:val="16"/>
                <w:szCs w:val="16"/>
              </w:rPr>
            </w:pPr>
            <w:r w:rsidRPr="00D52F04">
              <w:rPr>
                <w:color w:val="000000"/>
                <w:sz w:val="16"/>
                <w:szCs w:val="16"/>
              </w:rPr>
              <w:t xml:space="preserve">   31.000 </w:t>
            </w:r>
          </w:p>
        </w:tc>
        <w:tc>
          <w:tcPr>
            <w:tcW w:w="1180" w:type="dxa"/>
            <w:tcBorders>
              <w:top w:val="nil"/>
              <w:left w:val="nil"/>
              <w:bottom w:val="nil"/>
              <w:right w:val="nil"/>
            </w:tcBorders>
            <w:noWrap/>
            <w:vAlign w:val="center"/>
            <w:hideMark/>
          </w:tcPr>
          <w:p w:rsidRPr="00D52F04" w:rsidR="00E64170" w:rsidP="009A3201" w:rsidRDefault="00E64170" w14:paraId="54B9AAA7" w14:textId="77777777">
            <w:pPr>
              <w:spacing w:line="276" w:lineRule="auto"/>
              <w:jc w:val="right"/>
              <w:rPr>
                <w:color w:val="000000"/>
                <w:sz w:val="16"/>
                <w:szCs w:val="16"/>
              </w:rPr>
            </w:pPr>
            <w:r w:rsidRPr="00D52F04">
              <w:rPr>
                <w:color w:val="000000"/>
                <w:sz w:val="16"/>
                <w:szCs w:val="16"/>
              </w:rPr>
              <w:t xml:space="preserve">       54.000 </w:t>
            </w:r>
          </w:p>
        </w:tc>
      </w:tr>
      <w:tr w:rsidRPr="00D52F04" w:rsidR="00E64170" w:rsidTr="00251BD0" w14:paraId="428FBC1A" w14:textId="77777777">
        <w:trPr>
          <w:trHeight w:val="210"/>
        </w:trPr>
        <w:tc>
          <w:tcPr>
            <w:tcW w:w="6521" w:type="dxa"/>
            <w:tcBorders>
              <w:top w:val="nil"/>
              <w:left w:val="nil"/>
              <w:bottom w:val="nil"/>
              <w:right w:val="nil"/>
            </w:tcBorders>
            <w:shd w:val="clear" w:color="000000" w:fill="E8E8E8"/>
            <w:noWrap/>
            <w:vAlign w:val="center"/>
            <w:hideMark/>
          </w:tcPr>
          <w:p w:rsidRPr="00D52F04" w:rsidR="00E64170" w:rsidP="009A3201" w:rsidRDefault="00E64170" w14:paraId="07708FA0" w14:textId="23BA7B6E">
            <w:pPr>
              <w:spacing w:line="276" w:lineRule="auto"/>
              <w:ind w:firstLine="320" w:firstLineChars="200"/>
              <w:rPr>
                <w:color w:val="000000"/>
                <w:sz w:val="16"/>
                <w:szCs w:val="16"/>
              </w:rPr>
            </w:pPr>
            <w:r w:rsidRPr="00D52F04">
              <w:rPr>
                <w:color w:val="000000"/>
                <w:sz w:val="16"/>
                <w:szCs w:val="16"/>
              </w:rPr>
              <w:t>Infra via NWO (</w:t>
            </w:r>
            <w:r w:rsidR="00B41BE8">
              <w:rPr>
                <w:color w:val="000000"/>
                <w:sz w:val="16"/>
                <w:szCs w:val="16"/>
              </w:rPr>
              <w:t xml:space="preserve">o.a. </w:t>
            </w:r>
            <w:r w:rsidRPr="00D52F04">
              <w:rPr>
                <w:color w:val="000000"/>
                <w:sz w:val="16"/>
                <w:szCs w:val="16"/>
              </w:rPr>
              <w:t>digitaal, exploitatie ET-LFC</w:t>
            </w:r>
            <w:r w:rsidR="00CB53FD">
              <w:rPr>
                <w:color w:val="000000"/>
                <w:sz w:val="16"/>
                <w:szCs w:val="16"/>
              </w:rPr>
              <w:t>, lidmaatschappenportfolio</w:t>
            </w:r>
            <w:r w:rsidRPr="00D52F04">
              <w:rPr>
                <w:color w:val="000000"/>
                <w:sz w:val="16"/>
                <w:szCs w:val="16"/>
              </w:rPr>
              <w:t xml:space="preserve">) </w:t>
            </w:r>
          </w:p>
        </w:tc>
        <w:tc>
          <w:tcPr>
            <w:tcW w:w="1180" w:type="dxa"/>
            <w:tcBorders>
              <w:top w:val="nil"/>
              <w:left w:val="nil"/>
              <w:bottom w:val="nil"/>
              <w:right w:val="nil"/>
            </w:tcBorders>
            <w:shd w:val="clear" w:color="000000" w:fill="E8E8E8"/>
            <w:noWrap/>
            <w:vAlign w:val="center"/>
            <w:hideMark/>
          </w:tcPr>
          <w:p w:rsidRPr="00D52F04" w:rsidR="00E64170" w:rsidP="009A3201" w:rsidRDefault="00E64170" w14:paraId="0442936B" w14:textId="77777777">
            <w:pPr>
              <w:spacing w:line="276" w:lineRule="auto"/>
              <w:jc w:val="right"/>
              <w:rPr>
                <w:i/>
                <w:iCs/>
                <w:color w:val="000000"/>
                <w:sz w:val="16"/>
                <w:szCs w:val="16"/>
              </w:rPr>
            </w:pPr>
            <w:r w:rsidRPr="00D52F04">
              <w:rPr>
                <w:i/>
                <w:iCs/>
                <w:color w:val="000000"/>
                <w:sz w:val="16"/>
                <w:szCs w:val="16"/>
              </w:rPr>
              <w:t xml:space="preserve">       27.800 </w:t>
            </w:r>
          </w:p>
        </w:tc>
        <w:tc>
          <w:tcPr>
            <w:tcW w:w="1180" w:type="dxa"/>
            <w:tcBorders>
              <w:top w:val="nil"/>
              <w:left w:val="nil"/>
              <w:bottom w:val="nil"/>
              <w:right w:val="nil"/>
            </w:tcBorders>
            <w:shd w:val="clear" w:color="000000" w:fill="E8E8E8"/>
            <w:noWrap/>
            <w:vAlign w:val="center"/>
            <w:hideMark/>
          </w:tcPr>
          <w:p w:rsidRPr="00D52F04" w:rsidR="00E64170" w:rsidP="009A3201" w:rsidRDefault="00E64170" w14:paraId="091E1C62" w14:textId="77777777">
            <w:pPr>
              <w:spacing w:line="276" w:lineRule="auto"/>
              <w:jc w:val="right"/>
              <w:rPr>
                <w:i/>
                <w:iCs/>
                <w:color w:val="000000"/>
                <w:sz w:val="16"/>
                <w:szCs w:val="16"/>
              </w:rPr>
            </w:pPr>
            <w:r w:rsidRPr="00D52F04">
              <w:rPr>
                <w:i/>
                <w:iCs/>
                <w:color w:val="000000"/>
                <w:sz w:val="16"/>
                <w:szCs w:val="16"/>
              </w:rPr>
              <w:t xml:space="preserve">       27.500 </w:t>
            </w:r>
          </w:p>
        </w:tc>
        <w:tc>
          <w:tcPr>
            <w:tcW w:w="1180" w:type="dxa"/>
            <w:tcBorders>
              <w:top w:val="nil"/>
              <w:left w:val="nil"/>
              <w:bottom w:val="nil"/>
              <w:right w:val="nil"/>
            </w:tcBorders>
            <w:shd w:val="clear" w:color="000000" w:fill="E8E8E8"/>
            <w:noWrap/>
            <w:vAlign w:val="center"/>
            <w:hideMark/>
          </w:tcPr>
          <w:p w:rsidRPr="00D52F04" w:rsidR="00E64170" w:rsidP="009A3201" w:rsidRDefault="00E64170" w14:paraId="63338B08" w14:textId="77777777">
            <w:pPr>
              <w:spacing w:line="276" w:lineRule="auto"/>
              <w:jc w:val="right"/>
              <w:rPr>
                <w:i/>
                <w:iCs/>
                <w:color w:val="000000"/>
                <w:sz w:val="16"/>
                <w:szCs w:val="16"/>
              </w:rPr>
            </w:pPr>
            <w:r w:rsidRPr="00D52F04">
              <w:rPr>
                <w:i/>
                <w:iCs/>
                <w:color w:val="000000"/>
                <w:sz w:val="16"/>
                <w:szCs w:val="16"/>
              </w:rPr>
              <w:t xml:space="preserve">       27.000 </w:t>
            </w:r>
          </w:p>
        </w:tc>
        <w:tc>
          <w:tcPr>
            <w:tcW w:w="1180" w:type="dxa"/>
            <w:tcBorders>
              <w:top w:val="nil"/>
              <w:left w:val="nil"/>
              <w:bottom w:val="nil"/>
              <w:right w:val="nil"/>
            </w:tcBorders>
            <w:shd w:val="clear" w:color="000000" w:fill="E8E8E8"/>
            <w:noWrap/>
            <w:vAlign w:val="center"/>
            <w:hideMark/>
          </w:tcPr>
          <w:p w:rsidRPr="00D52F04" w:rsidR="00E64170" w:rsidP="009A3201" w:rsidRDefault="00E64170" w14:paraId="4B698AEC" w14:textId="77777777">
            <w:pPr>
              <w:spacing w:line="276" w:lineRule="auto"/>
              <w:jc w:val="right"/>
              <w:rPr>
                <w:i/>
                <w:iCs/>
                <w:color w:val="000000"/>
                <w:sz w:val="16"/>
                <w:szCs w:val="16"/>
              </w:rPr>
            </w:pPr>
            <w:r w:rsidRPr="00D52F04">
              <w:rPr>
                <w:i/>
                <w:iCs/>
                <w:color w:val="000000"/>
                <w:sz w:val="16"/>
                <w:szCs w:val="16"/>
              </w:rPr>
              <w:t xml:space="preserve">       27.000 </w:t>
            </w:r>
          </w:p>
        </w:tc>
        <w:tc>
          <w:tcPr>
            <w:tcW w:w="920" w:type="dxa"/>
            <w:tcBorders>
              <w:top w:val="nil"/>
              <w:left w:val="nil"/>
              <w:bottom w:val="nil"/>
              <w:right w:val="nil"/>
            </w:tcBorders>
            <w:shd w:val="clear" w:color="000000" w:fill="E8E8E8"/>
            <w:noWrap/>
            <w:vAlign w:val="center"/>
            <w:hideMark/>
          </w:tcPr>
          <w:p w:rsidRPr="00D52F04" w:rsidR="00E64170" w:rsidP="009A3201" w:rsidRDefault="00E64170" w14:paraId="2B03517C" w14:textId="77777777">
            <w:pPr>
              <w:spacing w:line="276" w:lineRule="auto"/>
              <w:jc w:val="right"/>
              <w:rPr>
                <w:i/>
                <w:iCs/>
                <w:color w:val="000000"/>
                <w:sz w:val="16"/>
                <w:szCs w:val="16"/>
              </w:rPr>
            </w:pPr>
            <w:r w:rsidRPr="00D52F04">
              <w:rPr>
                <w:i/>
                <w:iCs/>
                <w:color w:val="000000"/>
                <w:sz w:val="16"/>
                <w:szCs w:val="16"/>
              </w:rPr>
              <w:t xml:space="preserve">  22.300 </w:t>
            </w:r>
          </w:p>
        </w:tc>
        <w:tc>
          <w:tcPr>
            <w:tcW w:w="1180" w:type="dxa"/>
            <w:tcBorders>
              <w:top w:val="nil"/>
              <w:left w:val="nil"/>
              <w:bottom w:val="nil"/>
              <w:right w:val="nil"/>
            </w:tcBorders>
            <w:shd w:val="clear" w:color="000000" w:fill="E8E8E8"/>
            <w:noWrap/>
            <w:vAlign w:val="center"/>
            <w:hideMark/>
          </w:tcPr>
          <w:p w:rsidRPr="00D52F04" w:rsidR="00E64170" w:rsidP="009A3201" w:rsidRDefault="00E64170" w14:paraId="3959BC0B" w14:textId="7211E4DA">
            <w:pPr>
              <w:spacing w:line="276" w:lineRule="auto"/>
              <w:jc w:val="right"/>
              <w:rPr>
                <w:i/>
                <w:iCs/>
                <w:color w:val="000000"/>
                <w:sz w:val="16"/>
                <w:szCs w:val="16"/>
              </w:rPr>
            </w:pPr>
            <w:r w:rsidRPr="00D52F04">
              <w:rPr>
                <w:i/>
                <w:iCs/>
                <w:color w:val="000000"/>
                <w:sz w:val="16"/>
                <w:szCs w:val="16"/>
              </w:rPr>
              <w:t xml:space="preserve">       </w:t>
            </w:r>
            <w:r w:rsidR="002C4410">
              <w:rPr>
                <w:i/>
                <w:iCs/>
                <w:color w:val="000000"/>
                <w:sz w:val="16"/>
                <w:szCs w:val="16"/>
              </w:rPr>
              <w:t>3</w:t>
            </w:r>
            <w:r w:rsidRPr="00D52F04">
              <w:rPr>
                <w:i/>
                <w:iCs/>
                <w:color w:val="000000"/>
                <w:sz w:val="16"/>
                <w:szCs w:val="16"/>
              </w:rPr>
              <w:t xml:space="preserve">5.300 </w:t>
            </w:r>
          </w:p>
        </w:tc>
      </w:tr>
      <w:tr w:rsidRPr="00D52F04" w:rsidR="00E64170" w:rsidTr="00251BD0" w14:paraId="69A8049D" w14:textId="77777777">
        <w:trPr>
          <w:trHeight w:val="210"/>
        </w:trPr>
        <w:tc>
          <w:tcPr>
            <w:tcW w:w="6521" w:type="dxa"/>
            <w:tcBorders>
              <w:top w:val="nil"/>
              <w:left w:val="nil"/>
              <w:bottom w:val="nil"/>
              <w:right w:val="nil"/>
            </w:tcBorders>
            <w:shd w:val="clear" w:color="000000" w:fill="E8E8E8"/>
            <w:noWrap/>
            <w:vAlign w:val="center"/>
            <w:hideMark/>
          </w:tcPr>
          <w:p w:rsidRPr="00D52F04" w:rsidR="00E64170" w:rsidP="009A3201" w:rsidRDefault="00E64170" w14:paraId="1F2FFD93" w14:textId="77777777">
            <w:pPr>
              <w:spacing w:line="276" w:lineRule="auto"/>
              <w:ind w:firstLine="320" w:firstLineChars="200"/>
              <w:rPr>
                <w:color w:val="000000"/>
                <w:sz w:val="16"/>
                <w:szCs w:val="16"/>
              </w:rPr>
            </w:pPr>
            <w:r w:rsidRPr="00D52F04">
              <w:rPr>
                <w:color w:val="000000"/>
                <w:sz w:val="16"/>
                <w:szCs w:val="16"/>
              </w:rPr>
              <w:t>SKAO</w:t>
            </w:r>
          </w:p>
        </w:tc>
        <w:tc>
          <w:tcPr>
            <w:tcW w:w="1180" w:type="dxa"/>
            <w:tcBorders>
              <w:top w:val="nil"/>
              <w:left w:val="nil"/>
              <w:bottom w:val="nil"/>
              <w:right w:val="nil"/>
            </w:tcBorders>
            <w:shd w:val="clear" w:color="000000" w:fill="E8E8E8"/>
            <w:noWrap/>
            <w:vAlign w:val="center"/>
            <w:hideMark/>
          </w:tcPr>
          <w:p w:rsidRPr="00D52F04" w:rsidR="00E64170" w:rsidP="009A3201" w:rsidRDefault="00E64170" w14:paraId="0F1FB8DC" w14:textId="77777777">
            <w:pPr>
              <w:spacing w:line="276" w:lineRule="auto"/>
              <w:jc w:val="right"/>
              <w:rPr>
                <w:i/>
                <w:iCs/>
                <w:color w:val="000000"/>
                <w:sz w:val="16"/>
                <w:szCs w:val="16"/>
              </w:rPr>
            </w:pPr>
            <w:r w:rsidRPr="00D52F04">
              <w:rPr>
                <w:i/>
                <w:iCs/>
                <w:color w:val="000000"/>
                <w:sz w:val="16"/>
                <w:szCs w:val="16"/>
              </w:rPr>
              <w:t xml:space="preserve">         3.200 </w:t>
            </w:r>
          </w:p>
        </w:tc>
        <w:tc>
          <w:tcPr>
            <w:tcW w:w="1180" w:type="dxa"/>
            <w:tcBorders>
              <w:top w:val="nil"/>
              <w:left w:val="nil"/>
              <w:bottom w:val="nil"/>
              <w:right w:val="nil"/>
            </w:tcBorders>
            <w:shd w:val="clear" w:color="000000" w:fill="E8E8E8"/>
            <w:noWrap/>
            <w:vAlign w:val="center"/>
            <w:hideMark/>
          </w:tcPr>
          <w:p w:rsidRPr="00D52F04" w:rsidR="00E64170" w:rsidP="009A3201" w:rsidRDefault="00E64170" w14:paraId="4F039C33" w14:textId="77777777">
            <w:pPr>
              <w:spacing w:line="276" w:lineRule="auto"/>
              <w:jc w:val="right"/>
              <w:rPr>
                <w:i/>
                <w:iCs/>
                <w:color w:val="000000"/>
                <w:sz w:val="16"/>
                <w:szCs w:val="16"/>
              </w:rPr>
            </w:pPr>
            <w:r w:rsidRPr="00D52F04">
              <w:rPr>
                <w:i/>
                <w:iCs/>
                <w:color w:val="000000"/>
                <w:sz w:val="16"/>
                <w:szCs w:val="16"/>
              </w:rPr>
              <w:t xml:space="preserve">         3.500 </w:t>
            </w:r>
          </w:p>
        </w:tc>
        <w:tc>
          <w:tcPr>
            <w:tcW w:w="1180" w:type="dxa"/>
            <w:tcBorders>
              <w:top w:val="nil"/>
              <w:left w:val="nil"/>
              <w:bottom w:val="nil"/>
              <w:right w:val="nil"/>
            </w:tcBorders>
            <w:shd w:val="clear" w:color="000000" w:fill="E8E8E8"/>
            <w:noWrap/>
            <w:vAlign w:val="center"/>
            <w:hideMark/>
          </w:tcPr>
          <w:p w:rsidRPr="00D52F04" w:rsidR="00E64170" w:rsidP="009A3201" w:rsidRDefault="00E64170" w14:paraId="588C26EB" w14:textId="77777777">
            <w:pPr>
              <w:spacing w:line="276" w:lineRule="auto"/>
              <w:jc w:val="right"/>
              <w:rPr>
                <w:i/>
                <w:iCs/>
                <w:color w:val="000000"/>
                <w:sz w:val="16"/>
                <w:szCs w:val="16"/>
              </w:rPr>
            </w:pPr>
            <w:r w:rsidRPr="00D52F04">
              <w:rPr>
                <w:i/>
                <w:iCs/>
                <w:color w:val="000000"/>
                <w:sz w:val="16"/>
                <w:szCs w:val="16"/>
              </w:rPr>
              <w:t xml:space="preserve">         4.000 </w:t>
            </w:r>
          </w:p>
        </w:tc>
        <w:tc>
          <w:tcPr>
            <w:tcW w:w="1180" w:type="dxa"/>
            <w:tcBorders>
              <w:top w:val="nil"/>
              <w:left w:val="nil"/>
              <w:bottom w:val="nil"/>
              <w:right w:val="nil"/>
            </w:tcBorders>
            <w:shd w:val="clear" w:color="000000" w:fill="E8E8E8"/>
            <w:noWrap/>
            <w:vAlign w:val="center"/>
            <w:hideMark/>
          </w:tcPr>
          <w:p w:rsidRPr="00D52F04" w:rsidR="00E64170" w:rsidP="009A3201" w:rsidRDefault="00E64170" w14:paraId="13BDEFC6" w14:textId="77777777">
            <w:pPr>
              <w:spacing w:line="276" w:lineRule="auto"/>
              <w:jc w:val="right"/>
              <w:rPr>
                <w:i/>
                <w:iCs/>
                <w:color w:val="000000"/>
                <w:sz w:val="16"/>
                <w:szCs w:val="16"/>
              </w:rPr>
            </w:pPr>
            <w:r w:rsidRPr="00D52F04">
              <w:rPr>
                <w:i/>
                <w:iCs/>
                <w:color w:val="000000"/>
                <w:sz w:val="16"/>
                <w:szCs w:val="16"/>
              </w:rPr>
              <w:t xml:space="preserve">         4.000 </w:t>
            </w:r>
          </w:p>
        </w:tc>
        <w:tc>
          <w:tcPr>
            <w:tcW w:w="920" w:type="dxa"/>
            <w:tcBorders>
              <w:top w:val="nil"/>
              <w:left w:val="nil"/>
              <w:bottom w:val="nil"/>
              <w:right w:val="nil"/>
            </w:tcBorders>
            <w:shd w:val="clear" w:color="000000" w:fill="E8E8E8"/>
            <w:noWrap/>
            <w:vAlign w:val="center"/>
            <w:hideMark/>
          </w:tcPr>
          <w:p w:rsidRPr="00D52F04" w:rsidR="00E64170" w:rsidP="009A3201" w:rsidRDefault="00E64170" w14:paraId="78A42FB4" w14:textId="77777777">
            <w:pPr>
              <w:spacing w:line="276" w:lineRule="auto"/>
              <w:jc w:val="right"/>
              <w:rPr>
                <w:i/>
                <w:iCs/>
                <w:color w:val="000000"/>
                <w:sz w:val="16"/>
                <w:szCs w:val="16"/>
              </w:rPr>
            </w:pPr>
            <w:r w:rsidRPr="00D52F04">
              <w:rPr>
                <w:i/>
                <w:iCs/>
                <w:color w:val="000000"/>
                <w:sz w:val="16"/>
                <w:szCs w:val="16"/>
              </w:rPr>
              <w:t xml:space="preserve">    8.700 </w:t>
            </w:r>
          </w:p>
        </w:tc>
        <w:tc>
          <w:tcPr>
            <w:tcW w:w="1180" w:type="dxa"/>
            <w:tcBorders>
              <w:top w:val="nil"/>
              <w:left w:val="nil"/>
              <w:bottom w:val="nil"/>
              <w:right w:val="nil"/>
            </w:tcBorders>
            <w:shd w:val="clear" w:color="000000" w:fill="E8E8E8"/>
            <w:noWrap/>
            <w:vAlign w:val="center"/>
            <w:hideMark/>
          </w:tcPr>
          <w:p w:rsidRPr="00D52F04" w:rsidR="00E64170" w:rsidP="009A3201" w:rsidRDefault="00E64170" w14:paraId="4DC7161C" w14:textId="77777777">
            <w:pPr>
              <w:spacing w:line="276" w:lineRule="auto"/>
              <w:jc w:val="right"/>
              <w:rPr>
                <w:i/>
                <w:iCs/>
                <w:color w:val="000000"/>
                <w:sz w:val="16"/>
                <w:szCs w:val="16"/>
              </w:rPr>
            </w:pPr>
            <w:r w:rsidRPr="00D52F04">
              <w:rPr>
                <w:i/>
                <w:iCs/>
                <w:color w:val="000000"/>
                <w:sz w:val="16"/>
                <w:szCs w:val="16"/>
              </w:rPr>
              <w:t xml:space="preserve">         8.700 </w:t>
            </w:r>
          </w:p>
        </w:tc>
      </w:tr>
      <w:tr w:rsidRPr="00D52F04" w:rsidR="00E64170" w:rsidTr="00251BD0" w14:paraId="6F7C39C6" w14:textId="77777777">
        <w:trPr>
          <w:trHeight w:val="210"/>
        </w:trPr>
        <w:tc>
          <w:tcPr>
            <w:tcW w:w="6521" w:type="dxa"/>
            <w:tcBorders>
              <w:top w:val="nil"/>
              <w:left w:val="nil"/>
              <w:bottom w:val="nil"/>
              <w:right w:val="nil"/>
            </w:tcBorders>
            <w:shd w:val="clear" w:color="000000" w:fill="E8E8E8"/>
            <w:noWrap/>
            <w:vAlign w:val="center"/>
            <w:hideMark/>
          </w:tcPr>
          <w:p w:rsidRPr="00D52F04" w:rsidR="00E64170" w:rsidP="009A3201" w:rsidRDefault="00E64170" w14:paraId="6DC5F012" w14:textId="77777777">
            <w:pPr>
              <w:spacing w:line="276" w:lineRule="auto"/>
              <w:ind w:firstLine="320" w:firstLineChars="200"/>
              <w:rPr>
                <w:color w:val="000000"/>
                <w:sz w:val="16"/>
                <w:szCs w:val="16"/>
              </w:rPr>
            </w:pPr>
            <w:r w:rsidRPr="00D52F04">
              <w:rPr>
                <w:color w:val="000000"/>
                <w:sz w:val="16"/>
                <w:szCs w:val="16"/>
              </w:rPr>
              <w:t>ET</w:t>
            </w:r>
          </w:p>
        </w:tc>
        <w:tc>
          <w:tcPr>
            <w:tcW w:w="1180" w:type="dxa"/>
            <w:tcBorders>
              <w:top w:val="nil"/>
              <w:left w:val="nil"/>
              <w:bottom w:val="nil"/>
              <w:right w:val="nil"/>
            </w:tcBorders>
            <w:shd w:val="clear" w:color="000000" w:fill="E8E8E8"/>
            <w:noWrap/>
            <w:vAlign w:val="center"/>
            <w:hideMark/>
          </w:tcPr>
          <w:p w:rsidRPr="00D52F04" w:rsidR="00E64170" w:rsidP="009A3201" w:rsidRDefault="00E64170" w14:paraId="5D97D81A" w14:textId="77777777">
            <w:pPr>
              <w:spacing w:line="276" w:lineRule="auto"/>
              <w:jc w:val="right"/>
              <w:rPr>
                <w:i/>
                <w:iCs/>
                <w:color w:val="000000"/>
                <w:sz w:val="16"/>
                <w:szCs w:val="16"/>
              </w:rPr>
            </w:pPr>
            <w:r w:rsidRPr="00D52F04">
              <w:rPr>
                <w:i/>
                <w:iCs/>
                <w:color w:val="000000"/>
                <w:sz w:val="16"/>
                <w:szCs w:val="16"/>
              </w:rPr>
              <w:t> </w:t>
            </w:r>
          </w:p>
        </w:tc>
        <w:tc>
          <w:tcPr>
            <w:tcW w:w="1180" w:type="dxa"/>
            <w:tcBorders>
              <w:top w:val="nil"/>
              <w:left w:val="nil"/>
              <w:bottom w:val="nil"/>
              <w:right w:val="nil"/>
            </w:tcBorders>
            <w:shd w:val="clear" w:color="000000" w:fill="E8E8E8"/>
            <w:noWrap/>
            <w:vAlign w:val="center"/>
            <w:hideMark/>
          </w:tcPr>
          <w:p w:rsidRPr="00D52F04" w:rsidR="00E64170" w:rsidP="009A3201" w:rsidRDefault="00E64170" w14:paraId="254A3723" w14:textId="77777777">
            <w:pPr>
              <w:spacing w:line="276" w:lineRule="auto"/>
              <w:jc w:val="right"/>
              <w:rPr>
                <w:i/>
                <w:iCs/>
                <w:color w:val="000000"/>
                <w:sz w:val="16"/>
                <w:szCs w:val="16"/>
              </w:rPr>
            </w:pPr>
            <w:r w:rsidRPr="00D52F04">
              <w:rPr>
                <w:i/>
                <w:iCs/>
                <w:color w:val="000000"/>
                <w:sz w:val="16"/>
                <w:szCs w:val="16"/>
              </w:rPr>
              <w:t> </w:t>
            </w:r>
          </w:p>
        </w:tc>
        <w:tc>
          <w:tcPr>
            <w:tcW w:w="1180" w:type="dxa"/>
            <w:tcBorders>
              <w:top w:val="nil"/>
              <w:left w:val="nil"/>
              <w:bottom w:val="nil"/>
              <w:right w:val="nil"/>
            </w:tcBorders>
            <w:shd w:val="clear" w:color="000000" w:fill="E8E8E8"/>
            <w:noWrap/>
            <w:vAlign w:val="center"/>
            <w:hideMark/>
          </w:tcPr>
          <w:p w:rsidRPr="00D52F04" w:rsidR="00E64170" w:rsidP="009A3201" w:rsidRDefault="00E64170" w14:paraId="2B31FD74" w14:textId="77777777">
            <w:pPr>
              <w:spacing w:line="276" w:lineRule="auto"/>
              <w:jc w:val="right"/>
              <w:rPr>
                <w:i/>
                <w:iCs/>
                <w:color w:val="000000"/>
                <w:sz w:val="16"/>
                <w:szCs w:val="16"/>
              </w:rPr>
            </w:pPr>
            <w:r w:rsidRPr="00D52F04">
              <w:rPr>
                <w:i/>
                <w:iCs/>
                <w:color w:val="000000"/>
                <w:sz w:val="16"/>
                <w:szCs w:val="16"/>
              </w:rPr>
              <w:t> </w:t>
            </w:r>
          </w:p>
        </w:tc>
        <w:tc>
          <w:tcPr>
            <w:tcW w:w="1180" w:type="dxa"/>
            <w:tcBorders>
              <w:top w:val="nil"/>
              <w:left w:val="nil"/>
              <w:bottom w:val="nil"/>
              <w:right w:val="nil"/>
            </w:tcBorders>
            <w:shd w:val="clear" w:color="000000" w:fill="E8E8E8"/>
            <w:noWrap/>
            <w:vAlign w:val="center"/>
            <w:hideMark/>
          </w:tcPr>
          <w:p w:rsidRPr="00D52F04" w:rsidR="00E64170" w:rsidP="009A3201" w:rsidRDefault="00E64170" w14:paraId="37D50669" w14:textId="77777777">
            <w:pPr>
              <w:spacing w:line="276" w:lineRule="auto"/>
              <w:jc w:val="right"/>
              <w:rPr>
                <w:i/>
                <w:iCs/>
                <w:color w:val="000000"/>
                <w:sz w:val="16"/>
                <w:szCs w:val="16"/>
              </w:rPr>
            </w:pPr>
            <w:r w:rsidRPr="00D52F04">
              <w:rPr>
                <w:i/>
                <w:iCs/>
                <w:color w:val="000000"/>
                <w:sz w:val="16"/>
                <w:szCs w:val="16"/>
              </w:rPr>
              <w:t> </w:t>
            </w:r>
          </w:p>
        </w:tc>
        <w:tc>
          <w:tcPr>
            <w:tcW w:w="920" w:type="dxa"/>
            <w:tcBorders>
              <w:top w:val="nil"/>
              <w:left w:val="nil"/>
              <w:bottom w:val="nil"/>
              <w:right w:val="nil"/>
            </w:tcBorders>
            <w:shd w:val="clear" w:color="000000" w:fill="E8E8E8"/>
            <w:noWrap/>
            <w:vAlign w:val="center"/>
            <w:hideMark/>
          </w:tcPr>
          <w:p w:rsidRPr="00D52F04" w:rsidR="00E64170" w:rsidP="009A3201" w:rsidRDefault="00E64170" w14:paraId="0263B7A0" w14:textId="77777777">
            <w:pPr>
              <w:spacing w:line="276" w:lineRule="auto"/>
              <w:jc w:val="right"/>
              <w:rPr>
                <w:i/>
                <w:iCs/>
                <w:color w:val="000000"/>
                <w:sz w:val="16"/>
                <w:szCs w:val="16"/>
              </w:rPr>
            </w:pPr>
            <w:r w:rsidRPr="00D52F04">
              <w:rPr>
                <w:i/>
                <w:iCs/>
                <w:color w:val="000000"/>
                <w:sz w:val="16"/>
                <w:szCs w:val="16"/>
              </w:rPr>
              <w:t> </w:t>
            </w:r>
          </w:p>
        </w:tc>
        <w:tc>
          <w:tcPr>
            <w:tcW w:w="1180" w:type="dxa"/>
            <w:tcBorders>
              <w:top w:val="nil"/>
              <w:left w:val="nil"/>
              <w:bottom w:val="nil"/>
              <w:right w:val="nil"/>
            </w:tcBorders>
            <w:shd w:val="clear" w:color="000000" w:fill="E8E8E8"/>
            <w:noWrap/>
            <w:vAlign w:val="center"/>
            <w:hideMark/>
          </w:tcPr>
          <w:p w:rsidRPr="00D52F04" w:rsidR="00E64170" w:rsidP="009A3201" w:rsidRDefault="00E64170" w14:paraId="4688218F" w14:textId="77777777">
            <w:pPr>
              <w:spacing w:line="276" w:lineRule="auto"/>
              <w:jc w:val="right"/>
              <w:rPr>
                <w:i/>
                <w:iCs/>
                <w:color w:val="000000"/>
                <w:sz w:val="16"/>
                <w:szCs w:val="16"/>
              </w:rPr>
            </w:pPr>
            <w:r w:rsidRPr="00D52F04">
              <w:rPr>
                <w:i/>
                <w:iCs/>
                <w:color w:val="000000"/>
                <w:sz w:val="16"/>
                <w:szCs w:val="16"/>
              </w:rPr>
              <w:t xml:space="preserve">       10.000 </w:t>
            </w:r>
          </w:p>
        </w:tc>
      </w:tr>
      <w:tr w:rsidRPr="00D52F04" w:rsidR="00E64170" w:rsidTr="00251BD0" w14:paraId="42146309" w14:textId="77777777">
        <w:trPr>
          <w:trHeight w:val="210"/>
        </w:trPr>
        <w:tc>
          <w:tcPr>
            <w:tcW w:w="6521" w:type="dxa"/>
            <w:tcBorders>
              <w:top w:val="nil"/>
              <w:left w:val="nil"/>
              <w:bottom w:val="nil"/>
              <w:right w:val="nil"/>
            </w:tcBorders>
            <w:noWrap/>
            <w:vAlign w:val="center"/>
            <w:hideMark/>
          </w:tcPr>
          <w:p w:rsidRPr="00D52F04" w:rsidR="00E64170" w:rsidP="009A3201" w:rsidRDefault="00E64170" w14:paraId="0BC15512" w14:textId="77777777">
            <w:pPr>
              <w:spacing w:line="276" w:lineRule="auto"/>
              <w:rPr>
                <w:color w:val="000000"/>
                <w:sz w:val="16"/>
                <w:szCs w:val="16"/>
              </w:rPr>
            </w:pPr>
            <w:r w:rsidRPr="00D52F04">
              <w:rPr>
                <w:color w:val="000000"/>
                <w:sz w:val="16"/>
                <w:szCs w:val="16"/>
              </w:rPr>
              <w:t>Infrastructuur: toegepaste onderzoeksfaciliteiten</w:t>
            </w:r>
          </w:p>
        </w:tc>
        <w:tc>
          <w:tcPr>
            <w:tcW w:w="1180" w:type="dxa"/>
            <w:tcBorders>
              <w:top w:val="nil"/>
              <w:left w:val="nil"/>
              <w:bottom w:val="nil"/>
              <w:right w:val="nil"/>
            </w:tcBorders>
            <w:noWrap/>
            <w:vAlign w:val="center"/>
            <w:hideMark/>
          </w:tcPr>
          <w:p w:rsidRPr="00D52F04" w:rsidR="00E64170" w:rsidP="009A3201" w:rsidRDefault="00E64170" w14:paraId="12E95BFF" w14:textId="77777777">
            <w:pPr>
              <w:spacing w:line="276" w:lineRule="auto"/>
              <w:jc w:val="right"/>
              <w:rPr>
                <w:color w:val="000000"/>
                <w:sz w:val="16"/>
                <w:szCs w:val="16"/>
              </w:rPr>
            </w:pPr>
            <w:r w:rsidRPr="00D52F04">
              <w:rPr>
                <w:color w:val="000000"/>
                <w:sz w:val="16"/>
                <w:szCs w:val="16"/>
              </w:rPr>
              <w:t xml:space="preserve">         6.000 </w:t>
            </w:r>
          </w:p>
        </w:tc>
        <w:tc>
          <w:tcPr>
            <w:tcW w:w="1180" w:type="dxa"/>
            <w:tcBorders>
              <w:top w:val="nil"/>
              <w:left w:val="nil"/>
              <w:bottom w:val="nil"/>
              <w:right w:val="nil"/>
            </w:tcBorders>
            <w:noWrap/>
            <w:vAlign w:val="center"/>
            <w:hideMark/>
          </w:tcPr>
          <w:p w:rsidRPr="00D52F04" w:rsidR="00E64170" w:rsidP="009A3201" w:rsidRDefault="00E64170" w14:paraId="1D7B11EB" w14:textId="77777777">
            <w:pPr>
              <w:spacing w:line="276" w:lineRule="auto"/>
              <w:jc w:val="right"/>
              <w:rPr>
                <w:color w:val="000000"/>
                <w:sz w:val="16"/>
                <w:szCs w:val="16"/>
              </w:rPr>
            </w:pPr>
            <w:r w:rsidRPr="00D52F04">
              <w:rPr>
                <w:color w:val="000000"/>
                <w:sz w:val="16"/>
                <w:szCs w:val="16"/>
              </w:rPr>
              <w:t xml:space="preserve">       10.000 </w:t>
            </w:r>
          </w:p>
        </w:tc>
        <w:tc>
          <w:tcPr>
            <w:tcW w:w="1180" w:type="dxa"/>
            <w:tcBorders>
              <w:top w:val="nil"/>
              <w:left w:val="nil"/>
              <w:bottom w:val="nil"/>
              <w:right w:val="nil"/>
            </w:tcBorders>
            <w:noWrap/>
            <w:vAlign w:val="center"/>
            <w:hideMark/>
          </w:tcPr>
          <w:p w:rsidRPr="00D52F04" w:rsidR="00E64170" w:rsidP="009A3201" w:rsidRDefault="00E64170" w14:paraId="156B1467" w14:textId="77777777">
            <w:pPr>
              <w:spacing w:line="276" w:lineRule="auto"/>
              <w:jc w:val="right"/>
              <w:rPr>
                <w:color w:val="000000"/>
                <w:sz w:val="16"/>
                <w:szCs w:val="16"/>
              </w:rPr>
            </w:pPr>
            <w:r w:rsidRPr="00D52F04">
              <w:rPr>
                <w:color w:val="000000"/>
                <w:sz w:val="16"/>
                <w:szCs w:val="16"/>
              </w:rPr>
              <w:t xml:space="preserve">       10.000 </w:t>
            </w:r>
          </w:p>
        </w:tc>
        <w:tc>
          <w:tcPr>
            <w:tcW w:w="1180" w:type="dxa"/>
            <w:tcBorders>
              <w:top w:val="nil"/>
              <w:left w:val="nil"/>
              <w:bottom w:val="nil"/>
              <w:right w:val="nil"/>
            </w:tcBorders>
            <w:noWrap/>
            <w:vAlign w:val="center"/>
            <w:hideMark/>
          </w:tcPr>
          <w:p w:rsidRPr="00D52F04" w:rsidR="00E64170" w:rsidP="009A3201" w:rsidRDefault="00E64170" w14:paraId="47FA7774" w14:textId="77777777">
            <w:pPr>
              <w:spacing w:line="276" w:lineRule="auto"/>
              <w:jc w:val="right"/>
              <w:rPr>
                <w:color w:val="000000"/>
                <w:sz w:val="16"/>
                <w:szCs w:val="16"/>
              </w:rPr>
            </w:pPr>
            <w:r w:rsidRPr="00D52F04">
              <w:rPr>
                <w:color w:val="000000"/>
                <w:sz w:val="16"/>
                <w:szCs w:val="16"/>
              </w:rPr>
              <w:t xml:space="preserve">              0   </w:t>
            </w:r>
          </w:p>
        </w:tc>
        <w:tc>
          <w:tcPr>
            <w:tcW w:w="920" w:type="dxa"/>
            <w:tcBorders>
              <w:top w:val="nil"/>
              <w:left w:val="nil"/>
              <w:bottom w:val="nil"/>
              <w:right w:val="nil"/>
            </w:tcBorders>
            <w:noWrap/>
            <w:vAlign w:val="center"/>
            <w:hideMark/>
          </w:tcPr>
          <w:p w:rsidRPr="00D52F04" w:rsidR="00E64170" w:rsidP="009A3201" w:rsidRDefault="00E64170" w14:paraId="6EC57448" w14:textId="77777777">
            <w:pPr>
              <w:spacing w:line="276" w:lineRule="auto"/>
              <w:jc w:val="right"/>
              <w:rPr>
                <w:color w:val="000000"/>
                <w:sz w:val="16"/>
                <w:szCs w:val="16"/>
              </w:rPr>
            </w:pPr>
            <w:r w:rsidRPr="00D52F04">
              <w:rPr>
                <w:color w:val="000000"/>
                <w:sz w:val="16"/>
                <w:szCs w:val="16"/>
              </w:rPr>
              <w:t xml:space="preserve">         0   </w:t>
            </w:r>
          </w:p>
        </w:tc>
        <w:tc>
          <w:tcPr>
            <w:tcW w:w="1180" w:type="dxa"/>
            <w:tcBorders>
              <w:top w:val="nil"/>
              <w:left w:val="nil"/>
              <w:bottom w:val="nil"/>
              <w:right w:val="nil"/>
            </w:tcBorders>
            <w:noWrap/>
            <w:vAlign w:val="center"/>
            <w:hideMark/>
          </w:tcPr>
          <w:p w:rsidRPr="00D52F04" w:rsidR="00E64170" w:rsidP="009A3201" w:rsidRDefault="00E64170" w14:paraId="280AD183" w14:textId="77777777">
            <w:pPr>
              <w:spacing w:line="276" w:lineRule="auto"/>
              <w:jc w:val="right"/>
              <w:rPr>
                <w:color w:val="000000"/>
                <w:sz w:val="16"/>
                <w:szCs w:val="16"/>
              </w:rPr>
            </w:pPr>
            <w:r w:rsidRPr="00D52F04">
              <w:rPr>
                <w:color w:val="000000"/>
                <w:sz w:val="16"/>
                <w:szCs w:val="16"/>
              </w:rPr>
              <w:t xml:space="preserve">       30.000 </w:t>
            </w:r>
          </w:p>
        </w:tc>
      </w:tr>
      <w:tr w:rsidRPr="00D52F04" w:rsidR="00E64170" w:rsidTr="00251BD0" w14:paraId="7CD3DC58" w14:textId="77777777">
        <w:trPr>
          <w:trHeight w:val="210"/>
        </w:trPr>
        <w:tc>
          <w:tcPr>
            <w:tcW w:w="6521" w:type="dxa"/>
            <w:tcBorders>
              <w:top w:val="nil"/>
              <w:left w:val="nil"/>
              <w:bottom w:val="nil"/>
              <w:right w:val="nil"/>
            </w:tcBorders>
            <w:shd w:val="clear" w:color="000000" w:fill="E8E8E8"/>
            <w:noWrap/>
            <w:vAlign w:val="center"/>
            <w:hideMark/>
          </w:tcPr>
          <w:p w:rsidRPr="00D52F04" w:rsidR="00E64170" w:rsidP="009A3201" w:rsidRDefault="00E64170" w14:paraId="23281EF2" w14:textId="77777777">
            <w:pPr>
              <w:spacing w:line="276" w:lineRule="auto"/>
              <w:ind w:firstLine="320" w:firstLineChars="200"/>
              <w:rPr>
                <w:color w:val="000000"/>
                <w:sz w:val="16"/>
                <w:szCs w:val="16"/>
              </w:rPr>
            </w:pPr>
            <w:r w:rsidRPr="00D52F04">
              <w:rPr>
                <w:color w:val="000000"/>
                <w:sz w:val="16"/>
                <w:szCs w:val="16"/>
              </w:rPr>
              <w:t>EZK</w:t>
            </w:r>
          </w:p>
        </w:tc>
        <w:tc>
          <w:tcPr>
            <w:tcW w:w="1180" w:type="dxa"/>
            <w:tcBorders>
              <w:top w:val="nil"/>
              <w:left w:val="nil"/>
              <w:bottom w:val="nil"/>
              <w:right w:val="nil"/>
            </w:tcBorders>
            <w:shd w:val="clear" w:color="000000" w:fill="E8E8E8"/>
            <w:noWrap/>
            <w:vAlign w:val="center"/>
            <w:hideMark/>
          </w:tcPr>
          <w:p w:rsidRPr="00D52F04" w:rsidR="00E64170" w:rsidP="009A3201" w:rsidRDefault="00E64170" w14:paraId="5537F91D" w14:textId="77777777">
            <w:pPr>
              <w:spacing w:line="276" w:lineRule="auto"/>
              <w:jc w:val="right"/>
              <w:rPr>
                <w:i/>
                <w:iCs/>
                <w:color w:val="000000"/>
                <w:sz w:val="16"/>
                <w:szCs w:val="16"/>
              </w:rPr>
            </w:pPr>
            <w:r w:rsidRPr="00D52F04">
              <w:rPr>
                <w:i/>
                <w:iCs/>
                <w:color w:val="000000"/>
                <w:sz w:val="16"/>
                <w:szCs w:val="16"/>
              </w:rPr>
              <w:t xml:space="preserve">         6.000 </w:t>
            </w:r>
          </w:p>
        </w:tc>
        <w:tc>
          <w:tcPr>
            <w:tcW w:w="1180" w:type="dxa"/>
            <w:tcBorders>
              <w:top w:val="nil"/>
              <w:left w:val="nil"/>
              <w:bottom w:val="nil"/>
              <w:right w:val="nil"/>
            </w:tcBorders>
            <w:shd w:val="clear" w:color="000000" w:fill="E8E8E8"/>
            <w:noWrap/>
            <w:vAlign w:val="center"/>
            <w:hideMark/>
          </w:tcPr>
          <w:p w:rsidRPr="00D52F04" w:rsidR="00E64170" w:rsidP="009A3201" w:rsidRDefault="00E64170" w14:paraId="5F5CA726" w14:textId="77777777">
            <w:pPr>
              <w:spacing w:line="276" w:lineRule="auto"/>
              <w:jc w:val="right"/>
              <w:rPr>
                <w:i/>
                <w:iCs/>
                <w:color w:val="000000"/>
                <w:sz w:val="16"/>
                <w:szCs w:val="16"/>
              </w:rPr>
            </w:pPr>
            <w:r w:rsidRPr="00D52F04">
              <w:rPr>
                <w:i/>
                <w:iCs/>
                <w:color w:val="000000"/>
                <w:sz w:val="16"/>
                <w:szCs w:val="16"/>
              </w:rPr>
              <w:t xml:space="preserve">       10.000 </w:t>
            </w:r>
          </w:p>
        </w:tc>
        <w:tc>
          <w:tcPr>
            <w:tcW w:w="1180" w:type="dxa"/>
            <w:tcBorders>
              <w:top w:val="nil"/>
              <w:left w:val="nil"/>
              <w:bottom w:val="nil"/>
              <w:right w:val="nil"/>
            </w:tcBorders>
            <w:shd w:val="clear" w:color="000000" w:fill="E8E8E8"/>
            <w:noWrap/>
            <w:vAlign w:val="center"/>
            <w:hideMark/>
          </w:tcPr>
          <w:p w:rsidRPr="00D52F04" w:rsidR="00E64170" w:rsidP="009A3201" w:rsidRDefault="00E64170" w14:paraId="00853FF0" w14:textId="77777777">
            <w:pPr>
              <w:spacing w:line="276" w:lineRule="auto"/>
              <w:jc w:val="right"/>
              <w:rPr>
                <w:i/>
                <w:iCs/>
                <w:color w:val="000000"/>
                <w:sz w:val="16"/>
                <w:szCs w:val="16"/>
              </w:rPr>
            </w:pPr>
            <w:r w:rsidRPr="00D52F04">
              <w:rPr>
                <w:i/>
                <w:iCs/>
                <w:color w:val="000000"/>
                <w:sz w:val="16"/>
                <w:szCs w:val="16"/>
              </w:rPr>
              <w:t xml:space="preserve">       10.000 </w:t>
            </w:r>
          </w:p>
        </w:tc>
        <w:tc>
          <w:tcPr>
            <w:tcW w:w="1180" w:type="dxa"/>
            <w:tcBorders>
              <w:top w:val="nil"/>
              <w:left w:val="nil"/>
              <w:bottom w:val="nil"/>
              <w:right w:val="nil"/>
            </w:tcBorders>
            <w:shd w:val="clear" w:color="000000" w:fill="E8E8E8"/>
            <w:noWrap/>
            <w:vAlign w:val="center"/>
            <w:hideMark/>
          </w:tcPr>
          <w:p w:rsidRPr="00D52F04" w:rsidR="00E64170" w:rsidP="009A3201" w:rsidRDefault="00E64170" w14:paraId="12F29994" w14:textId="77777777">
            <w:pPr>
              <w:spacing w:line="276" w:lineRule="auto"/>
              <w:jc w:val="right"/>
              <w:rPr>
                <w:i/>
                <w:iCs/>
                <w:color w:val="000000"/>
                <w:sz w:val="16"/>
                <w:szCs w:val="16"/>
              </w:rPr>
            </w:pPr>
            <w:r w:rsidRPr="00D52F04">
              <w:rPr>
                <w:i/>
                <w:iCs/>
                <w:color w:val="000000"/>
                <w:sz w:val="16"/>
                <w:szCs w:val="16"/>
              </w:rPr>
              <w:t> 0</w:t>
            </w:r>
          </w:p>
        </w:tc>
        <w:tc>
          <w:tcPr>
            <w:tcW w:w="920" w:type="dxa"/>
            <w:tcBorders>
              <w:top w:val="nil"/>
              <w:left w:val="nil"/>
              <w:bottom w:val="nil"/>
              <w:right w:val="nil"/>
            </w:tcBorders>
            <w:shd w:val="clear" w:color="000000" w:fill="E8E8E8"/>
            <w:noWrap/>
            <w:vAlign w:val="center"/>
            <w:hideMark/>
          </w:tcPr>
          <w:p w:rsidRPr="00D52F04" w:rsidR="00E64170" w:rsidP="009A3201" w:rsidRDefault="00E64170" w14:paraId="7FFA8FDD" w14:textId="77777777">
            <w:pPr>
              <w:spacing w:line="276" w:lineRule="auto"/>
              <w:jc w:val="right"/>
              <w:rPr>
                <w:i/>
                <w:iCs/>
                <w:color w:val="000000"/>
                <w:sz w:val="16"/>
                <w:szCs w:val="16"/>
              </w:rPr>
            </w:pPr>
            <w:r w:rsidRPr="00D52F04">
              <w:rPr>
                <w:i/>
                <w:iCs/>
                <w:color w:val="000000"/>
                <w:sz w:val="16"/>
                <w:szCs w:val="16"/>
              </w:rPr>
              <w:t> 0</w:t>
            </w:r>
          </w:p>
        </w:tc>
        <w:tc>
          <w:tcPr>
            <w:tcW w:w="1180" w:type="dxa"/>
            <w:tcBorders>
              <w:top w:val="nil"/>
              <w:left w:val="nil"/>
              <w:bottom w:val="nil"/>
              <w:right w:val="nil"/>
            </w:tcBorders>
            <w:shd w:val="clear" w:color="000000" w:fill="E8E8E8"/>
            <w:noWrap/>
            <w:vAlign w:val="center"/>
            <w:hideMark/>
          </w:tcPr>
          <w:p w:rsidRPr="00D52F04" w:rsidR="00E64170" w:rsidP="009A3201" w:rsidRDefault="00E64170" w14:paraId="4A6E1978" w14:textId="77777777">
            <w:pPr>
              <w:spacing w:line="276" w:lineRule="auto"/>
              <w:jc w:val="right"/>
              <w:rPr>
                <w:i/>
                <w:iCs/>
                <w:color w:val="000000"/>
                <w:sz w:val="16"/>
                <w:szCs w:val="16"/>
              </w:rPr>
            </w:pPr>
            <w:r w:rsidRPr="00D52F04">
              <w:rPr>
                <w:i/>
                <w:iCs/>
                <w:color w:val="000000"/>
                <w:sz w:val="16"/>
                <w:szCs w:val="16"/>
              </w:rPr>
              <w:t xml:space="preserve">       30.000 </w:t>
            </w:r>
          </w:p>
        </w:tc>
      </w:tr>
      <w:tr w:rsidRPr="00D52F04" w:rsidR="00E64170" w:rsidTr="00251BD0" w14:paraId="40A97A7F" w14:textId="77777777">
        <w:trPr>
          <w:trHeight w:val="210"/>
        </w:trPr>
        <w:tc>
          <w:tcPr>
            <w:tcW w:w="6521" w:type="dxa"/>
            <w:tcBorders>
              <w:top w:val="nil"/>
              <w:left w:val="nil"/>
              <w:bottom w:val="nil"/>
              <w:right w:val="nil"/>
            </w:tcBorders>
            <w:noWrap/>
            <w:vAlign w:val="center"/>
            <w:hideMark/>
          </w:tcPr>
          <w:p w:rsidRPr="00D52F04" w:rsidR="00E64170" w:rsidP="009A3201" w:rsidRDefault="00E64170" w14:paraId="66B90E4F" w14:textId="77777777">
            <w:pPr>
              <w:spacing w:line="276" w:lineRule="auto"/>
              <w:rPr>
                <w:sz w:val="16"/>
                <w:szCs w:val="16"/>
              </w:rPr>
            </w:pPr>
            <w:r w:rsidRPr="00D52F04">
              <w:rPr>
                <w:sz w:val="16"/>
                <w:szCs w:val="16"/>
              </w:rPr>
              <w:t xml:space="preserve">Infrastructuur: nationale supercomputer en Einstein </w:t>
            </w:r>
            <w:proofErr w:type="spellStart"/>
            <w:r w:rsidRPr="00D52F04">
              <w:rPr>
                <w:sz w:val="16"/>
                <w:szCs w:val="16"/>
              </w:rPr>
              <w:t>Telescope</w:t>
            </w:r>
            <w:proofErr w:type="spellEnd"/>
            <w:r w:rsidRPr="00D52F04">
              <w:rPr>
                <w:sz w:val="16"/>
                <w:szCs w:val="16"/>
              </w:rPr>
              <w:t xml:space="preserve"> R&amp;D-centrum</w:t>
            </w:r>
          </w:p>
        </w:tc>
        <w:tc>
          <w:tcPr>
            <w:tcW w:w="1180" w:type="dxa"/>
            <w:tcBorders>
              <w:top w:val="nil"/>
              <w:left w:val="nil"/>
              <w:bottom w:val="nil"/>
              <w:right w:val="nil"/>
            </w:tcBorders>
            <w:noWrap/>
            <w:vAlign w:val="center"/>
            <w:hideMark/>
          </w:tcPr>
          <w:p w:rsidRPr="00D52F04" w:rsidR="00E64170" w:rsidP="009A3201" w:rsidRDefault="00E64170" w14:paraId="6466CDBB" w14:textId="77777777">
            <w:pPr>
              <w:spacing w:line="276" w:lineRule="auto"/>
              <w:jc w:val="right"/>
              <w:rPr>
                <w:color w:val="000000"/>
                <w:sz w:val="16"/>
                <w:szCs w:val="16"/>
              </w:rPr>
            </w:pPr>
            <w:r w:rsidRPr="00D52F04">
              <w:rPr>
                <w:color w:val="000000"/>
                <w:sz w:val="16"/>
                <w:szCs w:val="16"/>
              </w:rPr>
              <w:t xml:space="preserve">       84.673 </w:t>
            </w:r>
          </w:p>
        </w:tc>
        <w:tc>
          <w:tcPr>
            <w:tcW w:w="1180" w:type="dxa"/>
            <w:tcBorders>
              <w:top w:val="nil"/>
              <w:left w:val="nil"/>
              <w:bottom w:val="nil"/>
              <w:right w:val="nil"/>
            </w:tcBorders>
            <w:noWrap/>
            <w:vAlign w:val="center"/>
            <w:hideMark/>
          </w:tcPr>
          <w:p w:rsidRPr="00D52F04" w:rsidR="00E64170" w:rsidP="009A3201" w:rsidRDefault="00E64170" w14:paraId="56EF6163" w14:textId="77777777">
            <w:pPr>
              <w:spacing w:line="276" w:lineRule="auto"/>
              <w:jc w:val="right"/>
              <w:rPr>
                <w:color w:val="000000"/>
                <w:sz w:val="16"/>
                <w:szCs w:val="16"/>
              </w:rPr>
            </w:pPr>
            <w:r w:rsidRPr="00D52F04">
              <w:rPr>
                <w:color w:val="000000"/>
                <w:sz w:val="16"/>
                <w:szCs w:val="16"/>
              </w:rPr>
              <w:t xml:space="preserve">       57.561 </w:t>
            </w:r>
          </w:p>
        </w:tc>
        <w:tc>
          <w:tcPr>
            <w:tcW w:w="1180" w:type="dxa"/>
            <w:tcBorders>
              <w:top w:val="nil"/>
              <w:left w:val="nil"/>
              <w:bottom w:val="nil"/>
              <w:right w:val="nil"/>
            </w:tcBorders>
            <w:noWrap/>
            <w:vAlign w:val="center"/>
            <w:hideMark/>
          </w:tcPr>
          <w:p w:rsidRPr="00D52F04" w:rsidR="00E64170" w:rsidP="009A3201" w:rsidRDefault="00E64170" w14:paraId="387806BB" w14:textId="77777777">
            <w:pPr>
              <w:spacing w:line="276" w:lineRule="auto"/>
              <w:jc w:val="right"/>
              <w:rPr>
                <w:color w:val="000000"/>
                <w:sz w:val="16"/>
                <w:szCs w:val="16"/>
              </w:rPr>
            </w:pPr>
            <w:r w:rsidRPr="00D52F04">
              <w:rPr>
                <w:color w:val="000000"/>
                <w:sz w:val="16"/>
                <w:szCs w:val="16"/>
              </w:rPr>
              <w:t xml:space="preserve">       54.029 </w:t>
            </w:r>
          </w:p>
        </w:tc>
        <w:tc>
          <w:tcPr>
            <w:tcW w:w="1180" w:type="dxa"/>
            <w:tcBorders>
              <w:top w:val="nil"/>
              <w:left w:val="nil"/>
              <w:bottom w:val="nil"/>
              <w:right w:val="nil"/>
            </w:tcBorders>
            <w:noWrap/>
            <w:vAlign w:val="center"/>
            <w:hideMark/>
          </w:tcPr>
          <w:p w:rsidRPr="00D52F04" w:rsidR="00E64170" w:rsidP="009A3201" w:rsidRDefault="00E64170" w14:paraId="6FA6FFC2" w14:textId="77777777">
            <w:pPr>
              <w:spacing w:line="276" w:lineRule="auto"/>
              <w:jc w:val="right"/>
              <w:rPr>
                <w:color w:val="000000"/>
                <w:sz w:val="16"/>
                <w:szCs w:val="16"/>
              </w:rPr>
            </w:pPr>
            <w:r w:rsidRPr="00D52F04">
              <w:rPr>
                <w:color w:val="000000"/>
                <w:sz w:val="16"/>
                <w:szCs w:val="16"/>
              </w:rPr>
              <w:t xml:space="preserve">       14.205 </w:t>
            </w:r>
          </w:p>
        </w:tc>
        <w:tc>
          <w:tcPr>
            <w:tcW w:w="920" w:type="dxa"/>
            <w:tcBorders>
              <w:top w:val="nil"/>
              <w:left w:val="nil"/>
              <w:bottom w:val="nil"/>
              <w:right w:val="nil"/>
            </w:tcBorders>
            <w:noWrap/>
            <w:vAlign w:val="center"/>
            <w:hideMark/>
          </w:tcPr>
          <w:p w:rsidRPr="00D52F04" w:rsidR="00E64170" w:rsidP="009A3201" w:rsidRDefault="00E64170" w14:paraId="74AEAEC8" w14:textId="77777777">
            <w:pPr>
              <w:spacing w:line="276" w:lineRule="auto"/>
              <w:jc w:val="right"/>
              <w:rPr>
                <w:color w:val="000000"/>
                <w:sz w:val="16"/>
                <w:szCs w:val="16"/>
              </w:rPr>
            </w:pPr>
            <w:r w:rsidRPr="00D52F04">
              <w:rPr>
                <w:color w:val="000000"/>
                <w:sz w:val="16"/>
                <w:szCs w:val="16"/>
              </w:rPr>
              <w:t xml:space="preserve">   0  </w:t>
            </w:r>
          </w:p>
        </w:tc>
        <w:tc>
          <w:tcPr>
            <w:tcW w:w="1180" w:type="dxa"/>
            <w:tcBorders>
              <w:top w:val="nil"/>
              <w:left w:val="nil"/>
              <w:bottom w:val="nil"/>
              <w:right w:val="nil"/>
            </w:tcBorders>
            <w:noWrap/>
            <w:vAlign w:val="center"/>
            <w:hideMark/>
          </w:tcPr>
          <w:p w:rsidRPr="00D52F04" w:rsidR="00E64170" w:rsidP="009A3201" w:rsidRDefault="00E64170" w14:paraId="6C7431DA" w14:textId="77777777">
            <w:pPr>
              <w:spacing w:line="276" w:lineRule="auto"/>
              <w:jc w:val="right"/>
              <w:rPr>
                <w:color w:val="000000"/>
                <w:sz w:val="16"/>
                <w:szCs w:val="16"/>
              </w:rPr>
            </w:pPr>
            <w:r w:rsidRPr="00D52F04">
              <w:rPr>
                <w:color w:val="000000"/>
                <w:sz w:val="16"/>
                <w:szCs w:val="16"/>
              </w:rPr>
              <w:t xml:space="preserve"> 0   </w:t>
            </w:r>
          </w:p>
        </w:tc>
      </w:tr>
      <w:tr w:rsidRPr="00D52F04" w:rsidR="00E64170" w:rsidTr="00251BD0" w14:paraId="40E45BD6" w14:textId="77777777">
        <w:trPr>
          <w:trHeight w:val="210"/>
        </w:trPr>
        <w:tc>
          <w:tcPr>
            <w:tcW w:w="6521" w:type="dxa"/>
            <w:tcBorders>
              <w:top w:val="nil"/>
              <w:left w:val="nil"/>
              <w:bottom w:val="nil"/>
              <w:right w:val="nil"/>
            </w:tcBorders>
            <w:shd w:val="clear" w:color="000000" w:fill="E8E8E8"/>
            <w:noWrap/>
            <w:vAlign w:val="center"/>
            <w:hideMark/>
          </w:tcPr>
          <w:p w:rsidRPr="00D52F04" w:rsidR="00E64170" w:rsidP="009A3201" w:rsidRDefault="00E64170" w14:paraId="40CD2F2E" w14:textId="77777777">
            <w:pPr>
              <w:spacing w:line="276" w:lineRule="auto"/>
              <w:ind w:firstLine="320" w:firstLineChars="200"/>
              <w:rPr>
                <w:color w:val="000000"/>
                <w:sz w:val="16"/>
                <w:szCs w:val="16"/>
              </w:rPr>
            </w:pPr>
            <w:r w:rsidRPr="00D52F04">
              <w:rPr>
                <w:color w:val="000000"/>
                <w:sz w:val="16"/>
                <w:szCs w:val="16"/>
              </w:rPr>
              <w:t>Supercomputer</w:t>
            </w:r>
          </w:p>
        </w:tc>
        <w:tc>
          <w:tcPr>
            <w:tcW w:w="1180" w:type="dxa"/>
            <w:tcBorders>
              <w:top w:val="nil"/>
              <w:left w:val="nil"/>
              <w:bottom w:val="nil"/>
              <w:right w:val="nil"/>
            </w:tcBorders>
            <w:shd w:val="clear" w:color="000000" w:fill="E8E8E8"/>
            <w:noWrap/>
            <w:vAlign w:val="center"/>
            <w:hideMark/>
          </w:tcPr>
          <w:p w:rsidRPr="00D52F04" w:rsidR="00E64170" w:rsidP="009A3201" w:rsidRDefault="00E64170" w14:paraId="1A97D7C6" w14:textId="77777777">
            <w:pPr>
              <w:spacing w:line="276" w:lineRule="auto"/>
              <w:jc w:val="right"/>
              <w:rPr>
                <w:i/>
                <w:iCs/>
                <w:color w:val="000000"/>
                <w:sz w:val="16"/>
                <w:szCs w:val="16"/>
              </w:rPr>
            </w:pPr>
            <w:r w:rsidRPr="00D52F04">
              <w:rPr>
                <w:i/>
                <w:iCs/>
                <w:color w:val="000000"/>
                <w:sz w:val="16"/>
                <w:szCs w:val="16"/>
              </w:rPr>
              <w:t xml:space="preserve">       69.673 </w:t>
            </w:r>
          </w:p>
        </w:tc>
        <w:tc>
          <w:tcPr>
            <w:tcW w:w="1180" w:type="dxa"/>
            <w:tcBorders>
              <w:top w:val="nil"/>
              <w:left w:val="nil"/>
              <w:bottom w:val="nil"/>
              <w:right w:val="nil"/>
            </w:tcBorders>
            <w:shd w:val="clear" w:color="000000" w:fill="E8E8E8"/>
            <w:noWrap/>
            <w:vAlign w:val="center"/>
            <w:hideMark/>
          </w:tcPr>
          <w:p w:rsidRPr="00D52F04" w:rsidR="00E64170" w:rsidP="009A3201" w:rsidRDefault="00E64170" w14:paraId="4E3D7529" w14:textId="77777777">
            <w:pPr>
              <w:spacing w:line="276" w:lineRule="auto"/>
              <w:jc w:val="right"/>
              <w:rPr>
                <w:i/>
                <w:iCs/>
                <w:color w:val="000000"/>
                <w:sz w:val="16"/>
                <w:szCs w:val="16"/>
              </w:rPr>
            </w:pPr>
            <w:r w:rsidRPr="00D52F04">
              <w:rPr>
                <w:i/>
                <w:iCs/>
                <w:color w:val="000000"/>
                <w:sz w:val="16"/>
                <w:szCs w:val="16"/>
              </w:rPr>
              <w:t xml:space="preserve">       47.561 </w:t>
            </w:r>
          </w:p>
        </w:tc>
        <w:tc>
          <w:tcPr>
            <w:tcW w:w="1180" w:type="dxa"/>
            <w:tcBorders>
              <w:top w:val="nil"/>
              <w:left w:val="nil"/>
              <w:bottom w:val="nil"/>
              <w:right w:val="nil"/>
            </w:tcBorders>
            <w:shd w:val="clear" w:color="000000" w:fill="E8E8E8"/>
            <w:noWrap/>
            <w:vAlign w:val="center"/>
            <w:hideMark/>
          </w:tcPr>
          <w:p w:rsidRPr="00D52F04" w:rsidR="00E64170" w:rsidP="009A3201" w:rsidRDefault="00E64170" w14:paraId="26C48282" w14:textId="77777777">
            <w:pPr>
              <w:spacing w:line="276" w:lineRule="auto"/>
              <w:jc w:val="right"/>
              <w:rPr>
                <w:i/>
                <w:iCs/>
                <w:color w:val="000000"/>
                <w:sz w:val="16"/>
                <w:szCs w:val="16"/>
              </w:rPr>
            </w:pPr>
            <w:r w:rsidRPr="00D52F04">
              <w:rPr>
                <w:i/>
                <w:iCs/>
                <w:color w:val="000000"/>
                <w:sz w:val="16"/>
                <w:szCs w:val="16"/>
              </w:rPr>
              <w:t xml:space="preserve">       54.029 </w:t>
            </w:r>
          </w:p>
        </w:tc>
        <w:tc>
          <w:tcPr>
            <w:tcW w:w="1180" w:type="dxa"/>
            <w:tcBorders>
              <w:top w:val="nil"/>
              <w:left w:val="nil"/>
              <w:bottom w:val="nil"/>
              <w:right w:val="nil"/>
            </w:tcBorders>
            <w:shd w:val="clear" w:color="000000" w:fill="E8E8E8"/>
            <w:noWrap/>
            <w:vAlign w:val="center"/>
            <w:hideMark/>
          </w:tcPr>
          <w:p w:rsidRPr="00D52F04" w:rsidR="00E64170" w:rsidP="009A3201" w:rsidRDefault="00E64170" w14:paraId="5BCF7C2F" w14:textId="77777777">
            <w:pPr>
              <w:spacing w:line="276" w:lineRule="auto"/>
              <w:jc w:val="right"/>
              <w:rPr>
                <w:i/>
                <w:iCs/>
                <w:color w:val="000000"/>
                <w:sz w:val="16"/>
                <w:szCs w:val="16"/>
              </w:rPr>
            </w:pPr>
            <w:r w:rsidRPr="00D52F04">
              <w:rPr>
                <w:i/>
                <w:iCs/>
                <w:color w:val="000000"/>
                <w:sz w:val="16"/>
                <w:szCs w:val="16"/>
              </w:rPr>
              <w:t xml:space="preserve">       14.205 </w:t>
            </w:r>
          </w:p>
        </w:tc>
        <w:tc>
          <w:tcPr>
            <w:tcW w:w="920" w:type="dxa"/>
            <w:tcBorders>
              <w:top w:val="nil"/>
              <w:left w:val="nil"/>
              <w:bottom w:val="nil"/>
              <w:right w:val="nil"/>
            </w:tcBorders>
            <w:shd w:val="clear" w:color="000000" w:fill="E8E8E8"/>
            <w:noWrap/>
            <w:vAlign w:val="center"/>
            <w:hideMark/>
          </w:tcPr>
          <w:p w:rsidRPr="00D52F04" w:rsidR="00E64170" w:rsidP="009A3201" w:rsidRDefault="00E64170" w14:paraId="41DBF170" w14:textId="77777777">
            <w:pPr>
              <w:spacing w:line="276" w:lineRule="auto"/>
              <w:jc w:val="right"/>
              <w:rPr>
                <w:i/>
                <w:iCs/>
                <w:color w:val="000000"/>
                <w:sz w:val="16"/>
                <w:szCs w:val="16"/>
              </w:rPr>
            </w:pPr>
            <w:r w:rsidRPr="00D52F04">
              <w:rPr>
                <w:i/>
                <w:iCs/>
                <w:color w:val="000000"/>
                <w:sz w:val="16"/>
                <w:szCs w:val="16"/>
              </w:rPr>
              <w:t> 0</w:t>
            </w:r>
          </w:p>
        </w:tc>
        <w:tc>
          <w:tcPr>
            <w:tcW w:w="1180" w:type="dxa"/>
            <w:tcBorders>
              <w:top w:val="nil"/>
              <w:left w:val="nil"/>
              <w:bottom w:val="nil"/>
              <w:right w:val="nil"/>
            </w:tcBorders>
            <w:shd w:val="clear" w:color="000000" w:fill="E8E8E8"/>
            <w:noWrap/>
            <w:vAlign w:val="center"/>
            <w:hideMark/>
          </w:tcPr>
          <w:p w:rsidRPr="00D52F04" w:rsidR="00E64170" w:rsidP="009A3201" w:rsidRDefault="00E64170" w14:paraId="2DCA31C7" w14:textId="77777777">
            <w:pPr>
              <w:spacing w:line="276" w:lineRule="auto"/>
              <w:jc w:val="right"/>
              <w:rPr>
                <w:i/>
                <w:iCs/>
                <w:color w:val="000000"/>
                <w:sz w:val="16"/>
                <w:szCs w:val="16"/>
              </w:rPr>
            </w:pPr>
            <w:r w:rsidRPr="00D52F04">
              <w:rPr>
                <w:i/>
                <w:iCs/>
                <w:color w:val="000000"/>
                <w:sz w:val="16"/>
                <w:szCs w:val="16"/>
              </w:rPr>
              <w:t>0 </w:t>
            </w:r>
          </w:p>
        </w:tc>
      </w:tr>
      <w:tr w:rsidRPr="00D52F04" w:rsidR="00E64170" w:rsidTr="00251BD0" w14:paraId="08DEA7DC" w14:textId="77777777">
        <w:trPr>
          <w:trHeight w:val="210"/>
        </w:trPr>
        <w:tc>
          <w:tcPr>
            <w:tcW w:w="6521" w:type="dxa"/>
            <w:tcBorders>
              <w:top w:val="nil"/>
              <w:left w:val="nil"/>
              <w:bottom w:val="nil"/>
              <w:right w:val="nil"/>
            </w:tcBorders>
            <w:shd w:val="clear" w:color="000000" w:fill="E8E8E8"/>
            <w:noWrap/>
            <w:vAlign w:val="center"/>
            <w:hideMark/>
          </w:tcPr>
          <w:p w:rsidRPr="00D52F04" w:rsidR="00E64170" w:rsidP="009A3201" w:rsidRDefault="00E64170" w14:paraId="13A3F198" w14:textId="77777777">
            <w:pPr>
              <w:spacing w:line="276" w:lineRule="auto"/>
              <w:ind w:firstLine="320" w:firstLineChars="200"/>
              <w:rPr>
                <w:color w:val="000000"/>
                <w:sz w:val="16"/>
                <w:szCs w:val="16"/>
              </w:rPr>
            </w:pPr>
            <w:r w:rsidRPr="00D52F04">
              <w:rPr>
                <w:color w:val="000000"/>
                <w:sz w:val="16"/>
                <w:szCs w:val="16"/>
              </w:rPr>
              <w:t xml:space="preserve">Einstein </w:t>
            </w:r>
            <w:proofErr w:type="spellStart"/>
            <w:r w:rsidRPr="00D52F04">
              <w:rPr>
                <w:color w:val="000000"/>
                <w:sz w:val="16"/>
                <w:szCs w:val="16"/>
              </w:rPr>
              <w:t>Telescope</w:t>
            </w:r>
            <w:proofErr w:type="spellEnd"/>
            <w:r w:rsidRPr="00D52F04">
              <w:rPr>
                <w:color w:val="000000"/>
                <w:sz w:val="16"/>
                <w:szCs w:val="16"/>
              </w:rPr>
              <w:t xml:space="preserve"> LFC</w:t>
            </w:r>
          </w:p>
        </w:tc>
        <w:tc>
          <w:tcPr>
            <w:tcW w:w="1180" w:type="dxa"/>
            <w:tcBorders>
              <w:top w:val="nil"/>
              <w:left w:val="nil"/>
              <w:bottom w:val="nil"/>
              <w:right w:val="nil"/>
            </w:tcBorders>
            <w:shd w:val="clear" w:color="000000" w:fill="E8E8E8"/>
            <w:noWrap/>
            <w:vAlign w:val="center"/>
            <w:hideMark/>
          </w:tcPr>
          <w:p w:rsidRPr="00D52F04" w:rsidR="00E64170" w:rsidP="009A3201" w:rsidRDefault="00E64170" w14:paraId="13780753" w14:textId="77777777">
            <w:pPr>
              <w:spacing w:line="276" w:lineRule="auto"/>
              <w:jc w:val="right"/>
              <w:rPr>
                <w:i/>
                <w:iCs/>
                <w:color w:val="000000"/>
                <w:sz w:val="16"/>
                <w:szCs w:val="16"/>
              </w:rPr>
            </w:pPr>
            <w:r w:rsidRPr="00D52F04">
              <w:rPr>
                <w:i/>
                <w:iCs/>
                <w:color w:val="000000"/>
                <w:sz w:val="16"/>
                <w:szCs w:val="16"/>
              </w:rPr>
              <w:t xml:space="preserve">       15.000 </w:t>
            </w:r>
          </w:p>
        </w:tc>
        <w:tc>
          <w:tcPr>
            <w:tcW w:w="1180" w:type="dxa"/>
            <w:tcBorders>
              <w:top w:val="nil"/>
              <w:left w:val="nil"/>
              <w:bottom w:val="nil"/>
              <w:right w:val="nil"/>
            </w:tcBorders>
            <w:shd w:val="clear" w:color="000000" w:fill="E8E8E8"/>
            <w:noWrap/>
            <w:vAlign w:val="center"/>
            <w:hideMark/>
          </w:tcPr>
          <w:p w:rsidRPr="00D52F04" w:rsidR="00E64170" w:rsidP="009A3201" w:rsidRDefault="00E64170" w14:paraId="7EBDA9FB" w14:textId="77777777">
            <w:pPr>
              <w:spacing w:line="276" w:lineRule="auto"/>
              <w:jc w:val="right"/>
              <w:rPr>
                <w:i/>
                <w:iCs/>
                <w:color w:val="000000"/>
                <w:sz w:val="16"/>
                <w:szCs w:val="16"/>
              </w:rPr>
            </w:pPr>
            <w:r w:rsidRPr="00D52F04">
              <w:rPr>
                <w:i/>
                <w:iCs/>
                <w:color w:val="000000"/>
                <w:sz w:val="16"/>
                <w:szCs w:val="16"/>
              </w:rPr>
              <w:t xml:space="preserve">       10.000 </w:t>
            </w:r>
          </w:p>
        </w:tc>
        <w:tc>
          <w:tcPr>
            <w:tcW w:w="1180" w:type="dxa"/>
            <w:tcBorders>
              <w:top w:val="nil"/>
              <w:left w:val="nil"/>
              <w:bottom w:val="nil"/>
              <w:right w:val="nil"/>
            </w:tcBorders>
            <w:shd w:val="clear" w:color="000000" w:fill="E8E8E8"/>
            <w:noWrap/>
            <w:vAlign w:val="center"/>
            <w:hideMark/>
          </w:tcPr>
          <w:p w:rsidRPr="00D52F04" w:rsidR="00E64170" w:rsidP="009A3201" w:rsidRDefault="00E64170" w14:paraId="4D2EF02E" w14:textId="77777777">
            <w:pPr>
              <w:spacing w:line="276" w:lineRule="auto"/>
              <w:jc w:val="right"/>
              <w:rPr>
                <w:i/>
                <w:iCs/>
                <w:color w:val="000000"/>
                <w:sz w:val="16"/>
                <w:szCs w:val="16"/>
              </w:rPr>
            </w:pPr>
            <w:r w:rsidRPr="00D52F04">
              <w:rPr>
                <w:i/>
                <w:iCs/>
                <w:color w:val="000000"/>
                <w:sz w:val="16"/>
                <w:szCs w:val="16"/>
              </w:rPr>
              <w:t> 0</w:t>
            </w:r>
          </w:p>
        </w:tc>
        <w:tc>
          <w:tcPr>
            <w:tcW w:w="1180" w:type="dxa"/>
            <w:tcBorders>
              <w:top w:val="nil"/>
              <w:left w:val="nil"/>
              <w:bottom w:val="nil"/>
              <w:right w:val="nil"/>
            </w:tcBorders>
            <w:shd w:val="clear" w:color="000000" w:fill="E8E8E8"/>
            <w:noWrap/>
            <w:vAlign w:val="center"/>
            <w:hideMark/>
          </w:tcPr>
          <w:p w:rsidRPr="00D52F04" w:rsidR="00E64170" w:rsidP="009A3201" w:rsidRDefault="00E64170" w14:paraId="1CC0E111" w14:textId="77777777">
            <w:pPr>
              <w:spacing w:line="276" w:lineRule="auto"/>
              <w:jc w:val="right"/>
              <w:rPr>
                <w:i/>
                <w:iCs/>
                <w:color w:val="000000"/>
                <w:sz w:val="16"/>
                <w:szCs w:val="16"/>
              </w:rPr>
            </w:pPr>
            <w:r w:rsidRPr="00D52F04">
              <w:rPr>
                <w:i/>
                <w:iCs/>
                <w:color w:val="000000"/>
                <w:sz w:val="16"/>
                <w:szCs w:val="16"/>
              </w:rPr>
              <w:t> 0</w:t>
            </w:r>
          </w:p>
        </w:tc>
        <w:tc>
          <w:tcPr>
            <w:tcW w:w="920" w:type="dxa"/>
            <w:tcBorders>
              <w:top w:val="nil"/>
              <w:left w:val="nil"/>
              <w:bottom w:val="nil"/>
              <w:right w:val="nil"/>
            </w:tcBorders>
            <w:shd w:val="clear" w:color="000000" w:fill="E8E8E8"/>
            <w:noWrap/>
            <w:vAlign w:val="center"/>
            <w:hideMark/>
          </w:tcPr>
          <w:p w:rsidRPr="00D52F04" w:rsidR="00E64170" w:rsidP="009A3201" w:rsidRDefault="00E64170" w14:paraId="2E87002D" w14:textId="77777777">
            <w:pPr>
              <w:spacing w:line="276" w:lineRule="auto"/>
              <w:jc w:val="right"/>
              <w:rPr>
                <w:i/>
                <w:iCs/>
                <w:color w:val="000000"/>
                <w:sz w:val="16"/>
                <w:szCs w:val="16"/>
              </w:rPr>
            </w:pPr>
            <w:r w:rsidRPr="00D52F04">
              <w:rPr>
                <w:i/>
                <w:iCs/>
                <w:color w:val="000000"/>
                <w:sz w:val="16"/>
                <w:szCs w:val="16"/>
              </w:rPr>
              <w:t> 0</w:t>
            </w:r>
          </w:p>
        </w:tc>
        <w:tc>
          <w:tcPr>
            <w:tcW w:w="1180" w:type="dxa"/>
            <w:tcBorders>
              <w:top w:val="nil"/>
              <w:left w:val="nil"/>
              <w:bottom w:val="nil"/>
              <w:right w:val="nil"/>
            </w:tcBorders>
            <w:shd w:val="clear" w:color="000000" w:fill="E8E8E8"/>
            <w:noWrap/>
            <w:vAlign w:val="center"/>
            <w:hideMark/>
          </w:tcPr>
          <w:p w:rsidRPr="00D52F04" w:rsidR="00E64170" w:rsidP="009A3201" w:rsidRDefault="00E64170" w14:paraId="0C1E7E44" w14:textId="77777777">
            <w:pPr>
              <w:spacing w:line="276" w:lineRule="auto"/>
              <w:jc w:val="right"/>
              <w:rPr>
                <w:i/>
                <w:iCs/>
                <w:color w:val="000000"/>
                <w:sz w:val="16"/>
                <w:szCs w:val="16"/>
              </w:rPr>
            </w:pPr>
            <w:r w:rsidRPr="00D52F04">
              <w:rPr>
                <w:i/>
                <w:iCs/>
                <w:color w:val="000000"/>
                <w:sz w:val="16"/>
                <w:szCs w:val="16"/>
              </w:rPr>
              <w:t>0 </w:t>
            </w:r>
          </w:p>
        </w:tc>
      </w:tr>
      <w:tr w:rsidRPr="00D52F04" w:rsidR="00E64170" w:rsidTr="00251BD0" w14:paraId="2A68C79F" w14:textId="77777777">
        <w:trPr>
          <w:trHeight w:val="210"/>
        </w:trPr>
        <w:tc>
          <w:tcPr>
            <w:tcW w:w="6521" w:type="dxa"/>
            <w:tcBorders>
              <w:top w:val="nil"/>
              <w:left w:val="nil"/>
              <w:bottom w:val="nil"/>
              <w:right w:val="nil"/>
            </w:tcBorders>
            <w:noWrap/>
            <w:vAlign w:val="center"/>
            <w:hideMark/>
          </w:tcPr>
          <w:p w:rsidRPr="00D52F04" w:rsidR="00E64170" w:rsidP="009A3201" w:rsidRDefault="00E64170" w14:paraId="60DA5C64" w14:textId="77777777">
            <w:pPr>
              <w:spacing w:line="276" w:lineRule="auto"/>
              <w:rPr>
                <w:color w:val="000000"/>
                <w:sz w:val="16"/>
                <w:szCs w:val="16"/>
              </w:rPr>
            </w:pPr>
            <w:r w:rsidRPr="00D52F04">
              <w:rPr>
                <w:color w:val="000000"/>
                <w:sz w:val="16"/>
                <w:szCs w:val="16"/>
              </w:rPr>
              <w:t>Praktijkgericht onderzoek: hbo</w:t>
            </w:r>
          </w:p>
        </w:tc>
        <w:tc>
          <w:tcPr>
            <w:tcW w:w="1180" w:type="dxa"/>
            <w:tcBorders>
              <w:top w:val="nil"/>
              <w:left w:val="nil"/>
              <w:bottom w:val="nil"/>
              <w:right w:val="nil"/>
            </w:tcBorders>
            <w:noWrap/>
            <w:vAlign w:val="center"/>
            <w:hideMark/>
          </w:tcPr>
          <w:p w:rsidRPr="00D52F04" w:rsidR="00E64170" w:rsidP="009A3201" w:rsidRDefault="00E64170" w14:paraId="34174E62" w14:textId="77777777">
            <w:pPr>
              <w:spacing w:line="276" w:lineRule="auto"/>
              <w:jc w:val="right"/>
              <w:rPr>
                <w:color w:val="000000"/>
                <w:sz w:val="16"/>
                <w:szCs w:val="16"/>
              </w:rPr>
            </w:pPr>
            <w:r w:rsidRPr="00D52F04">
              <w:rPr>
                <w:color w:val="000000"/>
                <w:sz w:val="16"/>
                <w:szCs w:val="16"/>
              </w:rPr>
              <w:t xml:space="preserve">       10.000 </w:t>
            </w:r>
          </w:p>
        </w:tc>
        <w:tc>
          <w:tcPr>
            <w:tcW w:w="1180" w:type="dxa"/>
            <w:tcBorders>
              <w:top w:val="nil"/>
              <w:left w:val="nil"/>
              <w:bottom w:val="nil"/>
              <w:right w:val="nil"/>
            </w:tcBorders>
            <w:noWrap/>
            <w:vAlign w:val="center"/>
            <w:hideMark/>
          </w:tcPr>
          <w:p w:rsidRPr="00D52F04" w:rsidR="00E64170" w:rsidP="009A3201" w:rsidRDefault="00E64170" w14:paraId="7D26C836" w14:textId="77777777">
            <w:pPr>
              <w:spacing w:line="276" w:lineRule="auto"/>
              <w:jc w:val="right"/>
              <w:rPr>
                <w:color w:val="000000"/>
                <w:sz w:val="16"/>
                <w:szCs w:val="16"/>
              </w:rPr>
            </w:pPr>
            <w:r w:rsidRPr="00D52F04">
              <w:rPr>
                <w:color w:val="000000"/>
                <w:sz w:val="16"/>
                <w:szCs w:val="16"/>
              </w:rPr>
              <w:t xml:space="preserve">       20.000 </w:t>
            </w:r>
          </w:p>
        </w:tc>
        <w:tc>
          <w:tcPr>
            <w:tcW w:w="1180" w:type="dxa"/>
            <w:tcBorders>
              <w:top w:val="nil"/>
              <w:left w:val="nil"/>
              <w:bottom w:val="nil"/>
              <w:right w:val="nil"/>
            </w:tcBorders>
            <w:noWrap/>
            <w:vAlign w:val="center"/>
            <w:hideMark/>
          </w:tcPr>
          <w:p w:rsidRPr="00D52F04" w:rsidR="00E64170" w:rsidP="009A3201" w:rsidRDefault="00E64170" w14:paraId="53DBABD0" w14:textId="77777777">
            <w:pPr>
              <w:spacing w:line="276" w:lineRule="auto"/>
              <w:jc w:val="right"/>
              <w:rPr>
                <w:color w:val="000000"/>
                <w:sz w:val="16"/>
                <w:szCs w:val="16"/>
              </w:rPr>
            </w:pPr>
            <w:r w:rsidRPr="00D52F04">
              <w:rPr>
                <w:color w:val="000000"/>
                <w:sz w:val="16"/>
                <w:szCs w:val="16"/>
              </w:rPr>
              <w:t xml:space="preserve">       20.000 </w:t>
            </w:r>
          </w:p>
        </w:tc>
        <w:tc>
          <w:tcPr>
            <w:tcW w:w="1180" w:type="dxa"/>
            <w:tcBorders>
              <w:top w:val="nil"/>
              <w:left w:val="nil"/>
              <w:bottom w:val="nil"/>
              <w:right w:val="nil"/>
            </w:tcBorders>
            <w:noWrap/>
            <w:vAlign w:val="center"/>
            <w:hideMark/>
          </w:tcPr>
          <w:p w:rsidRPr="00D52F04" w:rsidR="00E64170" w:rsidP="009A3201" w:rsidRDefault="00E64170" w14:paraId="2D5B2F7E" w14:textId="77777777">
            <w:pPr>
              <w:spacing w:line="276" w:lineRule="auto"/>
              <w:jc w:val="right"/>
              <w:rPr>
                <w:color w:val="000000"/>
                <w:sz w:val="16"/>
                <w:szCs w:val="16"/>
              </w:rPr>
            </w:pPr>
            <w:r w:rsidRPr="00D52F04">
              <w:rPr>
                <w:color w:val="000000"/>
                <w:sz w:val="16"/>
                <w:szCs w:val="16"/>
              </w:rPr>
              <w:t xml:space="preserve">       20.000 </w:t>
            </w:r>
          </w:p>
        </w:tc>
        <w:tc>
          <w:tcPr>
            <w:tcW w:w="920" w:type="dxa"/>
            <w:tcBorders>
              <w:top w:val="nil"/>
              <w:left w:val="nil"/>
              <w:bottom w:val="nil"/>
              <w:right w:val="nil"/>
            </w:tcBorders>
            <w:noWrap/>
            <w:vAlign w:val="center"/>
            <w:hideMark/>
          </w:tcPr>
          <w:p w:rsidRPr="00D52F04" w:rsidR="00E64170" w:rsidP="009A3201" w:rsidRDefault="00E64170" w14:paraId="1E39C1F4" w14:textId="77777777">
            <w:pPr>
              <w:spacing w:line="276" w:lineRule="auto"/>
              <w:jc w:val="right"/>
              <w:rPr>
                <w:color w:val="000000"/>
                <w:sz w:val="16"/>
                <w:szCs w:val="16"/>
              </w:rPr>
            </w:pPr>
            <w:r w:rsidRPr="00D52F04">
              <w:rPr>
                <w:color w:val="000000"/>
                <w:sz w:val="16"/>
                <w:szCs w:val="16"/>
              </w:rPr>
              <w:t xml:space="preserve">   20.000 </w:t>
            </w:r>
          </w:p>
        </w:tc>
        <w:tc>
          <w:tcPr>
            <w:tcW w:w="1180" w:type="dxa"/>
            <w:tcBorders>
              <w:top w:val="nil"/>
              <w:left w:val="nil"/>
              <w:bottom w:val="nil"/>
              <w:right w:val="nil"/>
            </w:tcBorders>
            <w:noWrap/>
            <w:vAlign w:val="center"/>
            <w:hideMark/>
          </w:tcPr>
          <w:p w:rsidRPr="00D52F04" w:rsidR="00E64170" w:rsidP="009A3201" w:rsidRDefault="00E64170" w14:paraId="28D26491" w14:textId="77777777">
            <w:pPr>
              <w:spacing w:line="276" w:lineRule="auto"/>
              <w:jc w:val="right"/>
              <w:rPr>
                <w:color w:val="000000"/>
                <w:sz w:val="16"/>
                <w:szCs w:val="16"/>
              </w:rPr>
            </w:pPr>
            <w:r w:rsidRPr="00D52F04">
              <w:rPr>
                <w:color w:val="000000"/>
                <w:sz w:val="16"/>
                <w:szCs w:val="16"/>
              </w:rPr>
              <w:t xml:space="preserve">       68.000 </w:t>
            </w:r>
          </w:p>
        </w:tc>
      </w:tr>
      <w:tr w:rsidRPr="00D52F04" w:rsidR="002C4410" w:rsidTr="00251BD0" w14:paraId="13D5B557" w14:textId="77777777">
        <w:trPr>
          <w:trHeight w:val="210"/>
        </w:trPr>
        <w:tc>
          <w:tcPr>
            <w:tcW w:w="6521" w:type="dxa"/>
            <w:tcBorders>
              <w:top w:val="nil"/>
              <w:left w:val="nil"/>
              <w:bottom w:val="nil"/>
              <w:right w:val="nil"/>
            </w:tcBorders>
            <w:shd w:val="clear" w:color="000000" w:fill="E8E8E8"/>
            <w:noWrap/>
            <w:vAlign w:val="center"/>
          </w:tcPr>
          <w:p w:rsidRPr="00D52F04" w:rsidR="002C4410" w:rsidP="002C4410" w:rsidRDefault="002C4410" w14:paraId="5EC431D8" w14:textId="4450C4D3">
            <w:pPr>
              <w:spacing w:line="276" w:lineRule="auto"/>
              <w:ind w:firstLine="320" w:firstLineChars="200"/>
              <w:rPr>
                <w:color w:val="000000"/>
                <w:sz w:val="16"/>
                <w:szCs w:val="16"/>
              </w:rPr>
            </w:pPr>
            <w:r w:rsidRPr="00D52F04">
              <w:rPr>
                <w:color w:val="000000"/>
                <w:sz w:val="16"/>
                <w:szCs w:val="16"/>
              </w:rPr>
              <w:t>Via eerste geldstroom</w:t>
            </w:r>
          </w:p>
        </w:tc>
        <w:tc>
          <w:tcPr>
            <w:tcW w:w="1180" w:type="dxa"/>
            <w:tcBorders>
              <w:top w:val="nil"/>
              <w:left w:val="nil"/>
              <w:bottom w:val="nil"/>
              <w:right w:val="nil"/>
            </w:tcBorders>
            <w:shd w:val="clear" w:color="000000" w:fill="E8E8E8"/>
            <w:noWrap/>
            <w:vAlign w:val="center"/>
          </w:tcPr>
          <w:p w:rsidRPr="00D52F04" w:rsidR="002C4410" w:rsidP="002C4410" w:rsidRDefault="002C4410" w14:paraId="27B920A9" w14:textId="699BAE4A">
            <w:pPr>
              <w:spacing w:line="276" w:lineRule="auto"/>
              <w:jc w:val="right"/>
              <w:rPr>
                <w:i/>
                <w:iCs/>
                <w:color w:val="000000"/>
                <w:sz w:val="16"/>
                <w:szCs w:val="16"/>
              </w:rPr>
            </w:pPr>
            <w:r w:rsidRPr="00D52F04">
              <w:rPr>
                <w:i/>
                <w:iCs/>
                <w:color w:val="000000"/>
                <w:sz w:val="16"/>
                <w:szCs w:val="16"/>
              </w:rPr>
              <w:t xml:space="preserve">         5.000 </w:t>
            </w:r>
          </w:p>
        </w:tc>
        <w:tc>
          <w:tcPr>
            <w:tcW w:w="1180" w:type="dxa"/>
            <w:tcBorders>
              <w:top w:val="nil"/>
              <w:left w:val="nil"/>
              <w:bottom w:val="nil"/>
              <w:right w:val="nil"/>
            </w:tcBorders>
            <w:shd w:val="clear" w:color="000000" w:fill="E8E8E8"/>
            <w:noWrap/>
            <w:vAlign w:val="center"/>
          </w:tcPr>
          <w:p w:rsidRPr="00D52F04" w:rsidR="002C4410" w:rsidP="002C4410" w:rsidRDefault="002C4410" w14:paraId="0426AA2C" w14:textId="147A2C58">
            <w:pPr>
              <w:spacing w:line="276" w:lineRule="auto"/>
              <w:jc w:val="right"/>
              <w:rPr>
                <w:i/>
                <w:iCs/>
                <w:color w:val="000000"/>
                <w:sz w:val="16"/>
                <w:szCs w:val="16"/>
              </w:rPr>
            </w:pPr>
            <w:r w:rsidRPr="00D52F04">
              <w:rPr>
                <w:i/>
                <w:iCs/>
                <w:color w:val="000000"/>
                <w:sz w:val="16"/>
                <w:szCs w:val="16"/>
              </w:rPr>
              <w:t xml:space="preserve">       10.000 </w:t>
            </w:r>
          </w:p>
        </w:tc>
        <w:tc>
          <w:tcPr>
            <w:tcW w:w="1180" w:type="dxa"/>
            <w:tcBorders>
              <w:top w:val="nil"/>
              <w:left w:val="nil"/>
              <w:bottom w:val="nil"/>
              <w:right w:val="nil"/>
            </w:tcBorders>
            <w:shd w:val="clear" w:color="000000" w:fill="E8E8E8"/>
            <w:noWrap/>
            <w:vAlign w:val="center"/>
          </w:tcPr>
          <w:p w:rsidRPr="00D52F04" w:rsidR="002C4410" w:rsidP="002C4410" w:rsidRDefault="002C4410" w14:paraId="5A5B04FE" w14:textId="2E03EF2E">
            <w:pPr>
              <w:spacing w:line="276" w:lineRule="auto"/>
              <w:jc w:val="right"/>
              <w:rPr>
                <w:i/>
                <w:iCs/>
                <w:color w:val="000000"/>
                <w:sz w:val="16"/>
                <w:szCs w:val="16"/>
              </w:rPr>
            </w:pPr>
            <w:r w:rsidRPr="00D52F04">
              <w:rPr>
                <w:i/>
                <w:iCs/>
                <w:color w:val="000000"/>
                <w:sz w:val="16"/>
                <w:szCs w:val="16"/>
              </w:rPr>
              <w:t xml:space="preserve">       10.000 </w:t>
            </w:r>
          </w:p>
        </w:tc>
        <w:tc>
          <w:tcPr>
            <w:tcW w:w="1180" w:type="dxa"/>
            <w:tcBorders>
              <w:top w:val="nil"/>
              <w:left w:val="nil"/>
              <w:bottom w:val="nil"/>
              <w:right w:val="nil"/>
            </w:tcBorders>
            <w:shd w:val="clear" w:color="000000" w:fill="E8E8E8"/>
            <w:noWrap/>
            <w:vAlign w:val="center"/>
          </w:tcPr>
          <w:p w:rsidRPr="00D52F04" w:rsidR="002C4410" w:rsidP="002C4410" w:rsidRDefault="002C4410" w14:paraId="70DB6826" w14:textId="67FB8EED">
            <w:pPr>
              <w:spacing w:line="276" w:lineRule="auto"/>
              <w:jc w:val="right"/>
              <w:rPr>
                <w:i/>
                <w:iCs/>
                <w:color w:val="000000"/>
                <w:sz w:val="16"/>
                <w:szCs w:val="16"/>
              </w:rPr>
            </w:pPr>
            <w:r w:rsidRPr="00D52F04">
              <w:rPr>
                <w:i/>
                <w:iCs/>
                <w:color w:val="000000"/>
                <w:sz w:val="16"/>
                <w:szCs w:val="16"/>
              </w:rPr>
              <w:t xml:space="preserve">       10.000 </w:t>
            </w:r>
          </w:p>
        </w:tc>
        <w:tc>
          <w:tcPr>
            <w:tcW w:w="920" w:type="dxa"/>
            <w:tcBorders>
              <w:top w:val="nil"/>
              <w:left w:val="nil"/>
              <w:bottom w:val="nil"/>
              <w:right w:val="nil"/>
            </w:tcBorders>
            <w:shd w:val="clear" w:color="000000" w:fill="E8E8E8"/>
            <w:noWrap/>
            <w:vAlign w:val="center"/>
          </w:tcPr>
          <w:p w:rsidRPr="00D52F04" w:rsidR="002C4410" w:rsidP="002C4410" w:rsidRDefault="002C4410" w14:paraId="2C377EE1" w14:textId="38A7046C">
            <w:pPr>
              <w:spacing w:line="276" w:lineRule="auto"/>
              <w:jc w:val="right"/>
              <w:rPr>
                <w:i/>
                <w:iCs/>
                <w:color w:val="000000"/>
                <w:sz w:val="16"/>
                <w:szCs w:val="16"/>
              </w:rPr>
            </w:pPr>
            <w:r w:rsidRPr="00D52F04">
              <w:rPr>
                <w:i/>
                <w:iCs/>
                <w:color w:val="000000"/>
                <w:sz w:val="16"/>
                <w:szCs w:val="16"/>
              </w:rPr>
              <w:t xml:space="preserve">  10.000 </w:t>
            </w:r>
          </w:p>
        </w:tc>
        <w:tc>
          <w:tcPr>
            <w:tcW w:w="1180" w:type="dxa"/>
            <w:tcBorders>
              <w:top w:val="nil"/>
              <w:left w:val="nil"/>
              <w:bottom w:val="nil"/>
              <w:right w:val="nil"/>
            </w:tcBorders>
            <w:shd w:val="clear" w:color="000000" w:fill="E8E8E8"/>
            <w:noWrap/>
            <w:vAlign w:val="center"/>
          </w:tcPr>
          <w:p w:rsidRPr="00D52F04" w:rsidR="002C4410" w:rsidP="002C4410" w:rsidRDefault="002C4410" w14:paraId="680B47FD" w14:textId="7A617368">
            <w:pPr>
              <w:spacing w:line="276" w:lineRule="auto"/>
              <w:jc w:val="right"/>
              <w:rPr>
                <w:i/>
                <w:iCs/>
                <w:color w:val="000000"/>
                <w:sz w:val="16"/>
                <w:szCs w:val="16"/>
              </w:rPr>
            </w:pPr>
            <w:r w:rsidRPr="00D52F04">
              <w:rPr>
                <w:i/>
                <w:iCs/>
                <w:color w:val="000000"/>
                <w:sz w:val="16"/>
                <w:szCs w:val="16"/>
              </w:rPr>
              <w:t xml:space="preserve">       46.000 </w:t>
            </w:r>
          </w:p>
        </w:tc>
      </w:tr>
      <w:tr w:rsidRPr="00D52F04" w:rsidR="002C4410" w:rsidTr="00251BD0" w14:paraId="28CA4E45" w14:textId="77777777">
        <w:trPr>
          <w:trHeight w:val="210"/>
        </w:trPr>
        <w:tc>
          <w:tcPr>
            <w:tcW w:w="6521" w:type="dxa"/>
            <w:tcBorders>
              <w:top w:val="nil"/>
              <w:left w:val="nil"/>
              <w:bottom w:val="nil"/>
              <w:right w:val="nil"/>
            </w:tcBorders>
            <w:shd w:val="clear" w:color="000000" w:fill="E8E8E8"/>
            <w:noWrap/>
            <w:vAlign w:val="center"/>
            <w:hideMark/>
          </w:tcPr>
          <w:p w:rsidRPr="00D52F04" w:rsidR="002C4410" w:rsidP="002C4410" w:rsidRDefault="002C4410" w14:paraId="10BEFA67" w14:textId="19ACAD05">
            <w:pPr>
              <w:spacing w:line="276" w:lineRule="auto"/>
              <w:ind w:firstLine="320" w:firstLineChars="200"/>
              <w:rPr>
                <w:color w:val="000000"/>
                <w:sz w:val="16"/>
                <w:szCs w:val="16"/>
              </w:rPr>
            </w:pPr>
            <w:r w:rsidRPr="00D52F04">
              <w:rPr>
                <w:color w:val="000000"/>
                <w:sz w:val="16"/>
                <w:szCs w:val="16"/>
              </w:rPr>
              <w:t>Via NWO-SIA</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0998FA84" w14:textId="77777777">
            <w:pPr>
              <w:spacing w:line="276" w:lineRule="auto"/>
              <w:jc w:val="right"/>
              <w:rPr>
                <w:i/>
                <w:iCs/>
                <w:color w:val="000000"/>
                <w:sz w:val="16"/>
                <w:szCs w:val="16"/>
              </w:rPr>
            </w:pPr>
            <w:r w:rsidRPr="00D52F04">
              <w:rPr>
                <w:i/>
                <w:iCs/>
                <w:color w:val="000000"/>
                <w:sz w:val="16"/>
                <w:szCs w:val="16"/>
              </w:rPr>
              <w:t xml:space="preserve">         5.000 </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4CCF5D2A" w14:textId="77777777">
            <w:pPr>
              <w:spacing w:line="276" w:lineRule="auto"/>
              <w:jc w:val="right"/>
              <w:rPr>
                <w:i/>
                <w:iCs/>
                <w:color w:val="000000"/>
                <w:sz w:val="16"/>
                <w:szCs w:val="16"/>
              </w:rPr>
            </w:pPr>
            <w:r w:rsidRPr="00D52F04">
              <w:rPr>
                <w:i/>
                <w:iCs/>
                <w:color w:val="000000"/>
                <w:sz w:val="16"/>
                <w:szCs w:val="16"/>
              </w:rPr>
              <w:t xml:space="preserve">       10.000 </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4A35EB79" w14:textId="77777777">
            <w:pPr>
              <w:spacing w:line="276" w:lineRule="auto"/>
              <w:jc w:val="right"/>
              <w:rPr>
                <w:i/>
                <w:iCs/>
                <w:color w:val="000000"/>
                <w:sz w:val="16"/>
                <w:szCs w:val="16"/>
              </w:rPr>
            </w:pPr>
            <w:r w:rsidRPr="00D52F04">
              <w:rPr>
                <w:i/>
                <w:iCs/>
                <w:color w:val="000000"/>
                <w:sz w:val="16"/>
                <w:szCs w:val="16"/>
              </w:rPr>
              <w:t xml:space="preserve">       10.000 </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11976B49" w14:textId="77777777">
            <w:pPr>
              <w:spacing w:line="276" w:lineRule="auto"/>
              <w:jc w:val="right"/>
              <w:rPr>
                <w:i/>
                <w:iCs/>
                <w:color w:val="000000"/>
                <w:sz w:val="16"/>
                <w:szCs w:val="16"/>
              </w:rPr>
            </w:pPr>
            <w:r w:rsidRPr="00D52F04">
              <w:rPr>
                <w:i/>
                <w:iCs/>
                <w:color w:val="000000"/>
                <w:sz w:val="16"/>
                <w:szCs w:val="16"/>
              </w:rPr>
              <w:t xml:space="preserve">       10.000 </w:t>
            </w:r>
          </w:p>
        </w:tc>
        <w:tc>
          <w:tcPr>
            <w:tcW w:w="920" w:type="dxa"/>
            <w:tcBorders>
              <w:top w:val="nil"/>
              <w:left w:val="nil"/>
              <w:bottom w:val="nil"/>
              <w:right w:val="nil"/>
            </w:tcBorders>
            <w:shd w:val="clear" w:color="000000" w:fill="E8E8E8"/>
            <w:noWrap/>
            <w:vAlign w:val="center"/>
            <w:hideMark/>
          </w:tcPr>
          <w:p w:rsidRPr="00D52F04" w:rsidR="002C4410" w:rsidP="002C4410" w:rsidRDefault="002C4410" w14:paraId="78FB7954" w14:textId="77777777">
            <w:pPr>
              <w:spacing w:line="276" w:lineRule="auto"/>
              <w:jc w:val="right"/>
              <w:rPr>
                <w:i/>
                <w:iCs/>
                <w:color w:val="000000"/>
                <w:sz w:val="16"/>
                <w:szCs w:val="16"/>
              </w:rPr>
            </w:pPr>
            <w:r w:rsidRPr="00D52F04">
              <w:rPr>
                <w:i/>
                <w:iCs/>
                <w:color w:val="000000"/>
                <w:sz w:val="16"/>
                <w:szCs w:val="16"/>
              </w:rPr>
              <w:t xml:space="preserve">  10.000 </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626A72FD" w14:textId="77777777">
            <w:pPr>
              <w:spacing w:line="276" w:lineRule="auto"/>
              <w:jc w:val="right"/>
              <w:rPr>
                <w:i/>
                <w:iCs/>
                <w:color w:val="000000"/>
                <w:sz w:val="16"/>
                <w:szCs w:val="16"/>
              </w:rPr>
            </w:pPr>
            <w:r w:rsidRPr="00D52F04">
              <w:rPr>
                <w:i/>
                <w:iCs/>
                <w:color w:val="000000"/>
                <w:sz w:val="16"/>
                <w:szCs w:val="16"/>
              </w:rPr>
              <w:t xml:space="preserve">       22.000 </w:t>
            </w:r>
          </w:p>
        </w:tc>
      </w:tr>
      <w:tr w:rsidRPr="00D52F04" w:rsidR="002C4410" w:rsidTr="00251BD0" w14:paraId="55D14A4D" w14:textId="77777777">
        <w:trPr>
          <w:trHeight w:val="210"/>
        </w:trPr>
        <w:tc>
          <w:tcPr>
            <w:tcW w:w="6521" w:type="dxa"/>
            <w:tcBorders>
              <w:top w:val="nil"/>
              <w:left w:val="nil"/>
              <w:bottom w:val="nil"/>
              <w:right w:val="nil"/>
            </w:tcBorders>
            <w:noWrap/>
            <w:vAlign w:val="center"/>
            <w:hideMark/>
          </w:tcPr>
          <w:p w:rsidRPr="00D52F04" w:rsidR="002C4410" w:rsidP="002C4410" w:rsidRDefault="002C4410" w14:paraId="395C54D1" w14:textId="77777777">
            <w:pPr>
              <w:spacing w:line="276" w:lineRule="auto"/>
              <w:rPr>
                <w:color w:val="000000"/>
                <w:sz w:val="16"/>
                <w:szCs w:val="16"/>
              </w:rPr>
            </w:pPr>
            <w:r w:rsidRPr="00D52F04">
              <w:rPr>
                <w:color w:val="000000"/>
                <w:sz w:val="16"/>
                <w:szCs w:val="16"/>
              </w:rPr>
              <w:t>Praktijkgericht onderzoek: mbo</w:t>
            </w:r>
          </w:p>
        </w:tc>
        <w:tc>
          <w:tcPr>
            <w:tcW w:w="1180" w:type="dxa"/>
            <w:tcBorders>
              <w:top w:val="nil"/>
              <w:left w:val="nil"/>
              <w:bottom w:val="nil"/>
              <w:right w:val="nil"/>
            </w:tcBorders>
            <w:noWrap/>
            <w:vAlign w:val="center"/>
            <w:hideMark/>
          </w:tcPr>
          <w:p w:rsidRPr="00D52F04" w:rsidR="002C4410" w:rsidP="002C4410" w:rsidRDefault="002C4410" w14:paraId="262EABDF" w14:textId="77777777">
            <w:pPr>
              <w:spacing w:line="276" w:lineRule="auto"/>
              <w:jc w:val="right"/>
              <w:rPr>
                <w:color w:val="000000"/>
                <w:sz w:val="16"/>
                <w:szCs w:val="16"/>
              </w:rPr>
            </w:pPr>
            <w:r w:rsidRPr="00D52F04">
              <w:rPr>
                <w:color w:val="000000"/>
                <w:sz w:val="16"/>
                <w:szCs w:val="16"/>
              </w:rPr>
              <w:t xml:space="preserve">              0   </w:t>
            </w:r>
          </w:p>
        </w:tc>
        <w:tc>
          <w:tcPr>
            <w:tcW w:w="1180" w:type="dxa"/>
            <w:tcBorders>
              <w:top w:val="nil"/>
              <w:left w:val="nil"/>
              <w:bottom w:val="nil"/>
              <w:right w:val="nil"/>
            </w:tcBorders>
            <w:noWrap/>
            <w:vAlign w:val="center"/>
            <w:hideMark/>
          </w:tcPr>
          <w:p w:rsidRPr="00D52F04" w:rsidR="002C4410" w:rsidP="002C4410" w:rsidRDefault="002C4410" w14:paraId="67844A99" w14:textId="77777777">
            <w:pPr>
              <w:spacing w:line="276" w:lineRule="auto"/>
              <w:jc w:val="right"/>
              <w:rPr>
                <w:color w:val="000000"/>
                <w:sz w:val="16"/>
                <w:szCs w:val="16"/>
              </w:rPr>
            </w:pPr>
            <w:r w:rsidRPr="00D52F04">
              <w:rPr>
                <w:color w:val="000000"/>
                <w:sz w:val="16"/>
                <w:szCs w:val="16"/>
              </w:rPr>
              <w:t xml:space="preserve">       13.000 </w:t>
            </w:r>
          </w:p>
        </w:tc>
        <w:tc>
          <w:tcPr>
            <w:tcW w:w="1180" w:type="dxa"/>
            <w:tcBorders>
              <w:top w:val="nil"/>
              <w:left w:val="nil"/>
              <w:bottom w:val="nil"/>
              <w:right w:val="nil"/>
            </w:tcBorders>
            <w:noWrap/>
            <w:vAlign w:val="center"/>
            <w:hideMark/>
          </w:tcPr>
          <w:p w:rsidRPr="00D52F04" w:rsidR="002C4410" w:rsidP="002C4410" w:rsidRDefault="002C4410" w14:paraId="592EBF73" w14:textId="77777777">
            <w:pPr>
              <w:spacing w:line="276" w:lineRule="auto"/>
              <w:jc w:val="right"/>
              <w:rPr>
                <w:color w:val="000000"/>
                <w:sz w:val="16"/>
                <w:szCs w:val="16"/>
              </w:rPr>
            </w:pPr>
            <w:r w:rsidRPr="00D52F04">
              <w:rPr>
                <w:color w:val="000000"/>
                <w:sz w:val="16"/>
                <w:szCs w:val="16"/>
              </w:rPr>
              <w:t xml:space="preserve">       13.000 </w:t>
            </w:r>
          </w:p>
        </w:tc>
        <w:tc>
          <w:tcPr>
            <w:tcW w:w="1180" w:type="dxa"/>
            <w:tcBorders>
              <w:top w:val="nil"/>
              <w:left w:val="nil"/>
              <w:bottom w:val="nil"/>
              <w:right w:val="nil"/>
            </w:tcBorders>
            <w:noWrap/>
            <w:vAlign w:val="center"/>
            <w:hideMark/>
          </w:tcPr>
          <w:p w:rsidRPr="00D52F04" w:rsidR="002C4410" w:rsidP="002C4410" w:rsidRDefault="002C4410" w14:paraId="71737FE2" w14:textId="77777777">
            <w:pPr>
              <w:spacing w:line="276" w:lineRule="auto"/>
              <w:jc w:val="right"/>
              <w:rPr>
                <w:color w:val="000000"/>
                <w:sz w:val="16"/>
                <w:szCs w:val="16"/>
              </w:rPr>
            </w:pPr>
            <w:r w:rsidRPr="00D52F04">
              <w:rPr>
                <w:color w:val="000000"/>
                <w:sz w:val="16"/>
                <w:szCs w:val="16"/>
              </w:rPr>
              <w:t xml:space="preserve">       13.000 </w:t>
            </w:r>
          </w:p>
        </w:tc>
        <w:tc>
          <w:tcPr>
            <w:tcW w:w="920" w:type="dxa"/>
            <w:tcBorders>
              <w:top w:val="nil"/>
              <w:left w:val="nil"/>
              <w:bottom w:val="nil"/>
              <w:right w:val="nil"/>
            </w:tcBorders>
            <w:noWrap/>
            <w:vAlign w:val="center"/>
            <w:hideMark/>
          </w:tcPr>
          <w:p w:rsidRPr="00D52F04" w:rsidR="002C4410" w:rsidP="002C4410" w:rsidRDefault="002C4410" w14:paraId="76FDEA86" w14:textId="77777777">
            <w:pPr>
              <w:spacing w:line="276" w:lineRule="auto"/>
              <w:jc w:val="right"/>
              <w:rPr>
                <w:color w:val="000000"/>
                <w:sz w:val="16"/>
                <w:szCs w:val="16"/>
              </w:rPr>
            </w:pPr>
            <w:r w:rsidRPr="00D52F04">
              <w:rPr>
                <w:color w:val="000000"/>
                <w:sz w:val="16"/>
                <w:szCs w:val="16"/>
              </w:rPr>
              <w:t xml:space="preserve">   13.000 </w:t>
            </w:r>
          </w:p>
        </w:tc>
        <w:tc>
          <w:tcPr>
            <w:tcW w:w="1180" w:type="dxa"/>
            <w:tcBorders>
              <w:top w:val="nil"/>
              <w:left w:val="nil"/>
              <w:bottom w:val="nil"/>
              <w:right w:val="nil"/>
            </w:tcBorders>
            <w:noWrap/>
            <w:vAlign w:val="center"/>
            <w:hideMark/>
          </w:tcPr>
          <w:p w:rsidRPr="00D52F04" w:rsidR="002C4410" w:rsidP="002C4410" w:rsidRDefault="002C4410" w14:paraId="061B0667" w14:textId="77777777">
            <w:pPr>
              <w:spacing w:line="276" w:lineRule="auto"/>
              <w:jc w:val="right"/>
              <w:rPr>
                <w:color w:val="000000"/>
                <w:sz w:val="16"/>
                <w:szCs w:val="16"/>
              </w:rPr>
            </w:pPr>
            <w:r w:rsidRPr="00D52F04">
              <w:rPr>
                <w:color w:val="000000"/>
                <w:sz w:val="16"/>
                <w:szCs w:val="16"/>
              </w:rPr>
              <w:t xml:space="preserve">       17.000 </w:t>
            </w:r>
          </w:p>
        </w:tc>
      </w:tr>
      <w:tr w:rsidRPr="00D52F04" w:rsidR="002C4410" w:rsidTr="00251BD0" w14:paraId="7D9DDE3B" w14:textId="77777777">
        <w:trPr>
          <w:trHeight w:val="210"/>
        </w:trPr>
        <w:tc>
          <w:tcPr>
            <w:tcW w:w="6521" w:type="dxa"/>
            <w:tcBorders>
              <w:top w:val="nil"/>
              <w:left w:val="nil"/>
              <w:bottom w:val="nil"/>
              <w:right w:val="nil"/>
            </w:tcBorders>
            <w:shd w:val="clear" w:color="000000" w:fill="E8E8E8"/>
            <w:noWrap/>
            <w:vAlign w:val="center"/>
            <w:hideMark/>
          </w:tcPr>
          <w:p w:rsidRPr="00D52F04" w:rsidR="002C4410" w:rsidP="002C4410" w:rsidRDefault="002C4410" w14:paraId="591C3E3E" w14:textId="77777777">
            <w:pPr>
              <w:spacing w:line="276" w:lineRule="auto"/>
              <w:ind w:firstLine="320" w:firstLineChars="200"/>
              <w:rPr>
                <w:color w:val="000000"/>
                <w:sz w:val="16"/>
                <w:szCs w:val="16"/>
              </w:rPr>
            </w:pPr>
            <w:proofErr w:type="spellStart"/>
            <w:r w:rsidRPr="00D52F04">
              <w:rPr>
                <w:color w:val="000000"/>
                <w:sz w:val="16"/>
                <w:szCs w:val="16"/>
              </w:rPr>
              <w:t>Practoraten</w:t>
            </w:r>
            <w:proofErr w:type="spellEnd"/>
            <w:r w:rsidRPr="00D52F04">
              <w:rPr>
                <w:color w:val="000000"/>
                <w:sz w:val="16"/>
                <w:szCs w:val="16"/>
              </w:rPr>
              <w:t xml:space="preserve"> via eerste geldstroom</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2B8CBB4C" w14:textId="77777777">
            <w:pPr>
              <w:spacing w:line="276" w:lineRule="auto"/>
              <w:jc w:val="right"/>
              <w:rPr>
                <w:i/>
                <w:iCs/>
                <w:color w:val="000000"/>
                <w:sz w:val="16"/>
                <w:szCs w:val="16"/>
              </w:rPr>
            </w:pPr>
            <w:r w:rsidRPr="00D52F04">
              <w:rPr>
                <w:i/>
                <w:iCs/>
                <w:color w:val="000000"/>
                <w:sz w:val="16"/>
                <w:szCs w:val="16"/>
              </w:rPr>
              <w:t>0</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50FA263B" w14:textId="77777777">
            <w:pPr>
              <w:spacing w:line="276" w:lineRule="auto"/>
              <w:jc w:val="right"/>
              <w:rPr>
                <w:i/>
                <w:iCs/>
                <w:color w:val="000000"/>
                <w:sz w:val="16"/>
                <w:szCs w:val="16"/>
              </w:rPr>
            </w:pPr>
            <w:r w:rsidRPr="00D52F04">
              <w:rPr>
                <w:i/>
                <w:iCs/>
                <w:color w:val="000000"/>
                <w:sz w:val="16"/>
                <w:szCs w:val="16"/>
              </w:rPr>
              <w:t xml:space="preserve">       13.000 </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2799742F" w14:textId="77777777">
            <w:pPr>
              <w:spacing w:line="276" w:lineRule="auto"/>
              <w:jc w:val="right"/>
              <w:rPr>
                <w:i/>
                <w:iCs/>
                <w:color w:val="000000"/>
                <w:sz w:val="16"/>
                <w:szCs w:val="16"/>
              </w:rPr>
            </w:pPr>
            <w:r w:rsidRPr="00D52F04">
              <w:rPr>
                <w:i/>
                <w:iCs/>
                <w:color w:val="000000"/>
                <w:sz w:val="16"/>
                <w:szCs w:val="16"/>
              </w:rPr>
              <w:t xml:space="preserve">       13.000 </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450B053E" w14:textId="77777777">
            <w:pPr>
              <w:spacing w:line="276" w:lineRule="auto"/>
              <w:jc w:val="right"/>
              <w:rPr>
                <w:i/>
                <w:iCs/>
                <w:color w:val="000000"/>
                <w:sz w:val="16"/>
                <w:szCs w:val="16"/>
              </w:rPr>
            </w:pPr>
            <w:r w:rsidRPr="00D52F04">
              <w:rPr>
                <w:i/>
                <w:iCs/>
                <w:color w:val="000000"/>
                <w:sz w:val="16"/>
                <w:szCs w:val="16"/>
              </w:rPr>
              <w:t xml:space="preserve">       13.000 </w:t>
            </w:r>
          </w:p>
        </w:tc>
        <w:tc>
          <w:tcPr>
            <w:tcW w:w="920" w:type="dxa"/>
            <w:tcBorders>
              <w:top w:val="nil"/>
              <w:left w:val="nil"/>
              <w:bottom w:val="nil"/>
              <w:right w:val="nil"/>
            </w:tcBorders>
            <w:shd w:val="clear" w:color="000000" w:fill="E8E8E8"/>
            <w:noWrap/>
            <w:vAlign w:val="center"/>
            <w:hideMark/>
          </w:tcPr>
          <w:p w:rsidRPr="00D52F04" w:rsidR="002C4410" w:rsidP="002C4410" w:rsidRDefault="002C4410" w14:paraId="52D4F104" w14:textId="77777777">
            <w:pPr>
              <w:spacing w:line="276" w:lineRule="auto"/>
              <w:jc w:val="right"/>
              <w:rPr>
                <w:i/>
                <w:iCs/>
                <w:color w:val="000000"/>
                <w:sz w:val="16"/>
                <w:szCs w:val="16"/>
              </w:rPr>
            </w:pPr>
            <w:r w:rsidRPr="00D52F04">
              <w:rPr>
                <w:i/>
                <w:iCs/>
                <w:color w:val="000000"/>
                <w:sz w:val="16"/>
                <w:szCs w:val="16"/>
              </w:rPr>
              <w:t xml:space="preserve">  13.000 </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4E2F09F5" w14:textId="77777777">
            <w:pPr>
              <w:spacing w:line="276" w:lineRule="auto"/>
              <w:jc w:val="right"/>
              <w:rPr>
                <w:i/>
                <w:iCs/>
                <w:color w:val="000000"/>
                <w:sz w:val="16"/>
                <w:szCs w:val="16"/>
              </w:rPr>
            </w:pPr>
            <w:r w:rsidRPr="00D52F04">
              <w:rPr>
                <w:i/>
                <w:iCs/>
                <w:color w:val="000000"/>
                <w:sz w:val="16"/>
                <w:szCs w:val="16"/>
              </w:rPr>
              <w:t xml:space="preserve">       17.000 </w:t>
            </w:r>
          </w:p>
        </w:tc>
      </w:tr>
      <w:tr w:rsidRPr="00D52F04" w:rsidR="002C4410" w:rsidTr="00251BD0" w14:paraId="38DCDA1B" w14:textId="77777777">
        <w:trPr>
          <w:trHeight w:val="210"/>
        </w:trPr>
        <w:tc>
          <w:tcPr>
            <w:tcW w:w="6521" w:type="dxa"/>
            <w:tcBorders>
              <w:top w:val="nil"/>
              <w:left w:val="nil"/>
              <w:bottom w:val="nil"/>
              <w:right w:val="nil"/>
            </w:tcBorders>
            <w:noWrap/>
            <w:vAlign w:val="center"/>
            <w:hideMark/>
          </w:tcPr>
          <w:p w:rsidRPr="00D52F04" w:rsidR="002C4410" w:rsidP="002C4410" w:rsidRDefault="002C4410" w14:paraId="2C6382A8" w14:textId="77777777">
            <w:pPr>
              <w:spacing w:line="276" w:lineRule="auto"/>
              <w:rPr>
                <w:color w:val="000000"/>
                <w:sz w:val="16"/>
                <w:szCs w:val="16"/>
              </w:rPr>
            </w:pPr>
            <w:r w:rsidRPr="00D52F04">
              <w:rPr>
                <w:color w:val="000000"/>
                <w:sz w:val="16"/>
                <w:szCs w:val="16"/>
              </w:rPr>
              <w:t>Europese samenwerking: Europese partnerschappen</w:t>
            </w:r>
          </w:p>
        </w:tc>
        <w:tc>
          <w:tcPr>
            <w:tcW w:w="1180" w:type="dxa"/>
            <w:tcBorders>
              <w:top w:val="nil"/>
              <w:left w:val="nil"/>
              <w:bottom w:val="nil"/>
              <w:right w:val="nil"/>
            </w:tcBorders>
            <w:noWrap/>
            <w:vAlign w:val="center"/>
            <w:hideMark/>
          </w:tcPr>
          <w:p w:rsidRPr="00D52F04" w:rsidR="002C4410" w:rsidP="002C4410" w:rsidRDefault="002C4410" w14:paraId="00983F60" w14:textId="77777777">
            <w:pPr>
              <w:spacing w:line="276" w:lineRule="auto"/>
              <w:jc w:val="right"/>
              <w:rPr>
                <w:color w:val="000000"/>
                <w:sz w:val="16"/>
                <w:szCs w:val="16"/>
              </w:rPr>
            </w:pPr>
            <w:r w:rsidRPr="00D52F04">
              <w:rPr>
                <w:color w:val="000000"/>
                <w:sz w:val="16"/>
                <w:szCs w:val="16"/>
              </w:rPr>
              <w:t xml:space="preserve">              0  </w:t>
            </w:r>
          </w:p>
        </w:tc>
        <w:tc>
          <w:tcPr>
            <w:tcW w:w="1180" w:type="dxa"/>
            <w:tcBorders>
              <w:top w:val="nil"/>
              <w:left w:val="nil"/>
              <w:bottom w:val="nil"/>
              <w:right w:val="nil"/>
            </w:tcBorders>
            <w:noWrap/>
            <w:vAlign w:val="center"/>
            <w:hideMark/>
          </w:tcPr>
          <w:p w:rsidRPr="00D52F04" w:rsidR="002C4410" w:rsidP="002C4410" w:rsidRDefault="002C4410" w14:paraId="6BC3FF45" w14:textId="77777777">
            <w:pPr>
              <w:spacing w:line="276" w:lineRule="auto"/>
              <w:jc w:val="right"/>
              <w:rPr>
                <w:color w:val="000000"/>
                <w:sz w:val="16"/>
                <w:szCs w:val="16"/>
              </w:rPr>
            </w:pPr>
            <w:r w:rsidRPr="00D52F04">
              <w:rPr>
                <w:color w:val="000000"/>
                <w:sz w:val="16"/>
                <w:szCs w:val="16"/>
              </w:rPr>
              <w:t xml:space="preserve">              0   </w:t>
            </w:r>
          </w:p>
        </w:tc>
        <w:tc>
          <w:tcPr>
            <w:tcW w:w="1180" w:type="dxa"/>
            <w:tcBorders>
              <w:top w:val="nil"/>
              <w:left w:val="nil"/>
              <w:bottom w:val="nil"/>
              <w:right w:val="nil"/>
            </w:tcBorders>
            <w:noWrap/>
            <w:vAlign w:val="center"/>
            <w:hideMark/>
          </w:tcPr>
          <w:p w:rsidRPr="00D52F04" w:rsidR="002C4410" w:rsidP="002C4410" w:rsidRDefault="002C4410" w14:paraId="5924D926" w14:textId="77777777">
            <w:pPr>
              <w:spacing w:line="276" w:lineRule="auto"/>
              <w:jc w:val="right"/>
              <w:rPr>
                <w:color w:val="000000"/>
                <w:sz w:val="16"/>
                <w:szCs w:val="16"/>
              </w:rPr>
            </w:pPr>
            <w:r w:rsidRPr="00D52F04">
              <w:rPr>
                <w:color w:val="000000"/>
                <w:sz w:val="16"/>
                <w:szCs w:val="16"/>
              </w:rPr>
              <w:t xml:space="preserve">       15.000 </w:t>
            </w:r>
          </w:p>
        </w:tc>
        <w:tc>
          <w:tcPr>
            <w:tcW w:w="1180" w:type="dxa"/>
            <w:tcBorders>
              <w:top w:val="nil"/>
              <w:left w:val="nil"/>
              <w:bottom w:val="nil"/>
              <w:right w:val="nil"/>
            </w:tcBorders>
            <w:noWrap/>
            <w:vAlign w:val="center"/>
            <w:hideMark/>
          </w:tcPr>
          <w:p w:rsidRPr="00D52F04" w:rsidR="002C4410" w:rsidP="002C4410" w:rsidRDefault="002C4410" w14:paraId="75AB7F83" w14:textId="77777777">
            <w:pPr>
              <w:spacing w:line="276" w:lineRule="auto"/>
              <w:jc w:val="right"/>
              <w:rPr>
                <w:color w:val="000000"/>
                <w:sz w:val="16"/>
                <w:szCs w:val="16"/>
              </w:rPr>
            </w:pPr>
            <w:r w:rsidRPr="00D52F04">
              <w:rPr>
                <w:color w:val="000000"/>
                <w:sz w:val="16"/>
                <w:szCs w:val="16"/>
              </w:rPr>
              <w:t xml:space="preserve">       47.000 </w:t>
            </w:r>
          </w:p>
        </w:tc>
        <w:tc>
          <w:tcPr>
            <w:tcW w:w="920" w:type="dxa"/>
            <w:tcBorders>
              <w:top w:val="nil"/>
              <w:left w:val="nil"/>
              <w:bottom w:val="nil"/>
              <w:right w:val="nil"/>
            </w:tcBorders>
            <w:noWrap/>
            <w:vAlign w:val="center"/>
            <w:hideMark/>
          </w:tcPr>
          <w:p w:rsidRPr="00D52F04" w:rsidR="002C4410" w:rsidP="002C4410" w:rsidRDefault="002C4410" w14:paraId="4F47B655" w14:textId="77777777">
            <w:pPr>
              <w:spacing w:line="276" w:lineRule="auto"/>
              <w:jc w:val="right"/>
              <w:rPr>
                <w:color w:val="000000"/>
                <w:sz w:val="16"/>
                <w:szCs w:val="16"/>
              </w:rPr>
            </w:pPr>
            <w:r w:rsidRPr="00D52F04">
              <w:rPr>
                <w:color w:val="000000"/>
                <w:sz w:val="16"/>
                <w:szCs w:val="16"/>
              </w:rPr>
              <w:t xml:space="preserve">   47.000 </w:t>
            </w:r>
          </w:p>
        </w:tc>
        <w:tc>
          <w:tcPr>
            <w:tcW w:w="1180" w:type="dxa"/>
            <w:tcBorders>
              <w:top w:val="nil"/>
              <w:left w:val="nil"/>
              <w:bottom w:val="nil"/>
              <w:right w:val="nil"/>
            </w:tcBorders>
            <w:noWrap/>
            <w:vAlign w:val="center"/>
            <w:hideMark/>
          </w:tcPr>
          <w:p w:rsidRPr="00D52F04" w:rsidR="002C4410" w:rsidP="002C4410" w:rsidRDefault="002C4410" w14:paraId="0D2AAA88" w14:textId="77777777">
            <w:pPr>
              <w:spacing w:line="276" w:lineRule="auto"/>
              <w:jc w:val="right"/>
              <w:rPr>
                <w:color w:val="000000"/>
                <w:sz w:val="16"/>
                <w:szCs w:val="16"/>
              </w:rPr>
            </w:pPr>
            <w:r w:rsidRPr="00D52F04">
              <w:rPr>
                <w:color w:val="000000"/>
                <w:sz w:val="16"/>
                <w:szCs w:val="16"/>
              </w:rPr>
              <w:t xml:space="preserve">       47.000 </w:t>
            </w:r>
          </w:p>
        </w:tc>
      </w:tr>
      <w:tr w:rsidRPr="00D52F04" w:rsidR="002C4410" w:rsidTr="00251BD0" w14:paraId="3220FE14" w14:textId="77777777">
        <w:trPr>
          <w:trHeight w:val="210"/>
        </w:trPr>
        <w:tc>
          <w:tcPr>
            <w:tcW w:w="6521" w:type="dxa"/>
            <w:tcBorders>
              <w:top w:val="nil"/>
              <w:left w:val="nil"/>
              <w:bottom w:val="nil"/>
              <w:right w:val="nil"/>
            </w:tcBorders>
            <w:shd w:val="clear" w:color="000000" w:fill="E8E8E8"/>
            <w:noWrap/>
            <w:vAlign w:val="center"/>
            <w:hideMark/>
          </w:tcPr>
          <w:p w:rsidRPr="00D52F04" w:rsidR="002C4410" w:rsidP="002C4410" w:rsidRDefault="002C4410" w14:paraId="0BA80837" w14:textId="77777777">
            <w:pPr>
              <w:spacing w:line="276" w:lineRule="auto"/>
              <w:ind w:firstLine="320" w:firstLineChars="200"/>
              <w:rPr>
                <w:color w:val="000000"/>
                <w:sz w:val="16"/>
                <w:szCs w:val="16"/>
              </w:rPr>
            </w:pPr>
            <w:r w:rsidRPr="00D52F04">
              <w:rPr>
                <w:color w:val="000000"/>
                <w:sz w:val="16"/>
                <w:szCs w:val="16"/>
              </w:rPr>
              <w:t>Europese partnerschappen via OCW</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484FE79E" w14:textId="77777777">
            <w:pPr>
              <w:spacing w:line="276" w:lineRule="auto"/>
              <w:jc w:val="right"/>
              <w:rPr>
                <w:i/>
                <w:iCs/>
                <w:color w:val="000000"/>
                <w:sz w:val="16"/>
                <w:szCs w:val="16"/>
              </w:rPr>
            </w:pPr>
            <w:r w:rsidRPr="00D52F04">
              <w:rPr>
                <w:i/>
                <w:iCs/>
                <w:color w:val="000000"/>
                <w:sz w:val="16"/>
                <w:szCs w:val="16"/>
              </w:rPr>
              <w:t> 0</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3C7576BC" w14:textId="77777777">
            <w:pPr>
              <w:spacing w:line="276" w:lineRule="auto"/>
              <w:jc w:val="right"/>
              <w:rPr>
                <w:i/>
                <w:iCs/>
                <w:color w:val="000000"/>
                <w:sz w:val="16"/>
                <w:szCs w:val="16"/>
              </w:rPr>
            </w:pPr>
            <w:r w:rsidRPr="00D52F04">
              <w:rPr>
                <w:i/>
                <w:iCs/>
                <w:color w:val="000000"/>
                <w:sz w:val="16"/>
                <w:szCs w:val="16"/>
              </w:rPr>
              <w:t>0</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0158D814" w14:textId="77777777">
            <w:pPr>
              <w:spacing w:line="276" w:lineRule="auto"/>
              <w:jc w:val="right"/>
              <w:rPr>
                <w:i/>
                <w:iCs/>
                <w:color w:val="000000"/>
                <w:sz w:val="16"/>
                <w:szCs w:val="16"/>
              </w:rPr>
            </w:pPr>
            <w:r w:rsidRPr="00D52F04">
              <w:rPr>
                <w:i/>
                <w:iCs/>
                <w:color w:val="000000"/>
                <w:sz w:val="16"/>
                <w:szCs w:val="16"/>
              </w:rPr>
              <w:t>0 </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48661935" w14:textId="77777777">
            <w:pPr>
              <w:spacing w:line="276" w:lineRule="auto"/>
              <w:jc w:val="right"/>
              <w:rPr>
                <w:i/>
                <w:iCs/>
                <w:color w:val="000000"/>
                <w:sz w:val="16"/>
                <w:szCs w:val="16"/>
              </w:rPr>
            </w:pPr>
            <w:r w:rsidRPr="00D52F04">
              <w:rPr>
                <w:i/>
                <w:iCs/>
                <w:color w:val="000000"/>
                <w:sz w:val="16"/>
                <w:szCs w:val="16"/>
              </w:rPr>
              <w:t xml:space="preserve">       13.000 </w:t>
            </w:r>
          </w:p>
        </w:tc>
        <w:tc>
          <w:tcPr>
            <w:tcW w:w="920" w:type="dxa"/>
            <w:tcBorders>
              <w:top w:val="nil"/>
              <w:left w:val="nil"/>
              <w:bottom w:val="nil"/>
              <w:right w:val="nil"/>
            </w:tcBorders>
            <w:shd w:val="clear" w:color="000000" w:fill="E8E8E8"/>
            <w:noWrap/>
            <w:vAlign w:val="center"/>
            <w:hideMark/>
          </w:tcPr>
          <w:p w:rsidRPr="00D52F04" w:rsidR="002C4410" w:rsidP="002C4410" w:rsidRDefault="002C4410" w14:paraId="0FE1EAF6" w14:textId="77777777">
            <w:pPr>
              <w:spacing w:line="276" w:lineRule="auto"/>
              <w:jc w:val="right"/>
              <w:rPr>
                <w:i/>
                <w:iCs/>
                <w:color w:val="000000"/>
                <w:sz w:val="16"/>
                <w:szCs w:val="16"/>
              </w:rPr>
            </w:pPr>
            <w:r w:rsidRPr="00D52F04">
              <w:rPr>
                <w:i/>
                <w:iCs/>
                <w:color w:val="000000"/>
                <w:sz w:val="16"/>
                <w:szCs w:val="16"/>
              </w:rPr>
              <w:t xml:space="preserve">  13.000 </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68FFA31A" w14:textId="77777777">
            <w:pPr>
              <w:spacing w:line="276" w:lineRule="auto"/>
              <w:jc w:val="right"/>
              <w:rPr>
                <w:i/>
                <w:iCs/>
                <w:color w:val="000000"/>
                <w:sz w:val="16"/>
                <w:szCs w:val="16"/>
              </w:rPr>
            </w:pPr>
            <w:r w:rsidRPr="00D52F04">
              <w:rPr>
                <w:i/>
                <w:iCs/>
                <w:color w:val="000000"/>
                <w:sz w:val="16"/>
                <w:szCs w:val="16"/>
              </w:rPr>
              <w:t xml:space="preserve">       13.000 </w:t>
            </w:r>
          </w:p>
        </w:tc>
      </w:tr>
      <w:tr w:rsidRPr="00D52F04" w:rsidR="002C4410" w:rsidTr="00251BD0" w14:paraId="194D8A69" w14:textId="77777777">
        <w:trPr>
          <w:trHeight w:val="210"/>
        </w:trPr>
        <w:tc>
          <w:tcPr>
            <w:tcW w:w="6521" w:type="dxa"/>
            <w:tcBorders>
              <w:top w:val="nil"/>
              <w:left w:val="nil"/>
              <w:bottom w:val="nil"/>
              <w:right w:val="nil"/>
            </w:tcBorders>
            <w:shd w:val="clear" w:color="000000" w:fill="E8E8E8"/>
            <w:noWrap/>
            <w:vAlign w:val="center"/>
            <w:hideMark/>
          </w:tcPr>
          <w:p w:rsidRPr="00D52F04" w:rsidR="002C4410" w:rsidP="002C4410" w:rsidRDefault="002C4410" w14:paraId="36C012BE" w14:textId="77777777">
            <w:pPr>
              <w:spacing w:line="276" w:lineRule="auto"/>
              <w:ind w:firstLine="320" w:firstLineChars="200"/>
              <w:rPr>
                <w:color w:val="000000"/>
                <w:sz w:val="16"/>
                <w:szCs w:val="16"/>
              </w:rPr>
            </w:pPr>
            <w:r w:rsidRPr="00D52F04">
              <w:rPr>
                <w:color w:val="000000"/>
                <w:sz w:val="16"/>
                <w:szCs w:val="16"/>
              </w:rPr>
              <w:t>Europese partnerschappen via EZK</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019BD5D3" w14:textId="77777777">
            <w:pPr>
              <w:spacing w:line="276" w:lineRule="auto"/>
              <w:jc w:val="right"/>
              <w:rPr>
                <w:i/>
                <w:iCs/>
                <w:color w:val="000000"/>
                <w:sz w:val="16"/>
                <w:szCs w:val="16"/>
              </w:rPr>
            </w:pPr>
            <w:r w:rsidRPr="00D52F04">
              <w:rPr>
                <w:i/>
                <w:iCs/>
                <w:color w:val="000000"/>
                <w:sz w:val="16"/>
                <w:szCs w:val="16"/>
              </w:rPr>
              <w:t> 0</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5266A81D" w14:textId="77777777">
            <w:pPr>
              <w:spacing w:line="276" w:lineRule="auto"/>
              <w:jc w:val="right"/>
              <w:rPr>
                <w:i/>
                <w:iCs/>
                <w:color w:val="000000"/>
                <w:sz w:val="16"/>
                <w:szCs w:val="16"/>
              </w:rPr>
            </w:pPr>
            <w:r w:rsidRPr="00D52F04">
              <w:rPr>
                <w:i/>
                <w:iCs/>
                <w:color w:val="000000"/>
                <w:sz w:val="16"/>
                <w:szCs w:val="16"/>
              </w:rPr>
              <w:t> 0</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474C3DAC" w14:textId="77777777">
            <w:pPr>
              <w:spacing w:line="276" w:lineRule="auto"/>
              <w:jc w:val="right"/>
              <w:rPr>
                <w:i/>
                <w:iCs/>
                <w:color w:val="000000"/>
                <w:sz w:val="16"/>
                <w:szCs w:val="16"/>
              </w:rPr>
            </w:pPr>
            <w:r w:rsidRPr="00D52F04">
              <w:rPr>
                <w:i/>
                <w:iCs/>
                <w:color w:val="000000"/>
                <w:sz w:val="16"/>
                <w:szCs w:val="16"/>
              </w:rPr>
              <w:t xml:space="preserve">       15.000 </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52E6CC52" w14:textId="77777777">
            <w:pPr>
              <w:spacing w:line="276" w:lineRule="auto"/>
              <w:jc w:val="right"/>
              <w:rPr>
                <w:i/>
                <w:iCs/>
                <w:color w:val="000000"/>
                <w:sz w:val="16"/>
                <w:szCs w:val="16"/>
              </w:rPr>
            </w:pPr>
            <w:r w:rsidRPr="00D52F04">
              <w:rPr>
                <w:i/>
                <w:iCs/>
                <w:color w:val="000000"/>
                <w:sz w:val="16"/>
                <w:szCs w:val="16"/>
              </w:rPr>
              <w:t xml:space="preserve">       34.000 </w:t>
            </w:r>
          </w:p>
        </w:tc>
        <w:tc>
          <w:tcPr>
            <w:tcW w:w="920" w:type="dxa"/>
            <w:tcBorders>
              <w:top w:val="nil"/>
              <w:left w:val="nil"/>
              <w:bottom w:val="nil"/>
              <w:right w:val="nil"/>
            </w:tcBorders>
            <w:shd w:val="clear" w:color="000000" w:fill="E8E8E8"/>
            <w:noWrap/>
            <w:vAlign w:val="center"/>
            <w:hideMark/>
          </w:tcPr>
          <w:p w:rsidRPr="00D52F04" w:rsidR="002C4410" w:rsidP="002C4410" w:rsidRDefault="002C4410" w14:paraId="7B3941A6" w14:textId="77777777">
            <w:pPr>
              <w:spacing w:line="276" w:lineRule="auto"/>
              <w:jc w:val="right"/>
              <w:rPr>
                <w:i/>
                <w:iCs/>
                <w:color w:val="000000"/>
                <w:sz w:val="16"/>
                <w:szCs w:val="16"/>
              </w:rPr>
            </w:pPr>
            <w:r w:rsidRPr="00D52F04">
              <w:rPr>
                <w:i/>
                <w:iCs/>
                <w:color w:val="000000"/>
                <w:sz w:val="16"/>
                <w:szCs w:val="16"/>
              </w:rPr>
              <w:t xml:space="preserve">  34.000 </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5E9871AB" w14:textId="77777777">
            <w:pPr>
              <w:spacing w:line="276" w:lineRule="auto"/>
              <w:jc w:val="right"/>
              <w:rPr>
                <w:i/>
                <w:iCs/>
                <w:color w:val="000000"/>
                <w:sz w:val="16"/>
                <w:szCs w:val="16"/>
              </w:rPr>
            </w:pPr>
            <w:r w:rsidRPr="00D52F04">
              <w:rPr>
                <w:i/>
                <w:iCs/>
                <w:color w:val="000000"/>
                <w:sz w:val="16"/>
                <w:szCs w:val="16"/>
              </w:rPr>
              <w:t xml:space="preserve">       34.000 </w:t>
            </w:r>
          </w:p>
        </w:tc>
      </w:tr>
      <w:tr w:rsidRPr="00D52F04" w:rsidR="002C4410" w:rsidTr="00251BD0" w14:paraId="57E65FB4" w14:textId="77777777">
        <w:trPr>
          <w:trHeight w:val="210"/>
        </w:trPr>
        <w:tc>
          <w:tcPr>
            <w:tcW w:w="6521" w:type="dxa"/>
            <w:tcBorders>
              <w:top w:val="nil"/>
              <w:left w:val="nil"/>
              <w:bottom w:val="nil"/>
              <w:right w:val="nil"/>
            </w:tcBorders>
            <w:noWrap/>
            <w:vAlign w:val="center"/>
            <w:hideMark/>
          </w:tcPr>
          <w:p w:rsidRPr="00D52F04" w:rsidR="002C4410" w:rsidP="002C4410" w:rsidRDefault="002C4410" w14:paraId="4EC39717" w14:textId="77777777">
            <w:pPr>
              <w:spacing w:line="276" w:lineRule="auto"/>
              <w:rPr>
                <w:color w:val="000000"/>
                <w:sz w:val="16"/>
                <w:szCs w:val="16"/>
              </w:rPr>
            </w:pPr>
            <w:r w:rsidRPr="00D52F04">
              <w:rPr>
                <w:color w:val="000000"/>
                <w:sz w:val="16"/>
                <w:szCs w:val="16"/>
              </w:rPr>
              <w:t>Europese samenwerking: matching Horizon Europe</w:t>
            </w:r>
          </w:p>
        </w:tc>
        <w:tc>
          <w:tcPr>
            <w:tcW w:w="1180" w:type="dxa"/>
            <w:tcBorders>
              <w:top w:val="nil"/>
              <w:left w:val="nil"/>
              <w:bottom w:val="nil"/>
              <w:right w:val="nil"/>
            </w:tcBorders>
            <w:noWrap/>
            <w:vAlign w:val="center"/>
            <w:hideMark/>
          </w:tcPr>
          <w:p w:rsidRPr="00D52F04" w:rsidR="002C4410" w:rsidP="002C4410" w:rsidRDefault="002C4410" w14:paraId="408828FE" w14:textId="77777777">
            <w:pPr>
              <w:spacing w:line="276" w:lineRule="auto"/>
              <w:jc w:val="right"/>
              <w:rPr>
                <w:color w:val="000000"/>
                <w:sz w:val="16"/>
                <w:szCs w:val="16"/>
              </w:rPr>
            </w:pPr>
            <w:r w:rsidRPr="00D52F04">
              <w:rPr>
                <w:color w:val="000000"/>
                <w:sz w:val="16"/>
                <w:szCs w:val="16"/>
              </w:rPr>
              <w:t xml:space="preserve">              0   </w:t>
            </w:r>
          </w:p>
        </w:tc>
        <w:tc>
          <w:tcPr>
            <w:tcW w:w="1180" w:type="dxa"/>
            <w:tcBorders>
              <w:top w:val="nil"/>
              <w:left w:val="nil"/>
              <w:bottom w:val="nil"/>
              <w:right w:val="nil"/>
            </w:tcBorders>
            <w:noWrap/>
            <w:vAlign w:val="center"/>
            <w:hideMark/>
          </w:tcPr>
          <w:p w:rsidRPr="00D52F04" w:rsidR="002C4410" w:rsidP="002C4410" w:rsidRDefault="002C4410" w14:paraId="429977BB" w14:textId="77777777">
            <w:pPr>
              <w:spacing w:line="276" w:lineRule="auto"/>
              <w:jc w:val="right"/>
              <w:rPr>
                <w:color w:val="000000"/>
                <w:sz w:val="16"/>
                <w:szCs w:val="16"/>
              </w:rPr>
            </w:pPr>
            <w:r w:rsidRPr="00D52F04">
              <w:rPr>
                <w:color w:val="000000"/>
                <w:sz w:val="16"/>
                <w:szCs w:val="16"/>
              </w:rPr>
              <w:t xml:space="preserve">              0   </w:t>
            </w:r>
          </w:p>
        </w:tc>
        <w:tc>
          <w:tcPr>
            <w:tcW w:w="1180" w:type="dxa"/>
            <w:tcBorders>
              <w:top w:val="nil"/>
              <w:left w:val="nil"/>
              <w:bottom w:val="nil"/>
              <w:right w:val="nil"/>
            </w:tcBorders>
            <w:noWrap/>
            <w:vAlign w:val="center"/>
            <w:hideMark/>
          </w:tcPr>
          <w:p w:rsidRPr="00D52F04" w:rsidR="002C4410" w:rsidP="002C4410" w:rsidRDefault="002C4410" w14:paraId="14932A83" w14:textId="77777777">
            <w:pPr>
              <w:spacing w:line="276" w:lineRule="auto"/>
              <w:jc w:val="right"/>
              <w:rPr>
                <w:color w:val="000000"/>
                <w:sz w:val="16"/>
                <w:szCs w:val="16"/>
              </w:rPr>
            </w:pPr>
            <w:r w:rsidRPr="00D52F04">
              <w:rPr>
                <w:color w:val="000000"/>
                <w:sz w:val="16"/>
                <w:szCs w:val="16"/>
              </w:rPr>
              <w:t xml:space="preserve">              0   </w:t>
            </w:r>
          </w:p>
        </w:tc>
        <w:tc>
          <w:tcPr>
            <w:tcW w:w="1180" w:type="dxa"/>
            <w:tcBorders>
              <w:top w:val="nil"/>
              <w:left w:val="nil"/>
              <w:bottom w:val="nil"/>
              <w:right w:val="nil"/>
            </w:tcBorders>
            <w:noWrap/>
            <w:vAlign w:val="center"/>
            <w:hideMark/>
          </w:tcPr>
          <w:p w:rsidRPr="00D52F04" w:rsidR="002C4410" w:rsidP="002C4410" w:rsidRDefault="002C4410" w14:paraId="6CD29471" w14:textId="77777777">
            <w:pPr>
              <w:spacing w:line="276" w:lineRule="auto"/>
              <w:jc w:val="right"/>
              <w:rPr>
                <w:color w:val="000000"/>
                <w:sz w:val="16"/>
                <w:szCs w:val="16"/>
              </w:rPr>
            </w:pPr>
            <w:r w:rsidRPr="00D52F04">
              <w:rPr>
                <w:color w:val="000000"/>
                <w:sz w:val="16"/>
                <w:szCs w:val="16"/>
              </w:rPr>
              <w:t xml:space="preserve">       80.000 </w:t>
            </w:r>
          </w:p>
        </w:tc>
        <w:tc>
          <w:tcPr>
            <w:tcW w:w="920" w:type="dxa"/>
            <w:tcBorders>
              <w:top w:val="nil"/>
              <w:left w:val="nil"/>
              <w:bottom w:val="nil"/>
              <w:right w:val="nil"/>
            </w:tcBorders>
            <w:noWrap/>
            <w:vAlign w:val="center"/>
            <w:hideMark/>
          </w:tcPr>
          <w:p w:rsidRPr="00D52F04" w:rsidR="002C4410" w:rsidP="002C4410" w:rsidRDefault="002C4410" w14:paraId="65959D5F" w14:textId="77777777">
            <w:pPr>
              <w:spacing w:line="276" w:lineRule="auto"/>
              <w:jc w:val="right"/>
              <w:rPr>
                <w:color w:val="000000"/>
                <w:sz w:val="16"/>
                <w:szCs w:val="16"/>
              </w:rPr>
            </w:pPr>
            <w:r w:rsidRPr="00D52F04">
              <w:rPr>
                <w:color w:val="000000"/>
                <w:sz w:val="16"/>
                <w:szCs w:val="16"/>
              </w:rPr>
              <w:t xml:space="preserve">   80.000 </w:t>
            </w:r>
          </w:p>
        </w:tc>
        <w:tc>
          <w:tcPr>
            <w:tcW w:w="1180" w:type="dxa"/>
            <w:tcBorders>
              <w:top w:val="nil"/>
              <w:left w:val="nil"/>
              <w:bottom w:val="nil"/>
              <w:right w:val="nil"/>
            </w:tcBorders>
            <w:noWrap/>
            <w:vAlign w:val="center"/>
            <w:hideMark/>
          </w:tcPr>
          <w:p w:rsidRPr="00D52F04" w:rsidR="002C4410" w:rsidP="002C4410" w:rsidRDefault="002C4410" w14:paraId="37C33C20" w14:textId="77777777">
            <w:pPr>
              <w:spacing w:line="276" w:lineRule="auto"/>
              <w:jc w:val="right"/>
              <w:rPr>
                <w:color w:val="000000"/>
                <w:sz w:val="16"/>
                <w:szCs w:val="16"/>
              </w:rPr>
            </w:pPr>
            <w:r w:rsidRPr="00D52F04">
              <w:rPr>
                <w:color w:val="000000"/>
                <w:sz w:val="16"/>
                <w:szCs w:val="16"/>
              </w:rPr>
              <w:t xml:space="preserve">       80.000 </w:t>
            </w:r>
          </w:p>
        </w:tc>
      </w:tr>
      <w:tr w:rsidRPr="00D52F04" w:rsidR="002C4410" w:rsidTr="00251BD0" w14:paraId="7312CA2D" w14:textId="77777777">
        <w:trPr>
          <w:trHeight w:val="210"/>
        </w:trPr>
        <w:tc>
          <w:tcPr>
            <w:tcW w:w="6521" w:type="dxa"/>
            <w:tcBorders>
              <w:top w:val="nil"/>
              <w:left w:val="nil"/>
              <w:bottom w:val="nil"/>
              <w:right w:val="nil"/>
            </w:tcBorders>
            <w:shd w:val="clear" w:color="000000" w:fill="E8E8E8"/>
            <w:noWrap/>
            <w:vAlign w:val="center"/>
            <w:hideMark/>
          </w:tcPr>
          <w:p w:rsidRPr="00D52F04" w:rsidR="002C4410" w:rsidP="002C4410" w:rsidRDefault="002C4410" w14:paraId="3BF2728E" w14:textId="77777777">
            <w:pPr>
              <w:spacing w:line="276" w:lineRule="auto"/>
              <w:ind w:firstLine="320" w:firstLineChars="200"/>
              <w:rPr>
                <w:color w:val="000000"/>
                <w:sz w:val="16"/>
                <w:szCs w:val="16"/>
              </w:rPr>
            </w:pPr>
            <w:r w:rsidRPr="00D52F04">
              <w:rPr>
                <w:color w:val="000000"/>
                <w:sz w:val="16"/>
                <w:szCs w:val="16"/>
              </w:rPr>
              <w:t>Matching Horizon Europe</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5F217638" w14:textId="77777777">
            <w:pPr>
              <w:spacing w:line="276" w:lineRule="auto"/>
              <w:jc w:val="right"/>
              <w:rPr>
                <w:i/>
                <w:iCs/>
                <w:color w:val="000000"/>
                <w:sz w:val="16"/>
                <w:szCs w:val="16"/>
              </w:rPr>
            </w:pPr>
            <w:r w:rsidRPr="00D52F04">
              <w:rPr>
                <w:i/>
                <w:iCs/>
                <w:color w:val="000000"/>
                <w:sz w:val="16"/>
                <w:szCs w:val="16"/>
              </w:rPr>
              <w:t> 0</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21C12ADF" w14:textId="77777777">
            <w:pPr>
              <w:spacing w:line="276" w:lineRule="auto"/>
              <w:jc w:val="right"/>
              <w:rPr>
                <w:i/>
                <w:iCs/>
                <w:color w:val="000000"/>
                <w:sz w:val="16"/>
                <w:szCs w:val="16"/>
              </w:rPr>
            </w:pPr>
            <w:r w:rsidRPr="00D52F04">
              <w:rPr>
                <w:i/>
                <w:iCs/>
                <w:color w:val="000000"/>
                <w:sz w:val="16"/>
                <w:szCs w:val="16"/>
              </w:rPr>
              <w:t> 0</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0A966F67" w14:textId="77777777">
            <w:pPr>
              <w:spacing w:line="276" w:lineRule="auto"/>
              <w:jc w:val="right"/>
              <w:rPr>
                <w:i/>
                <w:iCs/>
                <w:color w:val="000000"/>
                <w:sz w:val="16"/>
                <w:szCs w:val="16"/>
              </w:rPr>
            </w:pPr>
            <w:r w:rsidRPr="00D52F04">
              <w:rPr>
                <w:i/>
                <w:iCs/>
                <w:color w:val="000000"/>
                <w:sz w:val="16"/>
                <w:szCs w:val="16"/>
              </w:rPr>
              <w:t>0 </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483C7359" w14:textId="77777777">
            <w:pPr>
              <w:spacing w:line="276" w:lineRule="auto"/>
              <w:jc w:val="right"/>
              <w:rPr>
                <w:i/>
                <w:iCs/>
                <w:color w:val="000000"/>
                <w:sz w:val="16"/>
                <w:szCs w:val="16"/>
              </w:rPr>
            </w:pPr>
            <w:r w:rsidRPr="00D52F04">
              <w:rPr>
                <w:i/>
                <w:iCs/>
                <w:color w:val="000000"/>
                <w:sz w:val="16"/>
                <w:szCs w:val="16"/>
              </w:rPr>
              <w:t xml:space="preserve">       80.000 </w:t>
            </w:r>
          </w:p>
        </w:tc>
        <w:tc>
          <w:tcPr>
            <w:tcW w:w="920" w:type="dxa"/>
            <w:tcBorders>
              <w:top w:val="nil"/>
              <w:left w:val="nil"/>
              <w:bottom w:val="nil"/>
              <w:right w:val="nil"/>
            </w:tcBorders>
            <w:shd w:val="clear" w:color="000000" w:fill="E8E8E8"/>
            <w:noWrap/>
            <w:vAlign w:val="center"/>
            <w:hideMark/>
          </w:tcPr>
          <w:p w:rsidRPr="00D52F04" w:rsidR="002C4410" w:rsidP="002C4410" w:rsidRDefault="002C4410" w14:paraId="5221E842" w14:textId="77777777">
            <w:pPr>
              <w:spacing w:line="276" w:lineRule="auto"/>
              <w:jc w:val="right"/>
              <w:rPr>
                <w:i/>
                <w:iCs/>
                <w:color w:val="000000"/>
                <w:sz w:val="16"/>
                <w:szCs w:val="16"/>
              </w:rPr>
            </w:pPr>
            <w:r w:rsidRPr="00D52F04">
              <w:rPr>
                <w:i/>
                <w:iCs/>
                <w:color w:val="000000"/>
                <w:sz w:val="16"/>
                <w:szCs w:val="16"/>
              </w:rPr>
              <w:t xml:space="preserve">  80.000 </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79D81E64" w14:textId="77777777">
            <w:pPr>
              <w:spacing w:line="276" w:lineRule="auto"/>
              <w:jc w:val="right"/>
              <w:rPr>
                <w:i/>
                <w:iCs/>
                <w:color w:val="000000"/>
                <w:sz w:val="16"/>
                <w:szCs w:val="16"/>
              </w:rPr>
            </w:pPr>
            <w:r w:rsidRPr="00D52F04">
              <w:rPr>
                <w:i/>
                <w:iCs/>
                <w:color w:val="000000"/>
                <w:sz w:val="16"/>
                <w:szCs w:val="16"/>
              </w:rPr>
              <w:t xml:space="preserve">       80.000 </w:t>
            </w:r>
          </w:p>
        </w:tc>
      </w:tr>
      <w:tr w:rsidRPr="00D52F04" w:rsidR="002C4410" w:rsidTr="00251BD0" w14:paraId="189D3989" w14:textId="77777777">
        <w:trPr>
          <w:trHeight w:val="210"/>
        </w:trPr>
        <w:tc>
          <w:tcPr>
            <w:tcW w:w="6521" w:type="dxa"/>
            <w:tcBorders>
              <w:top w:val="nil"/>
              <w:left w:val="nil"/>
              <w:bottom w:val="nil"/>
              <w:right w:val="nil"/>
            </w:tcBorders>
            <w:noWrap/>
            <w:vAlign w:val="center"/>
            <w:hideMark/>
          </w:tcPr>
          <w:p w:rsidRPr="00D52F04" w:rsidR="002C4410" w:rsidP="002C4410" w:rsidRDefault="002C4410" w14:paraId="32E31743" w14:textId="77777777">
            <w:pPr>
              <w:spacing w:line="276" w:lineRule="auto"/>
              <w:rPr>
                <w:color w:val="000000"/>
                <w:sz w:val="16"/>
                <w:szCs w:val="16"/>
              </w:rPr>
            </w:pPr>
            <w:r w:rsidRPr="00D52F04">
              <w:rPr>
                <w:color w:val="000000"/>
                <w:sz w:val="16"/>
                <w:szCs w:val="16"/>
              </w:rPr>
              <w:t>Sectorplannen wo</w:t>
            </w:r>
          </w:p>
        </w:tc>
        <w:tc>
          <w:tcPr>
            <w:tcW w:w="1180" w:type="dxa"/>
            <w:tcBorders>
              <w:top w:val="nil"/>
              <w:left w:val="nil"/>
              <w:bottom w:val="nil"/>
              <w:right w:val="nil"/>
            </w:tcBorders>
            <w:noWrap/>
            <w:vAlign w:val="center"/>
            <w:hideMark/>
          </w:tcPr>
          <w:p w:rsidRPr="00D52F04" w:rsidR="002C4410" w:rsidP="002C4410" w:rsidRDefault="002C4410" w14:paraId="4D002301" w14:textId="77777777">
            <w:pPr>
              <w:spacing w:line="276" w:lineRule="auto"/>
              <w:jc w:val="right"/>
              <w:rPr>
                <w:color w:val="000000"/>
                <w:sz w:val="16"/>
                <w:szCs w:val="16"/>
              </w:rPr>
            </w:pPr>
            <w:r w:rsidRPr="00D52F04">
              <w:rPr>
                <w:color w:val="000000"/>
                <w:sz w:val="16"/>
                <w:szCs w:val="16"/>
              </w:rPr>
              <w:t xml:space="preserve">              0   </w:t>
            </w:r>
          </w:p>
        </w:tc>
        <w:tc>
          <w:tcPr>
            <w:tcW w:w="1180" w:type="dxa"/>
            <w:tcBorders>
              <w:top w:val="nil"/>
              <w:left w:val="nil"/>
              <w:bottom w:val="nil"/>
              <w:right w:val="nil"/>
            </w:tcBorders>
            <w:noWrap/>
            <w:vAlign w:val="center"/>
            <w:hideMark/>
          </w:tcPr>
          <w:p w:rsidRPr="00D52F04" w:rsidR="002C4410" w:rsidP="002C4410" w:rsidRDefault="002C4410" w14:paraId="194BCA03" w14:textId="77777777">
            <w:pPr>
              <w:spacing w:line="276" w:lineRule="auto"/>
              <w:jc w:val="right"/>
              <w:rPr>
                <w:color w:val="000000"/>
                <w:sz w:val="16"/>
                <w:szCs w:val="16"/>
              </w:rPr>
            </w:pPr>
            <w:r w:rsidRPr="00D52F04">
              <w:rPr>
                <w:color w:val="000000"/>
                <w:sz w:val="16"/>
                <w:szCs w:val="16"/>
              </w:rPr>
              <w:t xml:space="preserve">      107.000 </w:t>
            </w:r>
          </w:p>
        </w:tc>
        <w:tc>
          <w:tcPr>
            <w:tcW w:w="1180" w:type="dxa"/>
            <w:tcBorders>
              <w:top w:val="nil"/>
              <w:left w:val="nil"/>
              <w:bottom w:val="nil"/>
              <w:right w:val="nil"/>
            </w:tcBorders>
            <w:noWrap/>
            <w:vAlign w:val="center"/>
            <w:hideMark/>
          </w:tcPr>
          <w:p w:rsidRPr="00D52F04" w:rsidR="002C4410" w:rsidP="002C4410" w:rsidRDefault="002C4410" w14:paraId="0B91971B" w14:textId="77777777">
            <w:pPr>
              <w:spacing w:line="276" w:lineRule="auto"/>
              <w:jc w:val="right"/>
              <w:rPr>
                <w:color w:val="000000"/>
                <w:sz w:val="16"/>
                <w:szCs w:val="16"/>
              </w:rPr>
            </w:pPr>
            <w:r w:rsidRPr="00D52F04">
              <w:rPr>
                <w:color w:val="000000"/>
                <w:sz w:val="16"/>
                <w:szCs w:val="16"/>
              </w:rPr>
              <w:t xml:space="preserve">      107.000 </w:t>
            </w:r>
          </w:p>
        </w:tc>
        <w:tc>
          <w:tcPr>
            <w:tcW w:w="1180" w:type="dxa"/>
            <w:tcBorders>
              <w:top w:val="nil"/>
              <w:left w:val="nil"/>
              <w:bottom w:val="nil"/>
              <w:right w:val="nil"/>
            </w:tcBorders>
            <w:noWrap/>
            <w:vAlign w:val="center"/>
            <w:hideMark/>
          </w:tcPr>
          <w:p w:rsidRPr="00D52F04" w:rsidR="002C4410" w:rsidP="002C4410" w:rsidRDefault="002C4410" w14:paraId="6B5E9B42" w14:textId="77777777">
            <w:pPr>
              <w:spacing w:line="276" w:lineRule="auto"/>
              <w:jc w:val="right"/>
              <w:rPr>
                <w:color w:val="000000"/>
                <w:sz w:val="16"/>
                <w:szCs w:val="16"/>
              </w:rPr>
            </w:pPr>
            <w:r w:rsidRPr="00D52F04">
              <w:rPr>
                <w:color w:val="000000"/>
                <w:sz w:val="16"/>
                <w:szCs w:val="16"/>
              </w:rPr>
              <w:t xml:space="preserve">      131.000 </w:t>
            </w:r>
          </w:p>
        </w:tc>
        <w:tc>
          <w:tcPr>
            <w:tcW w:w="920" w:type="dxa"/>
            <w:tcBorders>
              <w:top w:val="nil"/>
              <w:left w:val="nil"/>
              <w:bottom w:val="nil"/>
              <w:right w:val="nil"/>
            </w:tcBorders>
            <w:noWrap/>
            <w:vAlign w:val="center"/>
            <w:hideMark/>
          </w:tcPr>
          <w:p w:rsidRPr="00D52F04" w:rsidR="002C4410" w:rsidP="002C4410" w:rsidRDefault="002C4410" w14:paraId="27771283" w14:textId="77777777">
            <w:pPr>
              <w:spacing w:line="276" w:lineRule="auto"/>
              <w:jc w:val="right"/>
              <w:rPr>
                <w:color w:val="000000"/>
                <w:sz w:val="16"/>
                <w:szCs w:val="16"/>
              </w:rPr>
            </w:pPr>
            <w:r w:rsidRPr="00D52F04">
              <w:rPr>
                <w:color w:val="000000"/>
                <w:sz w:val="16"/>
                <w:szCs w:val="16"/>
              </w:rPr>
              <w:t xml:space="preserve"> 131.380 </w:t>
            </w:r>
          </w:p>
        </w:tc>
        <w:tc>
          <w:tcPr>
            <w:tcW w:w="1180" w:type="dxa"/>
            <w:tcBorders>
              <w:top w:val="nil"/>
              <w:left w:val="nil"/>
              <w:bottom w:val="nil"/>
              <w:right w:val="nil"/>
            </w:tcBorders>
            <w:noWrap/>
            <w:vAlign w:val="center"/>
            <w:hideMark/>
          </w:tcPr>
          <w:p w:rsidRPr="00D52F04" w:rsidR="002C4410" w:rsidP="002C4410" w:rsidRDefault="002C4410" w14:paraId="1E0DF5D9" w14:textId="77777777">
            <w:pPr>
              <w:spacing w:line="276" w:lineRule="auto"/>
              <w:jc w:val="right"/>
              <w:rPr>
                <w:color w:val="000000"/>
                <w:sz w:val="16"/>
                <w:szCs w:val="16"/>
              </w:rPr>
            </w:pPr>
            <w:r w:rsidRPr="00D52F04">
              <w:rPr>
                <w:color w:val="000000"/>
                <w:sz w:val="16"/>
                <w:szCs w:val="16"/>
              </w:rPr>
              <w:t xml:space="preserve">      132.380 </w:t>
            </w:r>
          </w:p>
        </w:tc>
      </w:tr>
      <w:tr w:rsidRPr="00D52F04" w:rsidR="002C4410" w:rsidTr="00251BD0" w14:paraId="57D42893" w14:textId="77777777">
        <w:trPr>
          <w:trHeight w:val="210"/>
        </w:trPr>
        <w:tc>
          <w:tcPr>
            <w:tcW w:w="6521" w:type="dxa"/>
            <w:tcBorders>
              <w:top w:val="nil"/>
              <w:left w:val="nil"/>
              <w:bottom w:val="nil"/>
              <w:right w:val="nil"/>
            </w:tcBorders>
            <w:shd w:val="clear" w:color="000000" w:fill="E8E8E8"/>
            <w:noWrap/>
            <w:vAlign w:val="center"/>
            <w:hideMark/>
          </w:tcPr>
          <w:p w:rsidRPr="00D52F04" w:rsidR="002C4410" w:rsidP="002C4410" w:rsidRDefault="002C4410" w14:paraId="62B4FCFB" w14:textId="77777777">
            <w:pPr>
              <w:spacing w:line="276" w:lineRule="auto"/>
              <w:ind w:firstLine="320" w:firstLineChars="200"/>
              <w:rPr>
                <w:color w:val="000000"/>
                <w:sz w:val="16"/>
                <w:szCs w:val="16"/>
              </w:rPr>
            </w:pPr>
            <w:r w:rsidRPr="00D52F04">
              <w:rPr>
                <w:color w:val="000000"/>
                <w:sz w:val="16"/>
                <w:szCs w:val="16"/>
              </w:rPr>
              <w:t>Eerste geldstroom universiteiten</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545A1C92" w14:textId="77777777">
            <w:pPr>
              <w:spacing w:line="276" w:lineRule="auto"/>
              <w:jc w:val="right"/>
              <w:rPr>
                <w:i/>
                <w:iCs/>
                <w:color w:val="000000"/>
                <w:sz w:val="16"/>
                <w:szCs w:val="16"/>
              </w:rPr>
            </w:pPr>
            <w:r w:rsidRPr="00D52F04">
              <w:rPr>
                <w:i/>
                <w:iCs/>
                <w:color w:val="000000"/>
                <w:sz w:val="16"/>
                <w:szCs w:val="16"/>
              </w:rPr>
              <w:t> 0</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200702C1" w14:textId="77777777">
            <w:pPr>
              <w:spacing w:line="276" w:lineRule="auto"/>
              <w:jc w:val="right"/>
              <w:rPr>
                <w:i/>
                <w:iCs/>
                <w:color w:val="000000"/>
                <w:sz w:val="16"/>
                <w:szCs w:val="16"/>
              </w:rPr>
            </w:pPr>
            <w:r w:rsidRPr="00D52F04">
              <w:rPr>
                <w:i/>
                <w:iCs/>
                <w:color w:val="000000"/>
                <w:sz w:val="16"/>
                <w:szCs w:val="16"/>
              </w:rPr>
              <w:t xml:space="preserve">     107.000 </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4801674D" w14:textId="77777777">
            <w:pPr>
              <w:spacing w:line="276" w:lineRule="auto"/>
              <w:jc w:val="right"/>
              <w:rPr>
                <w:i/>
                <w:iCs/>
                <w:color w:val="000000"/>
                <w:sz w:val="16"/>
                <w:szCs w:val="16"/>
              </w:rPr>
            </w:pPr>
            <w:r w:rsidRPr="00D52F04">
              <w:rPr>
                <w:i/>
                <w:iCs/>
                <w:color w:val="000000"/>
                <w:sz w:val="16"/>
                <w:szCs w:val="16"/>
              </w:rPr>
              <w:t xml:space="preserve">     107.000 </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78E4CFDC" w14:textId="77777777">
            <w:pPr>
              <w:spacing w:line="276" w:lineRule="auto"/>
              <w:jc w:val="right"/>
              <w:rPr>
                <w:i/>
                <w:iCs/>
                <w:color w:val="000000"/>
                <w:sz w:val="16"/>
                <w:szCs w:val="16"/>
              </w:rPr>
            </w:pPr>
            <w:r w:rsidRPr="00D52F04">
              <w:rPr>
                <w:i/>
                <w:iCs/>
                <w:color w:val="000000"/>
                <w:sz w:val="16"/>
                <w:szCs w:val="16"/>
              </w:rPr>
              <w:t xml:space="preserve">     131.000 </w:t>
            </w:r>
          </w:p>
        </w:tc>
        <w:tc>
          <w:tcPr>
            <w:tcW w:w="920" w:type="dxa"/>
            <w:tcBorders>
              <w:top w:val="nil"/>
              <w:left w:val="nil"/>
              <w:bottom w:val="nil"/>
              <w:right w:val="nil"/>
            </w:tcBorders>
            <w:shd w:val="clear" w:color="000000" w:fill="E8E8E8"/>
            <w:noWrap/>
            <w:vAlign w:val="center"/>
            <w:hideMark/>
          </w:tcPr>
          <w:p w:rsidRPr="00D52F04" w:rsidR="002C4410" w:rsidP="002C4410" w:rsidRDefault="002C4410" w14:paraId="7D07116C" w14:textId="77777777">
            <w:pPr>
              <w:spacing w:line="276" w:lineRule="auto"/>
              <w:jc w:val="right"/>
              <w:rPr>
                <w:i/>
                <w:iCs/>
                <w:color w:val="000000"/>
                <w:sz w:val="16"/>
                <w:szCs w:val="16"/>
              </w:rPr>
            </w:pPr>
            <w:r w:rsidRPr="00D52F04">
              <w:rPr>
                <w:i/>
                <w:iCs/>
                <w:color w:val="000000"/>
                <w:sz w:val="16"/>
                <w:szCs w:val="16"/>
              </w:rPr>
              <w:t xml:space="preserve"> 131.380 </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133448A9" w14:textId="77777777">
            <w:pPr>
              <w:spacing w:line="276" w:lineRule="auto"/>
              <w:jc w:val="right"/>
              <w:rPr>
                <w:i/>
                <w:iCs/>
                <w:color w:val="000000"/>
                <w:sz w:val="16"/>
                <w:szCs w:val="16"/>
              </w:rPr>
            </w:pPr>
            <w:r w:rsidRPr="00D52F04">
              <w:rPr>
                <w:i/>
                <w:iCs/>
                <w:color w:val="000000"/>
                <w:sz w:val="16"/>
                <w:szCs w:val="16"/>
              </w:rPr>
              <w:t xml:space="preserve">     132.380 </w:t>
            </w:r>
          </w:p>
        </w:tc>
      </w:tr>
      <w:tr w:rsidRPr="00D52F04" w:rsidR="002C4410" w:rsidTr="00251BD0" w14:paraId="3B2B4AE5" w14:textId="77777777">
        <w:trPr>
          <w:trHeight w:val="210"/>
        </w:trPr>
        <w:tc>
          <w:tcPr>
            <w:tcW w:w="6521" w:type="dxa"/>
            <w:tcBorders>
              <w:top w:val="nil"/>
              <w:left w:val="nil"/>
              <w:bottom w:val="nil"/>
              <w:right w:val="nil"/>
            </w:tcBorders>
            <w:noWrap/>
            <w:vAlign w:val="center"/>
            <w:hideMark/>
          </w:tcPr>
          <w:p w:rsidRPr="00D52F04" w:rsidR="002C4410" w:rsidP="002C4410" w:rsidRDefault="002C4410" w14:paraId="01257D8D" w14:textId="77777777">
            <w:pPr>
              <w:spacing w:line="276" w:lineRule="auto"/>
              <w:rPr>
                <w:color w:val="000000"/>
                <w:sz w:val="16"/>
                <w:szCs w:val="16"/>
              </w:rPr>
            </w:pPr>
            <w:r w:rsidRPr="00D52F04">
              <w:rPr>
                <w:color w:val="000000"/>
                <w:sz w:val="16"/>
                <w:szCs w:val="16"/>
              </w:rPr>
              <w:t>Veiligheid en weerbaarheid</w:t>
            </w:r>
          </w:p>
        </w:tc>
        <w:tc>
          <w:tcPr>
            <w:tcW w:w="1180" w:type="dxa"/>
            <w:tcBorders>
              <w:top w:val="nil"/>
              <w:left w:val="nil"/>
              <w:bottom w:val="nil"/>
              <w:right w:val="nil"/>
            </w:tcBorders>
            <w:noWrap/>
            <w:vAlign w:val="center"/>
            <w:hideMark/>
          </w:tcPr>
          <w:p w:rsidRPr="00D52F04" w:rsidR="002C4410" w:rsidP="002C4410" w:rsidRDefault="002C4410" w14:paraId="164E3E27" w14:textId="77777777">
            <w:pPr>
              <w:spacing w:line="276" w:lineRule="auto"/>
              <w:jc w:val="right"/>
              <w:rPr>
                <w:color w:val="000000"/>
                <w:sz w:val="16"/>
                <w:szCs w:val="16"/>
              </w:rPr>
            </w:pPr>
            <w:r w:rsidRPr="00D52F04">
              <w:rPr>
                <w:color w:val="000000"/>
                <w:sz w:val="16"/>
                <w:szCs w:val="16"/>
              </w:rPr>
              <w:t xml:space="preserve">       20.000 </w:t>
            </w:r>
          </w:p>
        </w:tc>
        <w:tc>
          <w:tcPr>
            <w:tcW w:w="1180" w:type="dxa"/>
            <w:tcBorders>
              <w:top w:val="nil"/>
              <w:left w:val="nil"/>
              <w:bottom w:val="nil"/>
              <w:right w:val="nil"/>
            </w:tcBorders>
            <w:noWrap/>
            <w:vAlign w:val="center"/>
            <w:hideMark/>
          </w:tcPr>
          <w:p w:rsidRPr="00D52F04" w:rsidR="002C4410" w:rsidP="002C4410" w:rsidRDefault="002C4410" w14:paraId="52B30CEC" w14:textId="77777777">
            <w:pPr>
              <w:spacing w:line="276" w:lineRule="auto"/>
              <w:jc w:val="right"/>
              <w:rPr>
                <w:color w:val="000000"/>
                <w:sz w:val="16"/>
                <w:szCs w:val="16"/>
              </w:rPr>
            </w:pPr>
            <w:r w:rsidRPr="00D52F04">
              <w:rPr>
                <w:color w:val="000000"/>
                <w:sz w:val="16"/>
                <w:szCs w:val="16"/>
              </w:rPr>
              <w:t xml:space="preserve">       20.000 </w:t>
            </w:r>
          </w:p>
        </w:tc>
        <w:tc>
          <w:tcPr>
            <w:tcW w:w="1180" w:type="dxa"/>
            <w:tcBorders>
              <w:top w:val="nil"/>
              <w:left w:val="nil"/>
              <w:bottom w:val="nil"/>
              <w:right w:val="nil"/>
            </w:tcBorders>
            <w:noWrap/>
            <w:vAlign w:val="center"/>
            <w:hideMark/>
          </w:tcPr>
          <w:p w:rsidRPr="00D52F04" w:rsidR="002C4410" w:rsidP="002C4410" w:rsidRDefault="002C4410" w14:paraId="3A03AC43" w14:textId="77777777">
            <w:pPr>
              <w:spacing w:line="276" w:lineRule="auto"/>
              <w:jc w:val="right"/>
              <w:rPr>
                <w:color w:val="000000"/>
                <w:sz w:val="16"/>
                <w:szCs w:val="16"/>
              </w:rPr>
            </w:pPr>
            <w:r w:rsidRPr="00D52F04">
              <w:rPr>
                <w:color w:val="000000"/>
                <w:sz w:val="16"/>
                <w:szCs w:val="16"/>
              </w:rPr>
              <w:t xml:space="preserve">       20.000 </w:t>
            </w:r>
          </w:p>
        </w:tc>
        <w:tc>
          <w:tcPr>
            <w:tcW w:w="1180" w:type="dxa"/>
            <w:tcBorders>
              <w:top w:val="nil"/>
              <w:left w:val="nil"/>
              <w:bottom w:val="nil"/>
              <w:right w:val="nil"/>
            </w:tcBorders>
            <w:noWrap/>
            <w:vAlign w:val="center"/>
            <w:hideMark/>
          </w:tcPr>
          <w:p w:rsidRPr="00D52F04" w:rsidR="002C4410" w:rsidP="002C4410" w:rsidRDefault="002C4410" w14:paraId="39F46580" w14:textId="77777777">
            <w:pPr>
              <w:spacing w:line="276" w:lineRule="auto"/>
              <w:jc w:val="right"/>
              <w:rPr>
                <w:color w:val="000000"/>
                <w:sz w:val="16"/>
                <w:szCs w:val="16"/>
              </w:rPr>
            </w:pPr>
            <w:r w:rsidRPr="00D52F04">
              <w:rPr>
                <w:color w:val="000000"/>
                <w:sz w:val="16"/>
                <w:szCs w:val="16"/>
              </w:rPr>
              <w:t xml:space="preserve">       10.000 </w:t>
            </w:r>
          </w:p>
        </w:tc>
        <w:tc>
          <w:tcPr>
            <w:tcW w:w="920" w:type="dxa"/>
            <w:tcBorders>
              <w:top w:val="nil"/>
              <w:left w:val="nil"/>
              <w:bottom w:val="nil"/>
              <w:right w:val="nil"/>
            </w:tcBorders>
            <w:noWrap/>
            <w:vAlign w:val="center"/>
            <w:hideMark/>
          </w:tcPr>
          <w:p w:rsidRPr="00D52F04" w:rsidR="002C4410" w:rsidP="002C4410" w:rsidRDefault="002C4410" w14:paraId="6FE6AD33" w14:textId="77777777">
            <w:pPr>
              <w:spacing w:line="276" w:lineRule="auto"/>
              <w:jc w:val="right"/>
              <w:rPr>
                <w:color w:val="000000"/>
                <w:sz w:val="16"/>
                <w:szCs w:val="16"/>
              </w:rPr>
            </w:pPr>
            <w:r w:rsidRPr="00D52F04">
              <w:rPr>
                <w:color w:val="000000"/>
                <w:sz w:val="16"/>
                <w:szCs w:val="16"/>
              </w:rPr>
              <w:t xml:space="preserve">   10.000 </w:t>
            </w:r>
          </w:p>
        </w:tc>
        <w:tc>
          <w:tcPr>
            <w:tcW w:w="1180" w:type="dxa"/>
            <w:tcBorders>
              <w:top w:val="nil"/>
              <w:left w:val="nil"/>
              <w:bottom w:val="nil"/>
              <w:right w:val="nil"/>
            </w:tcBorders>
            <w:noWrap/>
            <w:vAlign w:val="center"/>
            <w:hideMark/>
          </w:tcPr>
          <w:p w:rsidRPr="00D52F04" w:rsidR="002C4410" w:rsidP="002C4410" w:rsidRDefault="002C4410" w14:paraId="7F8F6539" w14:textId="77777777">
            <w:pPr>
              <w:spacing w:line="276" w:lineRule="auto"/>
              <w:jc w:val="right"/>
              <w:rPr>
                <w:color w:val="000000"/>
                <w:sz w:val="16"/>
                <w:szCs w:val="16"/>
              </w:rPr>
            </w:pPr>
            <w:r w:rsidRPr="00D52F04">
              <w:rPr>
                <w:color w:val="000000"/>
                <w:sz w:val="16"/>
                <w:szCs w:val="16"/>
              </w:rPr>
              <w:t xml:space="preserve">          0   </w:t>
            </w:r>
          </w:p>
        </w:tc>
      </w:tr>
      <w:tr w:rsidRPr="00D52F04" w:rsidR="002C4410" w:rsidTr="00251BD0" w14:paraId="7D6C3E72" w14:textId="77777777">
        <w:trPr>
          <w:trHeight w:val="210"/>
        </w:trPr>
        <w:tc>
          <w:tcPr>
            <w:tcW w:w="6521" w:type="dxa"/>
            <w:tcBorders>
              <w:top w:val="nil"/>
              <w:left w:val="nil"/>
              <w:bottom w:val="nil"/>
              <w:right w:val="nil"/>
            </w:tcBorders>
            <w:shd w:val="clear" w:color="000000" w:fill="E8E8E8"/>
            <w:noWrap/>
            <w:vAlign w:val="center"/>
            <w:hideMark/>
          </w:tcPr>
          <w:p w:rsidRPr="00D52F04" w:rsidR="002C4410" w:rsidP="002C4410" w:rsidRDefault="002C4410" w14:paraId="06E51188" w14:textId="77777777">
            <w:pPr>
              <w:spacing w:line="276" w:lineRule="auto"/>
              <w:ind w:firstLine="320" w:firstLineChars="200"/>
              <w:rPr>
                <w:color w:val="000000"/>
                <w:sz w:val="16"/>
                <w:szCs w:val="16"/>
              </w:rPr>
            </w:pPr>
            <w:r w:rsidRPr="00D52F04">
              <w:rPr>
                <w:color w:val="000000"/>
                <w:sz w:val="16"/>
                <w:szCs w:val="16"/>
              </w:rPr>
              <w:t>NWO</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1CDE35D2" w14:textId="77777777">
            <w:pPr>
              <w:spacing w:line="276" w:lineRule="auto"/>
              <w:jc w:val="right"/>
              <w:rPr>
                <w:i/>
                <w:iCs/>
                <w:color w:val="000000"/>
                <w:sz w:val="16"/>
                <w:szCs w:val="16"/>
              </w:rPr>
            </w:pPr>
            <w:r w:rsidRPr="00D52F04">
              <w:rPr>
                <w:i/>
                <w:iCs/>
                <w:color w:val="000000"/>
                <w:sz w:val="16"/>
                <w:szCs w:val="16"/>
              </w:rPr>
              <w:t xml:space="preserve">         1.180 </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13C38199" w14:textId="77777777">
            <w:pPr>
              <w:spacing w:line="276" w:lineRule="auto"/>
              <w:jc w:val="right"/>
              <w:rPr>
                <w:i/>
                <w:iCs/>
                <w:color w:val="000000"/>
                <w:sz w:val="16"/>
                <w:szCs w:val="16"/>
              </w:rPr>
            </w:pPr>
            <w:r w:rsidRPr="00D52F04">
              <w:rPr>
                <w:i/>
                <w:iCs/>
                <w:color w:val="000000"/>
                <w:sz w:val="16"/>
                <w:szCs w:val="16"/>
              </w:rPr>
              <w:t xml:space="preserve">             0  </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4E4F88EC" w14:textId="77777777">
            <w:pPr>
              <w:spacing w:line="276" w:lineRule="auto"/>
              <w:jc w:val="right"/>
              <w:rPr>
                <w:i/>
                <w:iCs/>
                <w:color w:val="000000"/>
                <w:sz w:val="16"/>
                <w:szCs w:val="16"/>
              </w:rPr>
            </w:pPr>
            <w:r w:rsidRPr="00D52F04">
              <w:rPr>
                <w:i/>
                <w:iCs/>
                <w:color w:val="000000"/>
                <w:sz w:val="16"/>
                <w:szCs w:val="16"/>
              </w:rPr>
              <w:t xml:space="preserve">            0  </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5C44A45E" w14:textId="77777777">
            <w:pPr>
              <w:spacing w:line="276" w:lineRule="auto"/>
              <w:jc w:val="right"/>
              <w:rPr>
                <w:i/>
                <w:iCs/>
                <w:color w:val="000000"/>
                <w:sz w:val="16"/>
                <w:szCs w:val="16"/>
              </w:rPr>
            </w:pPr>
            <w:r w:rsidRPr="00D52F04">
              <w:rPr>
                <w:i/>
                <w:iCs/>
                <w:color w:val="000000"/>
                <w:sz w:val="16"/>
                <w:szCs w:val="16"/>
              </w:rPr>
              <w:t xml:space="preserve">             0   </w:t>
            </w:r>
          </w:p>
        </w:tc>
        <w:tc>
          <w:tcPr>
            <w:tcW w:w="920" w:type="dxa"/>
            <w:tcBorders>
              <w:top w:val="nil"/>
              <w:left w:val="nil"/>
              <w:bottom w:val="nil"/>
              <w:right w:val="nil"/>
            </w:tcBorders>
            <w:shd w:val="clear" w:color="000000" w:fill="E8E8E8"/>
            <w:noWrap/>
            <w:vAlign w:val="center"/>
            <w:hideMark/>
          </w:tcPr>
          <w:p w:rsidRPr="00D52F04" w:rsidR="002C4410" w:rsidP="002C4410" w:rsidRDefault="002C4410" w14:paraId="506293CC" w14:textId="77777777">
            <w:pPr>
              <w:spacing w:line="276" w:lineRule="auto"/>
              <w:jc w:val="right"/>
              <w:rPr>
                <w:i/>
                <w:iCs/>
                <w:color w:val="000000"/>
                <w:sz w:val="16"/>
                <w:szCs w:val="16"/>
              </w:rPr>
            </w:pPr>
            <w:r w:rsidRPr="00D52F04">
              <w:rPr>
                <w:i/>
                <w:iCs/>
                <w:color w:val="000000"/>
                <w:sz w:val="16"/>
                <w:szCs w:val="16"/>
              </w:rPr>
              <w:t xml:space="preserve">        0   </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70CCD74B" w14:textId="77777777">
            <w:pPr>
              <w:spacing w:line="276" w:lineRule="auto"/>
              <w:jc w:val="right"/>
              <w:rPr>
                <w:i/>
                <w:iCs/>
                <w:color w:val="000000"/>
                <w:sz w:val="16"/>
                <w:szCs w:val="16"/>
              </w:rPr>
            </w:pPr>
            <w:r w:rsidRPr="00D52F04">
              <w:rPr>
                <w:i/>
                <w:iCs/>
                <w:color w:val="000000"/>
                <w:sz w:val="16"/>
                <w:szCs w:val="16"/>
              </w:rPr>
              <w:t>0</w:t>
            </w:r>
          </w:p>
        </w:tc>
      </w:tr>
      <w:tr w:rsidRPr="00D52F04" w:rsidR="002C4410" w:rsidTr="00251BD0" w14:paraId="5BF3B10E" w14:textId="77777777">
        <w:trPr>
          <w:trHeight w:val="210"/>
        </w:trPr>
        <w:tc>
          <w:tcPr>
            <w:tcW w:w="6521" w:type="dxa"/>
            <w:tcBorders>
              <w:top w:val="nil"/>
              <w:left w:val="nil"/>
              <w:bottom w:val="nil"/>
              <w:right w:val="nil"/>
            </w:tcBorders>
            <w:shd w:val="clear" w:color="000000" w:fill="E8E8E8"/>
            <w:noWrap/>
            <w:vAlign w:val="center"/>
            <w:hideMark/>
          </w:tcPr>
          <w:p w:rsidRPr="00D52F04" w:rsidR="002C4410" w:rsidP="002C4410" w:rsidRDefault="002C4410" w14:paraId="3CA49253" w14:textId="77777777">
            <w:pPr>
              <w:spacing w:line="276" w:lineRule="auto"/>
              <w:ind w:firstLine="320" w:firstLineChars="200"/>
              <w:rPr>
                <w:color w:val="000000"/>
                <w:sz w:val="16"/>
                <w:szCs w:val="16"/>
              </w:rPr>
            </w:pPr>
            <w:r w:rsidRPr="00D52F04">
              <w:rPr>
                <w:color w:val="000000"/>
                <w:sz w:val="16"/>
                <w:szCs w:val="16"/>
              </w:rPr>
              <w:t>KNAW</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108E5E2F" w14:textId="77777777">
            <w:pPr>
              <w:spacing w:line="276" w:lineRule="auto"/>
              <w:jc w:val="right"/>
              <w:rPr>
                <w:i/>
                <w:iCs/>
                <w:color w:val="000000"/>
                <w:sz w:val="16"/>
                <w:szCs w:val="16"/>
              </w:rPr>
            </w:pPr>
            <w:r w:rsidRPr="00D52F04">
              <w:rPr>
                <w:i/>
                <w:iCs/>
                <w:color w:val="000000"/>
                <w:sz w:val="16"/>
                <w:szCs w:val="16"/>
              </w:rPr>
              <w:t xml:space="preserve">           760 </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40BFF75B" w14:textId="77777777">
            <w:pPr>
              <w:spacing w:line="276" w:lineRule="auto"/>
              <w:jc w:val="right"/>
              <w:rPr>
                <w:i/>
                <w:iCs/>
                <w:color w:val="000000"/>
                <w:sz w:val="16"/>
                <w:szCs w:val="16"/>
              </w:rPr>
            </w:pPr>
            <w:r w:rsidRPr="00D52F04">
              <w:rPr>
                <w:i/>
                <w:iCs/>
                <w:color w:val="000000"/>
                <w:sz w:val="16"/>
                <w:szCs w:val="16"/>
              </w:rPr>
              <w:t xml:space="preserve">             0   </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1F814670" w14:textId="77777777">
            <w:pPr>
              <w:spacing w:line="276" w:lineRule="auto"/>
              <w:jc w:val="right"/>
              <w:rPr>
                <w:i/>
                <w:iCs/>
                <w:color w:val="000000"/>
                <w:sz w:val="16"/>
                <w:szCs w:val="16"/>
              </w:rPr>
            </w:pPr>
            <w:r w:rsidRPr="00D52F04">
              <w:rPr>
                <w:i/>
                <w:iCs/>
                <w:color w:val="000000"/>
                <w:sz w:val="16"/>
                <w:szCs w:val="16"/>
              </w:rPr>
              <w:t xml:space="preserve">             0   </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3D77EB23" w14:textId="77777777">
            <w:pPr>
              <w:spacing w:line="276" w:lineRule="auto"/>
              <w:jc w:val="right"/>
              <w:rPr>
                <w:i/>
                <w:iCs/>
                <w:color w:val="000000"/>
                <w:sz w:val="16"/>
                <w:szCs w:val="16"/>
              </w:rPr>
            </w:pPr>
            <w:r w:rsidRPr="00D52F04">
              <w:rPr>
                <w:i/>
                <w:iCs/>
                <w:color w:val="000000"/>
                <w:sz w:val="16"/>
                <w:szCs w:val="16"/>
              </w:rPr>
              <w:t xml:space="preserve">             0   </w:t>
            </w:r>
          </w:p>
        </w:tc>
        <w:tc>
          <w:tcPr>
            <w:tcW w:w="920" w:type="dxa"/>
            <w:tcBorders>
              <w:top w:val="nil"/>
              <w:left w:val="nil"/>
              <w:bottom w:val="nil"/>
              <w:right w:val="nil"/>
            </w:tcBorders>
            <w:shd w:val="clear" w:color="000000" w:fill="E8E8E8"/>
            <w:noWrap/>
            <w:vAlign w:val="center"/>
            <w:hideMark/>
          </w:tcPr>
          <w:p w:rsidRPr="00D52F04" w:rsidR="002C4410" w:rsidP="002C4410" w:rsidRDefault="002C4410" w14:paraId="3C847D40" w14:textId="77777777">
            <w:pPr>
              <w:spacing w:line="276" w:lineRule="auto"/>
              <w:jc w:val="right"/>
              <w:rPr>
                <w:i/>
                <w:iCs/>
                <w:color w:val="000000"/>
                <w:sz w:val="16"/>
                <w:szCs w:val="16"/>
              </w:rPr>
            </w:pPr>
            <w:r w:rsidRPr="00D52F04">
              <w:rPr>
                <w:i/>
                <w:iCs/>
                <w:color w:val="000000"/>
                <w:sz w:val="16"/>
                <w:szCs w:val="16"/>
              </w:rPr>
              <w:t xml:space="preserve">         0   </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41C5CA6E" w14:textId="77777777">
            <w:pPr>
              <w:spacing w:line="276" w:lineRule="auto"/>
              <w:jc w:val="right"/>
              <w:rPr>
                <w:i/>
                <w:iCs/>
                <w:color w:val="000000"/>
                <w:sz w:val="16"/>
                <w:szCs w:val="16"/>
              </w:rPr>
            </w:pPr>
            <w:r w:rsidRPr="00D52F04">
              <w:rPr>
                <w:i/>
                <w:iCs/>
                <w:color w:val="000000"/>
                <w:sz w:val="16"/>
                <w:szCs w:val="16"/>
              </w:rPr>
              <w:t>0</w:t>
            </w:r>
          </w:p>
        </w:tc>
      </w:tr>
      <w:tr w:rsidRPr="00D52F04" w:rsidR="002C4410" w:rsidTr="00251BD0" w14:paraId="114EDAC0" w14:textId="77777777">
        <w:trPr>
          <w:trHeight w:val="210"/>
        </w:trPr>
        <w:tc>
          <w:tcPr>
            <w:tcW w:w="6521" w:type="dxa"/>
            <w:tcBorders>
              <w:top w:val="nil"/>
              <w:left w:val="nil"/>
              <w:bottom w:val="nil"/>
              <w:right w:val="nil"/>
            </w:tcBorders>
            <w:shd w:val="clear" w:color="000000" w:fill="E8E8E8"/>
            <w:noWrap/>
            <w:vAlign w:val="center"/>
            <w:hideMark/>
          </w:tcPr>
          <w:p w:rsidRPr="00D52F04" w:rsidR="002C4410" w:rsidP="002C4410" w:rsidRDefault="002C4410" w14:paraId="2EDC50C9" w14:textId="715FFD4C">
            <w:pPr>
              <w:spacing w:line="276" w:lineRule="auto"/>
              <w:ind w:firstLine="320" w:firstLineChars="200"/>
              <w:rPr>
                <w:color w:val="000000"/>
                <w:sz w:val="16"/>
                <w:szCs w:val="16"/>
              </w:rPr>
            </w:pPr>
            <w:r w:rsidRPr="00D52F04">
              <w:rPr>
                <w:color w:val="000000"/>
                <w:sz w:val="16"/>
                <w:szCs w:val="16"/>
              </w:rPr>
              <w:t>Eerste geldstroom univers</w:t>
            </w:r>
            <w:r>
              <w:rPr>
                <w:color w:val="000000"/>
                <w:sz w:val="16"/>
                <w:szCs w:val="16"/>
              </w:rPr>
              <w:t>i</w:t>
            </w:r>
            <w:r w:rsidRPr="00D52F04">
              <w:rPr>
                <w:color w:val="000000"/>
                <w:sz w:val="16"/>
                <w:szCs w:val="16"/>
              </w:rPr>
              <w:t>teiten</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5513FBAC" w14:textId="77777777">
            <w:pPr>
              <w:spacing w:line="276" w:lineRule="auto"/>
              <w:jc w:val="right"/>
              <w:rPr>
                <w:i/>
                <w:iCs/>
                <w:color w:val="000000"/>
                <w:sz w:val="16"/>
                <w:szCs w:val="16"/>
              </w:rPr>
            </w:pPr>
            <w:r w:rsidRPr="00D52F04">
              <w:rPr>
                <w:i/>
                <w:iCs/>
                <w:color w:val="000000"/>
                <w:sz w:val="16"/>
                <w:szCs w:val="16"/>
              </w:rPr>
              <w:t xml:space="preserve">       11.300 </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7AAAC85A" w14:textId="77777777">
            <w:pPr>
              <w:spacing w:line="276" w:lineRule="auto"/>
              <w:jc w:val="right"/>
              <w:rPr>
                <w:i/>
                <w:iCs/>
                <w:color w:val="000000"/>
                <w:sz w:val="16"/>
                <w:szCs w:val="16"/>
              </w:rPr>
            </w:pPr>
            <w:r w:rsidRPr="00D52F04">
              <w:rPr>
                <w:i/>
                <w:iCs/>
                <w:color w:val="000000"/>
                <w:sz w:val="16"/>
                <w:szCs w:val="16"/>
              </w:rPr>
              <w:t xml:space="preserve">       12.520 </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04D520DB" w14:textId="77777777">
            <w:pPr>
              <w:spacing w:line="276" w:lineRule="auto"/>
              <w:jc w:val="right"/>
              <w:rPr>
                <w:i/>
                <w:iCs/>
                <w:color w:val="000000"/>
                <w:sz w:val="16"/>
                <w:szCs w:val="16"/>
              </w:rPr>
            </w:pPr>
            <w:r w:rsidRPr="00D52F04">
              <w:rPr>
                <w:i/>
                <w:iCs/>
                <w:color w:val="000000"/>
                <w:sz w:val="16"/>
                <w:szCs w:val="16"/>
              </w:rPr>
              <w:t xml:space="preserve">       12.520 </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7F5A2448" w14:textId="77777777">
            <w:pPr>
              <w:spacing w:line="276" w:lineRule="auto"/>
              <w:jc w:val="right"/>
              <w:rPr>
                <w:i/>
                <w:iCs/>
                <w:color w:val="000000"/>
                <w:sz w:val="16"/>
                <w:szCs w:val="16"/>
              </w:rPr>
            </w:pPr>
            <w:r w:rsidRPr="00D52F04">
              <w:rPr>
                <w:i/>
                <w:iCs/>
                <w:color w:val="000000"/>
                <w:sz w:val="16"/>
                <w:szCs w:val="16"/>
              </w:rPr>
              <w:t xml:space="preserve">         6.260 </w:t>
            </w:r>
          </w:p>
        </w:tc>
        <w:tc>
          <w:tcPr>
            <w:tcW w:w="920" w:type="dxa"/>
            <w:tcBorders>
              <w:top w:val="nil"/>
              <w:left w:val="nil"/>
              <w:bottom w:val="nil"/>
              <w:right w:val="nil"/>
            </w:tcBorders>
            <w:shd w:val="clear" w:color="000000" w:fill="E8E8E8"/>
            <w:noWrap/>
            <w:vAlign w:val="center"/>
            <w:hideMark/>
          </w:tcPr>
          <w:p w:rsidRPr="00D52F04" w:rsidR="002C4410" w:rsidP="002C4410" w:rsidRDefault="002C4410" w14:paraId="402EDD3C" w14:textId="77777777">
            <w:pPr>
              <w:spacing w:line="276" w:lineRule="auto"/>
              <w:jc w:val="right"/>
              <w:rPr>
                <w:i/>
                <w:iCs/>
                <w:color w:val="000000"/>
                <w:sz w:val="16"/>
                <w:szCs w:val="16"/>
              </w:rPr>
            </w:pPr>
            <w:r w:rsidRPr="00D52F04">
              <w:rPr>
                <w:i/>
                <w:iCs/>
                <w:color w:val="000000"/>
                <w:sz w:val="16"/>
                <w:szCs w:val="16"/>
              </w:rPr>
              <w:t xml:space="preserve">    6.260 </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60EA2308" w14:textId="77777777">
            <w:pPr>
              <w:spacing w:line="276" w:lineRule="auto"/>
              <w:jc w:val="right"/>
              <w:rPr>
                <w:i/>
                <w:iCs/>
                <w:color w:val="000000"/>
                <w:sz w:val="16"/>
                <w:szCs w:val="16"/>
              </w:rPr>
            </w:pPr>
            <w:r w:rsidRPr="00D52F04">
              <w:rPr>
                <w:i/>
                <w:iCs/>
                <w:color w:val="000000"/>
                <w:sz w:val="16"/>
                <w:szCs w:val="16"/>
              </w:rPr>
              <w:t>0</w:t>
            </w:r>
          </w:p>
        </w:tc>
      </w:tr>
      <w:tr w:rsidRPr="00D52F04" w:rsidR="002C4410" w:rsidTr="00251BD0" w14:paraId="32243BE3" w14:textId="77777777">
        <w:trPr>
          <w:trHeight w:val="210"/>
        </w:trPr>
        <w:tc>
          <w:tcPr>
            <w:tcW w:w="6521" w:type="dxa"/>
            <w:tcBorders>
              <w:top w:val="nil"/>
              <w:left w:val="nil"/>
              <w:bottom w:val="nil"/>
              <w:right w:val="nil"/>
            </w:tcBorders>
            <w:shd w:val="clear" w:color="000000" w:fill="E8E8E8"/>
            <w:noWrap/>
            <w:vAlign w:val="center"/>
            <w:hideMark/>
          </w:tcPr>
          <w:p w:rsidRPr="00D52F04" w:rsidR="002C4410" w:rsidP="002C4410" w:rsidRDefault="002C4410" w14:paraId="192AC05C" w14:textId="743ED5E2">
            <w:pPr>
              <w:spacing w:line="276" w:lineRule="auto"/>
              <w:ind w:firstLine="320" w:firstLineChars="200"/>
              <w:rPr>
                <w:color w:val="000000"/>
                <w:sz w:val="16"/>
                <w:szCs w:val="16"/>
              </w:rPr>
            </w:pPr>
            <w:r w:rsidRPr="00D52F04">
              <w:rPr>
                <w:color w:val="000000"/>
                <w:sz w:val="16"/>
                <w:szCs w:val="16"/>
              </w:rPr>
              <w:t>Eerste geldstroom hoges</w:t>
            </w:r>
            <w:r>
              <w:rPr>
                <w:color w:val="000000"/>
                <w:sz w:val="16"/>
                <w:szCs w:val="16"/>
              </w:rPr>
              <w:t>c</w:t>
            </w:r>
            <w:r w:rsidRPr="00D52F04">
              <w:rPr>
                <w:color w:val="000000"/>
                <w:sz w:val="16"/>
                <w:szCs w:val="16"/>
              </w:rPr>
              <w:t>holen</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18223D46" w14:textId="77777777">
            <w:pPr>
              <w:spacing w:line="276" w:lineRule="auto"/>
              <w:jc w:val="right"/>
              <w:rPr>
                <w:i/>
                <w:iCs/>
                <w:color w:val="000000"/>
                <w:sz w:val="16"/>
                <w:szCs w:val="16"/>
              </w:rPr>
            </w:pPr>
            <w:r w:rsidRPr="00D52F04">
              <w:rPr>
                <w:i/>
                <w:iCs/>
                <w:color w:val="000000"/>
                <w:sz w:val="16"/>
                <w:szCs w:val="16"/>
              </w:rPr>
              <w:t xml:space="preserve">         6.760 </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74957494" w14:textId="77777777">
            <w:pPr>
              <w:spacing w:line="276" w:lineRule="auto"/>
              <w:jc w:val="right"/>
              <w:rPr>
                <w:i/>
                <w:iCs/>
                <w:color w:val="000000"/>
                <w:sz w:val="16"/>
                <w:szCs w:val="16"/>
              </w:rPr>
            </w:pPr>
            <w:r w:rsidRPr="00D52F04">
              <w:rPr>
                <w:i/>
                <w:iCs/>
                <w:color w:val="000000"/>
                <w:sz w:val="16"/>
                <w:szCs w:val="16"/>
              </w:rPr>
              <w:t xml:space="preserve">         7.480 </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24A63CEA" w14:textId="77777777">
            <w:pPr>
              <w:spacing w:line="276" w:lineRule="auto"/>
              <w:jc w:val="right"/>
              <w:rPr>
                <w:i/>
                <w:iCs/>
                <w:color w:val="000000"/>
                <w:sz w:val="16"/>
                <w:szCs w:val="16"/>
              </w:rPr>
            </w:pPr>
            <w:r w:rsidRPr="00D52F04">
              <w:rPr>
                <w:i/>
                <w:iCs/>
                <w:color w:val="000000"/>
                <w:sz w:val="16"/>
                <w:szCs w:val="16"/>
              </w:rPr>
              <w:t xml:space="preserve">         7.480 </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187BAD42" w14:textId="77777777">
            <w:pPr>
              <w:spacing w:line="276" w:lineRule="auto"/>
              <w:jc w:val="right"/>
              <w:rPr>
                <w:i/>
                <w:iCs/>
                <w:color w:val="000000"/>
                <w:sz w:val="16"/>
                <w:szCs w:val="16"/>
              </w:rPr>
            </w:pPr>
            <w:r w:rsidRPr="00D52F04">
              <w:rPr>
                <w:i/>
                <w:iCs/>
                <w:color w:val="000000"/>
                <w:sz w:val="16"/>
                <w:szCs w:val="16"/>
              </w:rPr>
              <w:t xml:space="preserve">         3.740 </w:t>
            </w:r>
          </w:p>
        </w:tc>
        <w:tc>
          <w:tcPr>
            <w:tcW w:w="920" w:type="dxa"/>
            <w:tcBorders>
              <w:top w:val="nil"/>
              <w:left w:val="nil"/>
              <w:bottom w:val="nil"/>
              <w:right w:val="nil"/>
            </w:tcBorders>
            <w:shd w:val="clear" w:color="000000" w:fill="E8E8E8"/>
            <w:noWrap/>
            <w:vAlign w:val="center"/>
            <w:hideMark/>
          </w:tcPr>
          <w:p w:rsidRPr="00D52F04" w:rsidR="002C4410" w:rsidP="002C4410" w:rsidRDefault="002C4410" w14:paraId="5BB2850E" w14:textId="77777777">
            <w:pPr>
              <w:spacing w:line="276" w:lineRule="auto"/>
              <w:jc w:val="right"/>
              <w:rPr>
                <w:i/>
                <w:iCs/>
                <w:color w:val="000000"/>
                <w:sz w:val="16"/>
                <w:szCs w:val="16"/>
              </w:rPr>
            </w:pPr>
            <w:r w:rsidRPr="00D52F04">
              <w:rPr>
                <w:i/>
                <w:iCs/>
                <w:color w:val="000000"/>
                <w:sz w:val="16"/>
                <w:szCs w:val="16"/>
              </w:rPr>
              <w:t xml:space="preserve">    3.740 </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6AA7603F" w14:textId="77777777">
            <w:pPr>
              <w:spacing w:line="276" w:lineRule="auto"/>
              <w:jc w:val="right"/>
              <w:rPr>
                <w:i/>
                <w:iCs/>
                <w:color w:val="000000"/>
                <w:sz w:val="16"/>
                <w:szCs w:val="16"/>
              </w:rPr>
            </w:pPr>
            <w:r w:rsidRPr="00D52F04">
              <w:rPr>
                <w:i/>
                <w:iCs/>
                <w:color w:val="000000"/>
                <w:sz w:val="16"/>
                <w:szCs w:val="16"/>
              </w:rPr>
              <w:t>0</w:t>
            </w:r>
          </w:p>
        </w:tc>
      </w:tr>
      <w:tr w:rsidRPr="00D52F04" w:rsidR="002C4410" w:rsidTr="00251BD0" w14:paraId="269A232E" w14:textId="77777777">
        <w:trPr>
          <w:trHeight w:val="210"/>
        </w:trPr>
        <w:tc>
          <w:tcPr>
            <w:tcW w:w="6521" w:type="dxa"/>
            <w:tcBorders>
              <w:top w:val="nil"/>
              <w:left w:val="nil"/>
              <w:bottom w:val="nil"/>
              <w:right w:val="nil"/>
            </w:tcBorders>
            <w:noWrap/>
            <w:vAlign w:val="center"/>
            <w:hideMark/>
          </w:tcPr>
          <w:p w:rsidRPr="00D52F04" w:rsidR="002C4410" w:rsidP="002C4410" w:rsidRDefault="002C4410" w14:paraId="331A35A1" w14:textId="77777777">
            <w:pPr>
              <w:spacing w:line="276" w:lineRule="auto"/>
              <w:rPr>
                <w:color w:val="000000"/>
                <w:sz w:val="16"/>
                <w:szCs w:val="16"/>
              </w:rPr>
            </w:pPr>
            <w:r w:rsidRPr="00D52F04">
              <w:rPr>
                <w:color w:val="000000"/>
                <w:sz w:val="16"/>
                <w:szCs w:val="16"/>
              </w:rPr>
              <w:t>Terugdraaien NWO en werkdrukmiddelen</w:t>
            </w:r>
          </w:p>
        </w:tc>
        <w:tc>
          <w:tcPr>
            <w:tcW w:w="1180" w:type="dxa"/>
            <w:tcBorders>
              <w:top w:val="nil"/>
              <w:left w:val="nil"/>
              <w:bottom w:val="nil"/>
              <w:right w:val="nil"/>
            </w:tcBorders>
            <w:noWrap/>
            <w:vAlign w:val="center"/>
            <w:hideMark/>
          </w:tcPr>
          <w:p w:rsidRPr="00D52F04" w:rsidR="002C4410" w:rsidP="002C4410" w:rsidRDefault="002C4410" w14:paraId="0F8823E1" w14:textId="77777777">
            <w:pPr>
              <w:spacing w:line="276" w:lineRule="auto"/>
              <w:jc w:val="right"/>
              <w:rPr>
                <w:color w:val="000000"/>
                <w:sz w:val="16"/>
                <w:szCs w:val="16"/>
              </w:rPr>
            </w:pPr>
            <w:r w:rsidRPr="00D52F04">
              <w:rPr>
                <w:color w:val="000000"/>
                <w:sz w:val="16"/>
                <w:szCs w:val="16"/>
              </w:rPr>
              <w:t xml:space="preserve">       70.000 </w:t>
            </w:r>
          </w:p>
        </w:tc>
        <w:tc>
          <w:tcPr>
            <w:tcW w:w="1180" w:type="dxa"/>
            <w:tcBorders>
              <w:top w:val="nil"/>
              <w:left w:val="nil"/>
              <w:bottom w:val="nil"/>
              <w:right w:val="nil"/>
            </w:tcBorders>
            <w:noWrap/>
            <w:vAlign w:val="center"/>
            <w:hideMark/>
          </w:tcPr>
          <w:p w:rsidRPr="00D52F04" w:rsidR="002C4410" w:rsidP="002C4410" w:rsidRDefault="002C4410" w14:paraId="74D51FAA" w14:textId="77777777">
            <w:pPr>
              <w:spacing w:line="276" w:lineRule="auto"/>
              <w:jc w:val="right"/>
              <w:rPr>
                <w:color w:val="000000"/>
                <w:sz w:val="16"/>
                <w:szCs w:val="16"/>
              </w:rPr>
            </w:pPr>
            <w:r w:rsidRPr="00D52F04">
              <w:rPr>
                <w:color w:val="000000"/>
                <w:sz w:val="16"/>
                <w:szCs w:val="16"/>
              </w:rPr>
              <w:t xml:space="preserve">       70.000 </w:t>
            </w:r>
          </w:p>
        </w:tc>
        <w:tc>
          <w:tcPr>
            <w:tcW w:w="1180" w:type="dxa"/>
            <w:tcBorders>
              <w:top w:val="nil"/>
              <w:left w:val="nil"/>
              <w:bottom w:val="nil"/>
              <w:right w:val="nil"/>
            </w:tcBorders>
            <w:noWrap/>
            <w:vAlign w:val="center"/>
            <w:hideMark/>
          </w:tcPr>
          <w:p w:rsidRPr="00D52F04" w:rsidR="002C4410" w:rsidP="002C4410" w:rsidRDefault="002C4410" w14:paraId="2F2CAE0D" w14:textId="77777777">
            <w:pPr>
              <w:spacing w:line="276" w:lineRule="auto"/>
              <w:jc w:val="right"/>
              <w:rPr>
                <w:color w:val="000000"/>
                <w:sz w:val="16"/>
                <w:szCs w:val="16"/>
              </w:rPr>
            </w:pPr>
            <w:r w:rsidRPr="00D52F04">
              <w:rPr>
                <w:color w:val="000000"/>
                <w:sz w:val="16"/>
                <w:szCs w:val="16"/>
              </w:rPr>
              <w:t xml:space="preserve">       96.000 </w:t>
            </w:r>
          </w:p>
        </w:tc>
        <w:tc>
          <w:tcPr>
            <w:tcW w:w="1180" w:type="dxa"/>
            <w:tcBorders>
              <w:top w:val="nil"/>
              <w:left w:val="nil"/>
              <w:bottom w:val="nil"/>
              <w:right w:val="nil"/>
            </w:tcBorders>
            <w:noWrap/>
            <w:vAlign w:val="center"/>
            <w:hideMark/>
          </w:tcPr>
          <w:p w:rsidRPr="00D52F04" w:rsidR="002C4410" w:rsidP="002C4410" w:rsidRDefault="002C4410" w14:paraId="601DF4C6" w14:textId="77777777">
            <w:pPr>
              <w:spacing w:line="276" w:lineRule="auto"/>
              <w:jc w:val="right"/>
              <w:rPr>
                <w:color w:val="000000"/>
                <w:sz w:val="16"/>
                <w:szCs w:val="16"/>
              </w:rPr>
            </w:pPr>
            <w:r w:rsidRPr="00D52F04">
              <w:rPr>
                <w:color w:val="000000"/>
                <w:sz w:val="16"/>
                <w:szCs w:val="16"/>
              </w:rPr>
              <w:t xml:space="preserve">       96.000 </w:t>
            </w:r>
          </w:p>
        </w:tc>
        <w:tc>
          <w:tcPr>
            <w:tcW w:w="920" w:type="dxa"/>
            <w:tcBorders>
              <w:top w:val="nil"/>
              <w:left w:val="nil"/>
              <w:bottom w:val="nil"/>
              <w:right w:val="nil"/>
            </w:tcBorders>
            <w:noWrap/>
            <w:vAlign w:val="center"/>
            <w:hideMark/>
          </w:tcPr>
          <w:p w:rsidRPr="00D52F04" w:rsidR="002C4410" w:rsidP="002C4410" w:rsidRDefault="002C4410" w14:paraId="784437C7" w14:textId="77777777">
            <w:pPr>
              <w:spacing w:line="276" w:lineRule="auto"/>
              <w:jc w:val="right"/>
              <w:rPr>
                <w:color w:val="000000"/>
                <w:sz w:val="16"/>
                <w:szCs w:val="16"/>
              </w:rPr>
            </w:pPr>
            <w:r w:rsidRPr="00D52F04">
              <w:rPr>
                <w:color w:val="000000"/>
                <w:sz w:val="16"/>
                <w:szCs w:val="16"/>
              </w:rPr>
              <w:t xml:space="preserve">   96.000 </w:t>
            </w:r>
          </w:p>
        </w:tc>
        <w:tc>
          <w:tcPr>
            <w:tcW w:w="1180" w:type="dxa"/>
            <w:tcBorders>
              <w:top w:val="nil"/>
              <w:left w:val="nil"/>
              <w:bottom w:val="nil"/>
              <w:right w:val="nil"/>
            </w:tcBorders>
            <w:noWrap/>
            <w:vAlign w:val="center"/>
            <w:hideMark/>
          </w:tcPr>
          <w:p w:rsidRPr="00D52F04" w:rsidR="002C4410" w:rsidP="002C4410" w:rsidRDefault="002C4410" w14:paraId="6C1CC40D" w14:textId="77777777">
            <w:pPr>
              <w:spacing w:line="276" w:lineRule="auto"/>
              <w:jc w:val="right"/>
              <w:rPr>
                <w:color w:val="000000"/>
                <w:sz w:val="16"/>
                <w:szCs w:val="16"/>
              </w:rPr>
            </w:pPr>
            <w:r w:rsidRPr="00D52F04">
              <w:rPr>
                <w:color w:val="000000"/>
                <w:sz w:val="16"/>
                <w:szCs w:val="16"/>
              </w:rPr>
              <w:t xml:space="preserve">              0   </w:t>
            </w:r>
          </w:p>
        </w:tc>
      </w:tr>
      <w:tr w:rsidRPr="00D52F04" w:rsidR="002C4410" w:rsidTr="00251BD0" w14:paraId="31D6B3CC" w14:textId="77777777">
        <w:trPr>
          <w:trHeight w:val="210"/>
        </w:trPr>
        <w:tc>
          <w:tcPr>
            <w:tcW w:w="6521" w:type="dxa"/>
            <w:tcBorders>
              <w:top w:val="nil"/>
              <w:left w:val="nil"/>
              <w:bottom w:val="nil"/>
              <w:right w:val="nil"/>
            </w:tcBorders>
            <w:shd w:val="clear" w:color="000000" w:fill="E8E8E8"/>
            <w:noWrap/>
            <w:vAlign w:val="center"/>
            <w:hideMark/>
          </w:tcPr>
          <w:p w:rsidRPr="00D52F04" w:rsidR="002C4410" w:rsidP="002C4410" w:rsidRDefault="002C4410" w14:paraId="02446A51" w14:textId="77777777">
            <w:pPr>
              <w:spacing w:line="276" w:lineRule="auto"/>
              <w:ind w:firstLine="320" w:firstLineChars="200"/>
              <w:rPr>
                <w:color w:val="000000"/>
                <w:sz w:val="16"/>
                <w:szCs w:val="16"/>
              </w:rPr>
            </w:pPr>
            <w:r w:rsidRPr="00D52F04">
              <w:rPr>
                <w:color w:val="000000"/>
                <w:sz w:val="16"/>
                <w:szCs w:val="16"/>
              </w:rPr>
              <w:t>NWO</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15AF474C" w14:textId="77777777">
            <w:pPr>
              <w:spacing w:line="276" w:lineRule="auto"/>
              <w:jc w:val="right"/>
              <w:rPr>
                <w:i/>
                <w:iCs/>
                <w:color w:val="000000"/>
                <w:sz w:val="16"/>
                <w:szCs w:val="16"/>
              </w:rPr>
            </w:pPr>
            <w:r w:rsidRPr="00D52F04">
              <w:rPr>
                <w:i/>
                <w:iCs/>
                <w:color w:val="000000"/>
                <w:sz w:val="16"/>
                <w:szCs w:val="16"/>
              </w:rPr>
              <w:t xml:space="preserve">       10.000 </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004EE5FD" w14:textId="77777777">
            <w:pPr>
              <w:spacing w:line="276" w:lineRule="auto"/>
              <w:jc w:val="right"/>
              <w:rPr>
                <w:i/>
                <w:iCs/>
                <w:color w:val="000000"/>
                <w:sz w:val="16"/>
                <w:szCs w:val="16"/>
              </w:rPr>
            </w:pPr>
            <w:r w:rsidRPr="00D52F04">
              <w:rPr>
                <w:i/>
                <w:iCs/>
                <w:color w:val="000000"/>
                <w:sz w:val="16"/>
                <w:szCs w:val="16"/>
              </w:rPr>
              <w:t xml:space="preserve">       10.000 </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6DD9C7F1" w14:textId="77777777">
            <w:pPr>
              <w:spacing w:line="276" w:lineRule="auto"/>
              <w:jc w:val="right"/>
              <w:rPr>
                <w:i/>
                <w:iCs/>
                <w:color w:val="000000"/>
                <w:sz w:val="16"/>
                <w:szCs w:val="16"/>
              </w:rPr>
            </w:pPr>
            <w:r w:rsidRPr="00D52F04">
              <w:rPr>
                <w:i/>
                <w:iCs/>
                <w:color w:val="000000"/>
                <w:sz w:val="16"/>
                <w:szCs w:val="16"/>
              </w:rPr>
              <w:t xml:space="preserve">       10.000 </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56D848C2" w14:textId="77777777">
            <w:pPr>
              <w:spacing w:line="276" w:lineRule="auto"/>
              <w:jc w:val="right"/>
              <w:rPr>
                <w:i/>
                <w:iCs/>
                <w:color w:val="000000"/>
                <w:sz w:val="16"/>
                <w:szCs w:val="16"/>
              </w:rPr>
            </w:pPr>
            <w:r w:rsidRPr="00D52F04">
              <w:rPr>
                <w:i/>
                <w:iCs/>
                <w:color w:val="000000"/>
                <w:sz w:val="16"/>
                <w:szCs w:val="16"/>
              </w:rPr>
              <w:t xml:space="preserve">       10.000 </w:t>
            </w:r>
          </w:p>
        </w:tc>
        <w:tc>
          <w:tcPr>
            <w:tcW w:w="920" w:type="dxa"/>
            <w:tcBorders>
              <w:top w:val="nil"/>
              <w:left w:val="nil"/>
              <w:bottom w:val="nil"/>
              <w:right w:val="nil"/>
            </w:tcBorders>
            <w:shd w:val="clear" w:color="000000" w:fill="E8E8E8"/>
            <w:noWrap/>
            <w:vAlign w:val="center"/>
            <w:hideMark/>
          </w:tcPr>
          <w:p w:rsidRPr="00D52F04" w:rsidR="002C4410" w:rsidP="002C4410" w:rsidRDefault="002C4410" w14:paraId="426C2B65" w14:textId="77777777">
            <w:pPr>
              <w:spacing w:line="276" w:lineRule="auto"/>
              <w:jc w:val="right"/>
              <w:rPr>
                <w:i/>
                <w:iCs/>
                <w:color w:val="000000"/>
                <w:sz w:val="16"/>
                <w:szCs w:val="16"/>
              </w:rPr>
            </w:pPr>
            <w:r w:rsidRPr="00D52F04">
              <w:rPr>
                <w:i/>
                <w:iCs/>
                <w:color w:val="000000"/>
                <w:sz w:val="16"/>
                <w:szCs w:val="16"/>
              </w:rPr>
              <w:t xml:space="preserve">  10.000</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4AC99144" w14:textId="77777777">
            <w:pPr>
              <w:spacing w:line="276" w:lineRule="auto"/>
              <w:jc w:val="right"/>
              <w:rPr>
                <w:i/>
                <w:iCs/>
                <w:color w:val="000000"/>
                <w:sz w:val="16"/>
                <w:szCs w:val="16"/>
              </w:rPr>
            </w:pPr>
            <w:r w:rsidRPr="00D52F04">
              <w:rPr>
                <w:i/>
                <w:iCs/>
                <w:color w:val="000000"/>
                <w:sz w:val="16"/>
                <w:szCs w:val="16"/>
              </w:rPr>
              <w:t>0</w:t>
            </w:r>
          </w:p>
        </w:tc>
      </w:tr>
      <w:tr w:rsidRPr="003F5FA5" w:rsidR="002C4410" w:rsidTr="00251BD0" w14:paraId="531F98F3" w14:textId="77777777">
        <w:trPr>
          <w:trHeight w:val="210"/>
        </w:trPr>
        <w:tc>
          <w:tcPr>
            <w:tcW w:w="6521" w:type="dxa"/>
            <w:tcBorders>
              <w:top w:val="nil"/>
              <w:left w:val="nil"/>
              <w:bottom w:val="nil"/>
              <w:right w:val="nil"/>
            </w:tcBorders>
            <w:shd w:val="clear" w:color="000000" w:fill="E8E8E8"/>
            <w:noWrap/>
            <w:vAlign w:val="center"/>
            <w:hideMark/>
          </w:tcPr>
          <w:p w:rsidRPr="00D52F04" w:rsidR="002C4410" w:rsidP="002C4410" w:rsidRDefault="002C4410" w14:paraId="14BC67A3" w14:textId="77777777">
            <w:pPr>
              <w:spacing w:line="276" w:lineRule="auto"/>
              <w:ind w:firstLine="320" w:firstLineChars="200"/>
              <w:rPr>
                <w:color w:val="000000"/>
                <w:sz w:val="16"/>
                <w:szCs w:val="16"/>
              </w:rPr>
            </w:pPr>
            <w:r w:rsidRPr="00D52F04">
              <w:rPr>
                <w:color w:val="000000"/>
                <w:sz w:val="16"/>
                <w:szCs w:val="16"/>
              </w:rPr>
              <w:t>Eerste geldstroom universiteiten</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1AE0997B" w14:textId="77777777">
            <w:pPr>
              <w:spacing w:line="276" w:lineRule="auto"/>
              <w:jc w:val="right"/>
              <w:rPr>
                <w:i/>
                <w:iCs/>
                <w:color w:val="000000"/>
                <w:sz w:val="16"/>
                <w:szCs w:val="16"/>
              </w:rPr>
            </w:pPr>
            <w:r w:rsidRPr="00D52F04">
              <w:rPr>
                <w:i/>
                <w:iCs/>
                <w:color w:val="000000"/>
                <w:sz w:val="16"/>
                <w:szCs w:val="16"/>
              </w:rPr>
              <w:t xml:space="preserve">       60.000 </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356CBF2D" w14:textId="77777777">
            <w:pPr>
              <w:spacing w:line="276" w:lineRule="auto"/>
              <w:jc w:val="right"/>
              <w:rPr>
                <w:i/>
                <w:iCs/>
                <w:color w:val="000000"/>
                <w:sz w:val="16"/>
                <w:szCs w:val="16"/>
              </w:rPr>
            </w:pPr>
            <w:r w:rsidRPr="00D52F04">
              <w:rPr>
                <w:i/>
                <w:iCs/>
                <w:color w:val="000000"/>
                <w:sz w:val="16"/>
                <w:szCs w:val="16"/>
              </w:rPr>
              <w:t xml:space="preserve">       60.000 </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27EF03BB" w14:textId="77777777">
            <w:pPr>
              <w:spacing w:line="276" w:lineRule="auto"/>
              <w:jc w:val="right"/>
              <w:rPr>
                <w:i/>
                <w:iCs/>
                <w:color w:val="000000"/>
                <w:sz w:val="16"/>
                <w:szCs w:val="16"/>
              </w:rPr>
            </w:pPr>
            <w:r w:rsidRPr="00D52F04">
              <w:rPr>
                <w:i/>
                <w:iCs/>
                <w:color w:val="000000"/>
                <w:sz w:val="16"/>
                <w:szCs w:val="16"/>
              </w:rPr>
              <w:t xml:space="preserve">       86.000 </w:t>
            </w:r>
          </w:p>
        </w:tc>
        <w:tc>
          <w:tcPr>
            <w:tcW w:w="1180" w:type="dxa"/>
            <w:tcBorders>
              <w:top w:val="nil"/>
              <w:left w:val="nil"/>
              <w:bottom w:val="nil"/>
              <w:right w:val="nil"/>
            </w:tcBorders>
            <w:shd w:val="clear" w:color="000000" w:fill="E8E8E8"/>
            <w:noWrap/>
            <w:vAlign w:val="center"/>
            <w:hideMark/>
          </w:tcPr>
          <w:p w:rsidRPr="00D52F04" w:rsidR="002C4410" w:rsidP="002C4410" w:rsidRDefault="002C4410" w14:paraId="176EE35E" w14:textId="77777777">
            <w:pPr>
              <w:spacing w:line="276" w:lineRule="auto"/>
              <w:jc w:val="right"/>
              <w:rPr>
                <w:i/>
                <w:iCs/>
                <w:color w:val="000000"/>
                <w:sz w:val="16"/>
                <w:szCs w:val="16"/>
              </w:rPr>
            </w:pPr>
            <w:r w:rsidRPr="00D52F04">
              <w:rPr>
                <w:i/>
                <w:iCs/>
                <w:color w:val="000000"/>
                <w:sz w:val="16"/>
                <w:szCs w:val="16"/>
              </w:rPr>
              <w:t xml:space="preserve">       86.000 </w:t>
            </w:r>
          </w:p>
        </w:tc>
        <w:tc>
          <w:tcPr>
            <w:tcW w:w="920" w:type="dxa"/>
            <w:tcBorders>
              <w:top w:val="nil"/>
              <w:left w:val="nil"/>
              <w:bottom w:val="nil"/>
              <w:right w:val="nil"/>
            </w:tcBorders>
            <w:shd w:val="clear" w:color="000000" w:fill="E8E8E8"/>
            <w:noWrap/>
            <w:vAlign w:val="center"/>
            <w:hideMark/>
          </w:tcPr>
          <w:p w:rsidRPr="00D52F04" w:rsidR="002C4410" w:rsidP="002C4410" w:rsidRDefault="002C4410" w14:paraId="14155D1A" w14:textId="77777777">
            <w:pPr>
              <w:spacing w:line="276" w:lineRule="auto"/>
              <w:jc w:val="right"/>
              <w:rPr>
                <w:i/>
                <w:iCs/>
                <w:color w:val="000000"/>
                <w:sz w:val="16"/>
                <w:szCs w:val="16"/>
              </w:rPr>
            </w:pPr>
            <w:r w:rsidRPr="00D52F04">
              <w:rPr>
                <w:i/>
                <w:iCs/>
                <w:color w:val="000000"/>
                <w:sz w:val="16"/>
                <w:szCs w:val="16"/>
              </w:rPr>
              <w:t xml:space="preserve">  86.000</w:t>
            </w:r>
          </w:p>
        </w:tc>
        <w:tc>
          <w:tcPr>
            <w:tcW w:w="1180" w:type="dxa"/>
            <w:tcBorders>
              <w:top w:val="nil"/>
              <w:left w:val="nil"/>
              <w:bottom w:val="nil"/>
              <w:right w:val="nil"/>
            </w:tcBorders>
            <w:shd w:val="clear" w:color="000000" w:fill="E8E8E8"/>
            <w:noWrap/>
            <w:vAlign w:val="center"/>
            <w:hideMark/>
          </w:tcPr>
          <w:p w:rsidRPr="003F5FA5" w:rsidR="002C4410" w:rsidP="002C4410" w:rsidRDefault="002C4410" w14:paraId="12A15AA8" w14:textId="77777777">
            <w:pPr>
              <w:spacing w:line="276" w:lineRule="auto"/>
              <w:jc w:val="right"/>
              <w:rPr>
                <w:i/>
                <w:iCs/>
                <w:color w:val="000000"/>
                <w:sz w:val="16"/>
                <w:szCs w:val="16"/>
              </w:rPr>
            </w:pPr>
            <w:r w:rsidRPr="00D52F04">
              <w:rPr>
                <w:i/>
                <w:iCs/>
                <w:color w:val="000000"/>
                <w:sz w:val="16"/>
                <w:szCs w:val="16"/>
              </w:rPr>
              <w:t>0</w:t>
            </w:r>
          </w:p>
        </w:tc>
      </w:tr>
    </w:tbl>
    <w:p w:rsidRPr="00B711E2" w:rsidR="00E64170" w:rsidP="00110591" w:rsidRDefault="00E64170" w14:paraId="490A1388" w14:textId="77777777">
      <w:pPr>
        <w:spacing w:line="276" w:lineRule="auto"/>
        <w:rPr>
          <w:szCs w:val="18"/>
        </w:rPr>
      </w:pPr>
    </w:p>
    <w:sectPr w:rsidRPr="00B711E2" w:rsidR="00E64170" w:rsidSect="00E256BB">
      <w:headerReference w:type="default" r:id="rId12"/>
      <w:footerReference w:type="default" r:id="rId13"/>
      <w:headerReference w:type="first" r:id="rId14"/>
      <w:footerReference w:type="first" r:id="rId15"/>
      <w:pgSz w:w="16838" w:h="11906" w:orient="landscape" w:code="9"/>
      <w:pgMar w:top="1588" w:right="2682" w:bottom="2818" w:left="1077" w:header="1361"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9DECD" w14:textId="77777777" w:rsidR="000E2058" w:rsidRDefault="000E2058">
      <w:r>
        <w:separator/>
      </w:r>
    </w:p>
    <w:p w14:paraId="2B252249" w14:textId="77777777" w:rsidR="000E2058" w:rsidRDefault="000E2058"/>
  </w:endnote>
  <w:endnote w:type="continuationSeparator" w:id="0">
    <w:p w14:paraId="1F7337D5" w14:textId="77777777" w:rsidR="000E2058" w:rsidRDefault="000E2058">
      <w:r>
        <w:continuationSeparator/>
      </w:r>
    </w:p>
    <w:p w14:paraId="2231B98D" w14:textId="77777777" w:rsidR="000E2058" w:rsidRDefault="000E20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09A79"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341937" w14:paraId="64CDDF29" w14:textId="77777777" w:rsidTr="004C7E1D">
      <w:trPr>
        <w:trHeight w:hRule="exact" w:val="357"/>
      </w:trPr>
      <w:tc>
        <w:tcPr>
          <w:tcW w:w="7603" w:type="dxa"/>
        </w:tcPr>
        <w:p w14:paraId="3A62FC1C" w14:textId="77777777" w:rsidR="002F71BB" w:rsidRPr="004C7E1D" w:rsidRDefault="002F71BB" w:rsidP="004C7E1D">
          <w:pPr>
            <w:spacing w:line="180" w:lineRule="exact"/>
            <w:rPr>
              <w:sz w:val="13"/>
              <w:szCs w:val="13"/>
            </w:rPr>
          </w:pPr>
        </w:p>
      </w:tc>
      <w:tc>
        <w:tcPr>
          <w:tcW w:w="2172" w:type="dxa"/>
        </w:tcPr>
        <w:p w14:paraId="026E8416" w14:textId="2C5119AE" w:rsidR="002F71BB" w:rsidRPr="004C7E1D" w:rsidRDefault="0069410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A5E47">
            <w:rPr>
              <w:szCs w:val="13"/>
            </w:rPr>
            <w:t>12</w:t>
          </w:r>
          <w:r w:rsidRPr="004C7E1D">
            <w:rPr>
              <w:szCs w:val="13"/>
            </w:rPr>
            <w:fldChar w:fldCharType="end"/>
          </w:r>
        </w:p>
      </w:tc>
    </w:tr>
  </w:tbl>
  <w:p w14:paraId="48F71751"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341937" w14:paraId="6550919E" w14:textId="77777777" w:rsidTr="004C7E1D">
      <w:trPr>
        <w:trHeight w:hRule="exact" w:val="357"/>
      </w:trPr>
      <w:tc>
        <w:tcPr>
          <w:tcW w:w="7709" w:type="dxa"/>
        </w:tcPr>
        <w:p w14:paraId="7001E9C2" w14:textId="77777777" w:rsidR="00D17084" w:rsidRPr="004C7E1D" w:rsidRDefault="00D17084" w:rsidP="004C7E1D">
          <w:pPr>
            <w:spacing w:line="180" w:lineRule="exact"/>
            <w:rPr>
              <w:sz w:val="13"/>
              <w:szCs w:val="13"/>
            </w:rPr>
          </w:pPr>
        </w:p>
      </w:tc>
      <w:tc>
        <w:tcPr>
          <w:tcW w:w="2060" w:type="dxa"/>
        </w:tcPr>
        <w:p w14:paraId="14719AE9" w14:textId="327D8DB1" w:rsidR="00D17084" w:rsidRPr="004C7E1D" w:rsidRDefault="0069410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A5E47">
            <w:rPr>
              <w:szCs w:val="13"/>
            </w:rPr>
            <w:t>12</w:t>
          </w:r>
          <w:r w:rsidRPr="004C7E1D">
            <w:rPr>
              <w:szCs w:val="13"/>
            </w:rPr>
            <w:fldChar w:fldCharType="end"/>
          </w:r>
        </w:p>
      </w:tc>
    </w:tr>
  </w:tbl>
  <w:p w14:paraId="5EEF4458" w14:textId="77777777" w:rsidR="00527BD4" w:rsidRPr="00C64E34" w:rsidRDefault="00527BD4" w:rsidP="00D17084">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4014" w14:textId="77777777" w:rsidR="00E64170" w:rsidRPr="00BC3B53" w:rsidRDefault="00E64170" w:rsidP="008C356D">
    <w:pPr>
      <w:pStyle w:val="Voettekst"/>
      <w:spacing w:line="240" w:lineRule="auto"/>
      <w:rPr>
        <w:sz w:val="2"/>
        <w:szCs w:val="2"/>
      </w:rPr>
    </w:pPr>
  </w:p>
  <w:p w14:paraId="3445568C" w14:textId="77777777" w:rsidR="00E64170" w:rsidRPr="002F71BB" w:rsidRDefault="00E64170" w:rsidP="002F71BB">
    <w:pPr>
      <w:spacing w:line="180" w:lineRule="exact"/>
      <w:rPr>
        <w:sz w:val="13"/>
        <w:szCs w:val="1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EE49" w14:textId="77777777" w:rsidR="00E64170" w:rsidRPr="00C64E34" w:rsidRDefault="00E64170"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9380A" w14:textId="77777777" w:rsidR="000E2058" w:rsidRDefault="000E2058">
      <w:r>
        <w:separator/>
      </w:r>
    </w:p>
    <w:p w14:paraId="15E797ED" w14:textId="77777777" w:rsidR="000E2058" w:rsidRDefault="000E2058"/>
  </w:footnote>
  <w:footnote w:type="continuationSeparator" w:id="0">
    <w:p w14:paraId="79412D29" w14:textId="77777777" w:rsidR="000E2058" w:rsidRDefault="000E2058">
      <w:r>
        <w:continuationSeparator/>
      </w:r>
    </w:p>
    <w:p w14:paraId="546E65D2" w14:textId="77777777" w:rsidR="000E2058" w:rsidRDefault="000E2058"/>
  </w:footnote>
  <w:footnote w:id="1">
    <w:p w14:paraId="66FCC3FA" w14:textId="77777777" w:rsidR="00F568BB" w:rsidRDefault="00F568BB" w:rsidP="00402A5A">
      <w:pPr>
        <w:pStyle w:val="Voetnoottekst"/>
        <w:spacing w:line="240" w:lineRule="auto"/>
      </w:pPr>
      <w:r>
        <w:rPr>
          <w:rStyle w:val="Voetnootmarkering"/>
        </w:rPr>
        <w:footnoteRef/>
      </w:r>
      <w:r>
        <w:t xml:space="preserve"> Beleidsbrief Onderwijs Cultuur en Wetenschap 2026-2030, 24 april 2026, Kamerstuk </w:t>
      </w:r>
      <w:r w:rsidRPr="00B80411">
        <w:t>36800-VIII-148</w:t>
      </w:r>
    </w:p>
  </w:footnote>
  <w:footnote w:id="2">
    <w:p w14:paraId="2C7A0911" w14:textId="5523E4D6" w:rsidR="00D67683" w:rsidRPr="00D67683" w:rsidRDefault="00D67683" w:rsidP="00251BD0">
      <w:pPr>
        <w:pStyle w:val="Voetnoottekst"/>
        <w:spacing w:line="240" w:lineRule="auto"/>
      </w:pPr>
      <w:r>
        <w:rPr>
          <w:rStyle w:val="Voetnootmarkering"/>
        </w:rPr>
        <w:footnoteRef/>
      </w:r>
      <w:r w:rsidRPr="00D67683">
        <w:t xml:space="preserve"> </w:t>
      </w:r>
      <w:r w:rsidRPr="00CD4707">
        <w:t>TWIN 2024-2030</w:t>
      </w:r>
      <w:r>
        <w:t xml:space="preserve">, </w:t>
      </w:r>
      <w:r w:rsidRPr="00CD4707">
        <w:t>Totale investeringen in wetenschap en innovatie</w:t>
      </w:r>
      <w:r>
        <w:t xml:space="preserve">, </w:t>
      </w:r>
      <w:proofErr w:type="spellStart"/>
      <w:r>
        <w:t>Rathenau</w:t>
      </w:r>
      <w:proofErr w:type="spellEnd"/>
      <w:r>
        <w:t xml:space="preserve"> Instituut</w:t>
      </w:r>
    </w:p>
  </w:footnote>
  <w:footnote w:id="3">
    <w:p w14:paraId="13D3A7C1" w14:textId="77777777" w:rsidR="00F568BB" w:rsidRPr="00C41F11" w:rsidRDefault="00F568BB" w:rsidP="004913D6">
      <w:pPr>
        <w:pStyle w:val="Voetnoottekst"/>
        <w:spacing w:line="240" w:lineRule="auto"/>
        <w:rPr>
          <w:lang w:val="en-US"/>
        </w:rPr>
      </w:pPr>
      <w:r>
        <w:rPr>
          <w:rStyle w:val="Voetnootmarkering"/>
        </w:rPr>
        <w:footnoteRef/>
      </w:r>
      <w:r w:rsidRPr="00C41F11">
        <w:rPr>
          <w:lang w:val="en-US"/>
        </w:rPr>
        <w:t xml:space="preserve"> </w:t>
      </w:r>
      <w:r>
        <w:fldChar w:fldCharType="begin"/>
      </w:r>
      <w:r w:rsidRPr="007A5E47">
        <w:rPr>
          <w:lang w:val="en-US"/>
        </w:rPr>
        <w:instrText>HYPERLINK "https://commission.europa.eu/topics/competitiveness/draghi-report_en"</w:instrText>
      </w:r>
      <w:r>
        <w:fldChar w:fldCharType="separate"/>
      </w:r>
      <w:r w:rsidRPr="00884295">
        <w:rPr>
          <w:rStyle w:val="Hyperlink"/>
          <w:lang w:val="en-US"/>
        </w:rPr>
        <w:t>Draghi report - The future of European competitiveness – A competitiveness strategy for Europe</w:t>
      </w:r>
      <w:r>
        <w:fldChar w:fldCharType="end"/>
      </w:r>
    </w:p>
  </w:footnote>
  <w:footnote w:id="4">
    <w:p w14:paraId="39D75DEC" w14:textId="77777777" w:rsidR="00F568BB" w:rsidRPr="00C41F11" w:rsidRDefault="00F568BB" w:rsidP="004913D6">
      <w:pPr>
        <w:pStyle w:val="Voetnoottekst"/>
        <w:spacing w:line="240" w:lineRule="auto"/>
      </w:pPr>
      <w:r>
        <w:rPr>
          <w:rStyle w:val="Voetnootmarkering"/>
        </w:rPr>
        <w:footnoteRef/>
      </w:r>
      <w:r w:rsidRPr="00C41F11">
        <w:t xml:space="preserve"> </w:t>
      </w:r>
      <w:hyperlink r:id="rId1" w:history="1">
        <w:r w:rsidRPr="00C41F11">
          <w:rPr>
            <w:rStyle w:val="Hyperlink"/>
          </w:rPr>
          <w:t xml:space="preserve">Rapport </w:t>
        </w:r>
        <w:proofErr w:type="spellStart"/>
        <w:r w:rsidRPr="00C41F11">
          <w:rPr>
            <w:rStyle w:val="Hyperlink"/>
          </w:rPr>
          <w:t>Wennink</w:t>
        </w:r>
        <w:proofErr w:type="spellEnd"/>
        <w:r w:rsidRPr="00C41F11">
          <w:rPr>
            <w:rStyle w:val="Hyperlink"/>
          </w:rPr>
          <w:t xml:space="preserve"> – De route naar toekomstige welvaart</w:t>
        </w:r>
      </w:hyperlink>
    </w:p>
  </w:footnote>
  <w:footnote w:id="5">
    <w:p w14:paraId="1654B552" w14:textId="77777777" w:rsidR="00F07628" w:rsidRDefault="00F07628" w:rsidP="00F07628">
      <w:pPr>
        <w:pStyle w:val="Voetnoottekst"/>
        <w:spacing w:line="240" w:lineRule="auto"/>
      </w:pPr>
      <w:r>
        <w:rPr>
          <w:rStyle w:val="Voetnootmarkering"/>
        </w:rPr>
        <w:footnoteRef/>
      </w:r>
      <w:r>
        <w:t xml:space="preserve"> Opdrachtbrief Toekomstige Welvaart en Vestigingsklimaat, kamerstuk </w:t>
      </w:r>
      <w:r w:rsidRPr="003F390A">
        <w:t>36848-106</w:t>
      </w:r>
    </w:p>
  </w:footnote>
  <w:footnote w:id="6">
    <w:p w14:paraId="50463F04" w14:textId="629E3B0A" w:rsidR="008917AF" w:rsidRDefault="008917AF" w:rsidP="00251BD0">
      <w:pPr>
        <w:pStyle w:val="Voetnoottekst"/>
        <w:spacing w:line="240" w:lineRule="auto"/>
      </w:pPr>
      <w:r>
        <w:rPr>
          <w:rStyle w:val="Voetnootmarkering"/>
        </w:rPr>
        <w:footnoteRef/>
      </w:r>
      <w:r>
        <w:t xml:space="preserve"> Kamerstukken II, </w:t>
      </w:r>
      <w:r w:rsidR="004913D6">
        <w:t xml:space="preserve">2025-2026 36800-XIII, nr. 41 </w:t>
      </w:r>
    </w:p>
  </w:footnote>
  <w:footnote w:id="7">
    <w:p w14:paraId="1A448028" w14:textId="7A0629AE" w:rsidR="00420E14" w:rsidRPr="00420E14" w:rsidRDefault="00420E14" w:rsidP="004913D6">
      <w:pPr>
        <w:pStyle w:val="Voetnoottekst"/>
        <w:spacing w:line="240" w:lineRule="auto"/>
      </w:pPr>
      <w:r>
        <w:rPr>
          <w:rStyle w:val="Voetnootmarkering"/>
        </w:rPr>
        <w:footnoteRef/>
      </w:r>
      <w:r w:rsidRPr="00420E14">
        <w:t xml:space="preserve"> </w:t>
      </w:r>
      <w:r w:rsidRPr="0053613A">
        <w:t>Mijn ambtsvoorganger heeft u over de invulling van deze middelen geïnformeerd op 14 maart 2025</w:t>
      </w:r>
      <w:r>
        <w:t xml:space="preserve">, Kamerstuk </w:t>
      </w:r>
      <w:r w:rsidRPr="00420E14">
        <w:t>31288-1185</w:t>
      </w:r>
    </w:p>
  </w:footnote>
  <w:footnote w:id="8">
    <w:p w14:paraId="202D30D0" w14:textId="5EFB992A" w:rsidR="0037629A" w:rsidRPr="00C76428" w:rsidRDefault="0037629A" w:rsidP="00E64170">
      <w:pPr>
        <w:pStyle w:val="Voetnoottekst"/>
        <w:spacing w:line="240" w:lineRule="auto"/>
      </w:pPr>
      <w:r>
        <w:rPr>
          <w:rStyle w:val="Voetnootmarkering"/>
        </w:rPr>
        <w:footnoteRef/>
      </w:r>
      <w:r w:rsidRPr="00C76428">
        <w:t xml:space="preserve"> Kamerstukken II, 2024/2025, 29338, nr. 296</w:t>
      </w:r>
    </w:p>
  </w:footnote>
  <w:footnote w:id="9">
    <w:p w14:paraId="0C5B9300" w14:textId="77777777" w:rsidR="00F16D50" w:rsidRPr="00C76428" w:rsidRDefault="00F16D50" w:rsidP="0037629A">
      <w:pPr>
        <w:pStyle w:val="Voetnoottekst"/>
        <w:spacing w:line="240" w:lineRule="auto"/>
      </w:pPr>
      <w:r>
        <w:rPr>
          <w:rStyle w:val="Voetnootmarkering"/>
        </w:rPr>
        <w:footnoteRef/>
      </w:r>
      <w:r w:rsidRPr="00C76428">
        <w:t xml:space="preserve"> https://commission.europa.eu/publications/european-competitiveness-fund_en</w:t>
      </w:r>
    </w:p>
  </w:footnote>
  <w:footnote w:id="10">
    <w:p w14:paraId="22AE6E35" w14:textId="0E415A43" w:rsidR="00110591" w:rsidRDefault="00110591" w:rsidP="00E256BB">
      <w:pPr>
        <w:pStyle w:val="Voetnoottekst"/>
        <w:spacing w:line="240" w:lineRule="auto"/>
      </w:pPr>
      <w:r>
        <w:rPr>
          <w:rStyle w:val="Voetnootmarkering"/>
        </w:rPr>
        <w:footnoteRef/>
      </w:r>
      <w:r>
        <w:t xml:space="preserve"> </w:t>
      </w:r>
      <w:hyperlink r:id="rId2" w:history="1">
        <w:proofErr w:type="spellStart"/>
        <w:r w:rsidR="00884295" w:rsidRPr="00884295">
          <w:rPr>
            <w:rStyle w:val="Hyperlink"/>
          </w:rPr>
          <w:t>Rathenau</w:t>
        </w:r>
        <w:proofErr w:type="spellEnd"/>
        <w:r w:rsidR="00884295" w:rsidRPr="00884295">
          <w:rPr>
            <w:rStyle w:val="Hyperlink"/>
          </w:rPr>
          <w:t xml:space="preserve"> Instituut (2025). TWIN 2023-2029. Totale Investeringen in Wetenschap en Innovatie.</w:t>
        </w:r>
      </w:hyperlink>
    </w:p>
  </w:footnote>
  <w:footnote w:id="11">
    <w:p w14:paraId="580E82F4" w14:textId="77777777" w:rsidR="00D47253" w:rsidRDefault="00D47253" w:rsidP="00D47253">
      <w:pPr>
        <w:pStyle w:val="Voetnoottekst"/>
        <w:spacing w:line="240" w:lineRule="auto"/>
      </w:pPr>
      <w:r>
        <w:rPr>
          <w:rStyle w:val="Voetnootmarkering"/>
        </w:rPr>
        <w:footnoteRef/>
      </w:r>
      <w:r>
        <w:t xml:space="preserve"> Kamerstukken II 2025-2026, </w:t>
      </w:r>
      <w:r w:rsidRPr="00120476">
        <w:t>31288</w:t>
      </w:r>
      <w:r>
        <w:t xml:space="preserve">, nr. 26643, en bijlage </w:t>
      </w:r>
      <w:r w:rsidRPr="00B711E2">
        <w:rPr>
          <w:rFonts w:eastAsiaTheme="minorHAnsi" w:cs="Calibri"/>
          <w:kern w:val="2"/>
          <w:szCs w:val="18"/>
          <w:lang w:eastAsia="en-US"/>
          <w14:ligatures w14:val="standardContextual"/>
        </w:rPr>
        <w:t>adviesrapport Reken er maar (niet meer) op de - digitale infrastructuren voor onderzoek 2027-2035</w:t>
      </w:r>
    </w:p>
  </w:footnote>
  <w:footnote w:id="12">
    <w:p w14:paraId="6E528C0C" w14:textId="694F4771" w:rsidR="004B2067" w:rsidRPr="00D874C1" w:rsidRDefault="004B2067" w:rsidP="00CD6079">
      <w:pPr>
        <w:pStyle w:val="Voetnoottekst"/>
        <w:spacing w:line="240" w:lineRule="auto"/>
      </w:pPr>
      <w:r>
        <w:rPr>
          <w:rStyle w:val="Voetnootmarkering"/>
        </w:rPr>
        <w:footnoteRef/>
      </w:r>
      <w:r w:rsidRPr="00D874C1">
        <w:t xml:space="preserve"> </w:t>
      </w:r>
      <w:r w:rsidR="0069001C" w:rsidRPr="00251BD0">
        <w:t>Monitor praktijkgericht onderzoek 2024</w:t>
      </w:r>
      <w:r w:rsidR="0069001C">
        <w:t>,</w:t>
      </w:r>
      <w:r w:rsidR="0069001C" w:rsidRPr="00251BD0">
        <w:t xml:space="preserve"> </w:t>
      </w:r>
      <w:proofErr w:type="spellStart"/>
      <w:r w:rsidR="0069001C" w:rsidRPr="00251BD0">
        <w:t>Rathenau</w:t>
      </w:r>
      <w:proofErr w:type="spellEnd"/>
      <w:r w:rsidR="0069001C" w:rsidRPr="00251BD0">
        <w:t xml:space="preserve"> Instituut</w:t>
      </w:r>
    </w:p>
  </w:footnote>
  <w:footnote w:id="13">
    <w:p w14:paraId="236049D5" w14:textId="77777777" w:rsidR="00FE5AD2" w:rsidRDefault="00FE5AD2" w:rsidP="002C4410">
      <w:pPr>
        <w:pStyle w:val="Voetnoottekst"/>
        <w:spacing w:line="240" w:lineRule="auto"/>
      </w:pPr>
      <w:r>
        <w:rPr>
          <w:rStyle w:val="Voetnootmarkering"/>
        </w:rPr>
        <w:footnoteRef/>
      </w:r>
      <w:r>
        <w:t xml:space="preserve"> </w:t>
      </w:r>
      <w:r w:rsidRPr="00087E9A">
        <w:t>Dreigingsbeeld Statelijke Actoren 2025</w:t>
      </w:r>
      <w:r>
        <w:t>.</w:t>
      </w:r>
      <w:r w:rsidRPr="00087E9A">
        <w:t xml:space="preserve"> Aanhoudende dreigingen in tijden van groeiende onzekerheid</w:t>
      </w:r>
      <w:r>
        <w:t>. AIVD, MIVD en NCTV.</w:t>
      </w:r>
    </w:p>
  </w:footnote>
  <w:footnote w:id="14">
    <w:p w14:paraId="39A92346" w14:textId="59EE3789" w:rsidR="00AE669C" w:rsidRDefault="00AE669C" w:rsidP="0069001C">
      <w:pPr>
        <w:pStyle w:val="Voetnoottekst"/>
        <w:spacing w:line="240" w:lineRule="auto"/>
      </w:pPr>
      <w:r>
        <w:rPr>
          <w:rStyle w:val="Voetnootmarkering"/>
        </w:rPr>
        <w:footnoteRef/>
      </w:r>
      <w:r>
        <w:t xml:space="preserve"> </w:t>
      </w:r>
      <w:r w:rsidR="00F07628" w:rsidRPr="00F07628">
        <w:t>Kamerstukken II, 2025-2026, 31 288, nr. 1261</w:t>
      </w:r>
    </w:p>
  </w:footnote>
  <w:footnote w:id="15">
    <w:p w14:paraId="3D1D0B43" w14:textId="2DF69282" w:rsidR="00DE691D" w:rsidRPr="00BE74E3" w:rsidRDefault="00DE691D" w:rsidP="002C4410">
      <w:pPr>
        <w:pStyle w:val="Voetnoottekst"/>
        <w:spacing w:line="240" w:lineRule="auto"/>
      </w:pPr>
      <w:r>
        <w:rPr>
          <w:rStyle w:val="Voetnootmarkering"/>
        </w:rPr>
        <w:footnoteRef/>
      </w:r>
      <w:r>
        <w:t xml:space="preserve"> </w:t>
      </w:r>
      <w:r w:rsidRPr="00BE74E3">
        <w:t>Kamerstuk</w:t>
      </w:r>
      <w:r w:rsidR="00947865" w:rsidRPr="00BE74E3">
        <w:t>, 2024/2025</w:t>
      </w:r>
      <w:r w:rsidRPr="00BE74E3">
        <w:t xml:space="preserve"> 31288, nr. 1130</w:t>
      </w:r>
    </w:p>
  </w:footnote>
  <w:footnote w:id="16">
    <w:p w14:paraId="0949119B" w14:textId="04164FA2" w:rsidR="004427A2" w:rsidRPr="00BE74E3" w:rsidRDefault="004427A2" w:rsidP="002C4410">
      <w:pPr>
        <w:pStyle w:val="Voetnoottekst"/>
        <w:spacing w:line="240" w:lineRule="auto"/>
      </w:pPr>
      <w:r w:rsidRPr="00BE74E3">
        <w:rPr>
          <w:rStyle w:val="Voetnootmarkering"/>
        </w:rPr>
        <w:footnoteRef/>
      </w:r>
      <w:r w:rsidRPr="00BE74E3">
        <w:t xml:space="preserve"> </w:t>
      </w:r>
      <w:r w:rsidR="00F07628" w:rsidRPr="00F07628">
        <w:t>Kamerstukken II, 2025-2026, 31 288, nr. 1261</w:t>
      </w:r>
    </w:p>
  </w:footnote>
  <w:footnote w:id="17">
    <w:p w14:paraId="60B7B924" w14:textId="1168C1C7" w:rsidR="004427A2" w:rsidRDefault="004427A2" w:rsidP="004427A2">
      <w:pPr>
        <w:pStyle w:val="Voetnoottekst"/>
        <w:spacing w:line="240" w:lineRule="auto"/>
      </w:pPr>
      <w:r w:rsidRPr="00BE74E3">
        <w:rPr>
          <w:rStyle w:val="Voetnootmarkering"/>
        </w:rPr>
        <w:footnoteRef/>
      </w:r>
      <w:r w:rsidRPr="00BE74E3">
        <w:t xml:space="preserve"> </w:t>
      </w:r>
      <w:r w:rsidR="00F07628" w:rsidRPr="00F07628">
        <w:t>Kamerstukken II, 2025-2026, 31 288, nr. 1260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341937" w14:paraId="7AB94A8D" w14:textId="77777777" w:rsidTr="006D2D53">
      <w:trPr>
        <w:trHeight w:hRule="exact" w:val="400"/>
      </w:trPr>
      <w:tc>
        <w:tcPr>
          <w:tcW w:w="7518" w:type="dxa"/>
        </w:tcPr>
        <w:p w14:paraId="195205E8" w14:textId="77777777" w:rsidR="00527BD4" w:rsidRPr="00275984" w:rsidRDefault="00527BD4" w:rsidP="00BF4427">
          <w:pPr>
            <w:pStyle w:val="Huisstijl-Rubricering"/>
          </w:pPr>
        </w:p>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41937" w14:paraId="5BB67BFF" w14:textId="77777777" w:rsidTr="003B528D">
      <w:tc>
        <w:tcPr>
          <w:tcW w:w="2160" w:type="dxa"/>
        </w:tcPr>
        <w:p w14:paraId="655DD4B8" w14:textId="77777777" w:rsidR="002F71BB" w:rsidRPr="000407BB" w:rsidRDefault="00694107" w:rsidP="005D283A">
          <w:pPr>
            <w:pStyle w:val="Colofonkop"/>
            <w:framePr w:hSpace="0" w:wrap="auto" w:vAnchor="margin" w:hAnchor="text" w:xAlign="left" w:yAlign="inline"/>
          </w:pPr>
          <w:r>
            <w:t>Onze referentie</w:t>
          </w:r>
        </w:p>
      </w:tc>
    </w:tr>
    <w:tr w:rsidR="00341937" w14:paraId="125DAEC5" w14:textId="77777777" w:rsidTr="002F71BB">
      <w:trPr>
        <w:trHeight w:val="259"/>
      </w:trPr>
      <w:tc>
        <w:tcPr>
          <w:tcW w:w="2160" w:type="dxa"/>
        </w:tcPr>
        <w:p w14:paraId="02BFC7B9" w14:textId="77777777" w:rsidR="00E35CF4" w:rsidRPr="005D283A" w:rsidRDefault="00694107" w:rsidP="0049501A">
          <w:pPr>
            <w:spacing w:line="180" w:lineRule="exact"/>
            <w:rPr>
              <w:sz w:val="13"/>
              <w:szCs w:val="13"/>
            </w:rPr>
          </w:pPr>
          <w:r>
            <w:rPr>
              <w:sz w:val="13"/>
              <w:szCs w:val="13"/>
            </w:rPr>
            <w:t>63853506</w:t>
          </w:r>
        </w:p>
      </w:tc>
    </w:tr>
  </w:tbl>
  <w:p w14:paraId="2F0675A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41937" w14:paraId="1F042B8A" w14:textId="77777777" w:rsidTr="001377D4">
      <w:trPr>
        <w:trHeight w:val="2636"/>
      </w:trPr>
      <w:tc>
        <w:tcPr>
          <w:tcW w:w="737" w:type="dxa"/>
        </w:tcPr>
        <w:p w14:paraId="05FA4E4C" w14:textId="77777777" w:rsidR="00704845" w:rsidRDefault="00704845" w:rsidP="0047126E">
          <w:pPr>
            <w:framePr w:w="6339" w:h="2750" w:hRule="exact" w:hSpace="181" w:wrap="around" w:vAnchor="page" w:hAnchor="page" w:x="5586" w:y="1"/>
            <w:spacing w:line="240" w:lineRule="auto"/>
          </w:pPr>
        </w:p>
      </w:tc>
      <w:tc>
        <w:tcPr>
          <w:tcW w:w="5156" w:type="dxa"/>
        </w:tcPr>
        <w:p w14:paraId="6E9A5B1A" w14:textId="77777777" w:rsidR="00704845" w:rsidRDefault="00694107" w:rsidP="0047126E">
          <w:pPr>
            <w:framePr w:w="3873" w:h="2625" w:hRule="exact" w:wrap="around" w:vAnchor="page" w:hAnchor="page" w:x="6323" w:y="1"/>
          </w:pPr>
          <w:r>
            <w:rPr>
              <w:noProof/>
              <w:lang w:val="en-US" w:eastAsia="en-US"/>
            </w:rPr>
            <w:drawing>
              <wp:inline distT="0" distB="0" distL="0" distR="0" wp14:anchorId="41074463" wp14:editId="4ED75FD5">
                <wp:extent cx="2447925" cy="1657350"/>
                <wp:effectExtent l="0" t="0" r="0" b="0"/>
                <wp:docPr id="1235437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2A5D5B4" w14:textId="77777777" w:rsidR="00483ECA" w:rsidRDefault="00483ECA" w:rsidP="00D037A9"/>
      </w:tc>
    </w:tr>
  </w:tbl>
  <w:p w14:paraId="7E071C1B"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341937" w14:paraId="0C1D014F" w14:textId="77777777" w:rsidTr="0008539E">
      <w:trPr>
        <w:trHeight w:hRule="exact" w:val="572"/>
      </w:trPr>
      <w:tc>
        <w:tcPr>
          <w:tcW w:w="7520" w:type="dxa"/>
        </w:tcPr>
        <w:p w14:paraId="71CE22E1" w14:textId="77777777" w:rsidR="00527BD4" w:rsidRPr="00963440" w:rsidRDefault="00694107" w:rsidP="00210BA3">
          <w:pPr>
            <w:pStyle w:val="Huisstijl-Adres"/>
            <w:spacing w:after="0"/>
          </w:pPr>
          <w:r w:rsidRPr="009E3B07">
            <w:t>&gt;Retouradres </w:t>
          </w:r>
          <w:r>
            <w:t>Postbus 16375 2500 BJ Den Haag</w:t>
          </w:r>
          <w:r w:rsidRPr="009E3B07">
            <w:t xml:space="preserve"> </w:t>
          </w:r>
        </w:p>
      </w:tc>
    </w:tr>
    <w:tr w:rsidR="00341937" w14:paraId="45A89C3D" w14:textId="77777777" w:rsidTr="00E776C6">
      <w:trPr>
        <w:cantSplit/>
        <w:trHeight w:hRule="exact" w:val="238"/>
      </w:trPr>
      <w:tc>
        <w:tcPr>
          <w:tcW w:w="7520" w:type="dxa"/>
        </w:tcPr>
        <w:p w14:paraId="4FC7F902" w14:textId="77777777" w:rsidR="00093ABC" w:rsidRPr="00963440" w:rsidRDefault="00093ABC" w:rsidP="00963440"/>
      </w:tc>
    </w:tr>
    <w:tr w:rsidR="00341937" w14:paraId="48B977BD" w14:textId="77777777" w:rsidTr="00E776C6">
      <w:trPr>
        <w:cantSplit/>
        <w:trHeight w:hRule="exact" w:val="1520"/>
      </w:trPr>
      <w:tc>
        <w:tcPr>
          <w:tcW w:w="7520" w:type="dxa"/>
        </w:tcPr>
        <w:p w14:paraId="707EBA2E" w14:textId="77777777" w:rsidR="00A604D3" w:rsidRPr="00963440" w:rsidRDefault="00A604D3" w:rsidP="00963440"/>
      </w:tc>
    </w:tr>
    <w:tr w:rsidR="00341937" w14:paraId="63DFF923" w14:textId="77777777" w:rsidTr="00E776C6">
      <w:trPr>
        <w:trHeight w:hRule="exact" w:val="1077"/>
      </w:trPr>
      <w:tc>
        <w:tcPr>
          <w:tcW w:w="7520" w:type="dxa"/>
        </w:tcPr>
        <w:p w14:paraId="0E335F69" w14:textId="77777777" w:rsidR="00892BA5" w:rsidRPr="00035E67" w:rsidRDefault="00892BA5" w:rsidP="00892BA5">
          <w:pPr>
            <w:tabs>
              <w:tab w:val="left" w:pos="740"/>
            </w:tabs>
            <w:autoSpaceDE w:val="0"/>
            <w:autoSpaceDN w:val="0"/>
            <w:adjustRightInd w:val="0"/>
            <w:rPr>
              <w:rFonts w:cs="Verdana"/>
              <w:szCs w:val="18"/>
            </w:rPr>
          </w:pPr>
        </w:p>
      </w:tc>
    </w:tr>
  </w:tbl>
  <w:p w14:paraId="2265A42F" w14:textId="77777777" w:rsidR="006F273B" w:rsidRDefault="006F273B" w:rsidP="00BC4AE3">
    <w:pPr>
      <w:pStyle w:val="Koptekst"/>
    </w:pPr>
  </w:p>
  <w:p w14:paraId="30586B34" w14:textId="77777777" w:rsidR="00153BD0" w:rsidRDefault="00153BD0" w:rsidP="00BC4AE3">
    <w:pPr>
      <w:pStyle w:val="Koptekst"/>
    </w:pPr>
  </w:p>
  <w:p w14:paraId="4B157259" w14:textId="77777777" w:rsidR="0044605E" w:rsidRDefault="0044605E" w:rsidP="00BC4AE3">
    <w:pPr>
      <w:pStyle w:val="Koptekst"/>
    </w:pPr>
  </w:p>
  <w:p w14:paraId="10D08C9D" w14:textId="77777777" w:rsidR="0044605E" w:rsidRDefault="0044605E" w:rsidP="00BC4AE3">
    <w:pPr>
      <w:pStyle w:val="Koptekst"/>
    </w:pPr>
  </w:p>
  <w:p w14:paraId="2BAF1311" w14:textId="77777777" w:rsidR="0044605E" w:rsidRDefault="0044605E" w:rsidP="00BC4AE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E64170" w14:paraId="768D7E81" w14:textId="77777777" w:rsidTr="006D2D53">
      <w:trPr>
        <w:trHeight w:hRule="exact" w:val="400"/>
      </w:trPr>
      <w:tc>
        <w:tcPr>
          <w:tcW w:w="7518" w:type="dxa"/>
        </w:tcPr>
        <w:p w14:paraId="0C3208EF" w14:textId="77777777" w:rsidR="00E64170" w:rsidRPr="00275984" w:rsidRDefault="00E64170" w:rsidP="00BF4427">
          <w:pPr>
            <w:pStyle w:val="Huisstijl-Rubricering"/>
          </w:pPr>
        </w:p>
      </w:tc>
    </w:tr>
  </w:tbl>
  <w:p w14:paraId="5F8596C2" w14:textId="77777777" w:rsidR="00E64170" w:rsidRPr="00217880" w:rsidRDefault="00E64170" w:rsidP="004F44C2">
    <w:pPr>
      <w:spacing w:line="0" w:lineRule="atLeast"/>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64170" w14:paraId="1A6BA13B" w14:textId="77777777" w:rsidTr="001377D4">
      <w:trPr>
        <w:trHeight w:val="2636"/>
      </w:trPr>
      <w:tc>
        <w:tcPr>
          <w:tcW w:w="737" w:type="dxa"/>
        </w:tcPr>
        <w:p w14:paraId="2E647336" w14:textId="77777777" w:rsidR="00E64170" w:rsidRDefault="00E64170" w:rsidP="0047126E">
          <w:pPr>
            <w:framePr w:w="6339" w:h="2750" w:hRule="exact" w:hSpace="181" w:wrap="around" w:vAnchor="page" w:hAnchor="page" w:x="5586" w:y="1"/>
            <w:spacing w:line="240" w:lineRule="auto"/>
          </w:pPr>
        </w:p>
      </w:tc>
      <w:tc>
        <w:tcPr>
          <w:tcW w:w="5156" w:type="dxa"/>
        </w:tcPr>
        <w:p w14:paraId="5EA4A2E0" w14:textId="20C841BF" w:rsidR="00E64170" w:rsidRDefault="00E64170" w:rsidP="0047126E">
          <w:pPr>
            <w:framePr w:w="3873" w:h="2625" w:hRule="exact" w:wrap="around" w:vAnchor="page" w:hAnchor="page" w:x="6323" w:y="1"/>
          </w:pPr>
        </w:p>
        <w:p w14:paraId="6D09576B" w14:textId="77777777" w:rsidR="00E64170" w:rsidRDefault="00E64170" w:rsidP="00D037A9"/>
      </w:tc>
    </w:tr>
  </w:tbl>
  <w:p w14:paraId="2E150391" w14:textId="77777777" w:rsidR="00E64170" w:rsidRDefault="00E64170" w:rsidP="00E256BB">
    <w:pPr>
      <w:framePr w:w="6339" w:h="2750" w:hRule="exact" w:hSpace="181" w:wrap="around" w:vAnchor="page" w:hAnchor="page" w:x="5586" w:y="1"/>
    </w:pPr>
  </w:p>
  <w:p w14:paraId="7823A126" w14:textId="77777777" w:rsidR="00E64170" w:rsidRDefault="00E64170" w:rsidP="00E6417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982B8E4">
      <w:start w:val="1"/>
      <w:numFmt w:val="bullet"/>
      <w:pStyle w:val="Lijstopsomteken"/>
      <w:lvlText w:val="•"/>
      <w:lvlJc w:val="left"/>
      <w:pPr>
        <w:tabs>
          <w:tab w:val="num" w:pos="227"/>
        </w:tabs>
        <w:ind w:left="227" w:hanging="227"/>
      </w:pPr>
      <w:rPr>
        <w:rFonts w:ascii="Verdana" w:hAnsi="Verdana" w:hint="default"/>
        <w:sz w:val="18"/>
        <w:szCs w:val="18"/>
      </w:rPr>
    </w:lvl>
    <w:lvl w:ilvl="1" w:tplc="99EA4A40" w:tentative="1">
      <w:start w:val="1"/>
      <w:numFmt w:val="bullet"/>
      <w:lvlText w:val="o"/>
      <w:lvlJc w:val="left"/>
      <w:pPr>
        <w:tabs>
          <w:tab w:val="num" w:pos="1440"/>
        </w:tabs>
        <w:ind w:left="1440" w:hanging="360"/>
      </w:pPr>
      <w:rPr>
        <w:rFonts w:ascii="Courier New" w:hAnsi="Courier New" w:cs="Courier New" w:hint="default"/>
      </w:rPr>
    </w:lvl>
    <w:lvl w:ilvl="2" w:tplc="0F94DFC6" w:tentative="1">
      <w:start w:val="1"/>
      <w:numFmt w:val="bullet"/>
      <w:lvlText w:val=""/>
      <w:lvlJc w:val="left"/>
      <w:pPr>
        <w:tabs>
          <w:tab w:val="num" w:pos="2160"/>
        </w:tabs>
        <w:ind w:left="2160" w:hanging="360"/>
      </w:pPr>
      <w:rPr>
        <w:rFonts w:ascii="Wingdings" w:hAnsi="Wingdings" w:hint="default"/>
      </w:rPr>
    </w:lvl>
    <w:lvl w:ilvl="3" w:tplc="67B02A64" w:tentative="1">
      <w:start w:val="1"/>
      <w:numFmt w:val="bullet"/>
      <w:lvlText w:val=""/>
      <w:lvlJc w:val="left"/>
      <w:pPr>
        <w:tabs>
          <w:tab w:val="num" w:pos="2880"/>
        </w:tabs>
        <w:ind w:left="2880" w:hanging="360"/>
      </w:pPr>
      <w:rPr>
        <w:rFonts w:ascii="Symbol" w:hAnsi="Symbol" w:hint="default"/>
      </w:rPr>
    </w:lvl>
    <w:lvl w:ilvl="4" w:tplc="8890A2EE" w:tentative="1">
      <w:start w:val="1"/>
      <w:numFmt w:val="bullet"/>
      <w:lvlText w:val="o"/>
      <w:lvlJc w:val="left"/>
      <w:pPr>
        <w:tabs>
          <w:tab w:val="num" w:pos="3600"/>
        </w:tabs>
        <w:ind w:left="3600" w:hanging="360"/>
      </w:pPr>
      <w:rPr>
        <w:rFonts w:ascii="Courier New" w:hAnsi="Courier New" w:cs="Courier New" w:hint="default"/>
      </w:rPr>
    </w:lvl>
    <w:lvl w:ilvl="5" w:tplc="F938691C" w:tentative="1">
      <w:start w:val="1"/>
      <w:numFmt w:val="bullet"/>
      <w:lvlText w:val=""/>
      <w:lvlJc w:val="left"/>
      <w:pPr>
        <w:tabs>
          <w:tab w:val="num" w:pos="4320"/>
        </w:tabs>
        <w:ind w:left="4320" w:hanging="360"/>
      </w:pPr>
      <w:rPr>
        <w:rFonts w:ascii="Wingdings" w:hAnsi="Wingdings" w:hint="default"/>
      </w:rPr>
    </w:lvl>
    <w:lvl w:ilvl="6" w:tplc="B2BC5AD0" w:tentative="1">
      <w:start w:val="1"/>
      <w:numFmt w:val="bullet"/>
      <w:lvlText w:val=""/>
      <w:lvlJc w:val="left"/>
      <w:pPr>
        <w:tabs>
          <w:tab w:val="num" w:pos="5040"/>
        </w:tabs>
        <w:ind w:left="5040" w:hanging="360"/>
      </w:pPr>
      <w:rPr>
        <w:rFonts w:ascii="Symbol" w:hAnsi="Symbol" w:hint="default"/>
      </w:rPr>
    </w:lvl>
    <w:lvl w:ilvl="7" w:tplc="4976C6FE" w:tentative="1">
      <w:start w:val="1"/>
      <w:numFmt w:val="bullet"/>
      <w:lvlText w:val="o"/>
      <w:lvlJc w:val="left"/>
      <w:pPr>
        <w:tabs>
          <w:tab w:val="num" w:pos="5760"/>
        </w:tabs>
        <w:ind w:left="5760" w:hanging="360"/>
      </w:pPr>
      <w:rPr>
        <w:rFonts w:ascii="Courier New" w:hAnsi="Courier New" w:cs="Courier New" w:hint="default"/>
      </w:rPr>
    </w:lvl>
    <w:lvl w:ilvl="8" w:tplc="86304CD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733B34"/>
    <w:multiLevelType w:val="hybridMultilevel"/>
    <w:tmpl w:val="701A1B30"/>
    <w:lvl w:ilvl="0" w:tplc="12EAE37A">
      <w:numFmt w:val="bullet"/>
      <w:lvlText w:val="-"/>
      <w:lvlJc w:val="left"/>
      <w:pPr>
        <w:ind w:left="461" w:hanging="360"/>
      </w:pPr>
      <w:rPr>
        <w:rFonts w:ascii="Calibri" w:eastAsia="Verdana" w:hAnsi="Calibri" w:cs="Calibri" w:hint="default"/>
      </w:rPr>
    </w:lvl>
    <w:lvl w:ilvl="1" w:tplc="04130003">
      <w:start w:val="1"/>
      <w:numFmt w:val="bullet"/>
      <w:lvlText w:val="o"/>
      <w:lvlJc w:val="left"/>
      <w:pPr>
        <w:ind w:left="1181" w:hanging="360"/>
      </w:pPr>
      <w:rPr>
        <w:rFonts w:ascii="Courier New" w:hAnsi="Courier New" w:cs="Courier New" w:hint="default"/>
      </w:rPr>
    </w:lvl>
    <w:lvl w:ilvl="2" w:tplc="04130005" w:tentative="1">
      <w:start w:val="1"/>
      <w:numFmt w:val="bullet"/>
      <w:lvlText w:val=""/>
      <w:lvlJc w:val="left"/>
      <w:pPr>
        <w:ind w:left="1901" w:hanging="360"/>
      </w:pPr>
      <w:rPr>
        <w:rFonts w:ascii="Wingdings" w:hAnsi="Wingdings" w:hint="default"/>
      </w:rPr>
    </w:lvl>
    <w:lvl w:ilvl="3" w:tplc="04130001" w:tentative="1">
      <w:start w:val="1"/>
      <w:numFmt w:val="bullet"/>
      <w:lvlText w:val=""/>
      <w:lvlJc w:val="left"/>
      <w:pPr>
        <w:ind w:left="2621" w:hanging="360"/>
      </w:pPr>
      <w:rPr>
        <w:rFonts w:ascii="Symbol" w:hAnsi="Symbol" w:hint="default"/>
      </w:rPr>
    </w:lvl>
    <w:lvl w:ilvl="4" w:tplc="04130003" w:tentative="1">
      <w:start w:val="1"/>
      <w:numFmt w:val="bullet"/>
      <w:lvlText w:val="o"/>
      <w:lvlJc w:val="left"/>
      <w:pPr>
        <w:ind w:left="3341" w:hanging="360"/>
      </w:pPr>
      <w:rPr>
        <w:rFonts w:ascii="Courier New" w:hAnsi="Courier New" w:cs="Courier New" w:hint="default"/>
      </w:rPr>
    </w:lvl>
    <w:lvl w:ilvl="5" w:tplc="04130005" w:tentative="1">
      <w:start w:val="1"/>
      <w:numFmt w:val="bullet"/>
      <w:lvlText w:val=""/>
      <w:lvlJc w:val="left"/>
      <w:pPr>
        <w:ind w:left="4061" w:hanging="360"/>
      </w:pPr>
      <w:rPr>
        <w:rFonts w:ascii="Wingdings" w:hAnsi="Wingdings" w:hint="default"/>
      </w:rPr>
    </w:lvl>
    <w:lvl w:ilvl="6" w:tplc="04130001" w:tentative="1">
      <w:start w:val="1"/>
      <w:numFmt w:val="bullet"/>
      <w:lvlText w:val=""/>
      <w:lvlJc w:val="left"/>
      <w:pPr>
        <w:ind w:left="4781" w:hanging="360"/>
      </w:pPr>
      <w:rPr>
        <w:rFonts w:ascii="Symbol" w:hAnsi="Symbol" w:hint="default"/>
      </w:rPr>
    </w:lvl>
    <w:lvl w:ilvl="7" w:tplc="04130003" w:tentative="1">
      <w:start w:val="1"/>
      <w:numFmt w:val="bullet"/>
      <w:lvlText w:val="o"/>
      <w:lvlJc w:val="left"/>
      <w:pPr>
        <w:ind w:left="5501" w:hanging="360"/>
      </w:pPr>
      <w:rPr>
        <w:rFonts w:ascii="Courier New" w:hAnsi="Courier New" w:cs="Courier New" w:hint="default"/>
      </w:rPr>
    </w:lvl>
    <w:lvl w:ilvl="8" w:tplc="04130005" w:tentative="1">
      <w:start w:val="1"/>
      <w:numFmt w:val="bullet"/>
      <w:lvlText w:val=""/>
      <w:lvlJc w:val="left"/>
      <w:pPr>
        <w:ind w:left="6221"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7AA45EEE">
      <w:start w:val="1"/>
      <w:numFmt w:val="bullet"/>
      <w:pStyle w:val="Lijstopsomteken2"/>
      <w:lvlText w:val="–"/>
      <w:lvlJc w:val="left"/>
      <w:pPr>
        <w:tabs>
          <w:tab w:val="num" w:pos="227"/>
        </w:tabs>
        <w:ind w:left="227" w:firstLine="0"/>
      </w:pPr>
      <w:rPr>
        <w:rFonts w:ascii="Verdana" w:hAnsi="Verdana" w:hint="default"/>
      </w:rPr>
    </w:lvl>
    <w:lvl w:ilvl="1" w:tplc="4210E50E" w:tentative="1">
      <w:start w:val="1"/>
      <w:numFmt w:val="bullet"/>
      <w:lvlText w:val="o"/>
      <w:lvlJc w:val="left"/>
      <w:pPr>
        <w:tabs>
          <w:tab w:val="num" w:pos="1440"/>
        </w:tabs>
        <w:ind w:left="1440" w:hanging="360"/>
      </w:pPr>
      <w:rPr>
        <w:rFonts w:ascii="Courier New" w:hAnsi="Courier New" w:cs="Courier New" w:hint="default"/>
      </w:rPr>
    </w:lvl>
    <w:lvl w:ilvl="2" w:tplc="C5643E0E" w:tentative="1">
      <w:start w:val="1"/>
      <w:numFmt w:val="bullet"/>
      <w:lvlText w:val=""/>
      <w:lvlJc w:val="left"/>
      <w:pPr>
        <w:tabs>
          <w:tab w:val="num" w:pos="2160"/>
        </w:tabs>
        <w:ind w:left="2160" w:hanging="360"/>
      </w:pPr>
      <w:rPr>
        <w:rFonts w:ascii="Wingdings" w:hAnsi="Wingdings" w:hint="default"/>
      </w:rPr>
    </w:lvl>
    <w:lvl w:ilvl="3" w:tplc="20FEF492" w:tentative="1">
      <w:start w:val="1"/>
      <w:numFmt w:val="bullet"/>
      <w:lvlText w:val=""/>
      <w:lvlJc w:val="left"/>
      <w:pPr>
        <w:tabs>
          <w:tab w:val="num" w:pos="2880"/>
        </w:tabs>
        <w:ind w:left="2880" w:hanging="360"/>
      </w:pPr>
      <w:rPr>
        <w:rFonts w:ascii="Symbol" w:hAnsi="Symbol" w:hint="default"/>
      </w:rPr>
    </w:lvl>
    <w:lvl w:ilvl="4" w:tplc="0E72A322" w:tentative="1">
      <w:start w:val="1"/>
      <w:numFmt w:val="bullet"/>
      <w:lvlText w:val="o"/>
      <w:lvlJc w:val="left"/>
      <w:pPr>
        <w:tabs>
          <w:tab w:val="num" w:pos="3600"/>
        </w:tabs>
        <w:ind w:left="3600" w:hanging="360"/>
      </w:pPr>
      <w:rPr>
        <w:rFonts w:ascii="Courier New" w:hAnsi="Courier New" w:cs="Courier New" w:hint="default"/>
      </w:rPr>
    </w:lvl>
    <w:lvl w:ilvl="5" w:tplc="BCF6E424" w:tentative="1">
      <w:start w:val="1"/>
      <w:numFmt w:val="bullet"/>
      <w:lvlText w:val=""/>
      <w:lvlJc w:val="left"/>
      <w:pPr>
        <w:tabs>
          <w:tab w:val="num" w:pos="4320"/>
        </w:tabs>
        <w:ind w:left="4320" w:hanging="360"/>
      </w:pPr>
      <w:rPr>
        <w:rFonts w:ascii="Wingdings" w:hAnsi="Wingdings" w:hint="default"/>
      </w:rPr>
    </w:lvl>
    <w:lvl w:ilvl="6" w:tplc="C03A289A" w:tentative="1">
      <w:start w:val="1"/>
      <w:numFmt w:val="bullet"/>
      <w:lvlText w:val=""/>
      <w:lvlJc w:val="left"/>
      <w:pPr>
        <w:tabs>
          <w:tab w:val="num" w:pos="5040"/>
        </w:tabs>
        <w:ind w:left="5040" w:hanging="360"/>
      </w:pPr>
      <w:rPr>
        <w:rFonts w:ascii="Symbol" w:hAnsi="Symbol" w:hint="default"/>
      </w:rPr>
    </w:lvl>
    <w:lvl w:ilvl="7" w:tplc="0024C26A" w:tentative="1">
      <w:start w:val="1"/>
      <w:numFmt w:val="bullet"/>
      <w:lvlText w:val="o"/>
      <w:lvlJc w:val="left"/>
      <w:pPr>
        <w:tabs>
          <w:tab w:val="num" w:pos="5760"/>
        </w:tabs>
        <w:ind w:left="5760" w:hanging="360"/>
      </w:pPr>
      <w:rPr>
        <w:rFonts w:ascii="Courier New" w:hAnsi="Courier New" w:cs="Courier New" w:hint="default"/>
      </w:rPr>
    </w:lvl>
    <w:lvl w:ilvl="8" w:tplc="045EDB8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5014AC"/>
    <w:multiLevelType w:val="hybridMultilevel"/>
    <w:tmpl w:val="5156E6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972BEC"/>
    <w:multiLevelType w:val="hybridMultilevel"/>
    <w:tmpl w:val="92DA3A0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3891ACE"/>
    <w:multiLevelType w:val="hybridMultilevel"/>
    <w:tmpl w:val="2FBEDB66"/>
    <w:lvl w:ilvl="0" w:tplc="57F4B6BA">
      <w:start w:val="1"/>
      <w:numFmt w:val="lowerLetter"/>
      <w:lvlText w:val="%1)"/>
      <w:lvlJc w:val="left"/>
      <w:pPr>
        <w:ind w:left="1020" w:hanging="360"/>
      </w:pPr>
    </w:lvl>
    <w:lvl w:ilvl="1" w:tplc="99421E5A">
      <w:start w:val="1"/>
      <w:numFmt w:val="lowerLetter"/>
      <w:lvlText w:val="%2)"/>
      <w:lvlJc w:val="left"/>
      <w:pPr>
        <w:ind w:left="1020" w:hanging="360"/>
      </w:pPr>
    </w:lvl>
    <w:lvl w:ilvl="2" w:tplc="EE863A3A">
      <w:start w:val="1"/>
      <w:numFmt w:val="lowerLetter"/>
      <w:lvlText w:val="%3)"/>
      <w:lvlJc w:val="left"/>
      <w:pPr>
        <w:ind w:left="1020" w:hanging="360"/>
      </w:pPr>
    </w:lvl>
    <w:lvl w:ilvl="3" w:tplc="1892E6E2">
      <w:start w:val="1"/>
      <w:numFmt w:val="lowerLetter"/>
      <w:lvlText w:val="%4)"/>
      <w:lvlJc w:val="left"/>
      <w:pPr>
        <w:ind w:left="1020" w:hanging="360"/>
      </w:pPr>
    </w:lvl>
    <w:lvl w:ilvl="4" w:tplc="2C90DF64">
      <w:start w:val="1"/>
      <w:numFmt w:val="lowerLetter"/>
      <w:lvlText w:val="%5)"/>
      <w:lvlJc w:val="left"/>
      <w:pPr>
        <w:ind w:left="1020" w:hanging="360"/>
      </w:pPr>
    </w:lvl>
    <w:lvl w:ilvl="5" w:tplc="7C5412FE">
      <w:start w:val="1"/>
      <w:numFmt w:val="lowerLetter"/>
      <w:lvlText w:val="%6)"/>
      <w:lvlJc w:val="left"/>
      <w:pPr>
        <w:ind w:left="1020" w:hanging="360"/>
      </w:pPr>
    </w:lvl>
    <w:lvl w:ilvl="6" w:tplc="E4DE9C9A">
      <w:start w:val="1"/>
      <w:numFmt w:val="lowerLetter"/>
      <w:lvlText w:val="%7)"/>
      <w:lvlJc w:val="left"/>
      <w:pPr>
        <w:ind w:left="1020" w:hanging="360"/>
      </w:pPr>
    </w:lvl>
    <w:lvl w:ilvl="7" w:tplc="2BCE0920">
      <w:start w:val="1"/>
      <w:numFmt w:val="lowerLetter"/>
      <w:lvlText w:val="%8)"/>
      <w:lvlJc w:val="left"/>
      <w:pPr>
        <w:ind w:left="1020" w:hanging="360"/>
      </w:pPr>
    </w:lvl>
    <w:lvl w:ilvl="8" w:tplc="89AC1FDC">
      <w:start w:val="1"/>
      <w:numFmt w:val="lowerLetter"/>
      <w:lvlText w:val="%9)"/>
      <w:lvlJc w:val="left"/>
      <w:pPr>
        <w:ind w:left="1020" w:hanging="360"/>
      </w:pPr>
    </w:lvl>
  </w:abstractNum>
  <w:abstractNum w:abstractNumId="17" w15:restartNumberingAfterBreak="0">
    <w:nsid w:val="4B5C439F"/>
    <w:multiLevelType w:val="hybridMultilevel"/>
    <w:tmpl w:val="8CC00B50"/>
    <w:lvl w:ilvl="0" w:tplc="1A4641E0">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E57FD0"/>
    <w:multiLevelType w:val="hybridMultilevel"/>
    <w:tmpl w:val="3940D6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8764E92"/>
    <w:multiLevelType w:val="hybridMultilevel"/>
    <w:tmpl w:val="D0921F62"/>
    <w:lvl w:ilvl="0" w:tplc="585AF07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03485951">
    <w:abstractNumId w:val="10"/>
  </w:num>
  <w:num w:numId="2" w16cid:durableId="1100418920">
    <w:abstractNumId w:val="7"/>
  </w:num>
  <w:num w:numId="3" w16cid:durableId="1402754594">
    <w:abstractNumId w:val="6"/>
  </w:num>
  <w:num w:numId="4" w16cid:durableId="763762510">
    <w:abstractNumId w:val="5"/>
  </w:num>
  <w:num w:numId="5" w16cid:durableId="1238709769">
    <w:abstractNumId w:val="4"/>
  </w:num>
  <w:num w:numId="6" w16cid:durableId="824859319">
    <w:abstractNumId w:val="8"/>
  </w:num>
  <w:num w:numId="7" w16cid:durableId="287585305">
    <w:abstractNumId w:val="3"/>
  </w:num>
  <w:num w:numId="8" w16cid:durableId="708258803">
    <w:abstractNumId w:val="2"/>
  </w:num>
  <w:num w:numId="9" w16cid:durableId="1881819868">
    <w:abstractNumId w:val="1"/>
  </w:num>
  <w:num w:numId="10" w16cid:durableId="1171024477">
    <w:abstractNumId w:val="0"/>
  </w:num>
  <w:num w:numId="11" w16cid:durableId="692610514">
    <w:abstractNumId w:val="9"/>
  </w:num>
  <w:num w:numId="12" w16cid:durableId="2014720726">
    <w:abstractNumId w:val="12"/>
  </w:num>
  <w:num w:numId="13" w16cid:durableId="1073039726">
    <w:abstractNumId w:val="18"/>
  </w:num>
  <w:num w:numId="14" w16cid:durableId="191693265">
    <w:abstractNumId w:val="13"/>
  </w:num>
  <w:num w:numId="15" w16cid:durableId="787697472">
    <w:abstractNumId w:val="17"/>
  </w:num>
  <w:num w:numId="16" w16cid:durableId="1775518014">
    <w:abstractNumId w:val="20"/>
  </w:num>
  <w:num w:numId="17" w16cid:durableId="379013233">
    <w:abstractNumId w:val="17"/>
  </w:num>
  <w:num w:numId="18" w16cid:durableId="1551845888">
    <w:abstractNumId w:val="16"/>
  </w:num>
  <w:num w:numId="19" w16cid:durableId="1881891820">
    <w:abstractNumId w:val="15"/>
  </w:num>
  <w:num w:numId="20" w16cid:durableId="779842162">
    <w:abstractNumId w:val="14"/>
  </w:num>
  <w:num w:numId="21" w16cid:durableId="887452205">
    <w:abstractNumId w:val="11"/>
  </w:num>
  <w:num w:numId="22" w16cid:durableId="1244996724">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53B7"/>
    <w:rsid w:val="00016012"/>
    <w:rsid w:val="00020189"/>
    <w:rsid w:val="00020EE4"/>
    <w:rsid w:val="00020FCB"/>
    <w:rsid w:val="000217E8"/>
    <w:rsid w:val="00023E9A"/>
    <w:rsid w:val="00025A42"/>
    <w:rsid w:val="0003139D"/>
    <w:rsid w:val="000319CA"/>
    <w:rsid w:val="00031A56"/>
    <w:rsid w:val="00032B5E"/>
    <w:rsid w:val="00033CDD"/>
    <w:rsid w:val="00034A84"/>
    <w:rsid w:val="00034D28"/>
    <w:rsid w:val="00035E67"/>
    <w:rsid w:val="000366F3"/>
    <w:rsid w:val="000407BB"/>
    <w:rsid w:val="00046536"/>
    <w:rsid w:val="00047E0E"/>
    <w:rsid w:val="00052D97"/>
    <w:rsid w:val="0005404B"/>
    <w:rsid w:val="0005447D"/>
    <w:rsid w:val="000546DE"/>
    <w:rsid w:val="000556CF"/>
    <w:rsid w:val="000578BD"/>
    <w:rsid w:val="00057944"/>
    <w:rsid w:val="0006024D"/>
    <w:rsid w:val="00062055"/>
    <w:rsid w:val="00065462"/>
    <w:rsid w:val="00071F28"/>
    <w:rsid w:val="000731D1"/>
    <w:rsid w:val="00074079"/>
    <w:rsid w:val="00075D67"/>
    <w:rsid w:val="000765B6"/>
    <w:rsid w:val="0008289C"/>
    <w:rsid w:val="00084348"/>
    <w:rsid w:val="00084C0E"/>
    <w:rsid w:val="0008530E"/>
    <w:rsid w:val="0008539E"/>
    <w:rsid w:val="000904C6"/>
    <w:rsid w:val="00092799"/>
    <w:rsid w:val="00092A99"/>
    <w:rsid w:val="00092C5F"/>
    <w:rsid w:val="00093ABC"/>
    <w:rsid w:val="00096680"/>
    <w:rsid w:val="000A0F36"/>
    <w:rsid w:val="000A174A"/>
    <w:rsid w:val="000A3E0A"/>
    <w:rsid w:val="000A65AC"/>
    <w:rsid w:val="000B41AB"/>
    <w:rsid w:val="000B7281"/>
    <w:rsid w:val="000B7FAB"/>
    <w:rsid w:val="000C1BA1"/>
    <w:rsid w:val="000C3EA9"/>
    <w:rsid w:val="000C4A32"/>
    <w:rsid w:val="000C65BB"/>
    <w:rsid w:val="000C7119"/>
    <w:rsid w:val="000D0225"/>
    <w:rsid w:val="000D249E"/>
    <w:rsid w:val="000D2B2B"/>
    <w:rsid w:val="000D6399"/>
    <w:rsid w:val="000E2058"/>
    <w:rsid w:val="000E5792"/>
    <w:rsid w:val="000E5886"/>
    <w:rsid w:val="000E60A8"/>
    <w:rsid w:val="000E6621"/>
    <w:rsid w:val="000E7895"/>
    <w:rsid w:val="000F0CB8"/>
    <w:rsid w:val="000F15D6"/>
    <w:rsid w:val="000F161D"/>
    <w:rsid w:val="000F1B4E"/>
    <w:rsid w:val="000F1FFF"/>
    <w:rsid w:val="000F3861"/>
    <w:rsid w:val="000F521E"/>
    <w:rsid w:val="00100203"/>
    <w:rsid w:val="00102B21"/>
    <w:rsid w:val="00103B37"/>
    <w:rsid w:val="00104620"/>
    <w:rsid w:val="00104B4D"/>
    <w:rsid w:val="00105677"/>
    <w:rsid w:val="00110591"/>
    <w:rsid w:val="0011469B"/>
    <w:rsid w:val="001177B4"/>
    <w:rsid w:val="00120476"/>
    <w:rsid w:val="00121278"/>
    <w:rsid w:val="001214C2"/>
    <w:rsid w:val="00122CF9"/>
    <w:rsid w:val="001231AF"/>
    <w:rsid w:val="00123237"/>
    <w:rsid w:val="00123704"/>
    <w:rsid w:val="0012468C"/>
    <w:rsid w:val="001270C7"/>
    <w:rsid w:val="00132540"/>
    <w:rsid w:val="00134EE6"/>
    <w:rsid w:val="00136C96"/>
    <w:rsid w:val="001377D4"/>
    <w:rsid w:val="00141F6D"/>
    <w:rsid w:val="00142DA7"/>
    <w:rsid w:val="00142E41"/>
    <w:rsid w:val="0014786A"/>
    <w:rsid w:val="001516A4"/>
    <w:rsid w:val="00151E5F"/>
    <w:rsid w:val="001530AD"/>
    <w:rsid w:val="00153BD0"/>
    <w:rsid w:val="001569AB"/>
    <w:rsid w:val="00161547"/>
    <w:rsid w:val="00164D63"/>
    <w:rsid w:val="00166523"/>
    <w:rsid w:val="0016725C"/>
    <w:rsid w:val="00167DE5"/>
    <w:rsid w:val="0017008F"/>
    <w:rsid w:val="001726F3"/>
    <w:rsid w:val="0017330E"/>
    <w:rsid w:val="00173C51"/>
    <w:rsid w:val="001740B9"/>
    <w:rsid w:val="00174CC2"/>
    <w:rsid w:val="00176CC6"/>
    <w:rsid w:val="00177B41"/>
    <w:rsid w:val="0018193C"/>
    <w:rsid w:val="00181BE4"/>
    <w:rsid w:val="00184377"/>
    <w:rsid w:val="0018496F"/>
    <w:rsid w:val="00185576"/>
    <w:rsid w:val="00185951"/>
    <w:rsid w:val="00187471"/>
    <w:rsid w:val="00194135"/>
    <w:rsid w:val="00194A00"/>
    <w:rsid w:val="00196B8B"/>
    <w:rsid w:val="001974E4"/>
    <w:rsid w:val="001A0BFA"/>
    <w:rsid w:val="001A1608"/>
    <w:rsid w:val="001A19ED"/>
    <w:rsid w:val="001A25D1"/>
    <w:rsid w:val="001A283D"/>
    <w:rsid w:val="001A2BEA"/>
    <w:rsid w:val="001A325F"/>
    <w:rsid w:val="001A6D93"/>
    <w:rsid w:val="001B1269"/>
    <w:rsid w:val="001B2529"/>
    <w:rsid w:val="001B2BBA"/>
    <w:rsid w:val="001B35FA"/>
    <w:rsid w:val="001C006F"/>
    <w:rsid w:val="001C2453"/>
    <w:rsid w:val="001C2C36"/>
    <w:rsid w:val="001C2CB0"/>
    <w:rsid w:val="001C32EC"/>
    <w:rsid w:val="001C38BD"/>
    <w:rsid w:val="001C4D5A"/>
    <w:rsid w:val="001C4D65"/>
    <w:rsid w:val="001C5B9D"/>
    <w:rsid w:val="001D6A55"/>
    <w:rsid w:val="001E0256"/>
    <w:rsid w:val="001E34C6"/>
    <w:rsid w:val="001E5581"/>
    <w:rsid w:val="001F08F2"/>
    <w:rsid w:val="001F2823"/>
    <w:rsid w:val="001F3C70"/>
    <w:rsid w:val="00200D88"/>
    <w:rsid w:val="00201C09"/>
    <w:rsid w:val="00201F68"/>
    <w:rsid w:val="00203622"/>
    <w:rsid w:val="00205A18"/>
    <w:rsid w:val="0020676E"/>
    <w:rsid w:val="00210BA3"/>
    <w:rsid w:val="00211B9C"/>
    <w:rsid w:val="00212F2A"/>
    <w:rsid w:val="002134F9"/>
    <w:rsid w:val="00214B7B"/>
    <w:rsid w:val="00214F2B"/>
    <w:rsid w:val="00215356"/>
    <w:rsid w:val="00215964"/>
    <w:rsid w:val="00215A37"/>
    <w:rsid w:val="00215D8B"/>
    <w:rsid w:val="00216CB2"/>
    <w:rsid w:val="00217880"/>
    <w:rsid w:val="00220C02"/>
    <w:rsid w:val="00222044"/>
    <w:rsid w:val="00222D66"/>
    <w:rsid w:val="0022441A"/>
    <w:rsid w:val="00224A8A"/>
    <w:rsid w:val="002309A8"/>
    <w:rsid w:val="00236CFE"/>
    <w:rsid w:val="002428E3"/>
    <w:rsid w:val="0024430A"/>
    <w:rsid w:val="00245FF7"/>
    <w:rsid w:val="0024740D"/>
    <w:rsid w:val="00247CCB"/>
    <w:rsid w:val="00251BD0"/>
    <w:rsid w:val="00253B65"/>
    <w:rsid w:val="0026060B"/>
    <w:rsid w:val="00260BAF"/>
    <w:rsid w:val="002610A6"/>
    <w:rsid w:val="0026121D"/>
    <w:rsid w:val="00263FD6"/>
    <w:rsid w:val="002650F7"/>
    <w:rsid w:val="002652D1"/>
    <w:rsid w:val="0026686B"/>
    <w:rsid w:val="002735F6"/>
    <w:rsid w:val="00273F3B"/>
    <w:rsid w:val="00274517"/>
    <w:rsid w:val="00274DB7"/>
    <w:rsid w:val="00275984"/>
    <w:rsid w:val="00276199"/>
    <w:rsid w:val="002768F3"/>
    <w:rsid w:val="00276DA4"/>
    <w:rsid w:val="0028052A"/>
    <w:rsid w:val="00280F74"/>
    <w:rsid w:val="00286998"/>
    <w:rsid w:val="002877F1"/>
    <w:rsid w:val="00291AB7"/>
    <w:rsid w:val="0029422B"/>
    <w:rsid w:val="00294DCB"/>
    <w:rsid w:val="002958B2"/>
    <w:rsid w:val="002A06CE"/>
    <w:rsid w:val="002A37B5"/>
    <w:rsid w:val="002A6722"/>
    <w:rsid w:val="002B153C"/>
    <w:rsid w:val="002B32FC"/>
    <w:rsid w:val="002B52FC"/>
    <w:rsid w:val="002C1423"/>
    <w:rsid w:val="002C17FF"/>
    <w:rsid w:val="002C26D0"/>
    <w:rsid w:val="002C2830"/>
    <w:rsid w:val="002C3CE0"/>
    <w:rsid w:val="002C40AF"/>
    <w:rsid w:val="002C43E5"/>
    <w:rsid w:val="002C4410"/>
    <w:rsid w:val="002C72AC"/>
    <w:rsid w:val="002D001A"/>
    <w:rsid w:val="002D11B3"/>
    <w:rsid w:val="002D28E2"/>
    <w:rsid w:val="002D317B"/>
    <w:rsid w:val="002D3587"/>
    <w:rsid w:val="002D3F4E"/>
    <w:rsid w:val="002D40DF"/>
    <w:rsid w:val="002D4B6A"/>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3202"/>
    <w:rsid w:val="00303F9B"/>
    <w:rsid w:val="00305456"/>
    <w:rsid w:val="003064B3"/>
    <w:rsid w:val="00307B3C"/>
    <w:rsid w:val="00310EF2"/>
    <w:rsid w:val="003115A6"/>
    <w:rsid w:val="003117BE"/>
    <w:rsid w:val="00312597"/>
    <w:rsid w:val="003166C1"/>
    <w:rsid w:val="003172BA"/>
    <w:rsid w:val="00322836"/>
    <w:rsid w:val="003238D5"/>
    <w:rsid w:val="00334154"/>
    <w:rsid w:val="003341D0"/>
    <w:rsid w:val="0033510F"/>
    <w:rsid w:val="003372C4"/>
    <w:rsid w:val="003410BE"/>
    <w:rsid w:val="00341937"/>
    <w:rsid w:val="00341FA0"/>
    <w:rsid w:val="00342374"/>
    <w:rsid w:val="00342462"/>
    <w:rsid w:val="00344F3D"/>
    <w:rsid w:val="00344FC2"/>
    <w:rsid w:val="00345299"/>
    <w:rsid w:val="00351A8D"/>
    <w:rsid w:val="003526BB"/>
    <w:rsid w:val="00352BCF"/>
    <w:rsid w:val="00353932"/>
    <w:rsid w:val="0035464B"/>
    <w:rsid w:val="00356D2B"/>
    <w:rsid w:val="00357A61"/>
    <w:rsid w:val="00361A56"/>
    <w:rsid w:val="00361DEC"/>
    <w:rsid w:val="0036252A"/>
    <w:rsid w:val="00364D9D"/>
    <w:rsid w:val="00371048"/>
    <w:rsid w:val="0037396C"/>
    <w:rsid w:val="00373CF6"/>
    <w:rsid w:val="0037421D"/>
    <w:rsid w:val="00374412"/>
    <w:rsid w:val="00376093"/>
    <w:rsid w:val="0037629A"/>
    <w:rsid w:val="00376DA7"/>
    <w:rsid w:val="0037715E"/>
    <w:rsid w:val="0038354A"/>
    <w:rsid w:val="00383DA1"/>
    <w:rsid w:val="00385CB5"/>
    <w:rsid w:val="00385F30"/>
    <w:rsid w:val="00387600"/>
    <w:rsid w:val="0039305E"/>
    <w:rsid w:val="00393696"/>
    <w:rsid w:val="00393702"/>
    <w:rsid w:val="00393963"/>
    <w:rsid w:val="00395575"/>
    <w:rsid w:val="00395672"/>
    <w:rsid w:val="003A06C8"/>
    <w:rsid w:val="003A0D7C"/>
    <w:rsid w:val="003A7160"/>
    <w:rsid w:val="003B0155"/>
    <w:rsid w:val="003B09DB"/>
    <w:rsid w:val="003B4551"/>
    <w:rsid w:val="003B528D"/>
    <w:rsid w:val="003B7EE7"/>
    <w:rsid w:val="003C2953"/>
    <w:rsid w:val="003C2CCB"/>
    <w:rsid w:val="003C4A1C"/>
    <w:rsid w:val="003C5BCB"/>
    <w:rsid w:val="003D39EC"/>
    <w:rsid w:val="003D40EA"/>
    <w:rsid w:val="003E2727"/>
    <w:rsid w:val="003E32C4"/>
    <w:rsid w:val="003E3DD5"/>
    <w:rsid w:val="003E57B6"/>
    <w:rsid w:val="003E72FC"/>
    <w:rsid w:val="003F0409"/>
    <w:rsid w:val="003F07C6"/>
    <w:rsid w:val="003F08F8"/>
    <w:rsid w:val="003F1DCC"/>
    <w:rsid w:val="003F1F6B"/>
    <w:rsid w:val="003F3757"/>
    <w:rsid w:val="003F44B7"/>
    <w:rsid w:val="003F4BD6"/>
    <w:rsid w:val="004008E9"/>
    <w:rsid w:val="00402A5A"/>
    <w:rsid w:val="00406CD0"/>
    <w:rsid w:val="00406EEF"/>
    <w:rsid w:val="00407991"/>
    <w:rsid w:val="0041019E"/>
    <w:rsid w:val="00413D48"/>
    <w:rsid w:val="00414DB6"/>
    <w:rsid w:val="00416623"/>
    <w:rsid w:val="00416E82"/>
    <w:rsid w:val="0041729E"/>
    <w:rsid w:val="00420E14"/>
    <w:rsid w:val="00424A60"/>
    <w:rsid w:val="00427916"/>
    <w:rsid w:val="00434042"/>
    <w:rsid w:val="00434500"/>
    <w:rsid w:val="00441AC2"/>
    <w:rsid w:val="0044249B"/>
    <w:rsid w:val="004425A7"/>
    <w:rsid w:val="004427A2"/>
    <w:rsid w:val="004428D0"/>
    <w:rsid w:val="00443399"/>
    <w:rsid w:val="00444A24"/>
    <w:rsid w:val="0044605E"/>
    <w:rsid w:val="00446BD3"/>
    <w:rsid w:val="0045023C"/>
    <w:rsid w:val="00451A5B"/>
    <w:rsid w:val="00452BCD"/>
    <w:rsid w:val="00452CEA"/>
    <w:rsid w:val="00457BCC"/>
    <w:rsid w:val="0046002B"/>
    <w:rsid w:val="00463A63"/>
    <w:rsid w:val="00465B52"/>
    <w:rsid w:val="0046708E"/>
    <w:rsid w:val="00467D61"/>
    <w:rsid w:val="0047126E"/>
    <w:rsid w:val="004722BE"/>
    <w:rsid w:val="00472A65"/>
    <w:rsid w:val="00474463"/>
    <w:rsid w:val="00474B75"/>
    <w:rsid w:val="00476829"/>
    <w:rsid w:val="0047718B"/>
    <w:rsid w:val="004818D2"/>
    <w:rsid w:val="00483ECA"/>
    <w:rsid w:val="00483F0B"/>
    <w:rsid w:val="004913D6"/>
    <w:rsid w:val="0049190B"/>
    <w:rsid w:val="00493C9A"/>
    <w:rsid w:val="00494B9E"/>
    <w:rsid w:val="0049501A"/>
    <w:rsid w:val="00496319"/>
    <w:rsid w:val="0049657E"/>
    <w:rsid w:val="00497279"/>
    <w:rsid w:val="004A010B"/>
    <w:rsid w:val="004A3186"/>
    <w:rsid w:val="004A419C"/>
    <w:rsid w:val="004A5843"/>
    <w:rsid w:val="004A65A7"/>
    <w:rsid w:val="004A670A"/>
    <w:rsid w:val="004A6EF1"/>
    <w:rsid w:val="004B2067"/>
    <w:rsid w:val="004B5465"/>
    <w:rsid w:val="004B6487"/>
    <w:rsid w:val="004B70F0"/>
    <w:rsid w:val="004C0035"/>
    <w:rsid w:val="004C1299"/>
    <w:rsid w:val="004C6084"/>
    <w:rsid w:val="004C7E1D"/>
    <w:rsid w:val="004D065C"/>
    <w:rsid w:val="004D33FE"/>
    <w:rsid w:val="004D39A8"/>
    <w:rsid w:val="004D4703"/>
    <w:rsid w:val="004D47BC"/>
    <w:rsid w:val="004D505E"/>
    <w:rsid w:val="004D67E8"/>
    <w:rsid w:val="004D72CA"/>
    <w:rsid w:val="004E088B"/>
    <w:rsid w:val="004E2242"/>
    <w:rsid w:val="004E346A"/>
    <w:rsid w:val="004F0F6D"/>
    <w:rsid w:val="004F2483"/>
    <w:rsid w:val="004F3C02"/>
    <w:rsid w:val="004F42FF"/>
    <w:rsid w:val="004F44C2"/>
    <w:rsid w:val="0050115A"/>
    <w:rsid w:val="005034A9"/>
    <w:rsid w:val="0050357B"/>
    <w:rsid w:val="00505262"/>
    <w:rsid w:val="00505386"/>
    <w:rsid w:val="00505F0C"/>
    <w:rsid w:val="00506379"/>
    <w:rsid w:val="005107B1"/>
    <w:rsid w:val="005114EB"/>
    <w:rsid w:val="00516022"/>
    <w:rsid w:val="00521C4F"/>
    <w:rsid w:val="00521CEE"/>
    <w:rsid w:val="00527BD4"/>
    <w:rsid w:val="00532274"/>
    <w:rsid w:val="00533061"/>
    <w:rsid w:val="00533FA1"/>
    <w:rsid w:val="00534446"/>
    <w:rsid w:val="00534C77"/>
    <w:rsid w:val="0053613A"/>
    <w:rsid w:val="005403C8"/>
    <w:rsid w:val="00541AD9"/>
    <w:rsid w:val="00542336"/>
    <w:rsid w:val="005429DC"/>
    <w:rsid w:val="005429F4"/>
    <w:rsid w:val="00543887"/>
    <w:rsid w:val="00545387"/>
    <w:rsid w:val="00545B58"/>
    <w:rsid w:val="00552ACB"/>
    <w:rsid w:val="005565F9"/>
    <w:rsid w:val="0056241F"/>
    <w:rsid w:val="005639D2"/>
    <w:rsid w:val="00565739"/>
    <w:rsid w:val="00573041"/>
    <w:rsid w:val="00575B80"/>
    <w:rsid w:val="0057688D"/>
    <w:rsid w:val="00577559"/>
    <w:rsid w:val="005819CE"/>
    <w:rsid w:val="0058298D"/>
    <w:rsid w:val="00585943"/>
    <w:rsid w:val="00586E3D"/>
    <w:rsid w:val="00590595"/>
    <w:rsid w:val="00591FA7"/>
    <w:rsid w:val="00593C2B"/>
    <w:rsid w:val="00595231"/>
    <w:rsid w:val="00595CBB"/>
    <w:rsid w:val="00596166"/>
    <w:rsid w:val="00597F64"/>
    <w:rsid w:val="00597F88"/>
    <w:rsid w:val="005A1AF5"/>
    <w:rsid w:val="005A207F"/>
    <w:rsid w:val="005A2C3E"/>
    <w:rsid w:val="005A2F35"/>
    <w:rsid w:val="005A3721"/>
    <w:rsid w:val="005A5CC9"/>
    <w:rsid w:val="005A7512"/>
    <w:rsid w:val="005B23FB"/>
    <w:rsid w:val="005B3441"/>
    <w:rsid w:val="005B463E"/>
    <w:rsid w:val="005B4FAC"/>
    <w:rsid w:val="005B5D8B"/>
    <w:rsid w:val="005B71DC"/>
    <w:rsid w:val="005C34E1"/>
    <w:rsid w:val="005C3FE0"/>
    <w:rsid w:val="005C4C82"/>
    <w:rsid w:val="005C740C"/>
    <w:rsid w:val="005D06BB"/>
    <w:rsid w:val="005D1CD2"/>
    <w:rsid w:val="005D283A"/>
    <w:rsid w:val="005D2CB9"/>
    <w:rsid w:val="005D33B2"/>
    <w:rsid w:val="005D5FCD"/>
    <w:rsid w:val="005D625B"/>
    <w:rsid w:val="005E0F81"/>
    <w:rsid w:val="005E3322"/>
    <w:rsid w:val="005E436C"/>
    <w:rsid w:val="005E51B1"/>
    <w:rsid w:val="005E64E2"/>
    <w:rsid w:val="005E64F3"/>
    <w:rsid w:val="005E7701"/>
    <w:rsid w:val="005F0FE9"/>
    <w:rsid w:val="005F62D3"/>
    <w:rsid w:val="005F6D11"/>
    <w:rsid w:val="005F7516"/>
    <w:rsid w:val="00600CF0"/>
    <w:rsid w:val="006048F4"/>
    <w:rsid w:val="00604FAD"/>
    <w:rsid w:val="0060660A"/>
    <w:rsid w:val="00607617"/>
    <w:rsid w:val="00610A24"/>
    <w:rsid w:val="00610A6E"/>
    <w:rsid w:val="00613B1D"/>
    <w:rsid w:val="00613EDB"/>
    <w:rsid w:val="00614635"/>
    <w:rsid w:val="00615B89"/>
    <w:rsid w:val="006161FE"/>
    <w:rsid w:val="00617311"/>
    <w:rsid w:val="00617A44"/>
    <w:rsid w:val="006202B6"/>
    <w:rsid w:val="006205C0"/>
    <w:rsid w:val="00620DE2"/>
    <w:rsid w:val="00623CB2"/>
    <w:rsid w:val="00625CD0"/>
    <w:rsid w:val="0062627D"/>
    <w:rsid w:val="00626BCB"/>
    <w:rsid w:val="00627432"/>
    <w:rsid w:val="00634A60"/>
    <w:rsid w:val="00635031"/>
    <w:rsid w:val="0064192A"/>
    <w:rsid w:val="00642768"/>
    <w:rsid w:val="006448E4"/>
    <w:rsid w:val="00645414"/>
    <w:rsid w:val="00647F8A"/>
    <w:rsid w:val="00647FEA"/>
    <w:rsid w:val="0065244E"/>
    <w:rsid w:val="006534D0"/>
    <w:rsid w:val="00653606"/>
    <w:rsid w:val="00656753"/>
    <w:rsid w:val="0066068D"/>
    <w:rsid w:val="00660DFE"/>
    <w:rsid w:val="00661065"/>
    <w:rsid w:val="006610E9"/>
    <w:rsid w:val="00661591"/>
    <w:rsid w:val="00662A78"/>
    <w:rsid w:val="00663187"/>
    <w:rsid w:val="0066632F"/>
    <w:rsid w:val="00674A89"/>
    <w:rsid w:val="00674F3D"/>
    <w:rsid w:val="00675392"/>
    <w:rsid w:val="00675BFB"/>
    <w:rsid w:val="00681B74"/>
    <w:rsid w:val="00682E02"/>
    <w:rsid w:val="00685545"/>
    <w:rsid w:val="006864B3"/>
    <w:rsid w:val="00686AED"/>
    <w:rsid w:val="00687511"/>
    <w:rsid w:val="0069001C"/>
    <w:rsid w:val="00692BA9"/>
    <w:rsid w:val="00692C30"/>
    <w:rsid w:val="00692D64"/>
    <w:rsid w:val="00693EEF"/>
    <w:rsid w:val="00694107"/>
    <w:rsid w:val="006A0308"/>
    <w:rsid w:val="006A10F8"/>
    <w:rsid w:val="006A2100"/>
    <w:rsid w:val="006A41F4"/>
    <w:rsid w:val="006B0BF3"/>
    <w:rsid w:val="006B1521"/>
    <w:rsid w:val="006B2A77"/>
    <w:rsid w:val="006B2FBA"/>
    <w:rsid w:val="006B421D"/>
    <w:rsid w:val="006B482B"/>
    <w:rsid w:val="006B775E"/>
    <w:rsid w:val="006B7B87"/>
    <w:rsid w:val="006B7BC7"/>
    <w:rsid w:val="006B7DDC"/>
    <w:rsid w:val="006C0013"/>
    <w:rsid w:val="006C16E5"/>
    <w:rsid w:val="006C2093"/>
    <w:rsid w:val="006C2278"/>
    <w:rsid w:val="006C2535"/>
    <w:rsid w:val="006C311B"/>
    <w:rsid w:val="006C441E"/>
    <w:rsid w:val="006C4B90"/>
    <w:rsid w:val="006C54E0"/>
    <w:rsid w:val="006C6CF8"/>
    <w:rsid w:val="006D1016"/>
    <w:rsid w:val="006D17F2"/>
    <w:rsid w:val="006D2D53"/>
    <w:rsid w:val="006D5E99"/>
    <w:rsid w:val="006D618B"/>
    <w:rsid w:val="006E00AE"/>
    <w:rsid w:val="006E3546"/>
    <w:rsid w:val="006E3FA9"/>
    <w:rsid w:val="006E7D82"/>
    <w:rsid w:val="006F00FC"/>
    <w:rsid w:val="006F038F"/>
    <w:rsid w:val="006F0F93"/>
    <w:rsid w:val="006F273B"/>
    <w:rsid w:val="006F31F2"/>
    <w:rsid w:val="00704845"/>
    <w:rsid w:val="00706AB3"/>
    <w:rsid w:val="0071103C"/>
    <w:rsid w:val="00714DC5"/>
    <w:rsid w:val="00715237"/>
    <w:rsid w:val="007174F4"/>
    <w:rsid w:val="00721D2E"/>
    <w:rsid w:val="00722AE3"/>
    <w:rsid w:val="007242CC"/>
    <w:rsid w:val="00724A8B"/>
    <w:rsid w:val="00724F60"/>
    <w:rsid w:val="007254A5"/>
    <w:rsid w:val="00725748"/>
    <w:rsid w:val="007274C6"/>
    <w:rsid w:val="00727AAC"/>
    <w:rsid w:val="00731484"/>
    <w:rsid w:val="00733076"/>
    <w:rsid w:val="00735D88"/>
    <w:rsid w:val="00736CC4"/>
    <w:rsid w:val="0073720D"/>
    <w:rsid w:val="00737507"/>
    <w:rsid w:val="00740712"/>
    <w:rsid w:val="00740899"/>
    <w:rsid w:val="00741309"/>
    <w:rsid w:val="00741931"/>
    <w:rsid w:val="00742AB9"/>
    <w:rsid w:val="007430A0"/>
    <w:rsid w:val="0074313E"/>
    <w:rsid w:val="007432E9"/>
    <w:rsid w:val="00751A6A"/>
    <w:rsid w:val="00754AD6"/>
    <w:rsid w:val="00754FBF"/>
    <w:rsid w:val="00755436"/>
    <w:rsid w:val="007615AC"/>
    <w:rsid w:val="00764585"/>
    <w:rsid w:val="00767FEF"/>
    <w:rsid w:val="007709EF"/>
    <w:rsid w:val="007826AB"/>
    <w:rsid w:val="00783559"/>
    <w:rsid w:val="007846ED"/>
    <w:rsid w:val="00784A77"/>
    <w:rsid w:val="00784EDC"/>
    <w:rsid w:val="007851C4"/>
    <w:rsid w:val="00785C3B"/>
    <w:rsid w:val="0078651E"/>
    <w:rsid w:val="00790171"/>
    <w:rsid w:val="007919D8"/>
    <w:rsid w:val="0079423E"/>
    <w:rsid w:val="00796DD3"/>
    <w:rsid w:val="00797AA5"/>
    <w:rsid w:val="007A009F"/>
    <w:rsid w:val="007A26BD"/>
    <w:rsid w:val="007A4105"/>
    <w:rsid w:val="007A4F0E"/>
    <w:rsid w:val="007A514C"/>
    <w:rsid w:val="007A5E47"/>
    <w:rsid w:val="007A6701"/>
    <w:rsid w:val="007B0D8E"/>
    <w:rsid w:val="007B25AF"/>
    <w:rsid w:val="007B4503"/>
    <w:rsid w:val="007C03C9"/>
    <w:rsid w:val="007C05CA"/>
    <w:rsid w:val="007C16D8"/>
    <w:rsid w:val="007C406E"/>
    <w:rsid w:val="007C5183"/>
    <w:rsid w:val="007C7573"/>
    <w:rsid w:val="007D0395"/>
    <w:rsid w:val="007D07B3"/>
    <w:rsid w:val="007D291C"/>
    <w:rsid w:val="007D3CC7"/>
    <w:rsid w:val="007D53AF"/>
    <w:rsid w:val="007D6BEF"/>
    <w:rsid w:val="007D6C76"/>
    <w:rsid w:val="007D7D39"/>
    <w:rsid w:val="007E14E4"/>
    <w:rsid w:val="007E2B20"/>
    <w:rsid w:val="007E7DEA"/>
    <w:rsid w:val="007F0881"/>
    <w:rsid w:val="007F446E"/>
    <w:rsid w:val="007F4B48"/>
    <w:rsid w:val="007F5331"/>
    <w:rsid w:val="007F6591"/>
    <w:rsid w:val="00800CCA"/>
    <w:rsid w:val="008020F2"/>
    <w:rsid w:val="0080444C"/>
    <w:rsid w:val="00805B36"/>
    <w:rsid w:val="00806120"/>
    <w:rsid w:val="0080664A"/>
    <w:rsid w:val="00810C93"/>
    <w:rsid w:val="00810E03"/>
    <w:rsid w:val="00811796"/>
    <w:rsid w:val="00812028"/>
    <w:rsid w:val="00812DD8"/>
    <w:rsid w:val="00813082"/>
    <w:rsid w:val="00813527"/>
    <w:rsid w:val="0081396E"/>
    <w:rsid w:val="00814120"/>
    <w:rsid w:val="00814D03"/>
    <w:rsid w:val="00815C7E"/>
    <w:rsid w:val="00816C2F"/>
    <w:rsid w:val="00820DDA"/>
    <w:rsid w:val="00821114"/>
    <w:rsid w:val="008211EF"/>
    <w:rsid w:val="00821FC1"/>
    <w:rsid w:val="0082233B"/>
    <w:rsid w:val="00822884"/>
    <w:rsid w:val="00824E08"/>
    <w:rsid w:val="008267CC"/>
    <w:rsid w:val="0083178B"/>
    <w:rsid w:val="00833695"/>
    <w:rsid w:val="008336B7"/>
    <w:rsid w:val="00833A8E"/>
    <w:rsid w:val="008418F5"/>
    <w:rsid w:val="00841BEF"/>
    <w:rsid w:val="0084255A"/>
    <w:rsid w:val="00842CD8"/>
    <w:rsid w:val="00842DE4"/>
    <w:rsid w:val="008431FA"/>
    <w:rsid w:val="00851D57"/>
    <w:rsid w:val="008547BA"/>
    <w:rsid w:val="008553C7"/>
    <w:rsid w:val="00857581"/>
    <w:rsid w:val="00857FEB"/>
    <w:rsid w:val="008601AF"/>
    <w:rsid w:val="00872271"/>
    <w:rsid w:val="00872F53"/>
    <w:rsid w:val="008731F6"/>
    <w:rsid w:val="00874982"/>
    <w:rsid w:val="008762B6"/>
    <w:rsid w:val="00881388"/>
    <w:rsid w:val="00883137"/>
    <w:rsid w:val="00884295"/>
    <w:rsid w:val="008846BF"/>
    <w:rsid w:val="008917AF"/>
    <w:rsid w:val="00892BA5"/>
    <w:rsid w:val="00892C4A"/>
    <w:rsid w:val="0089541C"/>
    <w:rsid w:val="00896E80"/>
    <w:rsid w:val="008A0664"/>
    <w:rsid w:val="008A08AC"/>
    <w:rsid w:val="008A1F5D"/>
    <w:rsid w:val="008A28F5"/>
    <w:rsid w:val="008A6DB0"/>
    <w:rsid w:val="008A7D8B"/>
    <w:rsid w:val="008B0902"/>
    <w:rsid w:val="008B0E6F"/>
    <w:rsid w:val="008B1198"/>
    <w:rsid w:val="008B2349"/>
    <w:rsid w:val="008B3471"/>
    <w:rsid w:val="008B3929"/>
    <w:rsid w:val="008B3BAB"/>
    <w:rsid w:val="008B4125"/>
    <w:rsid w:val="008B4CB3"/>
    <w:rsid w:val="008B4FFF"/>
    <w:rsid w:val="008B567B"/>
    <w:rsid w:val="008B7B24"/>
    <w:rsid w:val="008C356D"/>
    <w:rsid w:val="008C48DC"/>
    <w:rsid w:val="008D1583"/>
    <w:rsid w:val="008D48EE"/>
    <w:rsid w:val="008D6BD1"/>
    <w:rsid w:val="008E0B3F"/>
    <w:rsid w:val="008E1341"/>
    <w:rsid w:val="008E3932"/>
    <w:rsid w:val="008E40AC"/>
    <w:rsid w:val="008E49AD"/>
    <w:rsid w:val="008E698E"/>
    <w:rsid w:val="008E770A"/>
    <w:rsid w:val="008F00E1"/>
    <w:rsid w:val="008F123F"/>
    <w:rsid w:val="008F13E7"/>
    <w:rsid w:val="008F188F"/>
    <w:rsid w:val="008F2584"/>
    <w:rsid w:val="008F3246"/>
    <w:rsid w:val="008F3C1B"/>
    <w:rsid w:val="008F42A1"/>
    <w:rsid w:val="008F508C"/>
    <w:rsid w:val="008F6A32"/>
    <w:rsid w:val="008F7A3D"/>
    <w:rsid w:val="0090271B"/>
    <w:rsid w:val="0090330C"/>
    <w:rsid w:val="009062C7"/>
    <w:rsid w:val="00910642"/>
    <w:rsid w:val="00910DDF"/>
    <w:rsid w:val="009156AE"/>
    <w:rsid w:val="00915C04"/>
    <w:rsid w:val="00921861"/>
    <w:rsid w:val="00924639"/>
    <w:rsid w:val="0092486A"/>
    <w:rsid w:val="0092611E"/>
    <w:rsid w:val="0092659C"/>
    <w:rsid w:val="00926F1F"/>
    <w:rsid w:val="00926F4B"/>
    <w:rsid w:val="00930B13"/>
    <w:rsid w:val="009311C8"/>
    <w:rsid w:val="0093199F"/>
    <w:rsid w:val="00933376"/>
    <w:rsid w:val="00933A2F"/>
    <w:rsid w:val="0094000D"/>
    <w:rsid w:val="00940206"/>
    <w:rsid w:val="00941B16"/>
    <w:rsid w:val="00946703"/>
    <w:rsid w:val="00947865"/>
    <w:rsid w:val="00951C8C"/>
    <w:rsid w:val="009528B2"/>
    <w:rsid w:val="009529AA"/>
    <w:rsid w:val="00953448"/>
    <w:rsid w:val="009571B6"/>
    <w:rsid w:val="009607C4"/>
    <w:rsid w:val="009627A3"/>
    <w:rsid w:val="00962F2A"/>
    <w:rsid w:val="00963440"/>
    <w:rsid w:val="00963B05"/>
    <w:rsid w:val="00963FD5"/>
    <w:rsid w:val="00967C36"/>
    <w:rsid w:val="00967D3A"/>
    <w:rsid w:val="00970034"/>
    <w:rsid w:val="009701F0"/>
    <w:rsid w:val="0097130C"/>
    <w:rsid w:val="009716D8"/>
    <w:rsid w:val="009718F9"/>
    <w:rsid w:val="009724E4"/>
    <w:rsid w:val="00972FB9"/>
    <w:rsid w:val="00975112"/>
    <w:rsid w:val="00976697"/>
    <w:rsid w:val="009775E6"/>
    <w:rsid w:val="009812EB"/>
    <w:rsid w:val="00981768"/>
    <w:rsid w:val="00983090"/>
    <w:rsid w:val="009838BB"/>
    <w:rsid w:val="00983E8F"/>
    <w:rsid w:val="00992338"/>
    <w:rsid w:val="009931EE"/>
    <w:rsid w:val="00994FDA"/>
    <w:rsid w:val="00995FED"/>
    <w:rsid w:val="00997D15"/>
    <w:rsid w:val="009A31BF"/>
    <w:rsid w:val="009A3201"/>
    <w:rsid w:val="009A3B71"/>
    <w:rsid w:val="009A443E"/>
    <w:rsid w:val="009A5914"/>
    <w:rsid w:val="009A5FAC"/>
    <w:rsid w:val="009A61BC"/>
    <w:rsid w:val="009A6735"/>
    <w:rsid w:val="009B0138"/>
    <w:rsid w:val="009B0FE9"/>
    <w:rsid w:val="009B173A"/>
    <w:rsid w:val="009B3D8E"/>
    <w:rsid w:val="009B4BB8"/>
    <w:rsid w:val="009B5846"/>
    <w:rsid w:val="009B601B"/>
    <w:rsid w:val="009C3F20"/>
    <w:rsid w:val="009C64FB"/>
    <w:rsid w:val="009C7CA1"/>
    <w:rsid w:val="009D0337"/>
    <w:rsid w:val="009D043D"/>
    <w:rsid w:val="009D37FD"/>
    <w:rsid w:val="009D716F"/>
    <w:rsid w:val="009D78DD"/>
    <w:rsid w:val="009E3B07"/>
    <w:rsid w:val="009F0B82"/>
    <w:rsid w:val="009F11AA"/>
    <w:rsid w:val="009F3259"/>
    <w:rsid w:val="009F541F"/>
    <w:rsid w:val="00A0118E"/>
    <w:rsid w:val="00A056DE"/>
    <w:rsid w:val="00A0678A"/>
    <w:rsid w:val="00A1289E"/>
    <w:rsid w:val="00A128AD"/>
    <w:rsid w:val="00A20730"/>
    <w:rsid w:val="00A21212"/>
    <w:rsid w:val="00A21E76"/>
    <w:rsid w:val="00A23B64"/>
    <w:rsid w:val="00A23BC8"/>
    <w:rsid w:val="00A2531F"/>
    <w:rsid w:val="00A27EFA"/>
    <w:rsid w:val="00A30E68"/>
    <w:rsid w:val="00A31933"/>
    <w:rsid w:val="00A32073"/>
    <w:rsid w:val="00A332B3"/>
    <w:rsid w:val="00A34AA0"/>
    <w:rsid w:val="00A41FE2"/>
    <w:rsid w:val="00A421A1"/>
    <w:rsid w:val="00A46FEF"/>
    <w:rsid w:val="00A47948"/>
    <w:rsid w:val="00A50CF6"/>
    <w:rsid w:val="00A51C81"/>
    <w:rsid w:val="00A5466C"/>
    <w:rsid w:val="00A546BF"/>
    <w:rsid w:val="00A56850"/>
    <w:rsid w:val="00A56946"/>
    <w:rsid w:val="00A604D3"/>
    <w:rsid w:val="00A6170E"/>
    <w:rsid w:val="00A63B8C"/>
    <w:rsid w:val="00A67AC7"/>
    <w:rsid w:val="00A67B2B"/>
    <w:rsid w:val="00A715F8"/>
    <w:rsid w:val="00A741BA"/>
    <w:rsid w:val="00A773CC"/>
    <w:rsid w:val="00A77F6F"/>
    <w:rsid w:val="00A80FBA"/>
    <w:rsid w:val="00A831FD"/>
    <w:rsid w:val="00A83352"/>
    <w:rsid w:val="00A850A2"/>
    <w:rsid w:val="00A86009"/>
    <w:rsid w:val="00A90D94"/>
    <w:rsid w:val="00A91FA3"/>
    <w:rsid w:val="00A927D3"/>
    <w:rsid w:val="00A9429A"/>
    <w:rsid w:val="00A95612"/>
    <w:rsid w:val="00AA27A7"/>
    <w:rsid w:val="00AA2941"/>
    <w:rsid w:val="00AA3F21"/>
    <w:rsid w:val="00AA6F0D"/>
    <w:rsid w:val="00AA70B0"/>
    <w:rsid w:val="00AA7362"/>
    <w:rsid w:val="00AA7FC9"/>
    <w:rsid w:val="00AB237D"/>
    <w:rsid w:val="00AB23FB"/>
    <w:rsid w:val="00AB50E6"/>
    <w:rsid w:val="00AB5280"/>
    <w:rsid w:val="00AB5933"/>
    <w:rsid w:val="00AB5DEC"/>
    <w:rsid w:val="00AC35EE"/>
    <w:rsid w:val="00AC3EBE"/>
    <w:rsid w:val="00AC3F38"/>
    <w:rsid w:val="00AC5D60"/>
    <w:rsid w:val="00AC6425"/>
    <w:rsid w:val="00AC7D22"/>
    <w:rsid w:val="00AD34B3"/>
    <w:rsid w:val="00AD5B44"/>
    <w:rsid w:val="00AD5E07"/>
    <w:rsid w:val="00AD7608"/>
    <w:rsid w:val="00AD7899"/>
    <w:rsid w:val="00AE013D"/>
    <w:rsid w:val="00AE11B7"/>
    <w:rsid w:val="00AE18BA"/>
    <w:rsid w:val="00AE2B06"/>
    <w:rsid w:val="00AE3A1B"/>
    <w:rsid w:val="00AE669C"/>
    <w:rsid w:val="00AE7130"/>
    <w:rsid w:val="00AE7B40"/>
    <w:rsid w:val="00AE7F68"/>
    <w:rsid w:val="00AF2321"/>
    <w:rsid w:val="00AF52F6"/>
    <w:rsid w:val="00AF7237"/>
    <w:rsid w:val="00B0043A"/>
    <w:rsid w:val="00B00D75"/>
    <w:rsid w:val="00B01A44"/>
    <w:rsid w:val="00B0690C"/>
    <w:rsid w:val="00B070CB"/>
    <w:rsid w:val="00B10BD8"/>
    <w:rsid w:val="00B12456"/>
    <w:rsid w:val="00B132B0"/>
    <w:rsid w:val="00B173C6"/>
    <w:rsid w:val="00B178EE"/>
    <w:rsid w:val="00B17E4D"/>
    <w:rsid w:val="00B20109"/>
    <w:rsid w:val="00B21FF9"/>
    <w:rsid w:val="00B220A5"/>
    <w:rsid w:val="00B2317A"/>
    <w:rsid w:val="00B23C73"/>
    <w:rsid w:val="00B259C8"/>
    <w:rsid w:val="00B26CCF"/>
    <w:rsid w:val="00B30FC2"/>
    <w:rsid w:val="00B31BA0"/>
    <w:rsid w:val="00B331A2"/>
    <w:rsid w:val="00B336B2"/>
    <w:rsid w:val="00B33CF2"/>
    <w:rsid w:val="00B33ECF"/>
    <w:rsid w:val="00B350A2"/>
    <w:rsid w:val="00B36F82"/>
    <w:rsid w:val="00B37FB4"/>
    <w:rsid w:val="00B41BE8"/>
    <w:rsid w:val="00B425F0"/>
    <w:rsid w:val="00B42DFA"/>
    <w:rsid w:val="00B44037"/>
    <w:rsid w:val="00B50571"/>
    <w:rsid w:val="00B531DD"/>
    <w:rsid w:val="00B55014"/>
    <w:rsid w:val="00B558EC"/>
    <w:rsid w:val="00B62232"/>
    <w:rsid w:val="00B623E5"/>
    <w:rsid w:val="00B626DD"/>
    <w:rsid w:val="00B63790"/>
    <w:rsid w:val="00B70BF3"/>
    <w:rsid w:val="00B70D24"/>
    <w:rsid w:val="00B70E51"/>
    <w:rsid w:val="00B711E2"/>
    <w:rsid w:val="00B71DC2"/>
    <w:rsid w:val="00B723E6"/>
    <w:rsid w:val="00B80411"/>
    <w:rsid w:val="00B80DB6"/>
    <w:rsid w:val="00B81AD2"/>
    <w:rsid w:val="00B81AEC"/>
    <w:rsid w:val="00B83F65"/>
    <w:rsid w:val="00B84A0D"/>
    <w:rsid w:val="00B85A66"/>
    <w:rsid w:val="00B85ED4"/>
    <w:rsid w:val="00B85F07"/>
    <w:rsid w:val="00B91CFC"/>
    <w:rsid w:val="00B93893"/>
    <w:rsid w:val="00B978FC"/>
    <w:rsid w:val="00BA439D"/>
    <w:rsid w:val="00BA4582"/>
    <w:rsid w:val="00BA6D21"/>
    <w:rsid w:val="00BA7E0A"/>
    <w:rsid w:val="00BB22F8"/>
    <w:rsid w:val="00BB5FF2"/>
    <w:rsid w:val="00BB61B0"/>
    <w:rsid w:val="00BB7602"/>
    <w:rsid w:val="00BC0D9E"/>
    <w:rsid w:val="00BC3B53"/>
    <w:rsid w:val="00BC3B96"/>
    <w:rsid w:val="00BC4AE3"/>
    <w:rsid w:val="00BC5B28"/>
    <w:rsid w:val="00BC7264"/>
    <w:rsid w:val="00BD4F8C"/>
    <w:rsid w:val="00BD56B6"/>
    <w:rsid w:val="00BE17D4"/>
    <w:rsid w:val="00BE204F"/>
    <w:rsid w:val="00BE2863"/>
    <w:rsid w:val="00BE3189"/>
    <w:rsid w:val="00BE3F88"/>
    <w:rsid w:val="00BE4756"/>
    <w:rsid w:val="00BE5ED9"/>
    <w:rsid w:val="00BE74E3"/>
    <w:rsid w:val="00BE7B41"/>
    <w:rsid w:val="00BF4427"/>
    <w:rsid w:val="00BF46B6"/>
    <w:rsid w:val="00BF5174"/>
    <w:rsid w:val="00BF5675"/>
    <w:rsid w:val="00C01015"/>
    <w:rsid w:val="00C104D9"/>
    <w:rsid w:val="00C1263A"/>
    <w:rsid w:val="00C1392E"/>
    <w:rsid w:val="00C13EF0"/>
    <w:rsid w:val="00C15040"/>
    <w:rsid w:val="00C15A91"/>
    <w:rsid w:val="00C170B1"/>
    <w:rsid w:val="00C17132"/>
    <w:rsid w:val="00C206F1"/>
    <w:rsid w:val="00C2089B"/>
    <w:rsid w:val="00C21258"/>
    <w:rsid w:val="00C2159D"/>
    <w:rsid w:val="00C217E1"/>
    <w:rsid w:val="00C219B1"/>
    <w:rsid w:val="00C21D8E"/>
    <w:rsid w:val="00C231E2"/>
    <w:rsid w:val="00C232EC"/>
    <w:rsid w:val="00C2703D"/>
    <w:rsid w:val="00C352B6"/>
    <w:rsid w:val="00C4015B"/>
    <w:rsid w:val="00C4044E"/>
    <w:rsid w:val="00C40C60"/>
    <w:rsid w:val="00C41F11"/>
    <w:rsid w:val="00C44487"/>
    <w:rsid w:val="00C47709"/>
    <w:rsid w:val="00C47F04"/>
    <w:rsid w:val="00C50E87"/>
    <w:rsid w:val="00C5258E"/>
    <w:rsid w:val="00C5333A"/>
    <w:rsid w:val="00C53BD7"/>
    <w:rsid w:val="00C55923"/>
    <w:rsid w:val="00C56519"/>
    <w:rsid w:val="00C610E7"/>
    <w:rsid w:val="00C619A7"/>
    <w:rsid w:val="00C62545"/>
    <w:rsid w:val="00C64E34"/>
    <w:rsid w:val="00C6545E"/>
    <w:rsid w:val="00C6597F"/>
    <w:rsid w:val="00C7097A"/>
    <w:rsid w:val="00C719D5"/>
    <w:rsid w:val="00C71F2F"/>
    <w:rsid w:val="00C736E8"/>
    <w:rsid w:val="00C73D5F"/>
    <w:rsid w:val="00C74220"/>
    <w:rsid w:val="00C76428"/>
    <w:rsid w:val="00C84D7C"/>
    <w:rsid w:val="00C905B0"/>
    <w:rsid w:val="00C9429F"/>
    <w:rsid w:val="00C965EF"/>
    <w:rsid w:val="00C97369"/>
    <w:rsid w:val="00C97C80"/>
    <w:rsid w:val="00CA16DE"/>
    <w:rsid w:val="00CA1D00"/>
    <w:rsid w:val="00CA35E4"/>
    <w:rsid w:val="00CA47D3"/>
    <w:rsid w:val="00CA510F"/>
    <w:rsid w:val="00CA6533"/>
    <w:rsid w:val="00CA6A25"/>
    <w:rsid w:val="00CA6A3F"/>
    <w:rsid w:val="00CA7C99"/>
    <w:rsid w:val="00CB53FD"/>
    <w:rsid w:val="00CB68EE"/>
    <w:rsid w:val="00CB74DE"/>
    <w:rsid w:val="00CC012A"/>
    <w:rsid w:val="00CC15DE"/>
    <w:rsid w:val="00CC328D"/>
    <w:rsid w:val="00CC48F0"/>
    <w:rsid w:val="00CC6290"/>
    <w:rsid w:val="00CC7CE8"/>
    <w:rsid w:val="00CD0732"/>
    <w:rsid w:val="00CD08F7"/>
    <w:rsid w:val="00CD233D"/>
    <w:rsid w:val="00CD362D"/>
    <w:rsid w:val="00CD4707"/>
    <w:rsid w:val="00CD6079"/>
    <w:rsid w:val="00CD73E5"/>
    <w:rsid w:val="00CE101D"/>
    <w:rsid w:val="00CE1075"/>
    <w:rsid w:val="00CE1C84"/>
    <w:rsid w:val="00CE2196"/>
    <w:rsid w:val="00CE4E63"/>
    <w:rsid w:val="00CE5055"/>
    <w:rsid w:val="00CE5F8F"/>
    <w:rsid w:val="00CE5FD1"/>
    <w:rsid w:val="00CE6426"/>
    <w:rsid w:val="00CF053F"/>
    <w:rsid w:val="00CF10FA"/>
    <w:rsid w:val="00CF1A17"/>
    <w:rsid w:val="00CF675B"/>
    <w:rsid w:val="00CF7419"/>
    <w:rsid w:val="00D00300"/>
    <w:rsid w:val="00D0140D"/>
    <w:rsid w:val="00D01C92"/>
    <w:rsid w:val="00D030AB"/>
    <w:rsid w:val="00D037A9"/>
    <w:rsid w:val="00D0382F"/>
    <w:rsid w:val="00D048B5"/>
    <w:rsid w:val="00D0609E"/>
    <w:rsid w:val="00D06F35"/>
    <w:rsid w:val="00D078E1"/>
    <w:rsid w:val="00D100E9"/>
    <w:rsid w:val="00D17084"/>
    <w:rsid w:val="00D1791D"/>
    <w:rsid w:val="00D21E4B"/>
    <w:rsid w:val="00D22588"/>
    <w:rsid w:val="00D22689"/>
    <w:rsid w:val="00D23522"/>
    <w:rsid w:val="00D25819"/>
    <w:rsid w:val="00D264D6"/>
    <w:rsid w:val="00D33144"/>
    <w:rsid w:val="00D33BF0"/>
    <w:rsid w:val="00D33F30"/>
    <w:rsid w:val="00D34892"/>
    <w:rsid w:val="00D34B86"/>
    <w:rsid w:val="00D35B2F"/>
    <w:rsid w:val="00D35BAB"/>
    <w:rsid w:val="00D35F2E"/>
    <w:rsid w:val="00D36088"/>
    <w:rsid w:val="00D36447"/>
    <w:rsid w:val="00D37AA0"/>
    <w:rsid w:val="00D41CE8"/>
    <w:rsid w:val="00D43C06"/>
    <w:rsid w:val="00D44B73"/>
    <w:rsid w:val="00D47253"/>
    <w:rsid w:val="00D47D99"/>
    <w:rsid w:val="00D516BE"/>
    <w:rsid w:val="00D52DFA"/>
    <w:rsid w:val="00D52F04"/>
    <w:rsid w:val="00D5423B"/>
    <w:rsid w:val="00D5480E"/>
    <w:rsid w:val="00D54F4E"/>
    <w:rsid w:val="00D604B3"/>
    <w:rsid w:val="00D60BA4"/>
    <w:rsid w:val="00D62419"/>
    <w:rsid w:val="00D62AD8"/>
    <w:rsid w:val="00D65336"/>
    <w:rsid w:val="00D66074"/>
    <w:rsid w:val="00D67683"/>
    <w:rsid w:val="00D7383D"/>
    <w:rsid w:val="00D74F66"/>
    <w:rsid w:val="00D75B3F"/>
    <w:rsid w:val="00D7755A"/>
    <w:rsid w:val="00D77870"/>
    <w:rsid w:val="00D80977"/>
    <w:rsid w:val="00D80CCE"/>
    <w:rsid w:val="00D849AF"/>
    <w:rsid w:val="00D85B7E"/>
    <w:rsid w:val="00D86CC6"/>
    <w:rsid w:val="00D86EEA"/>
    <w:rsid w:val="00D874C1"/>
    <w:rsid w:val="00D87D03"/>
    <w:rsid w:val="00D93170"/>
    <w:rsid w:val="00D936EC"/>
    <w:rsid w:val="00D9561B"/>
    <w:rsid w:val="00D95C88"/>
    <w:rsid w:val="00D97B2E"/>
    <w:rsid w:val="00DA053B"/>
    <w:rsid w:val="00DA1BA1"/>
    <w:rsid w:val="00DA241E"/>
    <w:rsid w:val="00DA51B5"/>
    <w:rsid w:val="00DB36FE"/>
    <w:rsid w:val="00DB38E3"/>
    <w:rsid w:val="00DB44B2"/>
    <w:rsid w:val="00DB533A"/>
    <w:rsid w:val="00DB6307"/>
    <w:rsid w:val="00DC18F3"/>
    <w:rsid w:val="00DC2443"/>
    <w:rsid w:val="00DC25C3"/>
    <w:rsid w:val="00DC30FC"/>
    <w:rsid w:val="00DC659E"/>
    <w:rsid w:val="00DC691C"/>
    <w:rsid w:val="00DD1DCD"/>
    <w:rsid w:val="00DD1E9E"/>
    <w:rsid w:val="00DD338F"/>
    <w:rsid w:val="00DD3404"/>
    <w:rsid w:val="00DD3DB5"/>
    <w:rsid w:val="00DD66F2"/>
    <w:rsid w:val="00DE1977"/>
    <w:rsid w:val="00DE1EB5"/>
    <w:rsid w:val="00DE34A9"/>
    <w:rsid w:val="00DE3FB4"/>
    <w:rsid w:val="00DE3FE0"/>
    <w:rsid w:val="00DE578A"/>
    <w:rsid w:val="00DE691D"/>
    <w:rsid w:val="00DE6B61"/>
    <w:rsid w:val="00DF061A"/>
    <w:rsid w:val="00DF1B15"/>
    <w:rsid w:val="00DF2583"/>
    <w:rsid w:val="00DF3E62"/>
    <w:rsid w:val="00DF4D7F"/>
    <w:rsid w:val="00DF4E80"/>
    <w:rsid w:val="00DF54D9"/>
    <w:rsid w:val="00DF63F3"/>
    <w:rsid w:val="00DF7283"/>
    <w:rsid w:val="00E01A59"/>
    <w:rsid w:val="00E02998"/>
    <w:rsid w:val="00E056E7"/>
    <w:rsid w:val="00E0622C"/>
    <w:rsid w:val="00E0675E"/>
    <w:rsid w:val="00E07E59"/>
    <w:rsid w:val="00E10DC6"/>
    <w:rsid w:val="00E11F8E"/>
    <w:rsid w:val="00E13D95"/>
    <w:rsid w:val="00E14AA3"/>
    <w:rsid w:val="00E14BC3"/>
    <w:rsid w:val="00E14E79"/>
    <w:rsid w:val="00E15881"/>
    <w:rsid w:val="00E16A8F"/>
    <w:rsid w:val="00E17CA2"/>
    <w:rsid w:val="00E20C25"/>
    <w:rsid w:val="00E21DE3"/>
    <w:rsid w:val="00E233D5"/>
    <w:rsid w:val="00E237AD"/>
    <w:rsid w:val="00E256BB"/>
    <w:rsid w:val="00E307D1"/>
    <w:rsid w:val="00E313C1"/>
    <w:rsid w:val="00E323AC"/>
    <w:rsid w:val="00E35710"/>
    <w:rsid w:val="00E35CF4"/>
    <w:rsid w:val="00E3731D"/>
    <w:rsid w:val="00E37811"/>
    <w:rsid w:val="00E468E4"/>
    <w:rsid w:val="00E51469"/>
    <w:rsid w:val="00E52A7B"/>
    <w:rsid w:val="00E54114"/>
    <w:rsid w:val="00E541BA"/>
    <w:rsid w:val="00E547BA"/>
    <w:rsid w:val="00E61D6A"/>
    <w:rsid w:val="00E62709"/>
    <w:rsid w:val="00E634E3"/>
    <w:rsid w:val="00E64170"/>
    <w:rsid w:val="00E717C4"/>
    <w:rsid w:val="00E72EC5"/>
    <w:rsid w:val="00E74D10"/>
    <w:rsid w:val="00E765D0"/>
    <w:rsid w:val="00E776C6"/>
    <w:rsid w:val="00E77F89"/>
    <w:rsid w:val="00E80E71"/>
    <w:rsid w:val="00E81589"/>
    <w:rsid w:val="00E841BB"/>
    <w:rsid w:val="00E850D3"/>
    <w:rsid w:val="00E853D6"/>
    <w:rsid w:val="00E8544F"/>
    <w:rsid w:val="00E876B9"/>
    <w:rsid w:val="00E91B40"/>
    <w:rsid w:val="00E91F7C"/>
    <w:rsid w:val="00E93EE7"/>
    <w:rsid w:val="00E94D82"/>
    <w:rsid w:val="00E9530C"/>
    <w:rsid w:val="00E96D36"/>
    <w:rsid w:val="00E972A2"/>
    <w:rsid w:val="00E9731A"/>
    <w:rsid w:val="00EA3D24"/>
    <w:rsid w:val="00EA5BA2"/>
    <w:rsid w:val="00EB73E0"/>
    <w:rsid w:val="00EB7B49"/>
    <w:rsid w:val="00EC0ACE"/>
    <w:rsid w:val="00EC0DFF"/>
    <w:rsid w:val="00EC237D"/>
    <w:rsid w:val="00EC25AB"/>
    <w:rsid w:val="00EC25B9"/>
    <w:rsid w:val="00EC2927"/>
    <w:rsid w:val="00EC4D0E"/>
    <w:rsid w:val="00EC4E2B"/>
    <w:rsid w:val="00ED02FD"/>
    <w:rsid w:val="00ED072A"/>
    <w:rsid w:val="00ED2F32"/>
    <w:rsid w:val="00ED4EF2"/>
    <w:rsid w:val="00ED539E"/>
    <w:rsid w:val="00ED576F"/>
    <w:rsid w:val="00ED5E4D"/>
    <w:rsid w:val="00ED7DBF"/>
    <w:rsid w:val="00EE4A1F"/>
    <w:rsid w:val="00EE4C2D"/>
    <w:rsid w:val="00EE5085"/>
    <w:rsid w:val="00EF0CCB"/>
    <w:rsid w:val="00EF1B5A"/>
    <w:rsid w:val="00EF24FB"/>
    <w:rsid w:val="00EF2CCA"/>
    <w:rsid w:val="00EF4D48"/>
    <w:rsid w:val="00EF60DC"/>
    <w:rsid w:val="00F00CCE"/>
    <w:rsid w:val="00F00F54"/>
    <w:rsid w:val="00F01557"/>
    <w:rsid w:val="00F03963"/>
    <w:rsid w:val="00F05507"/>
    <w:rsid w:val="00F05704"/>
    <w:rsid w:val="00F06351"/>
    <w:rsid w:val="00F0733A"/>
    <w:rsid w:val="00F07628"/>
    <w:rsid w:val="00F11068"/>
    <w:rsid w:val="00F115FD"/>
    <w:rsid w:val="00F1256D"/>
    <w:rsid w:val="00F13A4E"/>
    <w:rsid w:val="00F1454F"/>
    <w:rsid w:val="00F15126"/>
    <w:rsid w:val="00F15A41"/>
    <w:rsid w:val="00F16D50"/>
    <w:rsid w:val="00F172BB"/>
    <w:rsid w:val="00F17B10"/>
    <w:rsid w:val="00F17BFE"/>
    <w:rsid w:val="00F20147"/>
    <w:rsid w:val="00F20842"/>
    <w:rsid w:val="00F21163"/>
    <w:rsid w:val="00F21BEF"/>
    <w:rsid w:val="00F2315B"/>
    <w:rsid w:val="00F23EAA"/>
    <w:rsid w:val="00F30D12"/>
    <w:rsid w:val="00F31111"/>
    <w:rsid w:val="00F32ACE"/>
    <w:rsid w:val="00F37BE2"/>
    <w:rsid w:val="00F40F11"/>
    <w:rsid w:val="00F41A6F"/>
    <w:rsid w:val="00F43373"/>
    <w:rsid w:val="00F456EE"/>
    <w:rsid w:val="00F45A25"/>
    <w:rsid w:val="00F50F86"/>
    <w:rsid w:val="00F51A76"/>
    <w:rsid w:val="00F53862"/>
    <w:rsid w:val="00F53C9D"/>
    <w:rsid w:val="00F53F91"/>
    <w:rsid w:val="00F54B9F"/>
    <w:rsid w:val="00F568BB"/>
    <w:rsid w:val="00F61569"/>
    <w:rsid w:val="00F61A72"/>
    <w:rsid w:val="00F62B67"/>
    <w:rsid w:val="00F66F13"/>
    <w:rsid w:val="00F675EC"/>
    <w:rsid w:val="00F7145D"/>
    <w:rsid w:val="00F71B5E"/>
    <w:rsid w:val="00F74073"/>
    <w:rsid w:val="00F75603"/>
    <w:rsid w:val="00F75A9A"/>
    <w:rsid w:val="00F7650D"/>
    <w:rsid w:val="00F77BE5"/>
    <w:rsid w:val="00F77C15"/>
    <w:rsid w:val="00F810DE"/>
    <w:rsid w:val="00F845B4"/>
    <w:rsid w:val="00F847B1"/>
    <w:rsid w:val="00F8713B"/>
    <w:rsid w:val="00F904FB"/>
    <w:rsid w:val="00F93F9E"/>
    <w:rsid w:val="00F950BC"/>
    <w:rsid w:val="00FA2CD7"/>
    <w:rsid w:val="00FA4D67"/>
    <w:rsid w:val="00FA5601"/>
    <w:rsid w:val="00FA5A33"/>
    <w:rsid w:val="00FA5AD5"/>
    <w:rsid w:val="00FA73C4"/>
    <w:rsid w:val="00FA7882"/>
    <w:rsid w:val="00FA79B0"/>
    <w:rsid w:val="00FB06ED"/>
    <w:rsid w:val="00FC08A4"/>
    <w:rsid w:val="00FC0F7F"/>
    <w:rsid w:val="00FC202F"/>
    <w:rsid w:val="00FC3165"/>
    <w:rsid w:val="00FC36AB"/>
    <w:rsid w:val="00FC4300"/>
    <w:rsid w:val="00FC4390"/>
    <w:rsid w:val="00FC4DB9"/>
    <w:rsid w:val="00FC7C93"/>
    <w:rsid w:val="00FC7F66"/>
    <w:rsid w:val="00FD043E"/>
    <w:rsid w:val="00FD29ED"/>
    <w:rsid w:val="00FD5776"/>
    <w:rsid w:val="00FD6A55"/>
    <w:rsid w:val="00FD6CF9"/>
    <w:rsid w:val="00FE1CB6"/>
    <w:rsid w:val="00FE315A"/>
    <w:rsid w:val="00FE4739"/>
    <w:rsid w:val="00FE486B"/>
    <w:rsid w:val="00FE4F08"/>
    <w:rsid w:val="00FE5AD2"/>
    <w:rsid w:val="00FF04BB"/>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BF1369"/>
  <w15:docId w15:val="{A18ECA0A-43EB-4F7E-A5E6-18AAC42B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247CC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unhideWhenUsed/>
    <w:rsid w:val="00B711E2"/>
    <w:rPr>
      <w:vertAlign w:val="superscript"/>
    </w:rPr>
  </w:style>
  <w:style w:type="paragraph" w:styleId="Revisie">
    <w:name w:val="Revision"/>
    <w:hidden/>
    <w:uiPriority w:val="99"/>
    <w:semiHidden/>
    <w:rsid w:val="00E96D36"/>
    <w:rPr>
      <w:rFonts w:ascii="Verdana" w:hAnsi="Verdana"/>
      <w:sz w:val="18"/>
      <w:szCs w:val="24"/>
      <w:lang w:val="nl-NL" w:eastAsia="nl-NL"/>
    </w:rPr>
  </w:style>
  <w:style w:type="character" w:styleId="Verwijzingopmerking">
    <w:name w:val="annotation reference"/>
    <w:basedOn w:val="Standaardalinea-lettertype"/>
    <w:rsid w:val="00AC3EBE"/>
    <w:rPr>
      <w:sz w:val="16"/>
      <w:szCs w:val="16"/>
    </w:rPr>
  </w:style>
  <w:style w:type="paragraph" w:styleId="Tekstopmerking">
    <w:name w:val="annotation text"/>
    <w:basedOn w:val="Standaard"/>
    <w:link w:val="TekstopmerkingChar"/>
    <w:rsid w:val="00AC3EBE"/>
    <w:pPr>
      <w:spacing w:line="240" w:lineRule="auto"/>
    </w:pPr>
    <w:rPr>
      <w:sz w:val="20"/>
      <w:szCs w:val="20"/>
    </w:rPr>
  </w:style>
  <w:style w:type="character" w:customStyle="1" w:styleId="TekstopmerkingChar">
    <w:name w:val="Tekst opmerking Char"/>
    <w:basedOn w:val="Standaardalinea-lettertype"/>
    <w:link w:val="Tekstopmerking"/>
    <w:rsid w:val="00AC3EBE"/>
    <w:rPr>
      <w:rFonts w:ascii="Verdana" w:hAnsi="Verdana"/>
      <w:lang w:val="nl-NL" w:eastAsia="nl-NL"/>
    </w:rPr>
  </w:style>
  <w:style w:type="paragraph" w:styleId="Onderwerpvanopmerking">
    <w:name w:val="annotation subject"/>
    <w:basedOn w:val="Tekstopmerking"/>
    <w:next w:val="Tekstopmerking"/>
    <w:link w:val="OnderwerpvanopmerkingChar"/>
    <w:rsid w:val="00AC3EBE"/>
    <w:rPr>
      <w:b/>
      <w:bCs/>
    </w:rPr>
  </w:style>
  <w:style w:type="character" w:customStyle="1" w:styleId="OnderwerpvanopmerkingChar">
    <w:name w:val="Onderwerp van opmerking Char"/>
    <w:basedOn w:val="TekstopmerkingChar"/>
    <w:link w:val="Onderwerpvanopmerking"/>
    <w:rsid w:val="00AC3EBE"/>
    <w:rPr>
      <w:rFonts w:ascii="Verdana" w:hAnsi="Verdana"/>
      <w:b/>
      <w:bCs/>
      <w:lang w:val="nl-NL" w:eastAsia="nl-NL"/>
    </w:rPr>
  </w:style>
  <w:style w:type="character" w:customStyle="1" w:styleId="VoetnoottekstChar">
    <w:name w:val="Voetnoottekst Char"/>
    <w:basedOn w:val="Standaardalinea-lettertype"/>
    <w:link w:val="Voetnoottekst"/>
    <w:uiPriority w:val="99"/>
    <w:semiHidden/>
    <w:rsid w:val="00FE5AD2"/>
    <w:rPr>
      <w:rFonts w:ascii="Verdana" w:hAnsi="Verdana"/>
      <w:sz w:val="13"/>
      <w:lang w:val="nl-NL" w:eastAsia="nl-NL"/>
    </w:rPr>
  </w:style>
  <w:style w:type="character" w:styleId="Onopgelostemelding">
    <w:name w:val="Unresolved Mention"/>
    <w:basedOn w:val="Standaardalinea-lettertype"/>
    <w:uiPriority w:val="99"/>
    <w:semiHidden/>
    <w:unhideWhenUsed/>
    <w:rsid w:val="00755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eader" Target="header4.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athenau.nl/sites/default/files/2026-04/TWIN-2024-2030_Rathenau_Instituut.pdf" TargetMode="External"/><Relationship Id="rId1" Type="http://schemas.openxmlformats.org/officeDocument/2006/relationships/hyperlink" Target="https://www.rapportwennink.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5311</ap:Words>
  <ap:Characters>29213</ap:Characters>
  <ap:DocSecurity>0</ap:DocSecurity>
  <ap:Lines>243</ap:Lines>
  <ap:Paragraphs>68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34456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2026-06-08T06:53:00.0000000Z</lastPrinted>
  <dcterms:created xsi:type="dcterms:W3CDTF">2026-06-26T13:12:00.0000000Z</dcterms:created>
  <dcterms:modified xsi:type="dcterms:W3CDTF">2026-06-26T13:12:00.0000000Z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o203lau</vt:lpwstr>
  </property>
  <property fmtid="{D5CDD505-2E9C-101B-9397-08002B2CF9AE}" pid="3" name="Author">
    <vt:lpwstr>o203lau</vt:lpwstr>
  </property>
  <property fmtid="{D5CDD505-2E9C-101B-9397-08002B2CF9AE}" pid="4" name="cs_objectid">
    <vt:lpwstr>64858375</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nadere uitwerking investeringen onderzoek en wetenschap</vt:lpwstr>
  </property>
  <property fmtid="{D5CDD505-2E9C-101B-9397-08002B2CF9AE}" pid="9" name="ocw_directie">
    <vt:lpwstr>OWB/A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o203lau</vt:lpwstr>
  </property>
  <property fmtid="{D5CDD505-2E9C-101B-9397-08002B2CF9AE}" pid="19" name="MSIP_Label_f5339f15-c483-4670-87f9-f365ba551dce_Enabled">
    <vt:lpwstr>true</vt:lpwstr>
  </property>
  <property fmtid="{D5CDD505-2E9C-101B-9397-08002B2CF9AE}" pid="20" name="MSIP_Label_f5339f15-c483-4670-87f9-f365ba551dce_SetDate">
    <vt:lpwstr>2026-05-29T13:46:27Z</vt:lpwstr>
  </property>
  <property fmtid="{D5CDD505-2E9C-101B-9397-08002B2CF9AE}" pid="21" name="MSIP_Label_f5339f15-c483-4670-87f9-f365ba551dce_Method">
    <vt:lpwstr>Standard</vt:lpwstr>
  </property>
  <property fmtid="{D5CDD505-2E9C-101B-9397-08002B2CF9AE}" pid="22" name="MSIP_Label_f5339f15-c483-4670-87f9-f365ba551dce_Name">
    <vt:lpwstr>FIN-IRF-Dep. V.</vt:lpwstr>
  </property>
  <property fmtid="{D5CDD505-2E9C-101B-9397-08002B2CF9AE}" pid="23" name="MSIP_Label_f5339f15-c483-4670-87f9-f365ba551dce_SiteId">
    <vt:lpwstr>84712536-f524-40a0-913b-5d25ba502732</vt:lpwstr>
  </property>
  <property fmtid="{D5CDD505-2E9C-101B-9397-08002B2CF9AE}" pid="24" name="MSIP_Label_f5339f15-c483-4670-87f9-f365ba551dce_ActionId">
    <vt:lpwstr>e7252f08-4bf5-451c-8b5b-6c413d41257e</vt:lpwstr>
  </property>
  <property fmtid="{D5CDD505-2E9C-101B-9397-08002B2CF9AE}" pid="25" name="MSIP_Label_f5339f15-c483-4670-87f9-f365ba551dce_ContentBits">
    <vt:lpwstr>0</vt:lpwstr>
  </property>
  <property fmtid="{D5CDD505-2E9C-101B-9397-08002B2CF9AE}" pid="26" name="MSIP_Label_f5339f15-c483-4670-87f9-f365ba551dce_Tag">
    <vt:lpwstr>10, 3, 0, 1</vt:lpwstr>
  </property>
</Properties>
</file>