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1869E5" w:rsidR="00616205" w:rsidTr="00D9561B" w14:paraId="30A4B63A" w14:textId="77777777">
        <w:trPr>
          <w:trHeight w:val="1514"/>
        </w:trPr>
        <w:tc>
          <w:tcPr>
            <w:tcW w:w="7522" w:type="dxa"/>
            <w:tcBorders>
              <w:top w:val="nil"/>
              <w:left w:val="nil"/>
              <w:bottom w:val="nil"/>
              <w:right w:val="nil"/>
            </w:tcBorders>
            <w:tcMar>
              <w:left w:w="0" w:type="dxa"/>
              <w:right w:w="0" w:type="dxa"/>
            </w:tcMar>
          </w:tcPr>
          <w:p w:rsidRPr="001869E5" w:rsidR="00374412" w:rsidP="00D9561B" w:rsidRDefault="00972377" w14:paraId="5D2AD9AF" w14:textId="77777777">
            <w:r w:rsidRPr="001869E5">
              <w:t>De v</w:t>
            </w:r>
            <w:r w:rsidRPr="001869E5" w:rsidR="008E3932">
              <w:t>oorzitter van de Tweede Kamer der Staten-Generaal</w:t>
            </w:r>
          </w:p>
          <w:p w:rsidRPr="001869E5" w:rsidR="00374412" w:rsidP="00D9561B" w:rsidRDefault="00972377" w14:paraId="4FEE051C" w14:textId="77777777">
            <w:r w:rsidRPr="001869E5">
              <w:t>Postbus 20018</w:t>
            </w:r>
          </w:p>
          <w:p w:rsidRPr="001869E5" w:rsidR="008E3932" w:rsidP="00D9561B" w:rsidRDefault="00972377" w14:paraId="7946EAA5" w14:textId="77777777">
            <w:r w:rsidRPr="001869E5">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1869E5" w:rsidR="00616205" w:rsidTr="00FF66F9" w14:paraId="4654104E" w14:textId="77777777">
        <w:trPr>
          <w:trHeight w:val="289" w:hRule="exact"/>
        </w:trPr>
        <w:tc>
          <w:tcPr>
            <w:tcW w:w="929" w:type="dxa"/>
          </w:tcPr>
          <w:p w:rsidRPr="001869E5" w:rsidR="0005404B" w:rsidP="00FF66F9" w:rsidRDefault="00972377" w14:paraId="39EF9355" w14:textId="77777777">
            <w:pPr>
              <w:rPr>
                <w:lang w:eastAsia="en-US"/>
              </w:rPr>
            </w:pPr>
            <w:r w:rsidRPr="001869E5">
              <w:rPr>
                <w:lang w:eastAsia="en-US"/>
              </w:rPr>
              <w:t>Datum</w:t>
            </w:r>
          </w:p>
        </w:tc>
        <w:tc>
          <w:tcPr>
            <w:tcW w:w="6581" w:type="dxa"/>
          </w:tcPr>
          <w:p w:rsidRPr="001869E5" w:rsidR="0005404B" w:rsidP="00FF66F9" w:rsidRDefault="00436C7C" w14:paraId="36F3E990" w14:textId="2E16AEEC">
            <w:pPr>
              <w:rPr>
                <w:lang w:eastAsia="en-US"/>
              </w:rPr>
            </w:pPr>
            <w:r>
              <w:rPr>
                <w:lang w:eastAsia="en-US"/>
              </w:rPr>
              <w:t>25 juni 2026</w:t>
            </w:r>
          </w:p>
        </w:tc>
      </w:tr>
      <w:tr w:rsidRPr="001869E5" w:rsidR="00616205" w:rsidTr="00FF66F9" w14:paraId="04992BA9" w14:textId="77777777">
        <w:trPr>
          <w:trHeight w:val="368"/>
        </w:trPr>
        <w:tc>
          <w:tcPr>
            <w:tcW w:w="929" w:type="dxa"/>
          </w:tcPr>
          <w:p w:rsidRPr="001869E5" w:rsidR="0005404B" w:rsidP="00FF66F9" w:rsidRDefault="00972377" w14:paraId="220255C2" w14:textId="77777777">
            <w:pPr>
              <w:rPr>
                <w:lang w:eastAsia="en-US"/>
              </w:rPr>
            </w:pPr>
            <w:r w:rsidRPr="001869E5">
              <w:rPr>
                <w:lang w:eastAsia="en-US"/>
              </w:rPr>
              <w:t>Betreft</w:t>
            </w:r>
          </w:p>
        </w:tc>
        <w:tc>
          <w:tcPr>
            <w:tcW w:w="6581" w:type="dxa"/>
          </w:tcPr>
          <w:p w:rsidRPr="001869E5" w:rsidR="0005404B" w:rsidP="00FF66F9" w:rsidRDefault="00972377" w14:paraId="4EA0A9A6" w14:textId="77777777">
            <w:pPr>
              <w:rPr>
                <w:lang w:eastAsia="en-US"/>
              </w:rPr>
            </w:pPr>
            <w:r w:rsidRPr="001869E5">
              <w:rPr>
                <w:lang w:eastAsia="en-US"/>
              </w:rPr>
              <w:t>Antwoord op schriftelijke vragen van het lid Keijzer (Keijzer) aan de minister van Onderwijs, Cultuur en Wetenschap over het bericht 'Torenhoge salarissen omroepbazen stegen nóg verder, terwijl gewone medewerkers vrezen voor hun baan'</w:t>
            </w:r>
          </w:p>
        </w:tc>
      </w:tr>
    </w:tbl>
    <w:p w:rsidRPr="001869E5" w:rsidR="00616205" w:rsidRDefault="001C2C36" w14:paraId="032CAA85" w14:textId="77777777">
      <w:r w:rsidRPr="001869E5">
        <w:t xml:space="preserve"> </w:t>
      </w:r>
      <w:r w:rsidRPr="001869E5"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36C7C" w:rsidR="00616205" w:rsidTr="00A421A1" w14:paraId="5F020F0E" w14:textId="77777777">
        <w:tc>
          <w:tcPr>
            <w:tcW w:w="2160" w:type="dxa"/>
          </w:tcPr>
          <w:p w:rsidRPr="001869E5" w:rsidR="006205C0" w:rsidP="00686AED" w:rsidRDefault="00972377" w14:paraId="639665AA" w14:textId="77777777">
            <w:pPr>
              <w:pStyle w:val="Colofonkop"/>
              <w:framePr w:hSpace="0" w:wrap="auto" w:hAnchor="text" w:vAnchor="margin" w:xAlign="left" w:yAlign="inline"/>
            </w:pPr>
            <w:r w:rsidRPr="001869E5">
              <w:t>Media en Creatieve Industrie</w:t>
            </w:r>
          </w:p>
          <w:p w:rsidRPr="001869E5" w:rsidR="006205C0" w:rsidP="00A421A1" w:rsidRDefault="00972377" w14:paraId="1BC71131" w14:textId="77777777">
            <w:pPr>
              <w:pStyle w:val="Huisstijl-Gegeven"/>
              <w:spacing w:after="0"/>
            </w:pPr>
            <w:r w:rsidRPr="001869E5">
              <w:t xml:space="preserve">Rijnstraat 50 </w:t>
            </w:r>
          </w:p>
          <w:p w:rsidRPr="004C07CB" w:rsidR="004425A7" w:rsidP="00E972A2" w:rsidRDefault="00972377" w14:paraId="3EEB3488" w14:textId="77777777">
            <w:pPr>
              <w:pStyle w:val="Huisstijl-Gegeven"/>
              <w:spacing w:after="0"/>
              <w:rPr>
                <w:lang w:val="de-DE"/>
              </w:rPr>
            </w:pPr>
            <w:r w:rsidRPr="004C07CB">
              <w:rPr>
                <w:lang w:val="de-DE"/>
              </w:rPr>
              <w:t>Den Haag</w:t>
            </w:r>
          </w:p>
          <w:p w:rsidRPr="004C07CB" w:rsidR="004425A7" w:rsidP="00E972A2" w:rsidRDefault="00972377" w14:paraId="604B13EE" w14:textId="77777777">
            <w:pPr>
              <w:pStyle w:val="Huisstijl-Gegeven"/>
              <w:spacing w:after="0"/>
              <w:rPr>
                <w:lang w:val="de-DE"/>
              </w:rPr>
            </w:pPr>
            <w:r w:rsidRPr="004C07CB">
              <w:rPr>
                <w:lang w:val="de-DE"/>
              </w:rPr>
              <w:t>Postbus 16375</w:t>
            </w:r>
          </w:p>
          <w:p w:rsidRPr="004C07CB" w:rsidR="004425A7" w:rsidP="00E972A2" w:rsidRDefault="00972377" w14:paraId="3B487916" w14:textId="77777777">
            <w:pPr>
              <w:pStyle w:val="Huisstijl-Gegeven"/>
              <w:spacing w:after="0"/>
              <w:rPr>
                <w:lang w:val="de-DE"/>
              </w:rPr>
            </w:pPr>
            <w:r w:rsidRPr="004C07CB">
              <w:rPr>
                <w:lang w:val="de-DE"/>
              </w:rPr>
              <w:t>2500 BJ Den Haag</w:t>
            </w:r>
          </w:p>
          <w:p w:rsidRPr="004C07CB" w:rsidR="004425A7" w:rsidP="00E972A2" w:rsidRDefault="00972377" w14:paraId="665A22D9" w14:textId="77777777">
            <w:pPr>
              <w:pStyle w:val="Huisstijl-Gegeven"/>
              <w:spacing w:after="90"/>
              <w:rPr>
                <w:lang w:val="de-DE"/>
              </w:rPr>
            </w:pPr>
            <w:r w:rsidRPr="004C07CB">
              <w:rPr>
                <w:lang w:val="de-DE"/>
              </w:rPr>
              <w:t>www.rijksoverheid.nl</w:t>
            </w:r>
          </w:p>
          <w:p w:rsidRPr="001869E5" w:rsidR="006205C0" w:rsidP="00A421A1" w:rsidRDefault="00972377" w14:paraId="2AF7C137" w14:textId="77777777">
            <w:pPr>
              <w:spacing w:line="180" w:lineRule="exact"/>
              <w:rPr>
                <w:b/>
                <w:sz w:val="13"/>
                <w:szCs w:val="13"/>
              </w:rPr>
            </w:pPr>
            <w:r w:rsidRPr="001869E5">
              <w:rPr>
                <w:b/>
                <w:sz w:val="13"/>
                <w:szCs w:val="13"/>
              </w:rPr>
              <w:t>Contactpersoon</w:t>
            </w:r>
          </w:p>
          <w:p w:rsidR="006205C0" w:rsidP="00A421A1" w:rsidRDefault="006205C0" w14:paraId="0E37F30C" w14:textId="77777777">
            <w:pPr>
              <w:spacing w:line="180" w:lineRule="exact"/>
              <w:rPr>
                <w:sz w:val="13"/>
                <w:szCs w:val="13"/>
              </w:rPr>
            </w:pPr>
          </w:p>
          <w:p w:rsidR="00436C7C" w:rsidP="00A421A1" w:rsidRDefault="00436C7C" w14:paraId="671852F6" w14:textId="77777777">
            <w:pPr>
              <w:spacing w:line="180" w:lineRule="exact"/>
              <w:rPr>
                <w:sz w:val="13"/>
                <w:szCs w:val="13"/>
              </w:rPr>
            </w:pPr>
          </w:p>
          <w:p w:rsidRPr="001869E5" w:rsidR="00436C7C" w:rsidP="00A421A1" w:rsidRDefault="00436C7C" w14:paraId="7309EE26" w14:textId="0AE06674">
            <w:pPr>
              <w:spacing w:line="180" w:lineRule="exact"/>
              <w:rPr>
                <w:sz w:val="13"/>
                <w:szCs w:val="13"/>
                <w:lang w:val="en-US"/>
              </w:rPr>
            </w:pPr>
          </w:p>
        </w:tc>
      </w:tr>
      <w:tr w:rsidRPr="00436C7C" w:rsidR="00616205" w:rsidTr="00A421A1" w14:paraId="77FB7297" w14:textId="77777777">
        <w:trPr>
          <w:trHeight w:val="200" w:hRule="exact"/>
        </w:trPr>
        <w:tc>
          <w:tcPr>
            <w:tcW w:w="2160" w:type="dxa"/>
          </w:tcPr>
          <w:p w:rsidRPr="001869E5" w:rsidR="006205C0" w:rsidP="00A421A1" w:rsidRDefault="006205C0" w14:paraId="6D08719D" w14:textId="77777777">
            <w:pPr>
              <w:spacing w:after="90" w:line="180" w:lineRule="exact"/>
              <w:rPr>
                <w:sz w:val="13"/>
                <w:szCs w:val="13"/>
                <w:lang w:val="en-US"/>
              </w:rPr>
            </w:pPr>
          </w:p>
        </w:tc>
      </w:tr>
      <w:tr w:rsidRPr="001869E5" w:rsidR="00616205" w:rsidTr="00A421A1" w14:paraId="57E4D166" w14:textId="77777777">
        <w:trPr>
          <w:trHeight w:val="450"/>
        </w:trPr>
        <w:tc>
          <w:tcPr>
            <w:tcW w:w="2160" w:type="dxa"/>
          </w:tcPr>
          <w:p w:rsidRPr="001869E5" w:rsidR="00F51A76" w:rsidP="00A421A1" w:rsidRDefault="00972377" w14:paraId="0468140E" w14:textId="77777777">
            <w:pPr>
              <w:spacing w:line="180" w:lineRule="exact"/>
              <w:rPr>
                <w:b/>
                <w:sz w:val="13"/>
                <w:szCs w:val="13"/>
              </w:rPr>
            </w:pPr>
            <w:r w:rsidRPr="001869E5">
              <w:rPr>
                <w:b/>
                <w:sz w:val="13"/>
                <w:szCs w:val="13"/>
              </w:rPr>
              <w:t>Onze referentie</w:t>
            </w:r>
          </w:p>
          <w:p w:rsidRPr="001869E5" w:rsidR="006205C0" w:rsidP="00215356" w:rsidRDefault="00972377" w14:paraId="27D600AE" w14:textId="77777777">
            <w:pPr>
              <w:spacing w:line="180" w:lineRule="exact"/>
              <w:rPr>
                <w:sz w:val="13"/>
                <w:szCs w:val="13"/>
              </w:rPr>
            </w:pPr>
            <w:r w:rsidRPr="001869E5">
              <w:rPr>
                <w:sz w:val="13"/>
                <w:szCs w:val="13"/>
              </w:rPr>
              <w:t>64788819</w:t>
            </w:r>
          </w:p>
        </w:tc>
      </w:tr>
      <w:tr w:rsidRPr="001869E5" w:rsidR="00616205" w:rsidTr="00A421A1" w14:paraId="238F6A09" w14:textId="77777777">
        <w:trPr>
          <w:trHeight w:val="136"/>
        </w:trPr>
        <w:tc>
          <w:tcPr>
            <w:tcW w:w="2160" w:type="dxa"/>
          </w:tcPr>
          <w:p w:rsidRPr="001869E5" w:rsidR="006205C0" w:rsidP="00A421A1" w:rsidRDefault="00972377" w14:paraId="00422D1F" w14:textId="77777777">
            <w:pPr>
              <w:tabs>
                <w:tab w:val="left" w:pos="1890"/>
              </w:tabs>
              <w:spacing w:line="180" w:lineRule="exact"/>
              <w:rPr>
                <w:b/>
                <w:sz w:val="13"/>
                <w:szCs w:val="13"/>
              </w:rPr>
            </w:pPr>
            <w:r w:rsidRPr="001869E5">
              <w:rPr>
                <w:b/>
                <w:sz w:val="13"/>
                <w:szCs w:val="13"/>
              </w:rPr>
              <w:t>Uw brief</w:t>
            </w:r>
          </w:p>
          <w:p w:rsidRPr="001869E5" w:rsidR="00E91674" w:rsidP="00E210E0" w:rsidRDefault="00972377" w14:paraId="05C9A36E" w14:textId="77777777">
            <w:pPr>
              <w:tabs>
                <w:tab w:val="left" w:pos="1890"/>
              </w:tabs>
              <w:spacing w:after="92" w:line="180" w:lineRule="exact"/>
              <w:rPr>
                <w:sz w:val="13"/>
                <w:szCs w:val="13"/>
              </w:rPr>
            </w:pPr>
            <w:r w:rsidRPr="001869E5">
              <w:rPr>
                <w:sz w:val="13"/>
                <w:szCs w:val="13"/>
              </w:rPr>
              <w:t>10 juni 2026</w:t>
            </w:r>
          </w:p>
        </w:tc>
      </w:tr>
      <w:tr w:rsidRPr="001869E5" w:rsidR="00616205" w:rsidTr="00A421A1" w14:paraId="7CC2CEA4" w14:textId="77777777">
        <w:trPr>
          <w:trHeight w:val="227"/>
        </w:trPr>
        <w:tc>
          <w:tcPr>
            <w:tcW w:w="2160" w:type="dxa"/>
          </w:tcPr>
          <w:p w:rsidRPr="001869E5" w:rsidR="006205C0" w:rsidP="00A421A1" w:rsidRDefault="00972377" w14:paraId="4FE3B086" w14:textId="77777777">
            <w:pPr>
              <w:spacing w:line="180" w:lineRule="exact"/>
              <w:rPr>
                <w:b/>
                <w:sz w:val="13"/>
                <w:szCs w:val="13"/>
              </w:rPr>
            </w:pPr>
            <w:r w:rsidRPr="001869E5">
              <w:rPr>
                <w:b/>
                <w:sz w:val="13"/>
                <w:szCs w:val="13"/>
              </w:rPr>
              <w:t>Uw referentie</w:t>
            </w:r>
          </w:p>
          <w:p w:rsidRPr="001869E5" w:rsidR="006205C0" w:rsidP="00A421A1" w:rsidRDefault="00972377" w14:paraId="6CF7E2C0" w14:textId="77777777">
            <w:pPr>
              <w:spacing w:after="90" w:line="180" w:lineRule="exact"/>
              <w:rPr>
                <w:sz w:val="13"/>
              </w:rPr>
            </w:pPr>
            <w:r w:rsidRPr="001869E5">
              <w:rPr>
                <w:sz w:val="13"/>
              </w:rPr>
              <w:t>2026Z12607</w:t>
            </w:r>
          </w:p>
        </w:tc>
      </w:tr>
    </w:tbl>
    <w:p w:rsidRPr="001869E5" w:rsidR="00215356" w:rsidRDefault="00215356" w14:paraId="587E6330" w14:textId="77777777"/>
    <w:p w:rsidRPr="001869E5" w:rsidR="006205C0" w:rsidP="00A421A1" w:rsidRDefault="006205C0" w14:paraId="03AFFACA" w14:textId="77777777"/>
    <w:p w:rsidRPr="001869E5" w:rsidR="00CA35E4" w:rsidP="00CA35E4" w:rsidRDefault="00437472" w14:paraId="1134BC67" w14:textId="77777777">
      <w:r w:rsidRPr="001869E5">
        <w:t xml:space="preserve">Hierbij </w:t>
      </w:r>
      <w:r w:rsidRPr="001869E5" w:rsidR="00972377">
        <w:t>stuur ik</w:t>
      </w:r>
      <w:r w:rsidRPr="001869E5" w:rsidR="00D45993">
        <w:t xml:space="preserve"> u</w:t>
      </w:r>
      <w:r w:rsidRPr="001869E5" w:rsidR="00972377">
        <w:t xml:space="preserve"> de antwoorden</w:t>
      </w:r>
      <w:r w:rsidRPr="001869E5" w:rsidR="006B0A79">
        <w:t xml:space="preserve"> op</w:t>
      </w:r>
      <w:r w:rsidRPr="001869E5" w:rsidR="00C82662">
        <w:t xml:space="preserve"> </w:t>
      </w:r>
      <w:r w:rsidRPr="001869E5" w:rsidR="00972377">
        <w:t>de vragen van het lid Keijzer (Keijzer)</w:t>
      </w:r>
      <w:r w:rsidRPr="001869E5" w:rsidR="00AD7C7C">
        <w:t xml:space="preserve"> </w:t>
      </w:r>
      <w:r w:rsidRPr="001869E5" w:rsidR="00127580">
        <w:t>over</w:t>
      </w:r>
      <w:r w:rsidRPr="001869E5" w:rsidR="00972377">
        <w:t> het bericht 'Torenhoge salarissen omroepbazen stegen nóg verder, terwijl gewone medewerkers vrezen voor hun baan'</w:t>
      </w:r>
      <w:r w:rsidRPr="001869E5" w:rsidR="005E637C">
        <w:t>.</w:t>
      </w:r>
    </w:p>
    <w:p w:rsidRPr="001869E5" w:rsidR="00CA35E4" w:rsidP="00CA35E4" w:rsidRDefault="00CA35E4" w14:paraId="2F2C648E" w14:textId="77777777"/>
    <w:p w:rsidRPr="001869E5" w:rsidR="00463FBD" w:rsidP="00CA35E4" w:rsidRDefault="00972377" w14:paraId="551A6AB6" w14:textId="77777777">
      <w:r w:rsidRPr="001869E5">
        <w:t>De vragen werden</w:t>
      </w:r>
      <w:r w:rsidRPr="001869E5" w:rsidR="00B11469">
        <w:t> </w:t>
      </w:r>
      <w:r w:rsidRPr="001869E5" w:rsidR="00BD7E81">
        <w:t>in</w:t>
      </w:r>
      <w:r w:rsidRPr="001869E5" w:rsidR="00CA35E4">
        <w:t xml:space="preserve">gezonden </w:t>
      </w:r>
      <w:r w:rsidRPr="001869E5" w:rsidR="00BD7E81">
        <w:t>op</w:t>
      </w:r>
      <w:r w:rsidRPr="001869E5" w:rsidR="00EB5D85">
        <w:t xml:space="preserve"> </w:t>
      </w:r>
      <w:r w:rsidRPr="001869E5">
        <w:t>10 juni 2026</w:t>
      </w:r>
      <w:r w:rsidRPr="001869E5" w:rsidR="00E82C38">
        <w:t xml:space="preserve"> met kenmerk </w:t>
      </w:r>
      <w:r w:rsidRPr="001869E5">
        <w:t>2026Z12607</w:t>
      </w:r>
      <w:r w:rsidRPr="001869E5" w:rsidR="00E82C38">
        <w:t>.</w:t>
      </w:r>
    </w:p>
    <w:p w:rsidRPr="001869E5" w:rsidR="00930C09" w:rsidP="00CA35E4" w:rsidRDefault="00930C09" w14:paraId="717C9AC3" w14:textId="77777777"/>
    <w:p w:rsidRPr="001869E5" w:rsidR="00105677" w:rsidP="00CA35E4" w:rsidRDefault="00105677" w14:paraId="544A1217" w14:textId="77777777"/>
    <w:p w:rsidRPr="001869E5" w:rsidR="00820DDA" w:rsidP="00CA35E4" w:rsidRDefault="00972377" w14:paraId="287A79AA" w14:textId="77777777">
      <w:r w:rsidRPr="001869E5">
        <w:t>De minister van Onderwijs, Cultuur en Wetenschap,</w:t>
      </w:r>
    </w:p>
    <w:p w:rsidR="00950170" w:rsidP="00950170" w:rsidRDefault="00950170" w14:paraId="7D9A2B12" w14:textId="77777777"/>
    <w:p w:rsidRPr="001869E5" w:rsidR="007B1F2A" w:rsidP="00950170" w:rsidRDefault="007B1F2A" w14:paraId="66DA7560" w14:textId="77777777"/>
    <w:p w:rsidRPr="001869E5" w:rsidR="00950170" w:rsidP="00950170" w:rsidRDefault="00950170" w14:paraId="1E735A36" w14:textId="77777777"/>
    <w:p w:rsidRPr="001869E5" w:rsidR="00950170" w:rsidP="00950170" w:rsidRDefault="00950170" w14:paraId="4A588915" w14:textId="77777777"/>
    <w:p w:rsidRPr="001869E5" w:rsidR="00950170" w:rsidP="00950170" w:rsidRDefault="00972377" w14:paraId="418FBEB3" w14:textId="77777777">
      <w:r w:rsidRPr="001869E5">
        <w:rPr>
          <w:lang w:eastAsia="en-US"/>
        </w:rPr>
        <w:t>Rianne Letschert</w:t>
      </w:r>
    </w:p>
    <w:p w:rsidRPr="001869E5" w:rsidR="00930C09" w:rsidRDefault="00972377" w14:paraId="4293AB39" w14:textId="77777777">
      <w:pPr>
        <w:spacing w:line="240" w:lineRule="auto"/>
      </w:pPr>
      <w:r w:rsidRPr="001869E5">
        <w:br w:type="page"/>
      </w:r>
    </w:p>
    <w:p w:rsidRPr="001869E5" w:rsidR="00930C09" w:rsidP="009E4507" w:rsidRDefault="00972377" w14:paraId="361C8D83" w14:textId="77777777">
      <w:pPr>
        <w:pStyle w:val="pagebreak"/>
        <w:pageBreakBefore w:val="0"/>
      </w:pPr>
      <w:r w:rsidRPr="001869E5">
        <w:lastRenderedPageBreak/>
        <w:t xml:space="preserve">De antwoorden </w:t>
      </w:r>
      <w:r w:rsidRPr="001869E5" w:rsidR="00D51F76">
        <w:t xml:space="preserve">op de schriftelijke </w:t>
      </w:r>
      <w:r w:rsidRPr="001869E5">
        <w:t>vragen</w:t>
      </w:r>
      <w:r w:rsidRPr="001869E5" w:rsidR="00D51F76">
        <w:t> </w:t>
      </w:r>
      <w:r w:rsidRPr="001869E5">
        <w:t>van het lid Keijzer (Keijzer)</w:t>
      </w:r>
      <w:r w:rsidRPr="001869E5" w:rsidR="00D51F76">
        <w:t xml:space="preserve"> </w:t>
      </w:r>
      <w:r w:rsidRPr="001869E5" w:rsidR="009E4507">
        <w:t>over</w:t>
      </w:r>
      <w:r w:rsidRPr="001869E5" w:rsidR="00EE09A7">
        <w:t xml:space="preserve"> </w:t>
      </w:r>
      <w:r w:rsidRPr="001869E5">
        <w:t>het bericht 'Torenhoge salarissen omroepbazen stegen nóg verder, terwijl gewone medewerkers vrezen voor hun baan'</w:t>
      </w:r>
      <w:r w:rsidRPr="001869E5" w:rsidR="00C50C4E">
        <w:t xml:space="preserve"> </w:t>
      </w:r>
      <w:r w:rsidRPr="001869E5" w:rsidR="009E4507">
        <w:t xml:space="preserve">met kenmerk </w:t>
      </w:r>
      <w:r w:rsidRPr="001869E5">
        <w:t>2026Z12607</w:t>
      </w:r>
      <w:r w:rsidRPr="001869E5" w:rsidR="00C50C4E">
        <w:t xml:space="preserve">, ingezonden op </w:t>
      </w:r>
      <w:r w:rsidRPr="001869E5">
        <w:t>10 juni 2026</w:t>
      </w:r>
      <w:r w:rsidRPr="001869E5" w:rsidR="00C50C4E">
        <w:t>.</w:t>
      </w:r>
    </w:p>
    <w:p w:rsidRPr="001869E5" w:rsidR="00820DDA" w:rsidP="00820DDA" w:rsidRDefault="00820DDA" w14:paraId="006DB256" w14:textId="77777777">
      <w:pPr>
        <w:pStyle w:val="standaard-tekst"/>
      </w:pPr>
    </w:p>
    <w:p w:rsidRPr="001869E5" w:rsidR="001869E5" w:rsidP="001869E5" w:rsidRDefault="001869E5" w14:paraId="43EA30D3"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Bent u op de hoogte van het bericht dat salarissen van omroepbestuurders sterker zijn gestegen dan die van het overige personeel terwijl tegelijkertijd sprake is van bezuinigingen en ontslagen? 1)</w:t>
      </w:r>
    </w:p>
    <w:p w:rsidRPr="001869E5" w:rsidR="001869E5" w:rsidP="001869E5" w:rsidRDefault="001869E5" w14:paraId="0A5FD5D6" w14:textId="77777777">
      <w:pPr>
        <w:spacing w:after="160" w:line="259" w:lineRule="auto"/>
        <w:ind w:left="360"/>
        <w:rPr>
          <w:rFonts w:eastAsia="Calibri"/>
          <w:szCs w:val="18"/>
          <w:lang w:eastAsia="en-US"/>
        </w:rPr>
      </w:pPr>
      <w:r w:rsidRPr="001869E5">
        <w:rPr>
          <w:rFonts w:eastAsia="Calibri"/>
          <w:szCs w:val="18"/>
          <w:lang w:eastAsia="en-US"/>
        </w:rPr>
        <w:t>Ja.</w:t>
      </w:r>
    </w:p>
    <w:p w:rsidRPr="001869E5" w:rsidR="001869E5" w:rsidP="001869E5" w:rsidRDefault="001869E5" w14:paraId="199B3BA6"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Deelt u de opvatting dat een dergelijke loonontwikkeling waarbij bestuurders relatief sterker vooruitgaan dan medewerkers een onwenselijk signaal afgeeft in een sector die grotendeels met belastinggeld wordt gefinancierd? Zo nee, waarom niet?</w:t>
      </w:r>
    </w:p>
    <w:p w:rsidR="001869E5" w:rsidP="001869E5" w:rsidRDefault="00612E5C" w14:paraId="734C1F07" w14:textId="5EE134BB">
      <w:pPr>
        <w:spacing w:after="160" w:line="259" w:lineRule="auto"/>
        <w:ind w:left="360"/>
        <w:rPr>
          <w:rFonts w:eastAsia="Calibri"/>
          <w:szCs w:val="18"/>
          <w:lang w:eastAsia="en-US"/>
        </w:rPr>
      </w:pPr>
      <w:r>
        <w:rPr>
          <w:rFonts w:eastAsia="Calibri"/>
          <w:szCs w:val="18"/>
          <w:lang w:eastAsia="en-US"/>
        </w:rPr>
        <w:t>Voor de bezoldiging van bestuurders gelden heldere regels. D</w:t>
      </w:r>
      <w:r w:rsidR="001869E5">
        <w:rPr>
          <w:rFonts w:eastAsia="Calibri"/>
          <w:szCs w:val="18"/>
          <w:lang w:eastAsia="en-US"/>
        </w:rPr>
        <w:t>e</w:t>
      </w:r>
      <w:r w:rsidRPr="001869E5" w:rsidR="001869E5">
        <w:rPr>
          <w:rFonts w:eastAsia="Calibri"/>
          <w:szCs w:val="18"/>
          <w:lang w:eastAsia="en-US"/>
        </w:rPr>
        <w:t xml:space="preserve"> </w:t>
      </w:r>
      <w:r w:rsidR="00B0455C">
        <w:rPr>
          <w:rFonts w:eastAsia="Calibri"/>
          <w:szCs w:val="18"/>
          <w:lang w:eastAsia="en-US"/>
        </w:rPr>
        <w:t>bezoldiging</w:t>
      </w:r>
      <w:r w:rsidRPr="001869E5" w:rsidR="00B0455C">
        <w:rPr>
          <w:rFonts w:eastAsia="Calibri"/>
          <w:szCs w:val="18"/>
          <w:lang w:eastAsia="en-US"/>
        </w:rPr>
        <w:t xml:space="preserve"> </w:t>
      </w:r>
      <w:r w:rsidRPr="001869E5" w:rsidR="001869E5">
        <w:rPr>
          <w:rFonts w:eastAsia="Calibri"/>
          <w:szCs w:val="18"/>
          <w:lang w:eastAsia="en-US"/>
        </w:rPr>
        <w:t>van bestuurders</w:t>
      </w:r>
      <w:r w:rsidR="00B0455C">
        <w:rPr>
          <w:rFonts w:eastAsia="Calibri"/>
          <w:szCs w:val="18"/>
          <w:lang w:eastAsia="en-US"/>
        </w:rPr>
        <w:t xml:space="preserve"> en toezichthouders</w:t>
      </w:r>
      <w:r w:rsidRPr="001869E5" w:rsidR="001869E5">
        <w:rPr>
          <w:rFonts w:eastAsia="Calibri"/>
          <w:szCs w:val="18"/>
          <w:lang w:eastAsia="en-US"/>
        </w:rPr>
        <w:t xml:space="preserve"> </w:t>
      </w:r>
      <w:r w:rsidR="001869E5">
        <w:rPr>
          <w:rFonts w:eastAsia="Calibri"/>
          <w:szCs w:val="18"/>
          <w:lang w:eastAsia="en-US"/>
        </w:rPr>
        <w:t xml:space="preserve">in de publieke sector </w:t>
      </w:r>
      <w:r>
        <w:rPr>
          <w:rFonts w:eastAsia="Calibri"/>
          <w:szCs w:val="18"/>
          <w:lang w:eastAsia="en-US"/>
        </w:rPr>
        <w:t xml:space="preserve">zijn </w:t>
      </w:r>
      <w:r w:rsidRPr="001869E5" w:rsidR="001869E5">
        <w:rPr>
          <w:rFonts w:eastAsia="Calibri"/>
          <w:szCs w:val="18"/>
          <w:lang w:eastAsia="en-US"/>
        </w:rPr>
        <w:t>gemaximeerd door de Wet Normering Topinkomens (WNT).</w:t>
      </w:r>
      <w:r w:rsidR="00B0455C">
        <w:rPr>
          <w:rFonts w:eastAsia="Calibri"/>
          <w:szCs w:val="18"/>
          <w:lang w:eastAsia="en-US"/>
        </w:rPr>
        <w:t xml:space="preserve"> </w:t>
      </w:r>
      <w:r w:rsidRPr="004C07CB" w:rsidR="004C07CB">
        <w:rPr>
          <w:rFonts w:eastAsia="Calibri"/>
          <w:szCs w:val="18"/>
          <w:lang w:eastAsia="en-US"/>
        </w:rPr>
        <w:t>De maximale bezoldiging van de WNT wordt ieder jaar geïndexeerd met het percentage van de ontwikkeling van de contractuele loonkosten voor de overheid.</w:t>
      </w:r>
    </w:p>
    <w:p w:rsidRPr="001869E5" w:rsidR="00612E5C" w:rsidP="001869E5" w:rsidRDefault="00612E5C" w14:paraId="0C7D8196" w14:textId="4E70660A">
      <w:pPr>
        <w:spacing w:after="160" w:line="259" w:lineRule="auto"/>
        <w:ind w:left="360"/>
        <w:rPr>
          <w:rFonts w:eastAsia="Calibri"/>
          <w:szCs w:val="18"/>
          <w:lang w:eastAsia="en-US"/>
        </w:rPr>
      </w:pPr>
      <w:r>
        <w:rPr>
          <w:rFonts w:eastAsia="Calibri"/>
          <w:szCs w:val="18"/>
          <w:lang w:eastAsia="en-US"/>
        </w:rPr>
        <w:t>Dit voorkomt dat de bezoldiging te hoog wordt of te sterk stijgt.</w:t>
      </w:r>
    </w:p>
    <w:p w:rsidRPr="001869E5" w:rsidR="001869E5" w:rsidP="001869E5" w:rsidRDefault="001869E5" w14:paraId="4A4F3392"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Hoe verhoudt deze ontwikkeling zich tot het uitgangspunt dat publieke middelen sober, doelmatig en maatschappelijk verantwoord moeten worden besteed?</w:t>
      </w:r>
    </w:p>
    <w:p w:rsidRPr="001869E5" w:rsidR="001869E5" w:rsidP="001869E5" w:rsidRDefault="001869E5" w14:paraId="5B7A54C2" w14:textId="697E936D">
      <w:pPr>
        <w:spacing w:after="160" w:line="259" w:lineRule="auto"/>
        <w:ind w:left="360"/>
        <w:rPr>
          <w:rFonts w:eastAsia="Calibri"/>
          <w:szCs w:val="18"/>
          <w:lang w:eastAsia="en-US"/>
        </w:rPr>
      </w:pPr>
      <w:r w:rsidRPr="001869E5">
        <w:rPr>
          <w:rFonts w:eastAsia="Calibri"/>
          <w:szCs w:val="18"/>
          <w:lang w:eastAsia="en-US"/>
        </w:rPr>
        <w:t>De loonontwikkeling van de bestuurders</w:t>
      </w:r>
      <w:r w:rsidR="00E53003">
        <w:rPr>
          <w:rFonts w:eastAsia="Calibri"/>
          <w:szCs w:val="18"/>
          <w:lang w:eastAsia="en-US"/>
        </w:rPr>
        <w:t xml:space="preserve"> en toezichthouders als topfunctionaris</w:t>
      </w:r>
      <w:r w:rsidRPr="001869E5">
        <w:rPr>
          <w:rFonts w:eastAsia="Calibri"/>
          <w:szCs w:val="18"/>
          <w:lang w:eastAsia="en-US"/>
        </w:rPr>
        <w:t xml:space="preserve"> is gemaximeerd door de WNT. Die maximering is juist gebaseerd op het uitgangspunt van een sobere, doelmatige en maatschappelijk verantwoorde besteding van publieke middelen.</w:t>
      </w:r>
      <w:r w:rsidR="00E53003">
        <w:rPr>
          <w:rFonts w:eastAsia="Calibri"/>
          <w:szCs w:val="18"/>
          <w:lang w:eastAsia="en-US"/>
        </w:rPr>
        <w:t xml:space="preserve"> Ik ben </w:t>
      </w:r>
      <w:r w:rsidRPr="00E53003" w:rsidR="00E53003">
        <w:rPr>
          <w:rFonts w:eastAsia="Calibri"/>
          <w:szCs w:val="18"/>
          <w:lang w:eastAsia="en-US"/>
        </w:rPr>
        <w:t xml:space="preserve">van mening dat organisaties die een publieke taak hebben en die bekostigd worden met publiek geld, hun bestuurders </w:t>
      </w:r>
      <w:r w:rsidR="00E53003">
        <w:rPr>
          <w:rFonts w:eastAsia="Calibri"/>
          <w:szCs w:val="18"/>
          <w:lang w:eastAsia="en-US"/>
        </w:rPr>
        <w:t xml:space="preserve">en toezichthouders </w:t>
      </w:r>
      <w:r w:rsidRPr="00E53003" w:rsidR="00E53003">
        <w:rPr>
          <w:rFonts w:eastAsia="Calibri"/>
          <w:szCs w:val="18"/>
          <w:lang w:eastAsia="en-US"/>
        </w:rPr>
        <w:t>ordentelijk behoren te betalen. Ordentelijk betekent: evenwichtig, maatschappelijk verantwoord en niet exorbitant.</w:t>
      </w:r>
    </w:p>
    <w:p w:rsidRPr="001869E5" w:rsidR="001869E5" w:rsidP="001869E5" w:rsidRDefault="001869E5" w14:paraId="7F1285D1"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Klopt het dat bestuurdersbeloningen veelal meestijgen met het maximum van de Wet normering topinkomens (WNT)? Acht u het wenselijk dat dit maximum in de praktijk als richtpunt fungeert in een sector die grotendeels met belastinggeld wordt gefinancierd?</w:t>
      </w:r>
    </w:p>
    <w:p w:rsidRPr="001869E5" w:rsidR="001869E5" w:rsidP="001869E5" w:rsidRDefault="001869E5" w14:paraId="04A49FFC" w14:textId="6F8C9CF5">
      <w:pPr>
        <w:spacing w:after="160" w:line="259" w:lineRule="auto"/>
        <w:ind w:left="360"/>
        <w:rPr>
          <w:rFonts w:eastAsia="Calibri"/>
          <w:szCs w:val="18"/>
          <w:lang w:eastAsia="en-US"/>
        </w:rPr>
      </w:pPr>
      <w:r w:rsidRPr="001869E5">
        <w:rPr>
          <w:rFonts w:eastAsia="Calibri"/>
          <w:szCs w:val="18"/>
          <w:lang w:eastAsia="en-US"/>
        </w:rPr>
        <w:t xml:space="preserve">De WNT kent bewust alleen maxima, daarbinnen is het aan de bestuurder </w:t>
      </w:r>
      <w:r w:rsidR="00E53003">
        <w:rPr>
          <w:rFonts w:eastAsia="Calibri"/>
          <w:szCs w:val="18"/>
          <w:lang w:eastAsia="en-US"/>
        </w:rPr>
        <w:t xml:space="preserve">als topfunctionaris </w:t>
      </w:r>
      <w:r w:rsidRPr="001869E5">
        <w:rPr>
          <w:rFonts w:eastAsia="Calibri"/>
          <w:szCs w:val="18"/>
          <w:lang w:eastAsia="en-US"/>
        </w:rPr>
        <w:t xml:space="preserve">en de </w:t>
      </w:r>
      <w:r w:rsidR="00753643">
        <w:rPr>
          <w:rFonts w:eastAsia="Calibri"/>
          <w:szCs w:val="18"/>
          <w:lang w:eastAsia="en-US"/>
        </w:rPr>
        <w:t xml:space="preserve">instelling als </w:t>
      </w:r>
      <w:r w:rsidRPr="001869E5">
        <w:rPr>
          <w:rFonts w:eastAsia="Calibri"/>
          <w:szCs w:val="18"/>
          <w:lang w:eastAsia="en-US"/>
        </w:rPr>
        <w:t xml:space="preserve">werkgever om tot afspraken over de </w:t>
      </w:r>
      <w:r w:rsidR="00B0455C">
        <w:rPr>
          <w:rFonts w:eastAsia="Calibri"/>
          <w:szCs w:val="18"/>
          <w:lang w:eastAsia="en-US"/>
        </w:rPr>
        <w:t>bezoldiging</w:t>
      </w:r>
      <w:r w:rsidRPr="001869E5" w:rsidR="00B0455C">
        <w:rPr>
          <w:rFonts w:eastAsia="Calibri"/>
          <w:szCs w:val="18"/>
          <w:lang w:eastAsia="en-US"/>
        </w:rPr>
        <w:t xml:space="preserve"> </w:t>
      </w:r>
      <w:r w:rsidR="00E53003">
        <w:rPr>
          <w:rFonts w:eastAsia="Calibri"/>
          <w:szCs w:val="18"/>
          <w:lang w:eastAsia="en-US"/>
        </w:rPr>
        <w:t xml:space="preserve">en </w:t>
      </w:r>
      <w:r w:rsidR="00753643">
        <w:rPr>
          <w:rFonts w:eastAsia="Calibri"/>
          <w:szCs w:val="18"/>
          <w:lang w:eastAsia="en-US"/>
        </w:rPr>
        <w:t xml:space="preserve">de </w:t>
      </w:r>
      <w:r w:rsidR="00E53003">
        <w:rPr>
          <w:rFonts w:eastAsia="Calibri"/>
          <w:szCs w:val="18"/>
          <w:lang w:eastAsia="en-US"/>
        </w:rPr>
        <w:t xml:space="preserve">overige arbeidsvoorwaarden </w:t>
      </w:r>
      <w:r w:rsidRPr="001869E5">
        <w:rPr>
          <w:rFonts w:eastAsia="Calibri"/>
          <w:szCs w:val="18"/>
          <w:lang w:eastAsia="en-US"/>
        </w:rPr>
        <w:t xml:space="preserve">te komen. </w:t>
      </w:r>
      <w:r w:rsidR="00753643">
        <w:rPr>
          <w:rFonts w:eastAsia="Calibri"/>
          <w:szCs w:val="18"/>
          <w:lang w:eastAsia="en-US"/>
        </w:rPr>
        <w:t xml:space="preserve">Als partijen een bezoldiging op het maximum afspreken, is dat dus niet verboden door de WNT. Het is dan aan partijen zelf om ervoor te zorgen dat de bezoldiging niet boven dat maximum uitkomt, zo zal bijvoorbeeld bij verhoging van één component van de bezoldiging een of meer andere componenten dienovereenkomstig moeten worden verlaagd. </w:t>
      </w:r>
      <w:r w:rsidRPr="001869E5">
        <w:rPr>
          <w:rFonts w:eastAsia="Calibri"/>
          <w:szCs w:val="18"/>
          <w:lang w:eastAsia="en-US"/>
        </w:rPr>
        <w:t>Overigens geldt voor de bestuurders in de publieke mediasector dat er aparte, verlaagde, maxima zijn afgesproken</w:t>
      </w:r>
      <w:r w:rsidR="00B0455C">
        <w:rPr>
          <w:rFonts w:eastAsia="Calibri"/>
          <w:szCs w:val="18"/>
          <w:lang w:eastAsia="en-US"/>
        </w:rPr>
        <w:t xml:space="preserve"> die afhankelijk zijn van de bestuurlijke complexiteit van de instelling</w:t>
      </w:r>
      <w:r w:rsidRPr="001869E5">
        <w:rPr>
          <w:rFonts w:eastAsia="Calibri"/>
          <w:szCs w:val="18"/>
          <w:lang w:eastAsia="en-US"/>
        </w:rPr>
        <w:t xml:space="preserve">. </w:t>
      </w:r>
    </w:p>
    <w:p w:rsidRPr="001869E5" w:rsidR="001869E5" w:rsidP="001869E5" w:rsidRDefault="001869E5" w14:paraId="3A9A402B"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lastRenderedPageBreak/>
        <w:t>Kunt u een overzicht geven van de verhouding tussen uitgaven aan bestuur, toezicht en management enerzijds en het programmabudget anderzijds over de afgelopen vijf jaar?</w:t>
      </w:r>
    </w:p>
    <w:p w:rsidR="001869E5" w:rsidP="001869E5" w:rsidRDefault="001869E5" w14:paraId="4A9C7F3F" w14:textId="6DF3BEA2">
      <w:pPr>
        <w:spacing w:after="160" w:line="259" w:lineRule="auto"/>
        <w:ind w:left="360"/>
        <w:rPr>
          <w:rFonts w:eastAsia="Calibri"/>
          <w:szCs w:val="18"/>
          <w:lang w:eastAsia="en-US"/>
        </w:rPr>
      </w:pPr>
      <w:r>
        <w:rPr>
          <w:rFonts w:eastAsia="Calibri"/>
          <w:szCs w:val="18"/>
          <w:lang w:eastAsia="en-US"/>
        </w:rPr>
        <w:t xml:space="preserve">De </w:t>
      </w:r>
      <w:r w:rsidR="00E6018B">
        <w:rPr>
          <w:rFonts w:eastAsia="Calibri"/>
          <w:szCs w:val="18"/>
          <w:lang w:eastAsia="en-US"/>
        </w:rPr>
        <w:t xml:space="preserve">financiële verantwoording van de omroepen is niet ingericht op de termen bestuur, toezicht en management. Wel wordt </w:t>
      </w:r>
      <w:r w:rsidR="000F2265">
        <w:rPr>
          <w:rFonts w:eastAsia="Calibri"/>
          <w:szCs w:val="18"/>
          <w:lang w:eastAsia="en-US"/>
        </w:rPr>
        <w:t xml:space="preserve">bij de omroepen </w:t>
      </w:r>
      <w:r w:rsidR="00E6018B">
        <w:rPr>
          <w:rFonts w:eastAsia="Calibri"/>
          <w:szCs w:val="18"/>
          <w:lang w:eastAsia="en-US"/>
        </w:rPr>
        <w:t xml:space="preserve">een onderscheid gemaakt tussen organisatiekosten en kosten voor media-aanbod. Bij de NPO-organisatie wordt een onderscheid gemaakt tussen bestuur en beheer, ondersteuning </w:t>
      </w:r>
      <w:r w:rsidR="00E16061">
        <w:rPr>
          <w:rFonts w:eastAsia="Calibri"/>
          <w:szCs w:val="18"/>
          <w:lang w:eastAsia="en-US"/>
        </w:rPr>
        <w:t xml:space="preserve">aan de ene kant </w:t>
      </w:r>
      <w:r w:rsidR="00E6018B">
        <w:rPr>
          <w:rFonts w:eastAsia="Calibri"/>
          <w:szCs w:val="18"/>
          <w:lang w:eastAsia="en-US"/>
        </w:rPr>
        <w:t>en gemeenschappelijke activiteiten</w:t>
      </w:r>
      <w:r w:rsidR="00E16061">
        <w:rPr>
          <w:rFonts w:eastAsia="Calibri"/>
          <w:szCs w:val="18"/>
          <w:lang w:eastAsia="en-US"/>
        </w:rPr>
        <w:t xml:space="preserve"> (o.a. kosten voor rechten en distributie) aan de andere kant</w:t>
      </w:r>
      <w:r w:rsidR="00E6018B">
        <w:rPr>
          <w:rFonts w:eastAsia="Calibri"/>
          <w:szCs w:val="18"/>
          <w:lang w:eastAsia="en-US"/>
        </w:rPr>
        <w:t xml:space="preserve">. Op basis van dit onderscheid is het aandeel organisatiekosten in de totale kosten van het bestel </w:t>
      </w:r>
      <w:r w:rsidR="000F2265">
        <w:rPr>
          <w:rFonts w:eastAsia="Calibri"/>
          <w:szCs w:val="18"/>
          <w:lang w:eastAsia="en-US"/>
        </w:rPr>
        <w:t>circa 14</w:t>
      </w:r>
      <w:r w:rsidR="00E6018B">
        <w:rPr>
          <w:rFonts w:eastAsia="Calibri"/>
          <w:szCs w:val="18"/>
          <w:lang w:eastAsia="en-US"/>
        </w:rPr>
        <w:t>%.</w:t>
      </w:r>
    </w:p>
    <w:p w:rsidRPr="001869E5" w:rsidR="00E6018B" w:rsidP="001869E5" w:rsidRDefault="00E6018B" w14:paraId="1A7000CB" w14:textId="7B359EE2">
      <w:pPr>
        <w:spacing w:after="160" w:line="259" w:lineRule="auto"/>
        <w:ind w:left="360"/>
        <w:rPr>
          <w:rFonts w:eastAsia="Calibri"/>
          <w:szCs w:val="18"/>
          <w:lang w:eastAsia="en-US"/>
        </w:rPr>
      </w:pPr>
      <w:r>
        <w:rPr>
          <w:rFonts w:eastAsia="Calibri"/>
          <w:szCs w:val="18"/>
          <w:lang w:eastAsia="en-US"/>
        </w:rPr>
        <w:t>In de Mediabegrotingsbrief 2027 zal ik een meerjarenoverzicht van de afgelopen jaren opnemen.</w:t>
      </w:r>
    </w:p>
    <w:p w:rsidRPr="001869E5" w:rsidR="001869E5" w:rsidP="001869E5" w:rsidRDefault="001869E5" w14:paraId="70CA749E"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In hoeverre acht u het verdedigbaar dat bij bezuinigingen primair wordt gesneden in programmering en redactionele capaciteit terwijl bestuurlijke lagen relatief worden ontzien?</w:t>
      </w:r>
    </w:p>
    <w:p w:rsidRPr="001869E5" w:rsidR="00875E1C" w:rsidP="00875E1C" w:rsidRDefault="001869E5" w14:paraId="4608EA2A" w14:textId="0E42BAAA">
      <w:pPr>
        <w:spacing w:after="160" w:line="259" w:lineRule="auto"/>
        <w:ind w:left="360"/>
        <w:rPr>
          <w:rFonts w:eastAsia="Calibri"/>
          <w:szCs w:val="18"/>
          <w:lang w:eastAsia="en-US"/>
        </w:rPr>
      </w:pPr>
      <w:r w:rsidRPr="001869E5">
        <w:rPr>
          <w:rFonts w:eastAsia="Calibri"/>
          <w:szCs w:val="18"/>
          <w:lang w:eastAsia="en-US"/>
        </w:rPr>
        <w:t xml:space="preserve">De landelijke publiek omroep is onafhankelijk. Het is dan ook primair aan de NPO en de omroepen om te bepalen hoe de bezuinigingen worden ingevuld. Het uitgangspunt daarbij is wel om de programmering zoveel als mogelijk te ontzien. Om die reden wordt er </w:t>
      </w:r>
      <w:r w:rsidR="00875E1C">
        <w:rPr>
          <w:rFonts w:eastAsia="Calibri"/>
          <w:szCs w:val="18"/>
          <w:lang w:eastAsia="en-US"/>
        </w:rPr>
        <w:t xml:space="preserve">bij de invulling van de bezuinigingen ook </w:t>
      </w:r>
      <w:r w:rsidRPr="001869E5">
        <w:rPr>
          <w:rFonts w:eastAsia="Calibri"/>
          <w:szCs w:val="18"/>
          <w:lang w:eastAsia="en-US"/>
        </w:rPr>
        <w:t>bespaard op de organisatiekosten van de NPO en de omroepen</w:t>
      </w:r>
      <w:r w:rsidR="00E6018B">
        <w:rPr>
          <w:rFonts w:eastAsia="Calibri"/>
          <w:szCs w:val="18"/>
          <w:lang w:eastAsia="en-US"/>
        </w:rPr>
        <w:t xml:space="preserve">. </w:t>
      </w:r>
    </w:p>
    <w:p w:rsidRPr="001869E5" w:rsidR="001869E5" w:rsidP="001869E5" w:rsidRDefault="001869E5" w14:paraId="78DB1400"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Deelt u de opvatting dat een publieke omroep bij bezuinigingen bij zichzelf dient te beginnen en dat dit impliceert dat ook de top van de organisatie naar rato bijdraagt aan besparingen? Zo nee, waarom niet?</w:t>
      </w:r>
    </w:p>
    <w:p w:rsidRPr="001869E5" w:rsidR="001869E5" w:rsidP="001869E5" w:rsidRDefault="001869E5" w14:paraId="079B42A2" w14:textId="562DEF0A">
      <w:pPr>
        <w:spacing w:after="160" w:line="259" w:lineRule="auto"/>
        <w:ind w:left="360"/>
        <w:rPr>
          <w:rFonts w:eastAsia="Calibri"/>
          <w:szCs w:val="18"/>
          <w:lang w:eastAsia="en-US"/>
        </w:rPr>
      </w:pPr>
      <w:r w:rsidRPr="001869E5">
        <w:rPr>
          <w:rFonts w:eastAsia="Calibri"/>
          <w:szCs w:val="18"/>
          <w:lang w:eastAsia="en-US"/>
        </w:rPr>
        <w:t>Zie het antwoord op vraag 6.</w:t>
      </w:r>
    </w:p>
    <w:p w:rsidRPr="001869E5" w:rsidR="001869E5" w:rsidP="001869E5" w:rsidRDefault="001869E5" w14:paraId="6A57F36D"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In hoeverre verwacht u dat de hervormingen binnen de publieke omroep leiden tot lagere overhead en een beperking van bestuurlijke kosten?</w:t>
      </w:r>
    </w:p>
    <w:p w:rsidRPr="001869E5" w:rsidR="001869E5" w:rsidP="001869E5" w:rsidRDefault="001869E5" w14:paraId="4B228DBD" w14:textId="1E1B0010">
      <w:pPr>
        <w:spacing w:after="160" w:line="259" w:lineRule="auto"/>
        <w:ind w:left="360"/>
        <w:rPr>
          <w:rFonts w:eastAsia="Calibri"/>
          <w:szCs w:val="18"/>
          <w:lang w:eastAsia="en-US"/>
        </w:rPr>
      </w:pPr>
      <w:r w:rsidRPr="001869E5">
        <w:rPr>
          <w:rFonts w:eastAsia="Calibri"/>
          <w:szCs w:val="18"/>
          <w:lang w:eastAsia="en-US"/>
        </w:rPr>
        <w:t>De voorgenomen hervorming gaa</w:t>
      </w:r>
      <w:r w:rsidR="00875E1C">
        <w:rPr>
          <w:rFonts w:eastAsia="Calibri"/>
          <w:szCs w:val="18"/>
          <w:lang w:eastAsia="en-US"/>
        </w:rPr>
        <w:t>t</w:t>
      </w:r>
      <w:r w:rsidRPr="001869E5">
        <w:rPr>
          <w:rFonts w:eastAsia="Calibri"/>
          <w:szCs w:val="18"/>
          <w:lang w:eastAsia="en-US"/>
        </w:rPr>
        <w:t xml:space="preserve"> leiden tot minder organisaties en minder bestuurlijke </w:t>
      </w:r>
      <w:r w:rsidR="008B54E9">
        <w:rPr>
          <w:rFonts w:eastAsia="Calibri"/>
          <w:szCs w:val="18"/>
          <w:lang w:eastAsia="en-US"/>
        </w:rPr>
        <w:t>afstemming</w:t>
      </w:r>
      <w:r w:rsidRPr="001869E5">
        <w:rPr>
          <w:rFonts w:eastAsia="Calibri"/>
          <w:szCs w:val="18"/>
          <w:lang w:eastAsia="en-US"/>
        </w:rPr>
        <w:t xml:space="preserve">. Dat leidt ook tot een lagere totale overhead en minder bestuurlijke kosten. </w:t>
      </w:r>
    </w:p>
    <w:p w:rsidRPr="001869E5" w:rsidR="001869E5" w:rsidP="001869E5" w:rsidRDefault="001869E5" w14:paraId="07A47025"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Waarom is er voor gekozen om pas in het vierde kwartaal van 2026 een voorstel te doen voor een benchmark voor overheadkosten? Waarom is er niet gekozen voor versnelling, gelet op de actuele maatschappelijke en politieke discussie over bezuinigingen en bestedingen binnen de publieke omroep? 2)</w:t>
      </w:r>
    </w:p>
    <w:p w:rsidR="00875E1C" w:rsidP="001869E5" w:rsidRDefault="001869E5" w14:paraId="27AC8EE1" w14:textId="25EF5C42">
      <w:pPr>
        <w:spacing w:after="160" w:line="259" w:lineRule="auto"/>
        <w:ind w:left="360"/>
        <w:rPr>
          <w:rFonts w:eastAsia="Calibri"/>
          <w:szCs w:val="18"/>
          <w:lang w:eastAsia="en-US"/>
        </w:rPr>
      </w:pPr>
      <w:r w:rsidRPr="001869E5">
        <w:rPr>
          <w:rFonts w:eastAsia="Calibri"/>
          <w:szCs w:val="18"/>
          <w:lang w:eastAsia="en-US"/>
        </w:rPr>
        <w:t>De keuze voor het vierde kwartaal is gebaseerd op benodigde tijd voor afstemming, in een periode waarin er al veel tijd en aandacht nodig is om de voorgenomen hervorming</w:t>
      </w:r>
      <w:r w:rsidR="00875E1C">
        <w:rPr>
          <w:rFonts w:eastAsia="Calibri"/>
          <w:szCs w:val="18"/>
          <w:lang w:eastAsia="en-US"/>
        </w:rPr>
        <w:t xml:space="preserve"> en bezuinigingen</w:t>
      </w:r>
      <w:r w:rsidRPr="001869E5">
        <w:rPr>
          <w:rFonts w:eastAsia="Calibri"/>
          <w:szCs w:val="18"/>
          <w:lang w:eastAsia="en-US"/>
        </w:rPr>
        <w:t xml:space="preserve"> goed vorm te geven en uit te werken. </w:t>
      </w:r>
    </w:p>
    <w:p w:rsidRPr="001869E5" w:rsidR="001869E5" w:rsidP="001869E5" w:rsidRDefault="00875E1C" w14:paraId="4A6EDECF" w14:textId="11A51B23">
      <w:pPr>
        <w:spacing w:after="160" w:line="259" w:lineRule="auto"/>
        <w:ind w:left="360"/>
        <w:rPr>
          <w:rFonts w:eastAsia="Calibri"/>
          <w:szCs w:val="18"/>
          <w:lang w:eastAsia="en-US"/>
        </w:rPr>
      </w:pPr>
      <w:r>
        <w:rPr>
          <w:rFonts w:eastAsia="Calibri"/>
          <w:szCs w:val="18"/>
          <w:lang w:eastAsia="en-US"/>
        </w:rPr>
        <w:t>Ook zonder benchmark bestaan er al afspraken en regelingen voor de hoogte en transparantie van de verschillende kosten. O</w:t>
      </w:r>
      <w:r w:rsidRPr="001869E5" w:rsidR="001869E5">
        <w:rPr>
          <w:rFonts w:eastAsia="Calibri"/>
          <w:szCs w:val="18"/>
          <w:lang w:eastAsia="en-US"/>
        </w:rPr>
        <w:t>mroepen</w:t>
      </w:r>
      <w:r>
        <w:rPr>
          <w:rFonts w:eastAsia="Calibri"/>
          <w:szCs w:val="18"/>
          <w:lang w:eastAsia="en-US"/>
        </w:rPr>
        <w:t xml:space="preserve"> rapporteren</w:t>
      </w:r>
      <w:r w:rsidRPr="001869E5" w:rsidR="001869E5">
        <w:rPr>
          <w:rFonts w:eastAsia="Calibri"/>
          <w:szCs w:val="18"/>
          <w:lang w:eastAsia="en-US"/>
        </w:rPr>
        <w:t xml:space="preserve"> op basis van het handboek financiële verantwoording</w:t>
      </w:r>
      <w:r w:rsidR="002C560E">
        <w:rPr>
          <w:rStyle w:val="Voetnootmarkering"/>
          <w:rFonts w:eastAsia="Calibri"/>
          <w:szCs w:val="18"/>
          <w:lang w:eastAsia="en-US"/>
        </w:rPr>
        <w:footnoteReference w:id="1"/>
      </w:r>
      <w:r w:rsidRPr="001869E5" w:rsidR="001869E5">
        <w:rPr>
          <w:rFonts w:eastAsia="Calibri"/>
          <w:szCs w:val="18"/>
          <w:lang w:eastAsia="en-US"/>
        </w:rPr>
        <w:t xml:space="preserve"> </w:t>
      </w:r>
      <w:r>
        <w:rPr>
          <w:rFonts w:eastAsia="Calibri"/>
          <w:szCs w:val="18"/>
          <w:lang w:eastAsia="en-US"/>
        </w:rPr>
        <w:t xml:space="preserve">al jaarlijks </w:t>
      </w:r>
      <w:r w:rsidRPr="001869E5" w:rsidR="001869E5">
        <w:rPr>
          <w:rFonts w:eastAsia="Calibri"/>
          <w:szCs w:val="18"/>
          <w:lang w:eastAsia="en-US"/>
        </w:rPr>
        <w:t xml:space="preserve">over de hoogte van </w:t>
      </w:r>
      <w:r w:rsidRPr="001869E5" w:rsidR="001869E5">
        <w:rPr>
          <w:rFonts w:eastAsia="Calibri"/>
          <w:szCs w:val="18"/>
          <w:lang w:eastAsia="en-US"/>
        </w:rPr>
        <w:lastRenderedPageBreak/>
        <w:t>de organisatiekosten</w:t>
      </w:r>
      <w:r>
        <w:rPr>
          <w:rFonts w:eastAsia="Calibri"/>
          <w:szCs w:val="18"/>
          <w:lang w:eastAsia="en-US"/>
        </w:rPr>
        <w:t>. D</w:t>
      </w:r>
      <w:r w:rsidRPr="001869E5" w:rsidR="001869E5">
        <w:rPr>
          <w:rFonts w:eastAsia="Calibri"/>
          <w:szCs w:val="18"/>
          <w:lang w:eastAsia="en-US"/>
        </w:rPr>
        <w:t xml:space="preserve">e </w:t>
      </w:r>
      <w:r>
        <w:rPr>
          <w:rFonts w:eastAsia="Calibri"/>
          <w:szCs w:val="18"/>
          <w:lang w:eastAsia="en-US"/>
        </w:rPr>
        <w:t xml:space="preserve">vergoeding voor organisatiekosten die omroepen ontvangen is genormeerd in de </w:t>
      </w:r>
      <w:r w:rsidRPr="001869E5" w:rsidR="001869E5">
        <w:rPr>
          <w:rFonts w:eastAsia="Calibri"/>
          <w:szCs w:val="18"/>
          <w:lang w:eastAsia="en-US"/>
        </w:rPr>
        <w:t xml:space="preserve">bindende regeling </w:t>
      </w:r>
      <w:r>
        <w:rPr>
          <w:rFonts w:eastAsia="Calibri"/>
          <w:szCs w:val="18"/>
          <w:lang w:eastAsia="en-US"/>
        </w:rPr>
        <w:t xml:space="preserve">vergoeding </w:t>
      </w:r>
      <w:r w:rsidRPr="001869E5" w:rsidR="001869E5">
        <w:rPr>
          <w:rFonts w:eastAsia="Calibri"/>
          <w:szCs w:val="18"/>
          <w:lang w:eastAsia="en-US"/>
        </w:rPr>
        <w:t>organisatiekosten</w:t>
      </w:r>
      <w:r w:rsidR="002C560E">
        <w:rPr>
          <w:rFonts w:eastAsia="Calibri"/>
          <w:szCs w:val="18"/>
          <w:lang w:eastAsia="en-US"/>
        </w:rPr>
        <w:t xml:space="preserve"> van de NPO</w:t>
      </w:r>
      <w:r>
        <w:rPr>
          <w:rFonts w:eastAsia="Calibri"/>
          <w:szCs w:val="18"/>
          <w:lang w:eastAsia="en-US"/>
        </w:rPr>
        <w:t>,</w:t>
      </w:r>
      <w:r w:rsidRPr="001869E5" w:rsidR="001869E5">
        <w:rPr>
          <w:rFonts w:eastAsia="Calibri"/>
          <w:szCs w:val="18"/>
          <w:lang w:eastAsia="en-US"/>
        </w:rPr>
        <w:t xml:space="preserve"> waarmee de vergoeding voor organisatiekosten wordt bepaald</w:t>
      </w:r>
      <w:r>
        <w:rPr>
          <w:rFonts w:eastAsia="Calibri"/>
          <w:szCs w:val="18"/>
          <w:lang w:eastAsia="en-US"/>
        </w:rPr>
        <w:t>, gerelateerd aan de hoogte van het programmabudget</w:t>
      </w:r>
      <w:r w:rsidRPr="001869E5" w:rsidR="001869E5">
        <w:rPr>
          <w:rFonts w:eastAsia="Calibri"/>
          <w:szCs w:val="18"/>
          <w:lang w:eastAsia="en-US"/>
        </w:rPr>
        <w:t xml:space="preserve">. De NPO rapporteert </w:t>
      </w:r>
      <w:r>
        <w:rPr>
          <w:rFonts w:eastAsia="Calibri"/>
          <w:szCs w:val="18"/>
          <w:lang w:eastAsia="en-US"/>
        </w:rPr>
        <w:t xml:space="preserve">jaarlijks </w:t>
      </w:r>
      <w:r w:rsidRPr="001869E5" w:rsidR="001869E5">
        <w:rPr>
          <w:rFonts w:eastAsia="Calibri"/>
          <w:szCs w:val="18"/>
          <w:lang w:eastAsia="en-US"/>
        </w:rPr>
        <w:t xml:space="preserve">over de kosten van de eigen </w:t>
      </w:r>
      <w:r>
        <w:rPr>
          <w:rFonts w:eastAsia="Calibri"/>
          <w:szCs w:val="18"/>
          <w:lang w:eastAsia="en-US"/>
        </w:rPr>
        <w:t>NPO-</w:t>
      </w:r>
      <w:r w:rsidRPr="001869E5" w:rsidR="001869E5">
        <w:rPr>
          <w:rFonts w:eastAsia="Calibri"/>
          <w:szCs w:val="18"/>
          <w:lang w:eastAsia="en-US"/>
        </w:rPr>
        <w:t xml:space="preserve">organisatie en maakt daarbij een onderscheid tussen kosten voor gemeenschappelijke activiteiten voor het gehele bestel </w:t>
      </w:r>
      <w:r>
        <w:rPr>
          <w:rFonts w:eastAsia="Calibri"/>
          <w:szCs w:val="18"/>
          <w:lang w:eastAsia="en-US"/>
        </w:rPr>
        <w:t xml:space="preserve">(o.a. rechten en distributiekosten) </w:t>
      </w:r>
      <w:r w:rsidRPr="001869E5" w:rsidR="001869E5">
        <w:rPr>
          <w:rFonts w:eastAsia="Calibri"/>
          <w:szCs w:val="18"/>
          <w:lang w:eastAsia="en-US"/>
        </w:rPr>
        <w:t>en kosten voor bestuur en beheer en ondersteuning.</w:t>
      </w:r>
      <w:r>
        <w:rPr>
          <w:rFonts w:eastAsia="Calibri"/>
          <w:szCs w:val="18"/>
          <w:lang w:eastAsia="en-US"/>
        </w:rPr>
        <w:t xml:space="preserve"> </w:t>
      </w:r>
    </w:p>
    <w:p w:rsidRPr="001869E5" w:rsidR="001869E5" w:rsidP="001869E5" w:rsidRDefault="001869E5" w14:paraId="1A667ADA"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Kunt u uiteenzetten welke concrete definities en afbakeningen u hanteert voor ‘overhead’ zodat inzichtelijk wordt welke kosten wel en niet onder deze toekomstige norm vallen?</w:t>
      </w:r>
    </w:p>
    <w:p w:rsidRPr="001869E5" w:rsidR="001869E5" w:rsidP="001869E5" w:rsidRDefault="001869E5" w14:paraId="6883B3E4" w14:textId="6B805EEF">
      <w:pPr>
        <w:spacing w:after="160" w:line="259" w:lineRule="auto"/>
        <w:ind w:left="360"/>
        <w:rPr>
          <w:rFonts w:eastAsia="Calibri"/>
          <w:szCs w:val="18"/>
          <w:lang w:eastAsia="en-US"/>
        </w:rPr>
      </w:pPr>
      <w:r w:rsidRPr="001869E5">
        <w:rPr>
          <w:rFonts w:eastAsia="Calibri"/>
          <w:szCs w:val="18"/>
          <w:lang w:eastAsia="en-US"/>
        </w:rPr>
        <w:t>Ik informeer u in</w:t>
      </w:r>
      <w:r w:rsidR="004C07CB">
        <w:rPr>
          <w:rFonts w:eastAsia="Calibri"/>
          <w:szCs w:val="18"/>
          <w:lang w:eastAsia="en-US"/>
        </w:rPr>
        <w:t xml:space="preserve"> </w:t>
      </w:r>
      <w:r w:rsidRPr="001869E5">
        <w:rPr>
          <w:rFonts w:eastAsia="Calibri"/>
          <w:szCs w:val="18"/>
          <w:lang w:eastAsia="en-US"/>
        </w:rPr>
        <w:t xml:space="preserve">de Mediabegrotingsbrief 2027 over de precieze definities en afbakening van de term overhead en over de manier waarop ik een benchmark wil vormgeven en toepassen. Het uitgangspunt is om daarbij zoveel als mogelijk aan te sluiten bij de </w:t>
      </w:r>
      <w:r w:rsidR="00875E1C">
        <w:rPr>
          <w:rFonts w:eastAsia="Calibri"/>
          <w:szCs w:val="18"/>
          <w:lang w:eastAsia="en-US"/>
        </w:rPr>
        <w:t xml:space="preserve">al </w:t>
      </w:r>
      <w:r w:rsidRPr="001869E5">
        <w:rPr>
          <w:rFonts w:eastAsia="Calibri"/>
          <w:szCs w:val="18"/>
          <w:lang w:eastAsia="en-US"/>
        </w:rPr>
        <w:t>bestaande definities uit het handboek financiële verantwoording en het onderscheid dat daarin voor de financiële verantwoording voor omroepen al wordt gemaakt tussen kosten voor media-aanbod en organisatiekosten.</w:t>
      </w:r>
    </w:p>
    <w:p w:rsidRPr="001869E5" w:rsidR="001869E5" w:rsidP="001869E5" w:rsidRDefault="001869E5" w14:paraId="1F992299"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Hoe wordt gewaarborgd dat de voorgenomen benchmark daadwerkelijk vergelijkbaarheid en transparantie oplevert tussen omroepen?</w:t>
      </w:r>
    </w:p>
    <w:p w:rsidRPr="001869E5" w:rsidR="001869E5" w:rsidP="001869E5" w:rsidRDefault="001869E5" w14:paraId="50D10938" w14:textId="77777777">
      <w:pPr>
        <w:spacing w:after="160" w:line="259" w:lineRule="auto"/>
        <w:ind w:left="360"/>
        <w:rPr>
          <w:rFonts w:eastAsia="Calibri"/>
          <w:szCs w:val="18"/>
          <w:lang w:eastAsia="en-US"/>
        </w:rPr>
      </w:pPr>
      <w:r w:rsidRPr="001869E5">
        <w:rPr>
          <w:rFonts w:eastAsia="Calibri"/>
          <w:szCs w:val="18"/>
          <w:lang w:eastAsia="en-US"/>
        </w:rPr>
        <w:t>Ik informeer u in de Mediabegrotingsbrief 2027 over de precieze definities en afbakening van de term overhead en over de manier waarop ik de benchmark wil vormgeven en toepassen. Het borgen van vergelijkbaarheid en transparantie is daar onderdeel van. Dat kan op verschillende manieren, bijvoorbeeld door vastlegging van definities en van rapportageafspraken.</w:t>
      </w:r>
    </w:p>
    <w:p w:rsidRPr="001869E5" w:rsidR="001869E5" w:rsidP="001869E5" w:rsidRDefault="001869E5" w14:paraId="7E5B87AD"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Waarom wilt u, gezien de aanzienlijke hoeveelheid publieke middelen, geen koppeling maken tussen bezuinigingen op het mediabudget en besparingen op bestuur en toezicht vanwege de onafhankelijkheid van de publieke omroep? Hoe voorkomt u in dat licht dat bezuinigingen in de praktijk onevenredig neerslaan bij programma’s en makers?</w:t>
      </w:r>
    </w:p>
    <w:p w:rsidRPr="001869E5" w:rsidR="001869E5" w:rsidP="001869E5" w:rsidRDefault="001869E5" w14:paraId="1870EBFD" w14:textId="77777777">
      <w:pPr>
        <w:spacing w:after="160" w:line="259" w:lineRule="auto"/>
        <w:ind w:left="360"/>
        <w:rPr>
          <w:rFonts w:eastAsia="Calibri"/>
          <w:szCs w:val="18"/>
          <w:lang w:eastAsia="en-US"/>
        </w:rPr>
      </w:pPr>
      <w:r w:rsidRPr="001869E5">
        <w:rPr>
          <w:rFonts w:eastAsia="Calibri"/>
          <w:szCs w:val="18"/>
          <w:lang w:eastAsia="en-US"/>
        </w:rPr>
        <w:t>Een directe koppeling vanuit de overheid tussen de hoogte van het totale mediabudget en de hoogte van uitgaven aan een specifieke kostencategorie is onwenselijk. Dat geldt voor alle uitgaven, ook de uitgaven aan bestuur en toezicht. De publieke omroep moet daarin onafhankelijk keuzes kunnen maken, binnen de kaders en randvoorwaarden die de wet- en regelgeving, waaronder de WNT, daaraan stellen. Zoals ook gesteld bij het antwoord op vraag 6 wordt bij de invulling van de huidige bezuinigingen ook bespaard op organisatiekosten bij de NPO en de omroepen.</w:t>
      </w:r>
    </w:p>
    <w:p w:rsidRPr="001869E5" w:rsidR="001869E5" w:rsidP="001869E5" w:rsidRDefault="001869E5" w14:paraId="3F1A115E"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Welke andere instrumenten of prikkels ziet u om te bevorderen dat ook binnen bestuur, toezicht en management kritisch wordt gekeken naar kostenreductie?</w:t>
      </w:r>
    </w:p>
    <w:p w:rsidRPr="001869E5" w:rsidR="001869E5" w:rsidP="001869E5" w:rsidRDefault="001869E5" w14:paraId="6A719EFD" w14:textId="4BEB7936">
      <w:pPr>
        <w:spacing w:after="160" w:line="259" w:lineRule="auto"/>
        <w:ind w:left="360"/>
        <w:rPr>
          <w:rFonts w:eastAsia="Calibri"/>
          <w:szCs w:val="18"/>
          <w:lang w:eastAsia="en-US"/>
        </w:rPr>
      </w:pPr>
      <w:r w:rsidRPr="001869E5">
        <w:rPr>
          <w:rFonts w:eastAsia="Calibri"/>
          <w:szCs w:val="18"/>
          <w:lang w:eastAsia="en-US"/>
        </w:rPr>
        <w:t xml:space="preserve">De kaders en randvoorwaarden uit wet- en regelgeving vormen tezamen het instrumentarium en de prikkel om te bevorderen dat kritisch wordt gekeken naar kostenreductie. Daarbij gaat het onder andere om de WNT, om de wettelijke opdracht om middelen doelmatig te besteden en om de organisatie sober, doelmatig en evenwichtig in te richten en om de bindende regeling </w:t>
      </w:r>
      <w:r w:rsidRPr="001869E5">
        <w:rPr>
          <w:rFonts w:eastAsia="Calibri"/>
          <w:szCs w:val="18"/>
          <w:lang w:eastAsia="en-US"/>
        </w:rPr>
        <w:lastRenderedPageBreak/>
        <w:t>vergoeding organisatiekosten van de NPO. Ook een transparante verantwoording en gebruik van een benchmark kan hieraan bijdragen.</w:t>
      </w:r>
    </w:p>
    <w:p w:rsidRPr="001869E5" w:rsidR="001869E5" w:rsidP="001869E5" w:rsidRDefault="001869E5" w14:paraId="23ED3A4F"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In hoeverre acht u het voldoende dat bestuurdersbeloningen enkel worden begrensd via de WNT, gegeven het feit dat binnen dat kader alsnog sprake kan zijn van aanzienlijke salarisstijgingen?</w:t>
      </w:r>
    </w:p>
    <w:p w:rsidRPr="001869E5" w:rsidR="001869E5" w:rsidP="001869E5" w:rsidRDefault="001869E5" w14:paraId="5EE2BFD7" w14:textId="5D4B8762">
      <w:pPr>
        <w:spacing w:after="160" w:line="259" w:lineRule="auto"/>
        <w:ind w:left="360"/>
        <w:rPr>
          <w:rFonts w:eastAsia="Calibri"/>
          <w:szCs w:val="18"/>
          <w:lang w:eastAsia="en-US"/>
        </w:rPr>
      </w:pPr>
      <w:r w:rsidRPr="001869E5">
        <w:rPr>
          <w:rFonts w:eastAsia="Calibri"/>
          <w:szCs w:val="18"/>
          <w:lang w:eastAsia="en-US"/>
        </w:rPr>
        <w:t xml:space="preserve">Ik acht </w:t>
      </w:r>
      <w:r w:rsidR="00B0455C">
        <w:rPr>
          <w:rFonts w:eastAsia="Calibri"/>
          <w:szCs w:val="18"/>
          <w:lang w:eastAsia="en-US"/>
        </w:rPr>
        <w:t>het</w:t>
      </w:r>
      <w:r w:rsidRPr="001869E5">
        <w:rPr>
          <w:rFonts w:eastAsia="Calibri"/>
          <w:szCs w:val="18"/>
          <w:lang w:eastAsia="en-US"/>
        </w:rPr>
        <w:t xml:space="preserve"> voldoende</w:t>
      </w:r>
      <w:r w:rsidR="00B0455C">
        <w:rPr>
          <w:rFonts w:eastAsia="Calibri"/>
          <w:szCs w:val="18"/>
          <w:lang w:eastAsia="en-US"/>
        </w:rPr>
        <w:t xml:space="preserve"> dat de WNT alleen de maximale bezoldiging begrenst</w:t>
      </w:r>
      <w:r w:rsidRPr="001869E5">
        <w:rPr>
          <w:rFonts w:eastAsia="Calibri"/>
          <w:szCs w:val="18"/>
          <w:lang w:eastAsia="en-US"/>
        </w:rPr>
        <w:t xml:space="preserve">. Binnen die normen is het aan bestuurders </w:t>
      </w:r>
      <w:r w:rsidR="00753643">
        <w:rPr>
          <w:rFonts w:eastAsia="Calibri"/>
          <w:szCs w:val="18"/>
          <w:lang w:eastAsia="en-US"/>
        </w:rPr>
        <w:t xml:space="preserve">en toezichthouders als topfunctionaris </w:t>
      </w:r>
      <w:r w:rsidRPr="001869E5">
        <w:rPr>
          <w:rFonts w:eastAsia="Calibri"/>
          <w:szCs w:val="18"/>
          <w:lang w:eastAsia="en-US"/>
        </w:rPr>
        <w:t xml:space="preserve">en de </w:t>
      </w:r>
      <w:r w:rsidR="00753643">
        <w:rPr>
          <w:rFonts w:eastAsia="Calibri"/>
          <w:szCs w:val="18"/>
          <w:lang w:eastAsia="en-US"/>
        </w:rPr>
        <w:t xml:space="preserve">instelling als </w:t>
      </w:r>
      <w:r w:rsidRPr="001869E5">
        <w:rPr>
          <w:rFonts w:eastAsia="Calibri"/>
          <w:szCs w:val="18"/>
          <w:lang w:eastAsia="en-US"/>
        </w:rPr>
        <w:t>werkgever om te komen tot afspraken over passende beloningen.</w:t>
      </w:r>
    </w:p>
    <w:p w:rsidRPr="001869E5" w:rsidR="001869E5" w:rsidP="001869E5" w:rsidRDefault="001869E5" w14:paraId="3BE67E76"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Tot hoe ver reikt de onafhankelijkheid van de NPO wanneer het gaat over de invulling van bezuinigingen? Waar zit de grens voor u om te besluiten in te grijpen bij disproportionele salarissen/beloningen van individuele medewerkers, bestuurders of toezichthouders?</w:t>
      </w:r>
    </w:p>
    <w:p w:rsidRPr="001869E5" w:rsidR="001869E5" w:rsidP="001869E5" w:rsidRDefault="001869E5" w14:paraId="148E492A" w14:textId="305E2D26">
      <w:pPr>
        <w:spacing w:after="160" w:line="259" w:lineRule="auto"/>
        <w:ind w:left="360"/>
        <w:rPr>
          <w:rFonts w:eastAsia="Calibri"/>
          <w:szCs w:val="18"/>
          <w:lang w:eastAsia="en-US"/>
        </w:rPr>
      </w:pPr>
      <w:r w:rsidRPr="001869E5">
        <w:rPr>
          <w:rFonts w:eastAsia="Calibri"/>
          <w:szCs w:val="18"/>
          <w:lang w:eastAsia="en-US"/>
        </w:rPr>
        <w:t>De onafhankelijkheid van de NPO en de omroepen is een groot goed, die wat mij betreft ver reikt. Dat geldt ook voor de invulling van de bezuinigingen, zolang dat gebeurt binnen de kaders en randvoorwaarden van de wet- en regelgeving, waaronder de WNT.</w:t>
      </w:r>
    </w:p>
    <w:p w:rsidRPr="001869E5" w:rsidR="001869E5" w:rsidP="001869E5" w:rsidRDefault="001869E5" w14:paraId="319990FF"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Deelt u de opvatting dat het ontbreken van een koppeling tussen bezuinigingen en de bijdrage van de bestuurlijke top het risico vergroot dat het draagvlak voor de publieke omroep onder druk komt te staan?</w:t>
      </w:r>
    </w:p>
    <w:p w:rsidRPr="001869E5" w:rsidR="001869E5" w:rsidP="001869E5" w:rsidRDefault="001869E5" w14:paraId="6B5C5E13" w14:textId="77777777">
      <w:pPr>
        <w:spacing w:after="160" w:line="259" w:lineRule="auto"/>
        <w:ind w:left="360"/>
        <w:rPr>
          <w:rFonts w:eastAsia="Calibri"/>
          <w:szCs w:val="18"/>
          <w:lang w:eastAsia="en-US"/>
        </w:rPr>
      </w:pPr>
      <w:r w:rsidRPr="001869E5">
        <w:rPr>
          <w:rFonts w:eastAsia="Calibri"/>
          <w:szCs w:val="18"/>
          <w:lang w:eastAsia="en-US"/>
        </w:rPr>
        <w:t>Die opvatting deel ik niet. Ik vind het voor het draagvlak wel belangrijk dat de NPO en de omroepen transparant rapporteren over de manier waarop de beschikbare middelen worden ingezet en welke keuzes daarbij worden gemaakt. Het gebruik van een benchmark voor overhead kan daaraan bijdragen.</w:t>
      </w:r>
    </w:p>
    <w:p w:rsidRPr="001869E5" w:rsidR="001869E5" w:rsidP="001869E5" w:rsidRDefault="001869E5" w14:paraId="5191FE21"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Hoe verhoudt uw standpunt dat de overheid geen partij is bij individuele beloningsafspraken zich tot de systeemverantwoordelijkheid voor doelmatige besteding van publieke middelen?</w:t>
      </w:r>
    </w:p>
    <w:p w:rsidRPr="001869E5" w:rsidR="001869E5" w:rsidP="001869E5" w:rsidRDefault="001869E5" w14:paraId="68CF224F" w14:textId="48DF2888">
      <w:pPr>
        <w:spacing w:after="160" w:line="259" w:lineRule="auto"/>
        <w:ind w:left="360"/>
        <w:rPr>
          <w:rFonts w:eastAsia="Calibri"/>
          <w:szCs w:val="18"/>
          <w:lang w:eastAsia="en-US"/>
        </w:rPr>
      </w:pPr>
      <w:r w:rsidRPr="001869E5">
        <w:rPr>
          <w:rFonts w:eastAsia="Calibri"/>
          <w:szCs w:val="18"/>
          <w:lang w:eastAsia="en-US"/>
        </w:rPr>
        <w:t xml:space="preserve">De systeemverantwoordelijkheid van de overheid voor doelmatige besteding van publieke middelen wordt onder andere ingevuld door de maximering van </w:t>
      </w:r>
      <w:r w:rsidR="00B0455C">
        <w:rPr>
          <w:rFonts w:eastAsia="Calibri"/>
          <w:szCs w:val="18"/>
          <w:lang w:eastAsia="en-US"/>
        </w:rPr>
        <w:t>bezoldigingen</w:t>
      </w:r>
      <w:r w:rsidRPr="001869E5" w:rsidR="00B0455C">
        <w:rPr>
          <w:rFonts w:eastAsia="Calibri"/>
          <w:szCs w:val="18"/>
          <w:lang w:eastAsia="en-US"/>
        </w:rPr>
        <w:t xml:space="preserve"> </w:t>
      </w:r>
      <w:r w:rsidRPr="001869E5">
        <w:rPr>
          <w:rFonts w:eastAsia="Calibri"/>
          <w:szCs w:val="18"/>
          <w:lang w:eastAsia="en-US"/>
        </w:rPr>
        <w:t xml:space="preserve">van </w:t>
      </w:r>
      <w:r w:rsidR="00B0455C">
        <w:rPr>
          <w:rFonts w:eastAsia="Calibri"/>
          <w:szCs w:val="18"/>
          <w:lang w:eastAsia="en-US"/>
        </w:rPr>
        <w:t>topfunctionarissen</w:t>
      </w:r>
      <w:r w:rsidRPr="001869E5" w:rsidR="00B0455C">
        <w:rPr>
          <w:rFonts w:eastAsia="Calibri"/>
          <w:szCs w:val="18"/>
          <w:lang w:eastAsia="en-US"/>
        </w:rPr>
        <w:t xml:space="preserve"> </w:t>
      </w:r>
      <w:r w:rsidRPr="001869E5">
        <w:rPr>
          <w:rFonts w:eastAsia="Calibri"/>
          <w:szCs w:val="18"/>
          <w:lang w:eastAsia="en-US"/>
        </w:rPr>
        <w:t xml:space="preserve">door de WNT. </w:t>
      </w:r>
      <w:r w:rsidR="002C560E">
        <w:rPr>
          <w:rFonts w:eastAsia="Calibri"/>
          <w:szCs w:val="18"/>
          <w:lang w:eastAsia="en-US"/>
        </w:rPr>
        <w:t>Dat verhoudt zich goed tot het standpunt dat het d</w:t>
      </w:r>
      <w:r w:rsidRPr="001869E5">
        <w:rPr>
          <w:rFonts w:eastAsia="Calibri"/>
          <w:szCs w:val="18"/>
          <w:lang w:eastAsia="en-US"/>
        </w:rPr>
        <w:t xml:space="preserve">aarbinnen aan bestuurders </w:t>
      </w:r>
      <w:r w:rsidR="00753643">
        <w:rPr>
          <w:rFonts w:eastAsia="Calibri"/>
          <w:szCs w:val="18"/>
          <w:lang w:eastAsia="en-US"/>
        </w:rPr>
        <w:t xml:space="preserve">en toezichthouders als topfunctionaris </w:t>
      </w:r>
      <w:r w:rsidRPr="001869E5">
        <w:rPr>
          <w:rFonts w:eastAsia="Calibri"/>
          <w:szCs w:val="18"/>
          <w:lang w:eastAsia="en-US"/>
        </w:rPr>
        <w:t xml:space="preserve">en de </w:t>
      </w:r>
      <w:r w:rsidR="00753643">
        <w:rPr>
          <w:rFonts w:eastAsia="Calibri"/>
          <w:szCs w:val="18"/>
          <w:lang w:eastAsia="en-US"/>
        </w:rPr>
        <w:t xml:space="preserve">instelling als </w:t>
      </w:r>
      <w:r w:rsidRPr="001869E5">
        <w:rPr>
          <w:rFonts w:eastAsia="Calibri"/>
          <w:szCs w:val="18"/>
          <w:lang w:eastAsia="en-US"/>
        </w:rPr>
        <w:t xml:space="preserve">werkgever </w:t>
      </w:r>
      <w:r w:rsidR="002C560E">
        <w:rPr>
          <w:rFonts w:eastAsia="Calibri"/>
          <w:szCs w:val="18"/>
          <w:lang w:eastAsia="en-US"/>
        </w:rPr>
        <w:t xml:space="preserve">is </w:t>
      </w:r>
      <w:r w:rsidRPr="001869E5">
        <w:rPr>
          <w:rFonts w:eastAsia="Calibri"/>
          <w:szCs w:val="18"/>
          <w:lang w:eastAsia="en-US"/>
        </w:rPr>
        <w:t>om te komen tot afspraken over passende beloningen.</w:t>
      </w:r>
    </w:p>
    <w:p w:rsidRPr="001869E5" w:rsidR="001869E5" w:rsidP="001869E5" w:rsidRDefault="001869E5" w14:paraId="6D64273C"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Kunt u toelichten hoe de Kamer tijdig wordt betrokken bij de uitwerking van de overheadnorm en de onderliggende keuzes?</w:t>
      </w:r>
    </w:p>
    <w:p w:rsidRPr="001869E5" w:rsidR="001869E5" w:rsidP="001869E5" w:rsidRDefault="001869E5" w14:paraId="36421046" w14:textId="77777777">
      <w:pPr>
        <w:spacing w:after="160" w:line="259" w:lineRule="auto"/>
        <w:ind w:left="360"/>
        <w:rPr>
          <w:rFonts w:eastAsia="Calibri"/>
          <w:szCs w:val="18"/>
          <w:lang w:eastAsia="en-US"/>
        </w:rPr>
      </w:pPr>
      <w:r w:rsidRPr="001869E5">
        <w:rPr>
          <w:rFonts w:eastAsia="Calibri"/>
          <w:szCs w:val="18"/>
          <w:lang w:eastAsia="en-US"/>
        </w:rPr>
        <w:t>Uw Kamer wordt geïnformeerd over de voorgenomen uitwerking en de onderliggende keuzes in de Mediabegrotingsbrief 2027. Het is daarna ook aan uw Kamer zelf om te bepalen of en hoe uw Kamer zich daarin kan vinden en welke uitwerking en betrokkenheid gewenst is.</w:t>
      </w:r>
    </w:p>
    <w:p w:rsidR="001869E5" w:rsidP="001869E5" w:rsidRDefault="001869E5" w14:paraId="1F77216D" w14:textId="77777777">
      <w:pPr>
        <w:numPr>
          <w:ilvl w:val="0"/>
          <w:numId w:val="15"/>
        </w:numPr>
        <w:spacing w:after="160" w:line="259" w:lineRule="auto"/>
        <w:ind w:left="360"/>
        <w:rPr>
          <w:rFonts w:eastAsia="Calibri"/>
          <w:szCs w:val="18"/>
          <w:lang w:eastAsia="en-US"/>
        </w:rPr>
      </w:pPr>
      <w:r w:rsidRPr="001869E5">
        <w:rPr>
          <w:rFonts w:eastAsia="Calibri"/>
          <w:szCs w:val="18"/>
          <w:lang w:eastAsia="en-US"/>
        </w:rPr>
        <w:t>Bent u bereid om, vooruitlopend op de definitieve benchmark, tussentijds inzicht te geven in de huidige overheadpercentages en mogelijke bandbreedtes voor een norm?</w:t>
      </w:r>
    </w:p>
    <w:p w:rsidRPr="001869E5" w:rsidR="002C560E" w:rsidP="002C560E" w:rsidRDefault="002C560E" w14:paraId="45EF634F" w14:textId="6E3CA35C">
      <w:pPr>
        <w:spacing w:after="160" w:line="259" w:lineRule="auto"/>
        <w:ind w:left="360"/>
        <w:rPr>
          <w:rFonts w:eastAsia="Calibri"/>
          <w:szCs w:val="18"/>
          <w:lang w:eastAsia="en-US"/>
        </w:rPr>
      </w:pPr>
      <w:r>
        <w:rPr>
          <w:rFonts w:eastAsia="Calibri"/>
          <w:szCs w:val="18"/>
          <w:lang w:eastAsia="en-US"/>
        </w:rPr>
        <w:t>Zie het antwoord op vraag 5.</w:t>
      </w:r>
    </w:p>
    <w:p w:rsidRPr="001869E5" w:rsidR="001869E5" w:rsidP="001869E5" w:rsidRDefault="001869E5" w14:paraId="384A1DD4" w14:textId="77777777">
      <w:pPr>
        <w:spacing w:after="160" w:line="259" w:lineRule="auto"/>
        <w:rPr>
          <w:rFonts w:eastAsia="Calibri"/>
          <w:szCs w:val="18"/>
          <w:lang w:eastAsia="en-US"/>
        </w:rPr>
      </w:pPr>
    </w:p>
    <w:p w:rsidRPr="001869E5" w:rsidR="001869E5" w:rsidP="001869E5" w:rsidRDefault="001869E5" w14:paraId="0E670F95" w14:textId="672D9A36">
      <w:pPr>
        <w:spacing w:after="160" w:line="259" w:lineRule="auto"/>
        <w:ind w:left="360"/>
        <w:rPr>
          <w:rFonts w:eastAsia="Calibri"/>
          <w:szCs w:val="18"/>
          <w:lang w:eastAsia="en-US"/>
        </w:rPr>
      </w:pPr>
      <w:r w:rsidRPr="001869E5">
        <w:rPr>
          <w:rFonts w:eastAsia="Calibri"/>
          <w:szCs w:val="18"/>
          <w:lang w:eastAsia="en-US"/>
        </w:rPr>
        <w:br/>
      </w:r>
    </w:p>
    <w:p w:rsidRPr="001869E5" w:rsidR="001869E5" w:rsidP="001869E5" w:rsidRDefault="001869E5" w14:paraId="22CD7822" w14:textId="77777777">
      <w:pPr>
        <w:spacing w:after="160" w:line="259" w:lineRule="auto"/>
        <w:rPr>
          <w:rFonts w:eastAsia="Calibri"/>
          <w:szCs w:val="18"/>
          <w:lang w:eastAsia="en-US"/>
        </w:rPr>
      </w:pPr>
      <w:r w:rsidRPr="001869E5">
        <w:rPr>
          <w:rFonts w:eastAsia="Calibri"/>
          <w:szCs w:val="18"/>
          <w:lang w:eastAsia="en-US"/>
        </w:rPr>
        <w:t>1) De Telegraaf, 10 juni 2026, Torenhoge salarissen omroepbazen stegen nóg verder, terwijl gewone medewerkers vrezen voor hun baan (www.telegraaf.nl/entertainment/media/torenhoge-salarissen-omroepbazen-stegen-nog-verder-terwijl-gewone-medewerkers-vrezen-voor-hun-baan/155030958.html)</w:t>
      </w:r>
      <w:r w:rsidRPr="001869E5">
        <w:rPr>
          <w:rFonts w:eastAsia="Calibri"/>
          <w:szCs w:val="18"/>
          <w:lang w:eastAsia="en-US"/>
        </w:rPr>
        <w:br/>
      </w:r>
    </w:p>
    <w:p w:rsidRPr="001869E5" w:rsidR="001869E5" w:rsidP="001869E5" w:rsidRDefault="001869E5" w14:paraId="3F868240" w14:textId="77777777">
      <w:pPr>
        <w:spacing w:after="160" w:line="259" w:lineRule="auto"/>
        <w:rPr>
          <w:rFonts w:eastAsia="Calibri"/>
          <w:szCs w:val="18"/>
          <w:lang w:eastAsia="en-US"/>
        </w:rPr>
      </w:pPr>
      <w:r w:rsidRPr="001869E5">
        <w:rPr>
          <w:rFonts w:eastAsia="Calibri"/>
          <w:szCs w:val="18"/>
          <w:lang w:eastAsia="en-US"/>
        </w:rPr>
        <w:t>2) Kamerstuk 32 827, nr. 380</w:t>
      </w:r>
    </w:p>
    <w:p w:rsidRPr="001869E5" w:rsidR="00820DDA" w:rsidP="00820DDA" w:rsidRDefault="00820DDA" w14:paraId="774B4284" w14:textId="77777777">
      <w:pPr>
        <w:pStyle w:val="standaard-tekst"/>
      </w:pPr>
    </w:p>
    <w:sectPr w:rsidRPr="001869E5"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129A" w14:textId="77777777" w:rsidR="009E0BA3" w:rsidRDefault="009E0BA3">
      <w:r>
        <w:separator/>
      </w:r>
    </w:p>
    <w:p w14:paraId="03909CE1" w14:textId="77777777" w:rsidR="009E0BA3" w:rsidRDefault="009E0BA3"/>
  </w:endnote>
  <w:endnote w:type="continuationSeparator" w:id="0">
    <w:p w14:paraId="50D57E4F" w14:textId="77777777" w:rsidR="009E0BA3" w:rsidRDefault="009E0BA3">
      <w:r>
        <w:continuationSeparator/>
      </w:r>
    </w:p>
    <w:p w14:paraId="295B82AE" w14:textId="77777777" w:rsidR="009E0BA3" w:rsidRDefault="009E0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D4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594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16205" w14:paraId="5E8C45A0" w14:textId="77777777" w:rsidTr="004C7E1D">
      <w:trPr>
        <w:trHeight w:hRule="exact" w:val="357"/>
      </w:trPr>
      <w:tc>
        <w:tcPr>
          <w:tcW w:w="7603" w:type="dxa"/>
        </w:tcPr>
        <w:p w14:paraId="7EEE0C8C" w14:textId="77777777" w:rsidR="002F71BB" w:rsidRPr="004C7E1D" w:rsidRDefault="002F71BB" w:rsidP="004C7E1D">
          <w:pPr>
            <w:spacing w:line="180" w:lineRule="exact"/>
            <w:rPr>
              <w:sz w:val="13"/>
              <w:szCs w:val="13"/>
            </w:rPr>
          </w:pPr>
        </w:p>
      </w:tc>
      <w:tc>
        <w:tcPr>
          <w:tcW w:w="2172" w:type="dxa"/>
        </w:tcPr>
        <w:p w14:paraId="0D645E8F" w14:textId="2271B7D0" w:rsidR="002F71BB" w:rsidRPr="004C7E1D" w:rsidRDefault="0097237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36C7C">
            <w:rPr>
              <w:szCs w:val="13"/>
            </w:rPr>
            <w:t>6</w:t>
          </w:r>
          <w:r w:rsidRPr="004C7E1D">
            <w:rPr>
              <w:szCs w:val="13"/>
            </w:rPr>
            <w:fldChar w:fldCharType="end"/>
          </w:r>
        </w:p>
      </w:tc>
    </w:tr>
  </w:tbl>
  <w:p w14:paraId="4657F56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16205" w14:paraId="1ACA0879" w14:textId="77777777" w:rsidTr="004C7E1D">
      <w:trPr>
        <w:trHeight w:hRule="exact" w:val="357"/>
      </w:trPr>
      <w:tc>
        <w:tcPr>
          <w:tcW w:w="7709" w:type="dxa"/>
        </w:tcPr>
        <w:p w14:paraId="30912180" w14:textId="77777777" w:rsidR="00D17084" w:rsidRPr="004C7E1D" w:rsidRDefault="00D17084" w:rsidP="004C7E1D">
          <w:pPr>
            <w:spacing w:line="180" w:lineRule="exact"/>
            <w:rPr>
              <w:sz w:val="13"/>
              <w:szCs w:val="13"/>
            </w:rPr>
          </w:pPr>
        </w:p>
      </w:tc>
      <w:tc>
        <w:tcPr>
          <w:tcW w:w="2060" w:type="dxa"/>
        </w:tcPr>
        <w:p w14:paraId="4ABEF501" w14:textId="324D478F" w:rsidR="00D17084" w:rsidRPr="004C7E1D" w:rsidRDefault="0097237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36C7C">
            <w:rPr>
              <w:szCs w:val="13"/>
            </w:rPr>
            <w:t>6</w:t>
          </w:r>
          <w:r w:rsidRPr="004C7E1D">
            <w:rPr>
              <w:szCs w:val="13"/>
            </w:rPr>
            <w:fldChar w:fldCharType="end"/>
          </w:r>
        </w:p>
      </w:tc>
    </w:tr>
  </w:tbl>
  <w:p w14:paraId="53B3CD0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72A2" w14:textId="77777777" w:rsidR="009E0BA3" w:rsidRDefault="009E0BA3">
      <w:r>
        <w:separator/>
      </w:r>
    </w:p>
    <w:p w14:paraId="1F6E7F9A" w14:textId="77777777" w:rsidR="009E0BA3" w:rsidRDefault="009E0BA3"/>
  </w:footnote>
  <w:footnote w:type="continuationSeparator" w:id="0">
    <w:p w14:paraId="4E5DE707" w14:textId="77777777" w:rsidR="009E0BA3" w:rsidRDefault="009E0BA3">
      <w:r>
        <w:continuationSeparator/>
      </w:r>
    </w:p>
    <w:p w14:paraId="0374DB20" w14:textId="77777777" w:rsidR="009E0BA3" w:rsidRDefault="009E0BA3"/>
  </w:footnote>
  <w:footnote w:id="1">
    <w:p w14:paraId="47985F75" w14:textId="14960831" w:rsidR="002C560E" w:rsidRDefault="002C560E">
      <w:pPr>
        <w:pStyle w:val="Voetnoottekst"/>
      </w:pPr>
      <w:r>
        <w:rPr>
          <w:rStyle w:val="Voetnootmarkering"/>
        </w:rPr>
        <w:footnoteRef/>
      </w:r>
      <w:r>
        <w:t xml:space="preserve"> </w:t>
      </w:r>
      <w:r w:rsidRPr="002C560E">
        <w:t>https://wetten.overheid.nl/BWBR0046601/2022-04-30/0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43C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16205" w14:paraId="67E4ADBF" w14:textId="77777777" w:rsidTr="006D2D53">
      <w:trPr>
        <w:trHeight w:hRule="exact" w:val="400"/>
      </w:trPr>
      <w:tc>
        <w:tcPr>
          <w:tcW w:w="7518" w:type="dxa"/>
        </w:tcPr>
        <w:p w14:paraId="1972E5C0" w14:textId="77777777" w:rsidR="00527BD4" w:rsidRPr="00275984" w:rsidRDefault="00527BD4" w:rsidP="00BF4427">
          <w:pPr>
            <w:pStyle w:val="Huisstijl-Rubricering"/>
          </w:pPr>
        </w:p>
      </w:tc>
    </w:tr>
  </w:tbl>
  <w:p w14:paraId="4AEA5EA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16205" w14:paraId="23729844" w14:textId="77777777" w:rsidTr="003B528D">
      <w:tc>
        <w:tcPr>
          <w:tcW w:w="2160" w:type="dxa"/>
        </w:tcPr>
        <w:p w14:paraId="1C3E7747" w14:textId="77777777" w:rsidR="002F71BB" w:rsidRPr="000407BB" w:rsidRDefault="00972377" w:rsidP="005D283A">
          <w:pPr>
            <w:pStyle w:val="Colofonkop"/>
            <w:framePr w:hSpace="0" w:wrap="auto" w:vAnchor="margin" w:hAnchor="text" w:xAlign="left" w:yAlign="inline"/>
          </w:pPr>
          <w:r>
            <w:t>Onze referentie</w:t>
          </w:r>
        </w:p>
      </w:tc>
    </w:tr>
    <w:tr w:rsidR="00616205" w14:paraId="31426D4E" w14:textId="77777777" w:rsidTr="002F71BB">
      <w:trPr>
        <w:trHeight w:val="259"/>
      </w:trPr>
      <w:tc>
        <w:tcPr>
          <w:tcW w:w="2160" w:type="dxa"/>
        </w:tcPr>
        <w:p w14:paraId="7E482864" w14:textId="77777777" w:rsidR="00E35CF4" w:rsidRPr="005D283A" w:rsidRDefault="00972377" w:rsidP="0049501A">
          <w:pPr>
            <w:spacing w:line="180" w:lineRule="exact"/>
            <w:rPr>
              <w:sz w:val="13"/>
              <w:szCs w:val="13"/>
            </w:rPr>
          </w:pPr>
          <w:r>
            <w:rPr>
              <w:sz w:val="13"/>
              <w:szCs w:val="13"/>
            </w:rPr>
            <w:t>64788819</w:t>
          </w:r>
        </w:p>
      </w:tc>
    </w:tr>
  </w:tbl>
  <w:p w14:paraId="5C680F3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16205" w14:paraId="4F406E21" w14:textId="77777777" w:rsidTr="001377D4">
      <w:trPr>
        <w:trHeight w:val="2636"/>
      </w:trPr>
      <w:tc>
        <w:tcPr>
          <w:tcW w:w="737" w:type="dxa"/>
        </w:tcPr>
        <w:p w14:paraId="726743DC" w14:textId="77777777" w:rsidR="00704845" w:rsidRDefault="00704845" w:rsidP="0047126E">
          <w:pPr>
            <w:framePr w:w="6339" w:h="2750" w:hRule="exact" w:hSpace="181" w:wrap="around" w:vAnchor="page" w:hAnchor="page" w:x="5586" w:y="1"/>
            <w:spacing w:line="240" w:lineRule="auto"/>
          </w:pPr>
        </w:p>
      </w:tc>
      <w:tc>
        <w:tcPr>
          <w:tcW w:w="5156" w:type="dxa"/>
        </w:tcPr>
        <w:p w14:paraId="7EA348D4" w14:textId="77777777" w:rsidR="00704845" w:rsidRDefault="00972377" w:rsidP="0047126E">
          <w:pPr>
            <w:framePr w:w="3873" w:h="2625" w:hRule="exact" w:wrap="around" w:vAnchor="page" w:hAnchor="page" w:x="6323" w:y="1"/>
          </w:pPr>
          <w:r>
            <w:rPr>
              <w:noProof/>
              <w:lang w:val="en-US" w:eastAsia="en-US"/>
            </w:rPr>
            <w:drawing>
              <wp:inline distT="0" distB="0" distL="0" distR="0" wp14:anchorId="692CD0F1" wp14:editId="77589C1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92DDB3C" w14:textId="77777777" w:rsidR="00483ECA" w:rsidRDefault="00483ECA" w:rsidP="00D037A9"/>
      </w:tc>
    </w:tr>
  </w:tbl>
  <w:p w14:paraId="75CDBFF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16205" w14:paraId="38C6E923" w14:textId="77777777" w:rsidTr="0008539E">
      <w:trPr>
        <w:trHeight w:hRule="exact" w:val="572"/>
      </w:trPr>
      <w:tc>
        <w:tcPr>
          <w:tcW w:w="7520" w:type="dxa"/>
        </w:tcPr>
        <w:p w14:paraId="7149D6EB" w14:textId="77777777" w:rsidR="00527BD4" w:rsidRPr="00963440" w:rsidRDefault="00972377" w:rsidP="00210BA3">
          <w:pPr>
            <w:pStyle w:val="Huisstijl-Adres"/>
            <w:spacing w:after="0"/>
          </w:pPr>
          <w:r w:rsidRPr="009E3B07">
            <w:t>&gt;Retouradres </w:t>
          </w:r>
          <w:r>
            <w:t>Postbus 16375 2500 BJ Den Haag</w:t>
          </w:r>
          <w:r w:rsidRPr="009E3B07">
            <w:t xml:space="preserve"> </w:t>
          </w:r>
        </w:p>
      </w:tc>
    </w:tr>
    <w:tr w:rsidR="00616205" w14:paraId="63601A50" w14:textId="77777777" w:rsidTr="00E776C6">
      <w:trPr>
        <w:cantSplit/>
        <w:trHeight w:hRule="exact" w:val="238"/>
      </w:trPr>
      <w:tc>
        <w:tcPr>
          <w:tcW w:w="7520" w:type="dxa"/>
        </w:tcPr>
        <w:p w14:paraId="41EAAF9E" w14:textId="77777777" w:rsidR="00093ABC" w:rsidRPr="00963440" w:rsidRDefault="00093ABC" w:rsidP="00963440"/>
      </w:tc>
    </w:tr>
    <w:tr w:rsidR="00616205" w14:paraId="027199AA" w14:textId="77777777" w:rsidTr="00E776C6">
      <w:trPr>
        <w:cantSplit/>
        <w:trHeight w:hRule="exact" w:val="1520"/>
      </w:trPr>
      <w:tc>
        <w:tcPr>
          <w:tcW w:w="7520" w:type="dxa"/>
        </w:tcPr>
        <w:p w14:paraId="78DE47B3" w14:textId="77777777" w:rsidR="00A604D3" w:rsidRPr="00963440" w:rsidRDefault="00A604D3" w:rsidP="00963440"/>
      </w:tc>
    </w:tr>
    <w:tr w:rsidR="00616205" w14:paraId="111EDC9D" w14:textId="77777777" w:rsidTr="00E776C6">
      <w:trPr>
        <w:trHeight w:hRule="exact" w:val="1077"/>
      </w:trPr>
      <w:tc>
        <w:tcPr>
          <w:tcW w:w="7520" w:type="dxa"/>
        </w:tcPr>
        <w:p w14:paraId="5B20B725" w14:textId="77777777" w:rsidR="00892BA5" w:rsidRPr="00035E67" w:rsidRDefault="00892BA5" w:rsidP="00892BA5">
          <w:pPr>
            <w:tabs>
              <w:tab w:val="left" w:pos="740"/>
            </w:tabs>
            <w:autoSpaceDE w:val="0"/>
            <w:autoSpaceDN w:val="0"/>
            <w:adjustRightInd w:val="0"/>
            <w:rPr>
              <w:rFonts w:cs="Verdana"/>
              <w:szCs w:val="18"/>
            </w:rPr>
          </w:pPr>
        </w:p>
      </w:tc>
    </w:tr>
  </w:tbl>
  <w:p w14:paraId="6802392A" w14:textId="77777777" w:rsidR="006F273B" w:rsidRDefault="006F273B" w:rsidP="00BC4AE3">
    <w:pPr>
      <w:pStyle w:val="Koptekst"/>
    </w:pPr>
  </w:p>
  <w:p w14:paraId="3858010F" w14:textId="77777777" w:rsidR="00153BD0" w:rsidRDefault="00153BD0" w:rsidP="00BC4AE3">
    <w:pPr>
      <w:pStyle w:val="Koptekst"/>
    </w:pPr>
  </w:p>
  <w:p w14:paraId="232D7F82" w14:textId="77777777" w:rsidR="0044605E" w:rsidRDefault="0044605E" w:rsidP="00BC4AE3">
    <w:pPr>
      <w:pStyle w:val="Koptekst"/>
    </w:pPr>
  </w:p>
  <w:p w14:paraId="238156A6" w14:textId="77777777" w:rsidR="0044605E" w:rsidRDefault="0044605E" w:rsidP="00BC4AE3">
    <w:pPr>
      <w:pStyle w:val="Koptekst"/>
    </w:pPr>
  </w:p>
  <w:p w14:paraId="33E5EF8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2E4D2C0">
      <w:start w:val="1"/>
      <w:numFmt w:val="bullet"/>
      <w:pStyle w:val="Lijstopsomteken"/>
      <w:lvlText w:val="•"/>
      <w:lvlJc w:val="left"/>
      <w:pPr>
        <w:tabs>
          <w:tab w:val="num" w:pos="227"/>
        </w:tabs>
        <w:ind w:left="227" w:hanging="227"/>
      </w:pPr>
      <w:rPr>
        <w:rFonts w:ascii="Verdana" w:hAnsi="Verdana" w:hint="default"/>
        <w:sz w:val="18"/>
        <w:szCs w:val="18"/>
      </w:rPr>
    </w:lvl>
    <w:lvl w:ilvl="1" w:tplc="911C7C72" w:tentative="1">
      <w:start w:val="1"/>
      <w:numFmt w:val="bullet"/>
      <w:lvlText w:val="o"/>
      <w:lvlJc w:val="left"/>
      <w:pPr>
        <w:tabs>
          <w:tab w:val="num" w:pos="1440"/>
        </w:tabs>
        <w:ind w:left="1440" w:hanging="360"/>
      </w:pPr>
      <w:rPr>
        <w:rFonts w:ascii="Courier New" w:hAnsi="Courier New" w:cs="Courier New" w:hint="default"/>
      </w:rPr>
    </w:lvl>
    <w:lvl w:ilvl="2" w:tplc="9CDE64C8" w:tentative="1">
      <w:start w:val="1"/>
      <w:numFmt w:val="bullet"/>
      <w:lvlText w:val=""/>
      <w:lvlJc w:val="left"/>
      <w:pPr>
        <w:tabs>
          <w:tab w:val="num" w:pos="2160"/>
        </w:tabs>
        <w:ind w:left="2160" w:hanging="360"/>
      </w:pPr>
      <w:rPr>
        <w:rFonts w:ascii="Wingdings" w:hAnsi="Wingdings" w:hint="default"/>
      </w:rPr>
    </w:lvl>
    <w:lvl w:ilvl="3" w:tplc="A3E4084A" w:tentative="1">
      <w:start w:val="1"/>
      <w:numFmt w:val="bullet"/>
      <w:lvlText w:val=""/>
      <w:lvlJc w:val="left"/>
      <w:pPr>
        <w:tabs>
          <w:tab w:val="num" w:pos="2880"/>
        </w:tabs>
        <w:ind w:left="2880" w:hanging="360"/>
      </w:pPr>
      <w:rPr>
        <w:rFonts w:ascii="Symbol" w:hAnsi="Symbol" w:hint="default"/>
      </w:rPr>
    </w:lvl>
    <w:lvl w:ilvl="4" w:tplc="6F9AD8D8" w:tentative="1">
      <w:start w:val="1"/>
      <w:numFmt w:val="bullet"/>
      <w:lvlText w:val="o"/>
      <w:lvlJc w:val="left"/>
      <w:pPr>
        <w:tabs>
          <w:tab w:val="num" w:pos="3600"/>
        </w:tabs>
        <w:ind w:left="3600" w:hanging="360"/>
      </w:pPr>
      <w:rPr>
        <w:rFonts w:ascii="Courier New" w:hAnsi="Courier New" w:cs="Courier New" w:hint="default"/>
      </w:rPr>
    </w:lvl>
    <w:lvl w:ilvl="5" w:tplc="7FA08D42" w:tentative="1">
      <w:start w:val="1"/>
      <w:numFmt w:val="bullet"/>
      <w:lvlText w:val=""/>
      <w:lvlJc w:val="left"/>
      <w:pPr>
        <w:tabs>
          <w:tab w:val="num" w:pos="4320"/>
        </w:tabs>
        <w:ind w:left="4320" w:hanging="360"/>
      </w:pPr>
      <w:rPr>
        <w:rFonts w:ascii="Wingdings" w:hAnsi="Wingdings" w:hint="default"/>
      </w:rPr>
    </w:lvl>
    <w:lvl w:ilvl="6" w:tplc="88C680A0" w:tentative="1">
      <w:start w:val="1"/>
      <w:numFmt w:val="bullet"/>
      <w:lvlText w:val=""/>
      <w:lvlJc w:val="left"/>
      <w:pPr>
        <w:tabs>
          <w:tab w:val="num" w:pos="5040"/>
        </w:tabs>
        <w:ind w:left="5040" w:hanging="360"/>
      </w:pPr>
      <w:rPr>
        <w:rFonts w:ascii="Symbol" w:hAnsi="Symbol" w:hint="default"/>
      </w:rPr>
    </w:lvl>
    <w:lvl w:ilvl="7" w:tplc="0FA6D320" w:tentative="1">
      <w:start w:val="1"/>
      <w:numFmt w:val="bullet"/>
      <w:lvlText w:val="o"/>
      <w:lvlJc w:val="left"/>
      <w:pPr>
        <w:tabs>
          <w:tab w:val="num" w:pos="5760"/>
        </w:tabs>
        <w:ind w:left="5760" w:hanging="360"/>
      </w:pPr>
      <w:rPr>
        <w:rFonts w:ascii="Courier New" w:hAnsi="Courier New" w:cs="Courier New" w:hint="default"/>
      </w:rPr>
    </w:lvl>
    <w:lvl w:ilvl="8" w:tplc="F72C17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E561E7A">
      <w:start w:val="1"/>
      <w:numFmt w:val="bullet"/>
      <w:pStyle w:val="Lijstopsomteken2"/>
      <w:lvlText w:val="–"/>
      <w:lvlJc w:val="left"/>
      <w:pPr>
        <w:tabs>
          <w:tab w:val="num" w:pos="227"/>
        </w:tabs>
        <w:ind w:left="227" w:firstLine="0"/>
      </w:pPr>
      <w:rPr>
        <w:rFonts w:ascii="Verdana" w:hAnsi="Verdana" w:hint="default"/>
      </w:rPr>
    </w:lvl>
    <w:lvl w:ilvl="1" w:tplc="B680CB40" w:tentative="1">
      <w:start w:val="1"/>
      <w:numFmt w:val="bullet"/>
      <w:lvlText w:val="o"/>
      <w:lvlJc w:val="left"/>
      <w:pPr>
        <w:tabs>
          <w:tab w:val="num" w:pos="1440"/>
        </w:tabs>
        <w:ind w:left="1440" w:hanging="360"/>
      </w:pPr>
      <w:rPr>
        <w:rFonts w:ascii="Courier New" w:hAnsi="Courier New" w:cs="Courier New" w:hint="default"/>
      </w:rPr>
    </w:lvl>
    <w:lvl w:ilvl="2" w:tplc="E63C4332" w:tentative="1">
      <w:start w:val="1"/>
      <w:numFmt w:val="bullet"/>
      <w:lvlText w:val=""/>
      <w:lvlJc w:val="left"/>
      <w:pPr>
        <w:tabs>
          <w:tab w:val="num" w:pos="2160"/>
        </w:tabs>
        <w:ind w:left="2160" w:hanging="360"/>
      </w:pPr>
      <w:rPr>
        <w:rFonts w:ascii="Wingdings" w:hAnsi="Wingdings" w:hint="default"/>
      </w:rPr>
    </w:lvl>
    <w:lvl w:ilvl="3" w:tplc="28466A8A" w:tentative="1">
      <w:start w:val="1"/>
      <w:numFmt w:val="bullet"/>
      <w:lvlText w:val=""/>
      <w:lvlJc w:val="left"/>
      <w:pPr>
        <w:tabs>
          <w:tab w:val="num" w:pos="2880"/>
        </w:tabs>
        <w:ind w:left="2880" w:hanging="360"/>
      </w:pPr>
      <w:rPr>
        <w:rFonts w:ascii="Symbol" w:hAnsi="Symbol" w:hint="default"/>
      </w:rPr>
    </w:lvl>
    <w:lvl w:ilvl="4" w:tplc="ADF06ADC" w:tentative="1">
      <w:start w:val="1"/>
      <w:numFmt w:val="bullet"/>
      <w:lvlText w:val="o"/>
      <w:lvlJc w:val="left"/>
      <w:pPr>
        <w:tabs>
          <w:tab w:val="num" w:pos="3600"/>
        </w:tabs>
        <w:ind w:left="3600" w:hanging="360"/>
      </w:pPr>
      <w:rPr>
        <w:rFonts w:ascii="Courier New" w:hAnsi="Courier New" w:cs="Courier New" w:hint="default"/>
      </w:rPr>
    </w:lvl>
    <w:lvl w:ilvl="5" w:tplc="F63E5EC6" w:tentative="1">
      <w:start w:val="1"/>
      <w:numFmt w:val="bullet"/>
      <w:lvlText w:val=""/>
      <w:lvlJc w:val="left"/>
      <w:pPr>
        <w:tabs>
          <w:tab w:val="num" w:pos="4320"/>
        </w:tabs>
        <w:ind w:left="4320" w:hanging="360"/>
      </w:pPr>
      <w:rPr>
        <w:rFonts w:ascii="Wingdings" w:hAnsi="Wingdings" w:hint="default"/>
      </w:rPr>
    </w:lvl>
    <w:lvl w:ilvl="6" w:tplc="5388E7D6" w:tentative="1">
      <w:start w:val="1"/>
      <w:numFmt w:val="bullet"/>
      <w:lvlText w:val=""/>
      <w:lvlJc w:val="left"/>
      <w:pPr>
        <w:tabs>
          <w:tab w:val="num" w:pos="5040"/>
        </w:tabs>
        <w:ind w:left="5040" w:hanging="360"/>
      </w:pPr>
      <w:rPr>
        <w:rFonts w:ascii="Symbol" w:hAnsi="Symbol" w:hint="default"/>
      </w:rPr>
    </w:lvl>
    <w:lvl w:ilvl="7" w:tplc="B2863604" w:tentative="1">
      <w:start w:val="1"/>
      <w:numFmt w:val="bullet"/>
      <w:lvlText w:val="o"/>
      <w:lvlJc w:val="left"/>
      <w:pPr>
        <w:tabs>
          <w:tab w:val="num" w:pos="5760"/>
        </w:tabs>
        <w:ind w:left="5760" w:hanging="360"/>
      </w:pPr>
      <w:rPr>
        <w:rFonts w:ascii="Courier New" w:hAnsi="Courier New" w:cs="Courier New" w:hint="default"/>
      </w:rPr>
    </w:lvl>
    <w:lvl w:ilvl="8" w:tplc="B6C072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04365"/>
    <w:multiLevelType w:val="hybridMultilevel"/>
    <w:tmpl w:val="5478FCB4"/>
    <w:lvl w:ilvl="0" w:tplc="3F0032A8">
      <w:start w:val="1"/>
      <w:numFmt w:val="decimal"/>
      <w:lvlText w:val="%1."/>
      <w:lvlJc w:val="left"/>
      <w:pPr>
        <w:ind w:left="720" w:hanging="360"/>
      </w:pPr>
    </w:lvl>
    <w:lvl w:ilvl="1" w:tplc="9F10D05A">
      <w:start w:val="1"/>
      <w:numFmt w:val="lowerLetter"/>
      <w:lvlText w:val="%2."/>
      <w:lvlJc w:val="left"/>
      <w:pPr>
        <w:ind w:left="1440" w:hanging="360"/>
      </w:pPr>
    </w:lvl>
    <w:lvl w:ilvl="2" w:tplc="B7EA2404">
      <w:start w:val="1"/>
      <w:numFmt w:val="lowerRoman"/>
      <w:lvlText w:val="%3."/>
      <w:lvlJc w:val="right"/>
      <w:pPr>
        <w:ind w:left="2160" w:hanging="180"/>
      </w:pPr>
    </w:lvl>
    <w:lvl w:ilvl="3" w:tplc="0172BD00">
      <w:start w:val="1"/>
      <w:numFmt w:val="decimal"/>
      <w:lvlText w:val="%4."/>
      <w:lvlJc w:val="left"/>
      <w:pPr>
        <w:ind w:left="2880" w:hanging="360"/>
      </w:pPr>
    </w:lvl>
    <w:lvl w:ilvl="4" w:tplc="5B4CCFC6">
      <w:start w:val="1"/>
      <w:numFmt w:val="lowerLetter"/>
      <w:lvlText w:val="%5."/>
      <w:lvlJc w:val="left"/>
      <w:pPr>
        <w:ind w:left="3600" w:hanging="360"/>
      </w:pPr>
    </w:lvl>
    <w:lvl w:ilvl="5" w:tplc="88965E8A">
      <w:start w:val="1"/>
      <w:numFmt w:val="lowerRoman"/>
      <w:lvlText w:val="%6."/>
      <w:lvlJc w:val="right"/>
      <w:pPr>
        <w:ind w:left="4320" w:hanging="180"/>
      </w:pPr>
    </w:lvl>
    <w:lvl w:ilvl="6" w:tplc="4AE0F22A">
      <w:start w:val="1"/>
      <w:numFmt w:val="decimal"/>
      <w:lvlText w:val="%7."/>
      <w:lvlJc w:val="left"/>
      <w:pPr>
        <w:ind w:left="5040" w:hanging="360"/>
      </w:pPr>
    </w:lvl>
    <w:lvl w:ilvl="7" w:tplc="F8B252D4">
      <w:start w:val="1"/>
      <w:numFmt w:val="lowerLetter"/>
      <w:lvlText w:val="%8."/>
      <w:lvlJc w:val="left"/>
      <w:pPr>
        <w:ind w:left="5760" w:hanging="360"/>
      </w:pPr>
    </w:lvl>
    <w:lvl w:ilvl="8" w:tplc="1D6864D2">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0944916">
    <w:abstractNumId w:val="10"/>
  </w:num>
  <w:num w:numId="2" w16cid:durableId="995493175">
    <w:abstractNumId w:val="7"/>
  </w:num>
  <w:num w:numId="3" w16cid:durableId="1006787810">
    <w:abstractNumId w:val="6"/>
  </w:num>
  <w:num w:numId="4" w16cid:durableId="215624950">
    <w:abstractNumId w:val="5"/>
  </w:num>
  <w:num w:numId="5" w16cid:durableId="299726085">
    <w:abstractNumId w:val="4"/>
  </w:num>
  <w:num w:numId="6" w16cid:durableId="1312903087">
    <w:abstractNumId w:val="8"/>
  </w:num>
  <w:num w:numId="7" w16cid:durableId="448624598">
    <w:abstractNumId w:val="3"/>
  </w:num>
  <w:num w:numId="8" w16cid:durableId="917905486">
    <w:abstractNumId w:val="2"/>
  </w:num>
  <w:num w:numId="9" w16cid:durableId="1801267137">
    <w:abstractNumId w:val="1"/>
  </w:num>
  <w:num w:numId="10" w16cid:durableId="2135058370">
    <w:abstractNumId w:val="0"/>
  </w:num>
  <w:num w:numId="11" w16cid:durableId="1199585271">
    <w:abstractNumId w:val="9"/>
  </w:num>
  <w:num w:numId="12" w16cid:durableId="1175389128">
    <w:abstractNumId w:val="11"/>
  </w:num>
  <w:num w:numId="13" w16cid:durableId="1942688515">
    <w:abstractNumId w:val="14"/>
  </w:num>
  <w:num w:numId="14" w16cid:durableId="1633948308">
    <w:abstractNumId w:val="12"/>
  </w:num>
  <w:num w:numId="15" w16cid:durableId="6076315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2304"/>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2265"/>
    <w:rsid w:val="00100203"/>
    <w:rsid w:val="00104B4D"/>
    <w:rsid w:val="00105677"/>
    <w:rsid w:val="001064A3"/>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869E5"/>
    <w:rsid w:val="00194A00"/>
    <w:rsid w:val="00196B8B"/>
    <w:rsid w:val="001A0BFA"/>
    <w:rsid w:val="001A1608"/>
    <w:rsid w:val="001A2BEA"/>
    <w:rsid w:val="001A325F"/>
    <w:rsid w:val="001A6D93"/>
    <w:rsid w:val="001B2BBA"/>
    <w:rsid w:val="001B35FA"/>
    <w:rsid w:val="001B372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645"/>
    <w:rsid w:val="00236CFE"/>
    <w:rsid w:val="002428E3"/>
    <w:rsid w:val="0024430A"/>
    <w:rsid w:val="00245FF7"/>
    <w:rsid w:val="00253B65"/>
    <w:rsid w:val="0026060B"/>
    <w:rsid w:val="00260BAF"/>
    <w:rsid w:val="002610A6"/>
    <w:rsid w:val="00263FD6"/>
    <w:rsid w:val="002642DF"/>
    <w:rsid w:val="002650F7"/>
    <w:rsid w:val="0026686B"/>
    <w:rsid w:val="00273F3B"/>
    <w:rsid w:val="00274DB7"/>
    <w:rsid w:val="00275984"/>
    <w:rsid w:val="00276199"/>
    <w:rsid w:val="002768F3"/>
    <w:rsid w:val="00276DA4"/>
    <w:rsid w:val="00280F74"/>
    <w:rsid w:val="00286998"/>
    <w:rsid w:val="00291AB7"/>
    <w:rsid w:val="0029422B"/>
    <w:rsid w:val="00294DCB"/>
    <w:rsid w:val="00296275"/>
    <w:rsid w:val="002A06CE"/>
    <w:rsid w:val="002A37B5"/>
    <w:rsid w:val="002A6722"/>
    <w:rsid w:val="002B153C"/>
    <w:rsid w:val="002B52FC"/>
    <w:rsid w:val="002C26D0"/>
    <w:rsid w:val="002C2830"/>
    <w:rsid w:val="002C3CE0"/>
    <w:rsid w:val="002C40AF"/>
    <w:rsid w:val="002C560E"/>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5CA4"/>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66495"/>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67FE"/>
    <w:rsid w:val="00407991"/>
    <w:rsid w:val="0041019E"/>
    <w:rsid w:val="00412F69"/>
    <w:rsid w:val="00413D48"/>
    <w:rsid w:val="00424A60"/>
    <w:rsid w:val="00434042"/>
    <w:rsid w:val="00434500"/>
    <w:rsid w:val="00436C7C"/>
    <w:rsid w:val="00437472"/>
    <w:rsid w:val="00441AC2"/>
    <w:rsid w:val="0044249B"/>
    <w:rsid w:val="004425A7"/>
    <w:rsid w:val="0044605E"/>
    <w:rsid w:val="0045023C"/>
    <w:rsid w:val="00451A5B"/>
    <w:rsid w:val="00452BCD"/>
    <w:rsid w:val="00452CEA"/>
    <w:rsid w:val="004538EF"/>
    <w:rsid w:val="0046257C"/>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07CB"/>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AA2"/>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2E5C"/>
    <w:rsid w:val="00613B1D"/>
    <w:rsid w:val="00616205"/>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7D2B"/>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5A8E"/>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27F82"/>
    <w:rsid w:val="00735D88"/>
    <w:rsid w:val="0073720D"/>
    <w:rsid w:val="00737507"/>
    <w:rsid w:val="00740712"/>
    <w:rsid w:val="00741309"/>
    <w:rsid w:val="00742AB9"/>
    <w:rsid w:val="00751A6A"/>
    <w:rsid w:val="00753643"/>
    <w:rsid w:val="00754AD6"/>
    <w:rsid w:val="00754FBF"/>
    <w:rsid w:val="007615AC"/>
    <w:rsid w:val="00764585"/>
    <w:rsid w:val="00767FEF"/>
    <w:rsid w:val="007709EF"/>
    <w:rsid w:val="00780D4F"/>
    <w:rsid w:val="00783559"/>
    <w:rsid w:val="007846ED"/>
    <w:rsid w:val="00785C3B"/>
    <w:rsid w:val="00797AA5"/>
    <w:rsid w:val="007A26BD"/>
    <w:rsid w:val="007A4105"/>
    <w:rsid w:val="007A4F0E"/>
    <w:rsid w:val="007A514C"/>
    <w:rsid w:val="007B0D8E"/>
    <w:rsid w:val="007B1F2A"/>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5E1C"/>
    <w:rsid w:val="008762B6"/>
    <w:rsid w:val="00883137"/>
    <w:rsid w:val="00886817"/>
    <w:rsid w:val="00892BA5"/>
    <w:rsid w:val="008A08AC"/>
    <w:rsid w:val="008A1F5D"/>
    <w:rsid w:val="008A28F5"/>
    <w:rsid w:val="008B0E6F"/>
    <w:rsid w:val="008B1198"/>
    <w:rsid w:val="008B2349"/>
    <w:rsid w:val="008B3471"/>
    <w:rsid w:val="008B3929"/>
    <w:rsid w:val="008B3BAB"/>
    <w:rsid w:val="008B4125"/>
    <w:rsid w:val="008B4CB3"/>
    <w:rsid w:val="008B54E9"/>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5FD2"/>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563A8"/>
    <w:rsid w:val="009607C4"/>
    <w:rsid w:val="00962F2A"/>
    <w:rsid w:val="00963440"/>
    <w:rsid w:val="009716D8"/>
    <w:rsid w:val="009718F9"/>
    <w:rsid w:val="00972377"/>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0BA3"/>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4434"/>
    <w:rsid w:val="00AD5B44"/>
    <w:rsid w:val="00AD7608"/>
    <w:rsid w:val="00AD7C7C"/>
    <w:rsid w:val="00AE013D"/>
    <w:rsid w:val="00AE11B7"/>
    <w:rsid w:val="00AE18BA"/>
    <w:rsid w:val="00AE7130"/>
    <w:rsid w:val="00AE7F68"/>
    <w:rsid w:val="00AF2321"/>
    <w:rsid w:val="00AF52F6"/>
    <w:rsid w:val="00AF7237"/>
    <w:rsid w:val="00B0043A"/>
    <w:rsid w:val="00B00D75"/>
    <w:rsid w:val="00B0455C"/>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38E9"/>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044EB"/>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1767"/>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304"/>
    <w:rsid w:val="00DC18F3"/>
    <w:rsid w:val="00DC2443"/>
    <w:rsid w:val="00DC691C"/>
    <w:rsid w:val="00DD1DCD"/>
    <w:rsid w:val="00DD338F"/>
    <w:rsid w:val="00DD3404"/>
    <w:rsid w:val="00DD4C20"/>
    <w:rsid w:val="00DD66F2"/>
    <w:rsid w:val="00DE1EB5"/>
    <w:rsid w:val="00DE3FE0"/>
    <w:rsid w:val="00DE578A"/>
    <w:rsid w:val="00DF2583"/>
    <w:rsid w:val="00DF3E62"/>
    <w:rsid w:val="00DF4D7F"/>
    <w:rsid w:val="00DF4E80"/>
    <w:rsid w:val="00DF54D9"/>
    <w:rsid w:val="00DF63F3"/>
    <w:rsid w:val="00DF7283"/>
    <w:rsid w:val="00E00DE0"/>
    <w:rsid w:val="00E01A59"/>
    <w:rsid w:val="00E0622C"/>
    <w:rsid w:val="00E0675E"/>
    <w:rsid w:val="00E06CD4"/>
    <w:rsid w:val="00E10DC6"/>
    <w:rsid w:val="00E11F8E"/>
    <w:rsid w:val="00E13D95"/>
    <w:rsid w:val="00E14AA3"/>
    <w:rsid w:val="00E15881"/>
    <w:rsid w:val="00E16061"/>
    <w:rsid w:val="00E16A8F"/>
    <w:rsid w:val="00E17CA2"/>
    <w:rsid w:val="00E20C25"/>
    <w:rsid w:val="00E210E0"/>
    <w:rsid w:val="00E21DE3"/>
    <w:rsid w:val="00E233D5"/>
    <w:rsid w:val="00E307D1"/>
    <w:rsid w:val="00E35710"/>
    <w:rsid w:val="00E35CF4"/>
    <w:rsid w:val="00E3731D"/>
    <w:rsid w:val="00E37811"/>
    <w:rsid w:val="00E468E4"/>
    <w:rsid w:val="00E51469"/>
    <w:rsid w:val="00E53003"/>
    <w:rsid w:val="00E54114"/>
    <w:rsid w:val="00E6018B"/>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2A5C"/>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1D85D"/>
  <w15:docId w15:val="{E99BD753-AA19-4C0A-98AC-64AEA7CE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2C560E"/>
    <w:rPr>
      <w:vertAlign w:val="superscript"/>
    </w:rPr>
  </w:style>
  <w:style w:type="paragraph" w:styleId="Revisie">
    <w:name w:val="Revision"/>
    <w:hidden/>
    <w:uiPriority w:val="99"/>
    <w:semiHidden/>
    <w:rsid w:val="00B0455C"/>
    <w:rPr>
      <w:rFonts w:ascii="Verdana" w:hAnsi="Verdana"/>
      <w:sz w:val="18"/>
      <w:szCs w:val="24"/>
      <w:lang w:val="nl-NL" w:eastAsia="nl-NL"/>
    </w:rPr>
  </w:style>
  <w:style w:type="character" w:styleId="Verwijzingopmerking">
    <w:name w:val="annotation reference"/>
    <w:basedOn w:val="Standaardalinea-lettertype"/>
    <w:rsid w:val="00E53003"/>
    <w:rPr>
      <w:sz w:val="16"/>
      <w:szCs w:val="16"/>
    </w:rPr>
  </w:style>
  <w:style w:type="paragraph" w:styleId="Tekstopmerking">
    <w:name w:val="annotation text"/>
    <w:basedOn w:val="Standaard"/>
    <w:link w:val="TekstopmerkingChar"/>
    <w:rsid w:val="00E53003"/>
    <w:pPr>
      <w:spacing w:line="240" w:lineRule="auto"/>
    </w:pPr>
    <w:rPr>
      <w:sz w:val="20"/>
      <w:szCs w:val="20"/>
    </w:rPr>
  </w:style>
  <w:style w:type="character" w:customStyle="1" w:styleId="TekstopmerkingChar">
    <w:name w:val="Tekst opmerking Char"/>
    <w:basedOn w:val="Standaardalinea-lettertype"/>
    <w:link w:val="Tekstopmerking"/>
    <w:rsid w:val="00E53003"/>
    <w:rPr>
      <w:rFonts w:ascii="Verdana" w:hAnsi="Verdana"/>
      <w:lang w:val="nl-NL" w:eastAsia="nl-NL"/>
    </w:rPr>
  </w:style>
  <w:style w:type="paragraph" w:styleId="Onderwerpvanopmerking">
    <w:name w:val="annotation subject"/>
    <w:basedOn w:val="Tekstopmerking"/>
    <w:next w:val="Tekstopmerking"/>
    <w:link w:val="OnderwerpvanopmerkingChar"/>
    <w:rsid w:val="00E53003"/>
    <w:rPr>
      <w:b/>
      <w:bCs/>
    </w:rPr>
  </w:style>
  <w:style w:type="character" w:customStyle="1" w:styleId="OnderwerpvanopmerkingChar">
    <w:name w:val="Onderwerp van opmerking Char"/>
    <w:basedOn w:val="TekstopmerkingChar"/>
    <w:link w:val="Onderwerpvanopmerking"/>
    <w:rsid w:val="00E5300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1901</ap:Words>
  <ap:Characters>10457</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2026-06-25T12:51:00.0000000Z</lastPrinted>
  <dcterms:created xsi:type="dcterms:W3CDTF">2026-06-25T15:48:00.0000000Z</dcterms:created>
  <dcterms:modified xsi:type="dcterms:W3CDTF">2026-06-25T15:48:00.0000000Z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o209hoe</vt:lpwstr>
  </property>
  <property fmtid="{D5CDD505-2E9C-101B-9397-08002B2CF9AE}" pid="3" name="Author">
    <vt:lpwstr>o209hoe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Keijzer (Keijzer) aan de minister van Onderwijs, Cultuur en Wetenschap over het bericht 'Torenhoge salarissen omroepbazen stegen nóg verder, terwijl gewone medewerkers vrezen voor hun baan'</vt:lpwstr>
  </property>
  <property fmtid="{D5CDD505-2E9C-101B-9397-08002B2CF9AE}" pid="9" name="ocw_directie">
    <vt:lpwstr>MENC/FENC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o209hoe</vt:lpwstr>
  </property>
</Properties>
</file>