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01" w:rsidRDefault="005D7CD8" w14:paraId="0ED4C800" w14:textId="5308B18A">
      <w:bookmarkStart w:name="_GoBack" w:id="0"/>
      <w:bookmarkEnd w:id="0"/>
      <w:r>
        <w:t>Geachte voorzitter,</w:t>
      </w:r>
    </w:p>
    <w:p w:rsidR="005D7CD8" w:rsidRDefault="005D7CD8" w14:paraId="1D00F996" w14:textId="77777777"/>
    <w:p w:rsidR="001D443C" w:rsidRDefault="006E281A" w14:paraId="240018A2" w14:textId="5A931513">
      <w:r>
        <w:t xml:space="preserve">Tijdens het Commissiedebat Spoorveiligheid en ERTMS van 27 mei jl. heb ik </w:t>
      </w:r>
      <w:r w:rsidR="00EA58A8">
        <w:t>de toezegging gedaan</w:t>
      </w:r>
      <w:r>
        <w:t xml:space="preserve"> te spreken met Zeeuwse bestuurders over het proefb</w:t>
      </w:r>
      <w:r w:rsidR="00EA58A8">
        <w:t>aanvak</w:t>
      </w:r>
      <w:r>
        <w:t xml:space="preserve"> ERTMS</w:t>
      </w:r>
      <w:r w:rsidR="00EA58A8">
        <w:t xml:space="preserve"> op de Zeeuwse Lijn</w:t>
      </w:r>
      <w:r>
        <w:t xml:space="preserve">. </w:t>
      </w:r>
      <w:r w:rsidR="00030B68">
        <w:t>D</w:t>
      </w:r>
      <w:r>
        <w:t xml:space="preserve">it Bestuurlijk Overleg </w:t>
      </w:r>
      <w:r w:rsidR="001D443C">
        <w:t>(BO)</w:t>
      </w:r>
      <w:r w:rsidR="00030B68">
        <w:t xml:space="preserve"> heeft</w:t>
      </w:r>
      <w:r w:rsidR="001D443C">
        <w:t xml:space="preserve"> </w:t>
      </w:r>
      <w:r>
        <w:t xml:space="preserve">op 18 juni </w:t>
      </w:r>
      <w:r w:rsidR="00030B68">
        <w:t>jl. in Zeeland plaatsgevonden</w:t>
      </w:r>
      <w:r w:rsidR="001D443C">
        <w:t xml:space="preserve">. </w:t>
      </w:r>
      <w:r w:rsidR="00EA58A8">
        <w:t xml:space="preserve">Deze brief bevat </w:t>
      </w:r>
      <w:r w:rsidR="001D443C">
        <w:t>een terugkoppeling</w:t>
      </w:r>
      <w:r w:rsidR="00EA58A8">
        <w:t xml:space="preserve"> van dit gesprek</w:t>
      </w:r>
      <w:r w:rsidR="001D443C">
        <w:t>. Daarnaast wil ik de Kamer meenemen in de Startbeslissing die ik recentelijk heb genomen voor de MIRT-verkenning Rail Gent-Terneuzen.</w:t>
      </w:r>
    </w:p>
    <w:p w:rsidR="001D443C" w:rsidRDefault="001D443C" w14:paraId="348E59BF" w14:textId="77777777"/>
    <w:p w:rsidR="005D7CD8" w:rsidRDefault="001D443C" w14:paraId="77845021" w14:textId="6AE51682">
      <w:pPr>
        <w:rPr>
          <w:b/>
          <w:bCs/>
        </w:rPr>
      </w:pPr>
      <w:r>
        <w:rPr>
          <w:b/>
          <w:bCs/>
        </w:rPr>
        <w:t xml:space="preserve">Terugkoppeling BO inzake spoordossiers in Zeeland </w:t>
      </w:r>
    </w:p>
    <w:p w:rsidR="000952E0" w:rsidRDefault="00D91AFE" w14:paraId="4F98656F" w14:textId="7A95A589">
      <w:r>
        <w:t xml:space="preserve">Op 18 juni jl. </w:t>
      </w:r>
      <w:r w:rsidR="000952E0">
        <w:t xml:space="preserve">heb </w:t>
      </w:r>
      <w:r>
        <w:t xml:space="preserve">ik </w:t>
      </w:r>
      <w:r w:rsidR="00030B68">
        <w:t xml:space="preserve">tijdens het BO </w:t>
      </w:r>
      <w:r>
        <w:t>met de gedeputeerde</w:t>
      </w:r>
      <w:r w:rsidR="00030B68">
        <w:t xml:space="preserve"> </w:t>
      </w:r>
      <w:r w:rsidR="000952E0">
        <w:t xml:space="preserve">meerdere spoordossiers </w:t>
      </w:r>
      <w:r>
        <w:t>besproken:</w:t>
      </w:r>
      <w:r w:rsidR="00EA58A8">
        <w:t xml:space="preserve"> ERTMS</w:t>
      </w:r>
      <w:r>
        <w:t>,</w:t>
      </w:r>
      <w:r w:rsidR="006434A9">
        <w:t xml:space="preserve"> </w:t>
      </w:r>
      <w:r w:rsidR="007A561C">
        <w:t xml:space="preserve">de voortgang op de maatregelen uit het compensatiepakket </w:t>
      </w:r>
      <w:r w:rsidR="00EA58A8">
        <w:t>Wind in de Zeilen</w:t>
      </w:r>
      <w:r>
        <w:t xml:space="preserve">, </w:t>
      </w:r>
      <w:r w:rsidR="007A561C">
        <w:t xml:space="preserve">de samenwerking rond </w:t>
      </w:r>
      <w:r w:rsidR="00EA58A8">
        <w:t>publiek vervoer</w:t>
      </w:r>
      <w:r w:rsidR="00187CAA">
        <w:t xml:space="preserve"> in Zeeland</w:t>
      </w:r>
      <w:r>
        <w:t xml:space="preserve"> en Rail Gent-Terneuzen</w:t>
      </w:r>
      <w:r w:rsidR="000952E0">
        <w:t>.</w:t>
      </w:r>
    </w:p>
    <w:p w:rsidR="000952E0" w:rsidRDefault="000952E0" w14:paraId="302D4428" w14:textId="77777777"/>
    <w:p w:rsidR="000952E0" w:rsidRDefault="00BB0DE9" w14:paraId="284E96A2" w14:textId="6F565EEF">
      <w:pPr>
        <w:rPr>
          <w:i/>
          <w:iCs/>
        </w:rPr>
      </w:pPr>
      <w:r>
        <w:rPr>
          <w:i/>
          <w:iCs/>
        </w:rPr>
        <w:t>P</w:t>
      </w:r>
      <w:r w:rsidR="000952E0">
        <w:rPr>
          <w:i/>
          <w:iCs/>
        </w:rPr>
        <w:t>roefbaan</w:t>
      </w:r>
      <w:r w:rsidR="00EA58A8">
        <w:rPr>
          <w:i/>
          <w:iCs/>
        </w:rPr>
        <w:t>v</w:t>
      </w:r>
      <w:r w:rsidR="000952E0">
        <w:rPr>
          <w:i/>
          <w:iCs/>
        </w:rPr>
        <w:t xml:space="preserve">ak </w:t>
      </w:r>
      <w:r>
        <w:rPr>
          <w:i/>
          <w:iCs/>
        </w:rPr>
        <w:t xml:space="preserve">ERTMS </w:t>
      </w:r>
      <w:r w:rsidR="009429D5">
        <w:rPr>
          <w:i/>
          <w:iCs/>
        </w:rPr>
        <w:t>Zeeland</w:t>
      </w:r>
    </w:p>
    <w:p w:rsidR="00EA58A8" w:rsidRDefault="000370BA" w14:paraId="68055AC5" w14:textId="40D50361">
      <w:r>
        <w:t xml:space="preserve">Na </w:t>
      </w:r>
      <w:r w:rsidR="00984163">
        <w:t>uitgebreid</w:t>
      </w:r>
      <w:r>
        <w:t xml:space="preserve"> testen in labs en met simulaties moet de werking van </w:t>
      </w:r>
      <w:r w:rsidR="00B72FF7">
        <w:t xml:space="preserve">de aan te leggen versie van </w:t>
      </w:r>
      <w:r>
        <w:t xml:space="preserve">het European Rail Traffic Management System (ERTMS) ook buiten in de operatie worden aangetoond. Daarom wordt er </w:t>
      </w:r>
      <w:r w:rsidR="00984163">
        <w:t>in</w:t>
      </w:r>
      <w:r>
        <w:t xml:space="preserve"> 2028 2-3 maanden </w:t>
      </w:r>
      <w:r w:rsidR="00984163">
        <w:t>getest en beproefd</w:t>
      </w:r>
      <w:r>
        <w:t xml:space="preserve"> op het proefbaanvak Harlingen Haven - Leeuwarden. </w:t>
      </w:r>
      <w:r w:rsidR="00984163">
        <w:t xml:space="preserve">Daarna </w:t>
      </w:r>
      <w:r w:rsidR="00D91AFE">
        <w:t xml:space="preserve">wordt </w:t>
      </w:r>
      <w:r w:rsidR="00984163">
        <w:t xml:space="preserve">de complexiteit </w:t>
      </w:r>
      <w:r w:rsidR="00D91AFE">
        <w:t xml:space="preserve">verhoogd </w:t>
      </w:r>
      <w:r w:rsidR="00984163">
        <w:t>met onder meer testen op een overweg en een emplacement op het proefbaanvak</w:t>
      </w:r>
      <w:r>
        <w:t xml:space="preserve"> Vlissingen </w:t>
      </w:r>
      <w:r w:rsidR="00984163">
        <w:t>-</w:t>
      </w:r>
      <w:r>
        <w:t xml:space="preserve"> Lewedorp</w:t>
      </w:r>
      <w:r w:rsidR="00984163">
        <w:t>. Daarom rijden</w:t>
      </w:r>
      <w:r>
        <w:t xml:space="preserve"> er </w:t>
      </w:r>
      <w:r w:rsidR="00984163">
        <w:t xml:space="preserve">op z’n vroegst in 2029 </w:t>
      </w:r>
      <w:r>
        <w:t xml:space="preserve">3-4 maanden geen treinen tussen Vlissingen en Goes. </w:t>
      </w:r>
    </w:p>
    <w:p w:rsidR="00EA58A8" w:rsidRDefault="00EA58A8" w14:paraId="61B0DF8B" w14:textId="77777777"/>
    <w:p w:rsidR="001D443C" w:rsidRDefault="008F6154" w14:paraId="40C9C866" w14:textId="6DBEB132">
      <w:r>
        <w:t xml:space="preserve">Het ministerie van </w:t>
      </w:r>
      <w:r w:rsidR="000952E0">
        <w:t xml:space="preserve">IenW </w:t>
      </w:r>
      <w:r w:rsidR="00BB0DE9">
        <w:t xml:space="preserve">heeft </w:t>
      </w:r>
      <w:r w:rsidR="000952E0">
        <w:t xml:space="preserve">met de </w:t>
      </w:r>
      <w:r w:rsidR="00D51E8B">
        <w:t>Provincie Zeeland</w:t>
      </w:r>
      <w:r w:rsidR="000952E0">
        <w:t xml:space="preserve"> </w:t>
      </w:r>
      <w:r w:rsidR="00763C21">
        <w:t xml:space="preserve">een maatregelenpakket opgesteld om </w:t>
      </w:r>
      <w:r w:rsidR="00BB0DE9">
        <w:t xml:space="preserve">hinder te beperken en de betrouwbaarheid </w:t>
      </w:r>
      <w:r w:rsidR="00763C21">
        <w:t xml:space="preserve">te vergroten. Desondanks is </w:t>
      </w:r>
      <w:r w:rsidR="00BB0DE9">
        <w:t>onvermijdelijk dat het proefbaanvak hinder zal veroorzaken</w:t>
      </w:r>
      <w:r w:rsidR="00AA53BD">
        <w:t xml:space="preserve">. </w:t>
      </w:r>
      <w:r w:rsidR="00BB0DE9">
        <w:t>Ik</w:t>
      </w:r>
      <w:r w:rsidR="00763C21">
        <w:t xml:space="preserve"> </w:t>
      </w:r>
      <w:r w:rsidR="00EA58A8">
        <w:t xml:space="preserve">heb </w:t>
      </w:r>
      <w:r w:rsidR="00763C21">
        <w:t xml:space="preserve">met de gedeputeerde </w:t>
      </w:r>
      <w:r w:rsidR="00EA58A8">
        <w:t>gesproken</w:t>
      </w:r>
      <w:r w:rsidR="00BB0DE9">
        <w:t xml:space="preserve"> over het maatregelpakket en de voorbereidingen</w:t>
      </w:r>
      <w:r w:rsidR="00763C21">
        <w:t>.</w:t>
      </w:r>
      <w:r w:rsidR="009B22D0">
        <w:t xml:space="preserve"> </w:t>
      </w:r>
      <w:r w:rsidR="00EA58A8">
        <w:t>Een belangrijk o</w:t>
      </w:r>
      <w:r w:rsidR="009B22D0">
        <w:t xml:space="preserve">nderdeel is </w:t>
      </w:r>
      <w:r w:rsidR="00EA58A8">
        <w:t>treinvervangend busvervoer</w:t>
      </w:r>
      <w:r w:rsidR="009B22D0">
        <w:t xml:space="preserve">. </w:t>
      </w:r>
      <w:r w:rsidR="00EA58A8">
        <w:t xml:space="preserve">We </w:t>
      </w:r>
      <w:r w:rsidR="00B157D6">
        <w:t>vinden het beiden van groot belang hier zo snel mogelijk meer zicht op te hebben</w:t>
      </w:r>
      <w:r w:rsidR="00EA58A8">
        <w:t xml:space="preserve">. Eind dit jaar worden de eerste contouren </w:t>
      </w:r>
      <w:r w:rsidR="00B157D6">
        <w:t>van een plan</w:t>
      </w:r>
      <w:r w:rsidR="00EA58A8">
        <w:t xml:space="preserve"> </w:t>
      </w:r>
      <w:r w:rsidR="00030B68">
        <w:t xml:space="preserve">van NS </w:t>
      </w:r>
      <w:r w:rsidR="00EA58A8">
        <w:t xml:space="preserve">bekend. </w:t>
      </w:r>
      <w:r w:rsidR="00464EDB">
        <w:t xml:space="preserve">In de uitwerking hiervan wordt ook gekeken naar de mogelijkheden van Kruiningen-Yerseke als begin- en eindpunt van het treinvervangend busvervoer. Daarnaast zal dit </w:t>
      </w:r>
      <w:r w:rsidR="00EA58A8">
        <w:t>plan de komende jaren steeds verder uitgewerkt worden</w:t>
      </w:r>
      <w:r w:rsidR="00B157D6">
        <w:t xml:space="preserve"> samen met regionale partijen</w:t>
      </w:r>
      <w:r w:rsidR="00EA58A8">
        <w:t xml:space="preserve">, ook aan de hand van </w:t>
      </w:r>
      <w:r w:rsidR="008E0759">
        <w:t xml:space="preserve">ervaringen die we </w:t>
      </w:r>
      <w:r w:rsidR="00EA58A8">
        <w:t xml:space="preserve">bijvoorbeeld </w:t>
      </w:r>
      <w:r w:rsidR="00D91AFE">
        <w:t xml:space="preserve">nog </w:t>
      </w:r>
      <w:r w:rsidR="008E0759">
        <w:t>op gaan doen bij</w:t>
      </w:r>
      <w:r w:rsidR="00EA58A8">
        <w:t xml:space="preserve"> de </w:t>
      </w:r>
      <w:r w:rsidR="00B157D6">
        <w:t xml:space="preserve">grote </w:t>
      </w:r>
      <w:r w:rsidR="00EA58A8">
        <w:t>buitendienststelling tussen Alphen a/d Rijn – Leiden later dit jaar.</w:t>
      </w:r>
      <w:r w:rsidR="00464EDB">
        <w:t xml:space="preserve"> </w:t>
      </w:r>
      <w:r w:rsidR="00EA58A8">
        <w:t xml:space="preserve">De </w:t>
      </w:r>
      <w:r w:rsidR="00EA58A8">
        <w:lastRenderedPageBreak/>
        <w:t>gedeputeerde g</w:t>
      </w:r>
      <w:r w:rsidR="008E0759">
        <w:t>af in het gesprek</w:t>
      </w:r>
      <w:r w:rsidR="00EA58A8">
        <w:t xml:space="preserve"> verder aan dat de </w:t>
      </w:r>
      <w:r w:rsidR="00B157D6">
        <w:t xml:space="preserve">voorbereidingen en de </w:t>
      </w:r>
      <w:r w:rsidR="00EA58A8">
        <w:t xml:space="preserve">samenwerking met de programmadirectie ERTMS goed </w:t>
      </w:r>
      <w:r w:rsidR="00B157D6">
        <w:t>verlopen</w:t>
      </w:r>
      <w:r w:rsidR="00EA58A8">
        <w:t>.</w:t>
      </w:r>
    </w:p>
    <w:p w:rsidR="00763C21" w:rsidRDefault="00763C21" w14:paraId="5CA0D03E" w14:textId="77777777"/>
    <w:p w:rsidR="00763C21" w:rsidRDefault="00D91AFE" w14:paraId="60E0B37B" w14:textId="4E1A55F8">
      <w:pPr>
        <w:rPr>
          <w:i/>
          <w:iCs/>
        </w:rPr>
      </w:pPr>
      <w:r>
        <w:rPr>
          <w:i/>
          <w:iCs/>
        </w:rPr>
        <w:t>Wind in de zeilen en publiek vervoer</w:t>
      </w:r>
    </w:p>
    <w:p w:rsidR="00763C21" w:rsidRDefault="00763C21" w14:paraId="173467A8" w14:textId="7C8FED67">
      <w:r>
        <w:t>Binnen het compensatiepakket Wind in de Zeilen (WidZ) zit een aantal spoormaatregelen. Enkele zijn al uit</w:t>
      </w:r>
      <w:r w:rsidR="002B48F2">
        <w:t>gevoerd of in uitvoering</w:t>
      </w:r>
      <w:r w:rsidR="007C39D8">
        <w:t xml:space="preserve">. Sinds afgelopen december rijdt </w:t>
      </w:r>
      <w:r w:rsidR="0020561B">
        <w:t xml:space="preserve">voor minimaal drie jaar </w:t>
      </w:r>
      <w:r w:rsidR="007C39D8">
        <w:t xml:space="preserve">de </w:t>
      </w:r>
      <w:r w:rsidR="0020561B">
        <w:t xml:space="preserve">sprinter </w:t>
      </w:r>
      <w:r w:rsidR="007C39D8">
        <w:t>vanuit Zeeland na Roosendaal door als intercity naar Zwolle.</w:t>
      </w:r>
      <w:r w:rsidR="0020561B">
        <w:t xml:space="preserve"> Zo wordt Zeeland beter verbonden met verschillende Brabantse steden.</w:t>
      </w:r>
      <w:r w:rsidR="009B22D0">
        <w:t xml:space="preserve"> </w:t>
      </w:r>
      <w:r w:rsidR="0020561B">
        <w:t xml:space="preserve">We hebben de voortgang en </w:t>
      </w:r>
      <w:r w:rsidR="00EE40DE">
        <w:t xml:space="preserve">het </w:t>
      </w:r>
      <w:r w:rsidR="0020561B">
        <w:t>vervolgproces van het onderzoek naar een vierde trein op de Zeeuwse Lijn besproken.</w:t>
      </w:r>
    </w:p>
    <w:p w:rsidR="007C39D8" w:rsidRDefault="007C39D8" w14:paraId="14B0D401" w14:textId="77777777"/>
    <w:p w:rsidR="007C39D8" w:rsidRDefault="00A25D23" w14:paraId="4EBBAF07" w14:textId="3B9ACB3E">
      <w:r>
        <w:t xml:space="preserve">Verder hebben </w:t>
      </w:r>
      <w:r w:rsidR="007C39D8">
        <w:t>we teruggeblikt o</w:t>
      </w:r>
      <w:r w:rsidR="00E21851">
        <w:t>p</w:t>
      </w:r>
      <w:r w:rsidR="007C39D8">
        <w:t xml:space="preserve"> mijn werkbezoek afgelopen april over het syste</w:t>
      </w:r>
      <w:r>
        <w:t>em van publiek vervoer in Zeeland</w:t>
      </w:r>
      <w:r w:rsidR="009D2D29">
        <w:t xml:space="preserve"> en de opvolging besproken</w:t>
      </w:r>
      <w:r>
        <w:t xml:space="preserve">. Tot slot hebben we stilgestaan bij de stappen die er rondom Rail Gent-Terneuzen (RGT) zijn genomen. </w:t>
      </w:r>
    </w:p>
    <w:p w:rsidR="00A25D23" w:rsidRDefault="00A25D23" w14:paraId="7B736773" w14:textId="77777777"/>
    <w:p w:rsidR="00A25D23" w:rsidRDefault="00A25D23" w14:paraId="6C7CB295" w14:textId="5DDFD501">
      <w:pPr>
        <w:rPr>
          <w:b/>
          <w:bCs/>
        </w:rPr>
      </w:pPr>
      <w:r>
        <w:rPr>
          <w:b/>
          <w:bCs/>
        </w:rPr>
        <w:t>Startbeslissing MIRT-verkenning Rail Gent-Terneuzen</w:t>
      </w:r>
    </w:p>
    <w:p w:rsidRPr="003D7D90" w:rsidR="00E22ACB" w:rsidRDefault="00331377" w14:paraId="014E7E5F" w14:textId="2201A40A">
      <w:r w:rsidRPr="003D7D90">
        <w:t xml:space="preserve">De Kamer heeft </w:t>
      </w:r>
      <w:r w:rsidRPr="003D7D90" w:rsidR="00440C35">
        <w:t>eerder</w:t>
      </w:r>
      <w:r w:rsidRPr="003D7D90">
        <w:t xml:space="preserve"> gevraagd naar de voortgang van het project Rail Gent-Terneuzen. </w:t>
      </w:r>
      <w:r w:rsidRPr="003D7D90" w:rsidR="00E22ACB">
        <w:t xml:space="preserve">North Sea Port en de industrie in de regio </w:t>
      </w:r>
      <w:r w:rsidRPr="003D7D90" w:rsidR="00D91AFE">
        <w:t>zijn</w:t>
      </w:r>
      <w:r w:rsidRPr="003D7D90" w:rsidR="00E22ACB">
        <w:t xml:space="preserve"> belangrijk voor zowel de Nederlandse als Zeeuwse economie/werkgelegenheid. </w:t>
      </w:r>
    </w:p>
    <w:p w:rsidRPr="003D7D90" w:rsidR="00E22ACB" w:rsidRDefault="00E22ACB" w14:paraId="70A5EEE1" w14:textId="77777777"/>
    <w:p w:rsidRPr="003D7D90" w:rsidR="00331377" w:rsidRDefault="00331377" w14:paraId="64FAA764" w14:textId="6EC0255B">
      <w:r w:rsidRPr="003D7D90">
        <w:t xml:space="preserve">Tot nu toe moest ik de Kamer melden dat er gewerkt werd aan specifieke projectafspraken. </w:t>
      </w:r>
      <w:r w:rsidRPr="003D7D90" w:rsidR="00E21851">
        <w:t>Inmiddels k</w:t>
      </w:r>
      <w:r w:rsidRPr="003D7D90" w:rsidR="0025123F">
        <w:t xml:space="preserve">an </w:t>
      </w:r>
      <w:r w:rsidRPr="003D7D90" w:rsidR="00E21851">
        <w:t xml:space="preserve">ik </w:t>
      </w:r>
      <w:r w:rsidRPr="003D7D90" w:rsidR="0025123F">
        <w:t xml:space="preserve">de Kamer melden dat deze </w:t>
      </w:r>
      <w:r w:rsidRPr="003D7D90" w:rsidR="00E21851">
        <w:t xml:space="preserve">afspraken zijn gemaakt </w:t>
      </w:r>
      <w:r w:rsidRPr="003D7D90" w:rsidR="003D7D90">
        <w:t xml:space="preserve">met België </w:t>
      </w:r>
      <w:r w:rsidRPr="003D7D90" w:rsidR="00E21851">
        <w:t xml:space="preserve">en vastgelegd </w:t>
      </w:r>
      <w:r w:rsidRPr="003D7D90" w:rsidR="00D91AFE">
        <w:t xml:space="preserve">in een </w:t>
      </w:r>
      <w:r w:rsidRPr="003D7D90" w:rsidR="0025123F">
        <w:t xml:space="preserve">Memorandum van Overeenstemming. Daarmee </w:t>
      </w:r>
      <w:r w:rsidRPr="003D7D90" w:rsidR="00D91AFE">
        <w:t>i</w:t>
      </w:r>
      <w:r w:rsidRPr="003D7D90" w:rsidR="009D2D29">
        <w:t>s</w:t>
      </w:r>
      <w:r w:rsidRPr="003D7D90" w:rsidR="0025123F">
        <w:t xml:space="preserve"> voor mij</w:t>
      </w:r>
      <w:r w:rsidRPr="003D7D90">
        <w:t xml:space="preserve"> het spoor vrijgekomen om de Startbeslissing te nemen</w:t>
      </w:r>
      <w:r w:rsidRPr="003D7D90" w:rsidR="009D2D29">
        <w:t xml:space="preserve">. Hiermee </w:t>
      </w:r>
      <w:r w:rsidRPr="003D7D90" w:rsidR="00D91AFE">
        <w:t>kan</w:t>
      </w:r>
      <w:r w:rsidRPr="003D7D90" w:rsidR="009D2D29">
        <w:t xml:space="preserve"> d</w:t>
      </w:r>
      <w:r w:rsidRPr="003D7D90">
        <w:t xml:space="preserve">e MIRT-verkenning Rail Gent-Terneuzen </w:t>
      </w:r>
      <w:r w:rsidRPr="003D7D90" w:rsidR="009D2D29">
        <w:t xml:space="preserve">dus </w:t>
      </w:r>
      <w:r w:rsidRPr="003D7D90" w:rsidR="00D91AFE">
        <w:t>starten</w:t>
      </w:r>
      <w:r w:rsidRPr="003D7D90">
        <w:t xml:space="preserve">. </w:t>
      </w:r>
      <w:r w:rsidRPr="003D7D90" w:rsidR="009D2D29">
        <w:t>ProRail heeft een opdracht gekregen om deze uit te voeren.</w:t>
      </w:r>
      <w:r w:rsidRPr="003D7D90" w:rsidR="00E22ACB">
        <w:t xml:space="preserve"> </w:t>
      </w:r>
    </w:p>
    <w:p w:rsidRPr="003D7D90" w:rsidR="003D7D90" w:rsidP="00537A07" w:rsidRDefault="003D7D90" w14:paraId="59E344C7" w14:textId="77777777"/>
    <w:p w:rsidRPr="003D7D90" w:rsidR="00537A07" w:rsidP="00537A07" w:rsidRDefault="00537A07" w14:paraId="14C4E1A3" w14:textId="5D2B1C23">
      <w:r w:rsidRPr="003D7D90">
        <w:t>Met het nemen van deze Startbeslissing loop ik nog niet vooruit op de prioritering van het Mobiliteitsfonds (en Deltafonds)</w:t>
      </w:r>
      <w:r w:rsidRPr="003D7D90">
        <w:rPr>
          <w:rStyle w:val="FootnoteReference"/>
        </w:rPr>
        <w:footnoteReference w:id="1"/>
      </w:r>
      <w:r w:rsidRPr="003D7D90">
        <w:t>. Hoewel de financiering op het MF geboekt staat, kom</w:t>
      </w:r>
      <w:r w:rsidRPr="003D7D90" w:rsidR="005E7A27">
        <w:t xml:space="preserve">en de </w:t>
      </w:r>
      <w:r w:rsidRPr="003D7D90">
        <w:t xml:space="preserve">middelen hiervoor niet uit het MF. </w:t>
      </w:r>
      <w:r w:rsidRPr="003D7D90" w:rsidR="005E7A27">
        <w:t>Deze komen vanuit h</w:t>
      </w:r>
      <w:r w:rsidRPr="003D7D90">
        <w:t xml:space="preserve">et Nationaal Groeifonds en een Europese CEF-subsidie. Deze middelen vervallen </w:t>
      </w:r>
      <w:r w:rsidRPr="003D7D90" w:rsidR="005E7A27">
        <w:t xml:space="preserve">of moeten terugbetaald worden </w:t>
      </w:r>
      <w:r w:rsidRPr="003D7D90">
        <w:t xml:space="preserve">als het project niet doorgaat en zijn daarmee dus niet inzetbaar bij </w:t>
      </w:r>
      <w:r w:rsidRPr="003D7D90" w:rsidR="007A561C">
        <w:t xml:space="preserve">de </w:t>
      </w:r>
      <w:r w:rsidRPr="003D7D90">
        <w:t xml:space="preserve">prioritering. </w:t>
      </w:r>
    </w:p>
    <w:p w:rsidRPr="003D7D90" w:rsidR="003D7D90" w:rsidP="00537A07" w:rsidRDefault="003D7D90" w14:paraId="7FA30950" w14:textId="77777777"/>
    <w:p w:rsidR="003D7D90" w:rsidP="003D7D90" w:rsidRDefault="003D7D90" w14:paraId="3156774A" w14:textId="77777777">
      <w:r w:rsidRPr="003D7D90">
        <w:t>Met het starten van de MIRT-verkenning RGT wordt een bijdrage geleverd aan het beter faciliteren en stimuleren van het spoorgoederenvervoer.</w:t>
      </w:r>
    </w:p>
    <w:p w:rsidRPr="00331377" w:rsidR="003D7D90" w:rsidP="00537A07" w:rsidRDefault="003D7D90" w14:paraId="733AC9A3" w14:textId="77777777"/>
    <w:p w:rsidRPr="00A25D23" w:rsidR="00A25D23" w:rsidRDefault="00A25D23" w14:paraId="3FACB875" w14:textId="77777777"/>
    <w:p w:rsidR="008A4101" w:rsidRDefault="00EE40DE" w14:paraId="486E4D51" w14:textId="77777777">
      <w:pPr>
        <w:pStyle w:val="Slotzin"/>
      </w:pPr>
      <w:r>
        <w:t>Hoogachtend,</w:t>
      </w:r>
    </w:p>
    <w:p w:rsidR="008A4101" w:rsidRDefault="00EE40DE" w14:paraId="4A98F644" w14:textId="77777777">
      <w:pPr>
        <w:pStyle w:val="OndertekeningArea1"/>
      </w:pPr>
      <w:r>
        <w:t>DE STAATSSECRETARIS VAN INFRASTRUCTUUR EN WATERSTAAT,</w:t>
      </w:r>
    </w:p>
    <w:p w:rsidR="008A4101" w:rsidRDefault="008A4101" w14:paraId="692C605F" w14:textId="77777777"/>
    <w:p w:rsidR="008A4101" w:rsidRDefault="008A4101" w14:paraId="667A1C43" w14:textId="77777777"/>
    <w:p w:rsidR="008A4101" w:rsidRDefault="008A4101" w14:paraId="759B2AED" w14:textId="77777777"/>
    <w:p w:rsidR="008A4101" w:rsidRDefault="008A4101" w14:paraId="5CCAB836" w14:textId="77777777"/>
    <w:p w:rsidR="008A4101" w:rsidRDefault="00EE40DE" w14:paraId="6809E208" w14:textId="77777777">
      <w:r>
        <w:t>Annet Bertram</w:t>
      </w:r>
    </w:p>
    <w:sectPr w:rsidR="008A41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A7F4" w14:textId="77777777" w:rsidR="00AE3779" w:rsidRDefault="00AE3779">
      <w:pPr>
        <w:spacing w:line="240" w:lineRule="auto"/>
      </w:pPr>
      <w:r>
        <w:separator/>
      </w:r>
    </w:p>
  </w:endnote>
  <w:endnote w:type="continuationSeparator" w:id="0">
    <w:p w14:paraId="7A9EA118" w14:textId="77777777" w:rsidR="00AE3779" w:rsidRDefault="00AE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259D4" w14:textId="77777777" w:rsidR="00E53C17" w:rsidRDefault="00E53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7410" w14:textId="77777777" w:rsidR="00E53C17" w:rsidRDefault="00E53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A4778" w14:textId="77777777" w:rsidR="00E53C17" w:rsidRDefault="00E53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4CF22" w14:textId="77777777" w:rsidR="00AE3779" w:rsidRDefault="00AE3779">
      <w:pPr>
        <w:spacing w:line="240" w:lineRule="auto"/>
      </w:pPr>
      <w:r>
        <w:separator/>
      </w:r>
    </w:p>
  </w:footnote>
  <w:footnote w:type="continuationSeparator" w:id="0">
    <w:p w14:paraId="6820FDF6" w14:textId="77777777" w:rsidR="00AE3779" w:rsidRDefault="00AE3779">
      <w:pPr>
        <w:spacing w:line="240" w:lineRule="auto"/>
      </w:pPr>
      <w:r>
        <w:continuationSeparator/>
      </w:r>
    </w:p>
  </w:footnote>
  <w:footnote w:id="1">
    <w:p w14:paraId="6010E27C" w14:textId="77777777" w:rsidR="00537A07" w:rsidRPr="0010706C" w:rsidRDefault="00537A07" w:rsidP="00537A07">
      <w:pPr>
        <w:pStyle w:val="FootnoteText"/>
        <w:rPr>
          <w:sz w:val="12"/>
          <w:szCs w:val="12"/>
        </w:rPr>
      </w:pPr>
      <w:r w:rsidRPr="0010706C">
        <w:rPr>
          <w:rStyle w:val="FootnoteReference"/>
          <w:sz w:val="12"/>
          <w:szCs w:val="12"/>
        </w:rPr>
        <w:footnoteRef/>
      </w:r>
      <w:r w:rsidRPr="0010706C">
        <w:rPr>
          <w:sz w:val="12"/>
          <w:szCs w:val="12"/>
        </w:rPr>
        <w:t xml:space="preserve"> Tweede Kamer, vergaderjaar 2025-2026, 36 800 A, nr. 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05BE4" w14:textId="77777777" w:rsidR="00E53C17" w:rsidRDefault="00E53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304D7" w14:textId="77777777" w:rsidR="008A4101" w:rsidRDefault="00EE40D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4EADEC9" wp14:editId="11718430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FAC67" w14:textId="77777777" w:rsidR="008A4101" w:rsidRDefault="00EE40D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485C52F" w14:textId="77777777" w:rsidR="008A4101" w:rsidRDefault="008A4101">
                          <w:pPr>
                            <w:pStyle w:val="WitregelW2"/>
                          </w:pPr>
                        </w:p>
                        <w:p w14:paraId="6AEA66C7" w14:textId="77777777" w:rsidR="008A4101" w:rsidRDefault="00EE40D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D75BDCE" w14:textId="0118FB2E" w:rsidR="008A4101" w:rsidRDefault="00EE40DE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E21851">
                            <w:t>109091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EADEC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DFFAC67" w14:textId="77777777" w:rsidR="008A4101" w:rsidRDefault="00EE40D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485C52F" w14:textId="77777777" w:rsidR="008A4101" w:rsidRDefault="008A4101">
                    <w:pPr>
                      <w:pStyle w:val="WitregelW2"/>
                    </w:pPr>
                  </w:p>
                  <w:p w14:paraId="6AEA66C7" w14:textId="77777777" w:rsidR="008A4101" w:rsidRDefault="00EE40D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D75BDCE" w14:textId="0118FB2E" w:rsidR="008A4101" w:rsidRDefault="00EE40DE">
                    <w:pPr>
                      <w:pStyle w:val="Referentiegegevens"/>
                    </w:pPr>
                    <w:r>
                      <w:t>IENW/BSK-2026/</w:t>
                    </w:r>
                    <w:r w:rsidR="00E21851">
                      <w:t>109091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AE8DDA2" wp14:editId="628B728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71037" w14:textId="0A6A16FB" w:rsidR="008A4101" w:rsidRDefault="00EE40DE">
                          <w:pPr>
                            <w:pStyle w:val="Referentiegegevens"/>
                          </w:pPr>
                          <w:r>
                            <w:t>Pa</w:t>
                          </w:r>
                          <w:r w:rsidR="00A25D23">
                            <w:t>gina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E28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A25D23">
                            <w:t>van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D7C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8DDA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6871037" w14:textId="0A6A16FB" w:rsidR="008A4101" w:rsidRDefault="00EE40DE">
                    <w:pPr>
                      <w:pStyle w:val="Referentiegegevens"/>
                    </w:pPr>
                    <w:r>
                      <w:t>Pa</w:t>
                    </w:r>
                    <w:r w:rsidR="00A25D23">
                      <w:t>gina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E28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A25D23"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D7C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B5ADB7" wp14:editId="46D604F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E2B89" w14:textId="77777777" w:rsidR="00474A0E" w:rsidRDefault="00474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5ADB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55E2B89" w14:textId="77777777" w:rsidR="00474A0E" w:rsidRDefault="00474A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B888BFC" wp14:editId="606F14B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09D36" w14:textId="77777777" w:rsidR="00474A0E" w:rsidRDefault="00474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88BF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E309D36" w14:textId="77777777" w:rsidR="00474A0E" w:rsidRDefault="00474A0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6A1E" w14:textId="77777777" w:rsidR="008A4101" w:rsidRDefault="00EE40D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7BA0D5" wp14:editId="41D5BCC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1E9CA" w14:textId="77777777" w:rsidR="00474A0E" w:rsidRDefault="00474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7BA0D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601E9CA" w14:textId="77777777" w:rsidR="00474A0E" w:rsidRDefault="00474A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FB72CDA" wp14:editId="714080E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FC974" w14:textId="457D546C" w:rsidR="008A4101" w:rsidRDefault="00EE40DE">
                          <w:pPr>
                            <w:pStyle w:val="Referentiegegevens"/>
                          </w:pPr>
                          <w:r>
                            <w:t>Pag</w:t>
                          </w:r>
                          <w:r w:rsidR="00A25D23">
                            <w:t>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E79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A25D23">
                            <w:t>van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E79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72CD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B3FC974" w14:textId="457D546C" w:rsidR="008A4101" w:rsidRDefault="00EE40DE">
                    <w:pPr>
                      <w:pStyle w:val="Referentiegegevens"/>
                    </w:pPr>
                    <w:r>
                      <w:t>Pag</w:t>
                    </w:r>
                    <w:r w:rsidR="00A25D23">
                      <w:t>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E79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A25D23"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E79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29D4833" wp14:editId="76E7AE28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CE5BE" w14:textId="77777777" w:rsidR="008A4101" w:rsidRDefault="00EE40D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3B6AA4D" w14:textId="77777777" w:rsidR="008A4101" w:rsidRDefault="008A4101">
                          <w:pPr>
                            <w:pStyle w:val="WitregelW1"/>
                          </w:pPr>
                        </w:p>
                        <w:p w14:paraId="01B0249E" w14:textId="77777777" w:rsidR="008A4101" w:rsidRDefault="00EE40D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D79704D" w14:textId="77777777" w:rsidR="008A4101" w:rsidRPr="005D7CD8" w:rsidRDefault="00EE40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7CD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6D62EF1" w14:textId="77777777" w:rsidR="008A4101" w:rsidRPr="005D7CD8" w:rsidRDefault="00EE40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7CD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1D38C6C" w14:textId="77777777" w:rsidR="008A4101" w:rsidRPr="005D7CD8" w:rsidRDefault="00EE40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7CD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BBEDFE8" w14:textId="77777777" w:rsidR="008A4101" w:rsidRPr="005D7CD8" w:rsidRDefault="008A410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4A08480" w14:textId="77777777" w:rsidR="008A4101" w:rsidRPr="005D7CD8" w:rsidRDefault="00EE40D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D7CD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D07E557" w14:textId="77777777" w:rsidR="008A4101" w:rsidRDefault="00EE40D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2F5EEFB" w14:textId="77777777" w:rsidR="008A4101" w:rsidRDefault="008A4101">
                          <w:pPr>
                            <w:pStyle w:val="WitregelW2"/>
                          </w:pPr>
                        </w:p>
                        <w:p w14:paraId="3FDDEBC0" w14:textId="77777777" w:rsidR="008A4101" w:rsidRDefault="00EE40D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FA9F30D" w14:textId="3140D210" w:rsidR="008A4101" w:rsidRDefault="00EE40DE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E21851">
                            <w:t>109091</w:t>
                          </w:r>
                        </w:p>
                        <w:p w14:paraId="75DE0C71" w14:textId="77777777" w:rsidR="008A4101" w:rsidRDefault="008A4101">
                          <w:pPr>
                            <w:pStyle w:val="WitregelW1"/>
                          </w:pPr>
                        </w:p>
                        <w:p w14:paraId="62903945" w14:textId="77777777" w:rsidR="008A4101" w:rsidRDefault="00EE40D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1F1ED66" w14:textId="4598C268" w:rsidR="008A4101" w:rsidRDefault="00D43234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9D483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36CE5BE" w14:textId="77777777" w:rsidR="008A4101" w:rsidRDefault="00EE40D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3B6AA4D" w14:textId="77777777" w:rsidR="008A4101" w:rsidRDefault="008A4101">
                    <w:pPr>
                      <w:pStyle w:val="WitregelW1"/>
                    </w:pPr>
                  </w:p>
                  <w:p w14:paraId="01B0249E" w14:textId="77777777" w:rsidR="008A4101" w:rsidRDefault="00EE40DE">
                    <w:pPr>
                      <w:pStyle w:val="Afzendgegevens"/>
                    </w:pPr>
                    <w:r>
                      <w:t>Rijnstraat 8</w:t>
                    </w:r>
                  </w:p>
                  <w:p w14:paraId="5D79704D" w14:textId="77777777" w:rsidR="008A4101" w:rsidRPr="005D7CD8" w:rsidRDefault="00EE40DE">
                    <w:pPr>
                      <w:pStyle w:val="Afzendgegevens"/>
                      <w:rPr>
                        <w:lang w:val="de-DE"/>
                      </w:rPr>
                    </w:pPr>
                    <w:r w:rsidRPr="005D7CD8">
                      <w:rPr>
                        <w:lang w:val="de-DE"/>
                      </w:rPr>
                      <w:t>2515 XP  Den Haag</w:t>
                    </w:r>
                  </w:p>
                  <w:p w14:paraId="16D62EF1" w14:textId="77777777" w:rsidR="008A4101" w:rsidRPr="005D7CD8" w:rsidRDefault="00EE40DE">
                    <w:pPr>
                      <w:pStyle w:val="Afzendgegevens"/>
                      <w:rPr>
                        <w:lang w:val="de-DE"/>
                      </w:rPr>
                    </w:pPr>
                    <w:r w:rsidRPr="005D7CD8">
                      <w:rPr>
                        <w:lang w:val="de-DE"/>
                      </w:rPr>
                      <w:t>Postbus 20901</w:t>
                    </w:r>
                  </w:p>
                  <w:p w14:paraId="31D38C6C" w14:textId="77777777" w:rsidR="008A4101" w:rsidRPr="005D7CD8" w:rsidRDefault="00EE40DE">
                    <w:pPr>
                      <w:pStyle w:val="Afzendgegevens"/>
                      <w:rPr>
                        <w:lang w:val="de-DE"/>
                      </w:rPr>
                    </w:pPr>
                    <w:r w:rsidRPr="005D7CD8">
                      <w:rPr>
                        <w:lang w:val="de-DE"/>
                      </w:rPr>
                      <w:t>2500 EX Den Haag</w:t>
                    </w:r>
                  </w:p>
                  <w:p w14:paraId="1BBEDFE8" w14:textId="77777777" w:rsidR="008A4101" w:rsidRPr="005D7CD8" w:rsidRDefault="008A410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4A08480" w14:textId="77777777" w:rsidR="008A4101" w:rsidRPr="005D7CD8" w:rsidRDefault="00EE40DE">
                    <w:pPr>
                      <w:pStyle w:val="Afzendgegevens"/>
                      <w:rPr>
                        <w:lang w:val="de-DE"/>
                      </w:rPr>
                    </w:pPr>
                    <w:r w:rsidRPr="005D7CD8">
                      <w:rPr>
                        <w:lang w:val="de-DE"/>
                      </w:rPr>
                      <w:t>T   070-456 0000</w:t>
                    </w:r>
                  </w:p>
                  <w:p w14:paraId="1D07E557" w14:textId="77777777" w:rsidR="008A4101" w:rsidRDefault="00EE40D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2F5EEFB" w14:textId="77777777" w:rsidR="008A4101" w:rsidRDefault="008A4101">
                    <w:pPr>
                      <w:pStyle w:val="WitregelW2"/>
                    </w:pPr>
                  </w:p>
                  <w:p w14:paraId="3FDDEBC0" w14:textId="77777777" w:rsidR="008A4101" w:rsidRDefault="00EE40D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FA9F30D" w14:textId="3140D210" w:rsidR="008A4101" w:rsidRDefault="00EE40DE">
                    <w:pPr>
                      <w:pStyle w:val="Referentiegegevens"/>
                    </w:pPr>
                    <w:r>
                      <w:t>IENW/BSK-2026/</w:t>
                    </w:r>
                    <w:r w:rsidR="00E21851">
                      <w:t>109091</w:t>
                    </w:r>
                  </w:p>
                  <w:p w14:paraId="75DE0C71" w14:textId="77777777" w:rsidR="008A4101" w:rsidRDefault="008A4101">
                    <w:pPr>
                      <w:pStyle w:val="WitregelW1"/>
                    </w:pPr>
                  </w:p>
                  <w:p w14:paraId="62903945" w14:textId="77777777" w:rsidR="008A4101" w:rsidRDefault="00EE40D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1F1ED66" w14:textId="4598C268" w:rsidR="008A4101" w:rsidRDefault="00D43234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111285F" wp14:editId="7A469774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7B518" w14:textId="77777777" w:rsidR="008A4101" w:rsidRDefault="00EE40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C544F5" wp14:editId="0FF332F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1285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717B518" w14:textId="77777777" w:rsidR="008A4101" w:rsidRDefault="00EE40D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9C544F5" wp14:editId="0FF332F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12D4045" wp14:editId="400745B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57A00" w14:textId="77777777" w:rsidR="008A4101" w:rsidRDefault="00EE40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F5E30C" wp14:editId="1714369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D404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2257A00" w14:textId="77777777" w:rsidR="008A4101" w:rsidRDefault="00EE40D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F5E30C" wp14:editId="1714369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20B9071" wp14:editId="40B1457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20B5A" w14:textId="77777777" w:rsidR="008A4101" w:rsidRDefault="00EE40D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B907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CE20B5A" w14:textId="77777777" w:rsidR="008A4101" w:rsidRDefault="00EE40D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BC307B3" wp14:editId="340B489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9DF1E" w14:textId="77777777" w:rsidR="008A4101" w:rsidRDefault="00EE40D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307B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B19DF1E" w14:textId="77777777" w:rsidR="008A4101" w:rsidRDefault="00EE40D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EC14A2" wp14:editId="604B6AD2">
              <wp:simplePos x="0" y="0"/>
              <wp:positionH relativeFrom="page">
                <wp:posOffset>1009650</wp:posOffset>
              </wp:positionH>
              <wp:positionV relativeFrom="paragraph">
                <wp:posOffset>3638550</wp:posOffset>
              </wp:positionV>
              <wp:extent cx="4857750" cy="7905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7797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657"/>
                          </w:tblGrid>
                          <w:tr w:rsidR="008A4101" w14:paraId="6C4EF984" w14:textId="77777777" w:rsidTr="00E2185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E4939B" w14:textId="77777777" w:rsidR="008A4101" w:rsidRDefault="008A4101"/>
                            </w:tc>
                            <w:tc>
                              <w:tcPr>
                                <w:tcW w:w="6657" w:type="dxa"/>
                              </w:tcPr>
                              <w:p w14:paraId="3EFF899C" w14:textId="77777777" w:rsidR="008A4101" w:rsidRDefault="008A4101"/>
                            </w:tc>
                          </w:tr>
                          <w:tr w:rsidR="008A4101" w14:paraId="607C40AD" w14:textId="77777777" w:rsidTr="00E2185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C7209C" w14:textId="77777777" w:rsidR="008A4101" w:rsidRDefault="00EE40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57" w:type="dxa"/>
                              </w:tcPr>
                              <w:p w14:paraId="6E3ACAA0" w14:textId="0D2FBBDC" w:rsidR="008A4101" w:rsidRDefault="003112EA">
                                <w:r>
                                  <w:t>25 juni 2026</w:t>
                                </w:r>
                              </w:p>
                            </w:tc>
                          </w:tr>
                          <w:tr w:rsidR="008A4101" w14:paraId="0585E235" w14:textId="77777777" w:rsidTr="00E2185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CA2410" w14:textId="77777777" w:rsidR="008A4101" w:rsidRDefault="00EE40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657" w:type="dxa"/>
                              </w:tcPr>
                              <w:p w14:paraId="18F63F18" w14:textId="77777777" w:rsidR="00E21851" w:rsidRPr="00E21851" w:rsidRDefault="00E21851" w:rsidP="00E21851">
                                <w:pPr>
                                  <w:spacing w:line="240" w:lineRule="exact"/>
                                </w:pPr>
                                <w:r w:rsidRPr="00E21851">
                                  <w:t>Kamerbrief Startbeslissing MIRT-verkenning Rail Gent-Terneuzen en terugkoppeling Bestuurlijk Overleg met Zeeland over spoordossiers</w:t>
                                </w:r>
                              </w:p>
                              <w:p w14:paraId="7AD62CE9" w14:textId="4EA13189" w:rsidR="008A4101" w:rsidRDefault="008A4101"/>
                            </w:tc>
                          </w:tr>
                          <w:tr w:rsidR="008A4101" w14:paraId="20CA4329" w14:textId="77777777" w:rsidTr="00E2185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43AC98" w14:textId="77777777" w:rsidR="008A4101" w:rsidRDefault="008A4101"/>
                            </w:tc>
                            <w:tc>
                              <w:tcPr>
                                <w:tcW w:w="6657" w:type="dxa"/>
                              </w:tcPr>
                              <w:p w14:paraId="4B413CE7" w14:textId="77777777" w:rsidR="008A4101" w:rsidRDefault="008A4101"/>
                            </w:tc>
                          </w:tr>
                        </w:tbl>
                        <w:p w14:paraId="0A7F3C30" w14:textId="77777777" w:rsidR="00474A0E" w:rsidRDefault="00474A0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C14A2" id="7266255e-823c-11ee-8554-0242ac120003" o:spid="_x0000_s1037" type="#_x0000_t202" style="position:absolute;margin-left:79.5pt;margin-top:286.5pt;width:382.5pt;height:62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7797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657"/>
                    </w:tblGrid>
                    <w:tr w:rsidR="008A4101" w14:paraId="6C4EF984" w14:textId="77777777" w:rsidTr="00E2185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E4939B" w14:textId="77777777" w:rsidR="008A4101" w:rsidRDefault="008A4101"/>
                      </w:tc>
                      <w:tc>
                        <w:tcPr>
                          <w:tcW w:w="6657" w:type="dxa"/>
                        </w:tcPr>
                        <w:p w14:paraId="3EFF899C" w14:textId="77777777" w:rsidR="008A4101" w:rsidRDefault="008A4101"/>
                      </w:tc>
                    </w:tr>
                    <w:tr w:rsidR="008A4101" w14:paraId="607C40AD" w14:textId="77777777" w:rsidTr="00E2185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C7209C" w14:textId="77777777" w:rsidR="008A4101" w:rsidRDefault="00EE40DE">
                          <w:r>
                            <w:t>Datum</w:t>
                          </w:r>
                        </w:p>
                      </w:tc>
                      <w:tc>
                        <w:tcPr>
                          <w:tcW w:w="6657" w:type="dxa"/>
                        </w:tcPr>
                        <w:p w14:paraId="6E3ACAA0" w14:textId="0D2FBBDC" w:rsidR="008A4101" w:rsidRDefault="003112EA">
                          <w:r>
                            <w:t>25 juni 2026</w:t>
                          </w:r>
                        </w:p>
                      </w:tc>
                    </w:tr>
                    <w:tr w:rsidR="008A4101" w14:paraId="0585E235" w14:textId="77777777" w:rsidTr="00E2185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CA2410" w14:textId="77777777" w:rsidR="008A4101" w:rsidRDefault="00EE40DE">
                          <w:r>
                            <w:t>Betreft</w:t>
                          </w:r>
                        </w:p>
                      </w:tc>
                      <w:tc>
                        <w:tcPr>
                          <w:tcW w:w="6657" w:type="dxa"/>
                        </w:tcPr>
                        <w:p w14:paraId="18F63F18" w14:textId="77777777" w:rsidR="00E21851" w:rsidRPr="00E21851" w:rsidRDefault="00E21851" w:rsidP="00E21851">
                          <w:pPr>
                            <w:spacing w:line="240" w:lineRule="exact"/>
                          </w:pPr>
                          <w:r w:rsidRPr="00E21851">
                            <w:t>Kamerbrief Startbeslissing MIRT-verkenning Rail Gent-Terneuzen en terugkoppeling Bestuurlijk Overleg met Zeeland over spoordossiers</w:t>
                          </w:r>
                        </w:p>
                        <w:p w14:paraId="7AD62CE9" w14:textId="4EA13189" w:rsidR="008A4101" w:rsidRDefault="008A4101"/>
                      </w:tc>
                    </w:tr>
                    <w:tr w:rsidR="008A4101" w14:paraId="20CA4329" w14:textId="77777777" w:rsidTr="00E2185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43AC98" w14:textId="77777777" w:rsidR="008A4101" w:rsidRDefault="008A4101"/>
                      </w:tc>
                      <w:tc>
                        <w:tcPr>
                          <w:tcW w:w="6657" w:type="dxa"/>
                        </w:tcPr>
                        <w:p w14:paraId="4B413CE7" w14:textId="77777777" w:rsidR="008A4101" w:rsidRDefault="008A4101"/>
                      </w:tc>
                    </w:tr>
                  </w:tbl>
                  <w:p w14:paraId="0A7F3C30" w14:textId="77777777" w:rsidR="00474A0E" w:rsidRDefault="00474A0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E0B73EF" wp14:editId="286B78A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39CC4" w14:textId="77777777" w:rsidR="00474A0E" w:rsidRDefault="00474A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B73E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5939CC4" w14:textId="77777777" w:rsidR="00474A0E" w:rsidRDefault="00474A0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9E964"/>
    <w:multiLevelType w:val="multilevel"/>
    <w:tmpl w:val="00E8542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7D8693"/>
    <w:multiLevelType w:val="multilevel"/>
    <w:tmpl w:val="E266506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5C9DE5"/>
    <w:multiLevelType w:val="multilevel"/>
    <w:tmpl w:val="E42D94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969D803E"/>
    <w:multiLevelType w:val="multilevel"/>
    <w:tmpl w:val="F16669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B9229C93"/>
    <w:multiLevelType w:val="multilevel"/>
    <w:tmpl w:val="3752B78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F61A58"/>
    <w:multiLevelType w:val="multilevel"/>
    <w:tmpl w:val="D4436CB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8B81B1"/>
    <w:multiLevelType w:val="multilevel"/>
    <w:tmpl w:val="0315CC3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6727C9"/>
    <w:multiLevelType w:val="multilevel"/>
    <w:tmpl w:val="9DF85E1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152A447"/>
    <w:multiLevelType w:val="multilevel"/>
    <w:tmpl w:val="BD761D6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1AAB02B"/>
    <w:multiLevelType w:val="multilevel"/>
    <w:tmpl w:val="2958B82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933FB30"/>
    <w:multiLevelType w:val="multilevel"/>
    <w:tmpl w:val="E2EBED7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E50308"/>
    <w:multiLevelType w:val="multilevel"/>
    <w:tmpl w:val="7F140AF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80A3D47"/>
    <w:multiLevelType w:val="multilevel"/>
    <w:tmpl w:val="B6E5D9B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A4FE78"/>
    <w:multiLevelType w:val="multilevel"/>
    <w:tmpl w:val="EDE82C3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C582166"/>
    <w:multiLevelType w:val="multilevel"/>
    <w:tmpl w:val="318CDB9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EFF7D6E"/>
    <w:multiLevelType w:val="multilevel"/>
    <w:tmpl w:val="7A72D05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505BE7"/>
    <w:multiLevelType w:val="multilevel"/>
    <w:tmpl w:val="C0EBBAF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853E49"/>
    <w:multiLevelType w:val="multilevel"/>
    <w:tmpl w:val="A9CC7EC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52FE43"/>
    <w:multiLevelType w:val="multilevel"/>
    <w:tmpl w:val="0B85D80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F906B4"/>
    <w:multiLevelType w:val="multilevel"/>
    <w:tmpl w:val="C616D15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C6892C"/>
    <w:multiLevelType w:val="multilevel"/>
    <w:tmpl w:val="3758CD7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32D627"/>
    <w:multiLevelType w:val="multilevel"/>
    <w:tmpl w:val="88B1870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3A888F"/>
    <w:multiLevelType w:val="multilevel"/>
    <w:tmpl w:val="6A91465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20"/>
  </w:num>
  <w:num w:numId="5">
    <w:abstractNumId w:val="3"/>
  </w:num>
  <w:num w:numId="6">
    <w:abstractNumId w:val="9"/>
  </w:num>
  <w:num w:numId="7">
    <w:abstractNumId w:val="18"/>
  </w:num>
  <w:num w:numId="8">
    <w:abstractNumId w:val="17"/>
  </w:num>
  <w:num w:numId="9">
    <w:abstractNumId w:val="12"/>
  </w:num>
  <w:num w:numId="10">
    <w:abstractNumId w:val="8"/>
  </w:num>
  <w:num w:numId="11">
    <w:abstractNumId w:val="7"/>
  </w:num>
  <w:num w:numId="12">
    <w:abstractNumId w:val="2"/>
  </w:num>
  <w:num w:numId="13">
    <w:abstractNumId w:val="10"/>
  </w:num>
  <w:num w:numId="14">
    <w:abstractNumId w:val="6"/>
  </w:num>
  <w:num w:numId="15">
    <w:abstractNumId w:val="14"/>
  </w:num>
  <w:num w:numId="16">
    <w:abstractNumId w:val="22"/>
  </w:num>
  <w:num w:numId="17">
    <w:abstractNumId w:val="19"/>
  </w:num>
  <w:num w:numId="18">
    <w:abstractNumId w:val="4"/>
  </w:num>
  <w:num w:numId="19">
    <w:abstractNumId w:val="16"/>
  </w:num>
  <w:num w:numId="20">
    <w:abstractNumId w:val="1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D8"/>
    <w:rsid w:val="00030B68"/>
    <w:rsid w:val="000370BA"/>
    <w:rsid w:val="00056847"/>
    <w:rsid w:val="00075598"/>
    <w:rsid w:val="00085C75"/>
    <w:rsid w:val="000952E0"/>
    <w:rsid w:val="000A1752"/>
    <w:rsid w:val="000B18FD"/>
    <w:rsid w:val="000B530C"/>
    <w:rsid w:val="000F5FC2"/>
    <w:rsid w:val="001012C5"/>
    <w:rsid w:val="00101754"/>
    <w:rsid w:val="00103F56"/>
    <w:rsid w:val="00132AB6"/>
    <w:rsid w:val="001454BA"/>
    <w:rsid w:val="00187CAA"/>
    <w:rsid w:val="001A4621"/>
    <w:rsid w:val="001D0DE2"/>
    <w:rsid w:val="001D443C"/>
    <w:rsid w:val="00200C22"/>
    <w:rsid w:val="0020561B"/>
    <w:rsid w:val="0025123F"/>
    <w:rsid w:val="002653DF"/>
    <w:rsid w:val="0028011A"/>
    <w:rsid w:val="0029317F"/>
    <w:rsid w:val="002B48F2"/>
    <w:rsid w:val="003112EA"/>
    <w:rsid w:val="00331377"/>
    <w:rsid w:val="003373E9"/>
    <w:rsid w:val="00351DD5"/>
    <w:rsid w:val="003A1BF5"/>
    <w:rsid w:val="003A6D8E"/>
    <w:rsid w:val="003C6DDB"/>
    <w:rsid w:val="003D7D90"/>
    <w:rsid w:val="003E1A5B"/>
    <w:rsid w:val="00432DDA"/>
    <w:rsid w:val="00440C35"/>
    <w:rsid w:val="00464EDB"/>
    <w:rsid w:val="00471343"/>
    <w:rsid w:val="004724C6"/>
    <w:rsid w:val="00474A0E"/>
    <w:rsid w:val="00515C57"/>
    <w:rsid w:val="005372F3"/>
    <w:rsid w:val="00537A07"/>
    <w:rsid w:val="00565669"/>
    <w:rsid w:val="005942A4"/>
    <w:rsid w:val="005B20B3"/>
    <w:rsid w:val="005B5916"/>
    <w:rsid w:val="005D7CD8"/>
    <w:rsid w:val="005E7A27"/>
    <w:rsid w:val="006434A9"/>
    <w:rsid w:val="006C6450"/>
    <w:rsid w:val="006E281A"/>
    <w:rsid w:val="0070047E"/>
    <w:rsid w:val="00763C21"/>
    <w:rsid w:val="00765BE4"/>
    <w:rsid w:val="00783708"/>
    <w:rsid w:val="00783A99"/>
    <w:rsid w:val="007A00D2"/>
    <w:rsid w:val="007A561C"/>
    <w:rsid w:val="007C39D8"/>
    <w:rsid w:val="007C495C"/>
    <w:rsid w:val="007D7E20"/>
    <w:rsid w:val="008152F8"/>
    <w:rsid w:val="00817964"/>
    <w:rsid w:val="008A4101"/>
    <w:rsid w:val="008C1D27"/>
    <w:rsid w:val="008D79DF"/>
    <w:rsid w:val="008E0759"/>
    <w:rsid w:val="008F6154"/>
    <w:rsid w:val="00903463"/>
    <w:rsid w:val="0092230E"/>
    <w:rsid w:val="009338A2"/>
    <w:rsid w:val="009429D5"/>
    <w:rsid w:val="00967B70"/>
    <w:rsid w:val="00984163"/>
    <w:rsid w:val="009B22D0"/>
    <w:rsid w:val="009D2D29"/>
    <w:rsid w:val="009E57DD"/>
    <w:rsid w:val="00A25D23"/>
    <w:rsid w:val="00AA53BD"/>
    <w:rsid w:val="00AE3779"/>
    <w:rsid w:val="00AE7946"/>
    <w:rsid w:val="00AF3D32"/>
    <w:rsid w:val="00B157D6"/>
    <w:rsid w:val="00B72FF7"/>
    <w:rsid w:val="00B80D06"/>
    <w:rsid w:val="00B950B7"/>
    <w:rsid w:val="00BB0DE9"/>
    <w:rsid w:val="00BC4D54"/>
    <w:rsid w:val="00C53F16"/>
    <w:rsid w:val="00C81621"/>
    <w:rsid w:val="00C973A7"/>
    <w:rsid w:val="00D43234"/>
    <w:rsid w:val="00D51E8B"/>
    <w:rsid w:val="00D53562"/>
    <w:rsid w:val="00D91AFE"/>
    <w:rsid w:val="00DB63A6"/>
    <w:rsid w:val="00DC6477"/>
    <w:rsid w:val="00E02584"/>
    <w:rsid w:val="00E21851"/>
    <w:rsid w:val="00E22ACB"/>
    <w:rsid w:val="00E24B88"/>
    <w:rsid w:val="00E53C17"/>
    <w:rsid w:val="00E707C0"/>
    <w:rsid w:val="00E844EA"/>
    <w:rsid w:val="00EA58A8"/>
    <w:rsid w:val="00EB6F22"/>
    <w:rsid w:val="00EC08B8"/>
    <w:rsid w:val="00EE40DE"/>
    <w:rsid w:val="00EE7040"/>
    <w:rsid w:val="00EF72D6"/>
    <w:rsid w:val="00F40C4E"/>
    <w:rsid w:val="00F61095"/>
    <w:rsid w:val="00F71EFF"/>
    <w:rsid w:val="00FC7024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F1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D7C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7C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D8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3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C2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21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D2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D2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25D23"/>
    <w:rPr>
      <w:vertAlign w:val="superscript"/>
    </w:rPr>
  </w:style>
  <w:style w:type="paragraph" w:styleId="Revision">
    <w:name w:val="Revision"/>
    <w:hidden/>
    <w:uiPriority w:val="99"/>
    <w:semiHidden/>
    <w:rsid w:val="00BB0DE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660</ap:Words>
  <ap:Characters>3767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Bestuurlijk Overleg inzake spoordossiers in Zeeland</vt:lpstr>
    </vt:vector>
  </ap:TitlesOfParts>
  <ap:LinksUpToDate>false</ap:LinksUpToDate>
  <ap:CharactersWithSpaces>4419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2026-06-25T14:48:00.0000000Z</dcterms:created>
  <dcterms:modified xsi:type="dcterms:W3CDTF">2026-06-25T14:48:00.0000000Z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Bestuurlijk Overleg inzake spoordossiers in Zeeland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J.D. Heuker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