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598" w:rsidP="004E08CB" w:rsidRDefault="00E216D0" w14:paraId="7FFF5AB0" w14:textId="77777777">
      <w:pPr>
        <w:pStyle w:val="StandaardAanhef"/>
        <w:spacing w:line="276" w:lineRule="auto"/>
      </w:pPr>
      <w:r>
        <w:t>Geachte voorzitter,</w:t>
      </w:r>
    </w:p>
    <w:p w:rsidR="00E216D0" w:rsidP="004E08CB" w:rsidRDefault="00E216D0" w14:paraId="024721F4" w14:textId="77777777">
      <w:pPr>
        <w:spacing w:line="276" w:lineRule="auto"/>
        <w:rPr>
          <w:rFonts w:eastAsia="Calibri" w:cs="Calibri"/>
        </w:rPr>
      </w:pPr>
      <w:r w:rsidRPr="00220779">
        <w:rPr>
          <w:rFonts w:eastAsia="Calibri" w:cs="Calibri"/>
        </w:rPr>
        <w:t xml:space="preserve">Hierbij bied ik </w:t>
      </w:r>
      <w:r w:rsidR="00B81E7B">
        <w:rPr>
          <w:rFonts w:eastAsia="Calibri" w:cs="Calibri"/>
        </w:rPr>
        <w:t>u</w:t>
      </w:r>
      <w:r w:rsidRPr="00220779">
        <w:rPr>
          <w:rFonts w:eastAsia="Calibri" w:cs="Calibri"/>
        </w:rPr>
        <w:t xml:space="preserve"> het evaluatierapport </w:t>
      </w:r>
      <w:r w:rsidR="00B81E7B">
        <w:rPr>
          <w:rFonts w:eastAsia="Calibri" w:cs="Calibri"/>
        </w:rPr>
        <w:t xml:space="preserve">aan </w:t>
      </w:r>
      <w:r w:rsidRPr="00220779">
        <w:rPr>
          <w:rFonts w:eastAsia="Calibri" w:cs="Calibri"/>
        </w:rPr>
        <w:t>van de Wet toezicht trustkantoren 2018 (</w:t>
      </w:r>
      <w:proofErr w:type="spellStart"/>
      <w:r w:rsidRPr="00220779">
        <w:rPr>
          <w:rFonts w:eastAsia="Calibri" w:cs="Calibri"/>
        </w:rPr>
        <w:t>Wtt</w:t>
      </w:r>
      <w:proofErr w:type="spellEnd"/>
      <w:r w:rsidRPr="00220779">
        <w:rPr>
          <w:rFonts w:eastAsia="Calibri" w:cs="Calibri"/>
        </w:rPr>
        <w:t xml:space="preserve"> 2018). Op grond van artikel 69 van de </w:t>
      </w:r>
      <w:proofErr w:type="spellStart"/>
      <w:r w:rsidRPr="00220779">
        <w:rPr>
          <w:rFonts w:eastAsia="Calibri" w:cs="Calibri"/>
        </w:rPr>
        <w:t>Wtt</w:t>
      </w:r>
      <w:proofErr w:type="spellEnd"/>
      <w:r w:rsidRPr="00220779">
        <w:rPr>
          <w:rFonts w:eastAsia="Calibri" w:cs="Calibri"/>
        </w:rPr>
        <w:t xml:space="preserve"> 2018 dient binnen vijf jaar na inwerkingtreding verslag te worden gedaan van de doeltreffendheid en de effecten van deze wet in de praktijk.</w:t>
      </w:r>
      <w:r w:rsidRPr="00220779" w:rsidR="002C66DA">
        <w:rPr>
          <w:rStyle w:val="Voetnootmarkering"/>
          <w:rFonts w:eastAsia="Calibri" w:cs="Calibri"/>
        </w:rPr>
        <w:footnoteReference w:id="1"/>
      </w:r>
      <w:r w:rsidRPr="00220779" w:rsidR="002C66DA">
        <w:rPr>
          <w:rFonts w:eastAsia="Calibri" w:cs="Calibri"/>
        </w:rPr>
        <w:t xml:space="preserve"> </w:t>
      </w:r>
      <w:r w:rsidRPr="00220779">
        <w:rPr>
          <w:rFonts w:eastAsia="Calibri" w:cs="Calibri"/>
        </w:rPr>
        <w:t xml:space="preserve">Met het voorliggende evaluatierapport is invulling gegeven aan deze verplichting. De evaluatie is uitgevoerd door SEO economisch onderzoek en gaat over de periode 2019 – 2026. In deze brief geef ik mijn </w:t>
      </w:r>
      <w:r w:rsidR="00B81E7B">
        <w:rPr>
          <w:rFonts w:eastAsia="Calibri" w:cs="Calibri"/>
        </w:rPr>
        <w:t>reactie op</w:t>
      </w:r>
      <w:r w:rsidRPr="00220779">
        <w:rPr>
          <w:rFonts w:eastAsia="Calibri" w:cs="Calibri"/>
        </w:rPr>
        <w:t xml:space="preserve"> </w:t>
      </w:r>
      <w:r w:rsidR="002C66DA">
        <w:rPr>
          <w:rFonts w:eastAsia="Calibri" w:cs="Calibri"/>
        </w:rPr>
        <w:t>het evaluatierapport.</w:t>
      </w:r>
      <w:r w:rsidRPr="00220779">
        <w:rPr>
          <w:rFonts w:eastAsia="Calibri" w:cs="Calibri"/>
        </w:rPr>
        <w:t xml:space="preserve"> </w:t>
      </w:r>
    </w:p>
    <w:p w:rsidRPr="00220779" w:rsidR="00142922" w:rsidP="004E08CB" w:rsidRDefault="00142922" w14:paraId="7DEE459C" w14:textId="77777777">
      <w:pPr>
        <w:spacing w:line="276" w:lineRule="auto"/>
        <w:rPr>
          <w:rFonts w:eastAsia="Calibri" w:cs="Calibri"/>
        </w:rPr>
      </w:pPr>
    </w:p>
    <w:p w:rsidR="004805E0" w:rsidP="004E08CB" w:rsidRDefault="004805E0" w14:paraId="38F165D0" w14:textId="77777777">
      <w:pPr>
        <w:spacing w:line="276" w:lineRule="auto"/>
        <w:rPr>
          <w:rFonts w:eastAsia="Calibri" w:cs="Calibri"/>
          <w:b/>
          <w:bCs/>
        </w:rPr>
      </w:pPr>
    </w:p>
    <w:p w:rsidRPr="00220779" w:rsidR="00E216D0" w:rsidP="004E08CB" w:rsidRDefault="00E216D0" w14:paraId="1FDBBBF3" w14:textId="77777777">
      <w:pPr>
        <w:spacing w:line="276" w:lineRule="auto"/>
        <w:rPr>
          <w:rFonts w:eastAsia="Calibri" w:cs="Calibri"/>
          <w:b/>
          <w:bCs/>
        </w:rPr>
      </w:pPr>
      <w:r w:rsidRPr="00220779">
        <w:rPr>
          <w:rFonts w:eastAsia="Calibri" w:cs="Calibri"/>
          <w:b/>
          <w:bCs/>
        </w:rPr>
        <w:t xml:space="preserve">Achtergrond </w:t>
      </w:r>
    </w:p>
    <w:p w:rsidR="00420F85" w:rsidP="004E08CB" w:rsidRDefault="00E216D0" w14:paraId="4BC61585" w14:textId="77777777">
      <w:pPr>
        <w:spacing w:line="276" w:lineRule="auto"/>
        <w:rPr>
          <w:rFonts w:eastAsia="Calibri" w:cs="Calibri"/>
        </w:rPr>
      </w:pPr>
      <w:r w:rsidRPr="00220779">
        <w:rPr>
          <w:rFonts w:eastAsia="Calibri" w:cs="Calibri"/>
        </w:rPr>
        <w:t xml:space="preserve">De </w:t>
      </w:r>
      <w:proofErr w:type="spellStart"/>
      <w:r w:rsidRPr="00220779">
        <w:rPr>
          <w:rFonts w:eastAsia="Calibri" w:cs="Calibri"/>
        </w:rPr>
        <w:t>Wtt</w:t>
      </w:r>
      <w:proofErr w:type="spellEnd"/>
      <w:r w:rsidRPr="00220779">
        <w:rPr>
          <w:rFonts w:eastAsia="Calibri" w:cs="Calibri"/>
        </w:rPr>
        <w:t xml:space="preserve"> 2018 is op 1 januari 2019 in werking getreden met als doelstelling een betere beheersing van integriteitsrisico's in de trustsector.</w:t>
      </w:r>
      <w:r w:rsidRPr="00220779">
        <w:rPr>
          <w:rStyle w:val="Voetnootmarkering"/>
          <w:rFonts w:eastAsia="Calibri" w:cs="Calibri"/>
        </w:rPr>
        <w:footnoteReference w:id="2"/>
      </w:r>
      <w:r w:rsidRPr="00220779">
        <w:rPr>
          <w:rFonts w:eastAsia="Calibri" w:cs="Calibri"/>
        </w:rPr>
        <w:t xml:space="preserve"> Dit was mede ingegeven door maatschappelijke zorgen naar aanleiding van onder andere de Panama Papers, de </w:t>
      </w:r>
      <w:r w:rsidR="00B81E7B">
        <w:rPr>
          <w:rFonts w:eastAsia="Calibri" w:cs="Calibri"/>
        </w:rPr>
        <w:t>p</w:t>
      </w:r>
      <w:r w:rsidRPr="00220779">
        <w:rPr>
          <w:rFonts w:eastAsia="Calibri" w:cs="Calibri"/>
        </w:rPr>
        <w:t>arlementaire ondervragingscommissie Fiscale Constructies en de toezichtspraktijk.</w:t>
      </w:r>
      <w:r w:rsidRPr="00220779">
        <w:rPr>
          <w:rStyle w:val="Voetnootmarkering"/>
          <w:rFonts w:eastAsia="Calibri" w:cs="Calibri"/>
        </w:rPr>
        <w:footnoteReference w:id="3"/>
      </w:r>
      <w:r w:rsidRPr="00220779">
        <w:rPr>
          <w:rFonts w:eastAsia="Calibri" w:cs="Calibri"/>
        </w:rPr>
        <w:t xml:space="preserve"> Sinds de inwerkingtreding van de wet zijn er meerdere tussentijdse wijzigingen doorgevoerd met als gevolg dat de verplichtingen voor trustkantoren en het toezicht op de sector aanzienlijk zijn aangescherpt</w:t>
      </w:r>
      <w:r>
        <w:rPr>
          <w:rFonts w:eastAsia="Calibri" w:cs="Calibri"/>
        </w:rPr>
        <w:t>.</w:t>
      </w:r>
      <w:r w:rsidRPr="00220779">
        <w:rPr>
          <w:rFonts w:eastAsia="Calibri" w:cs="Calibri"/>
        </w:rPr>
        <w:t xml:space="preserve"> Zo is </w:t>
      </w:r>
      <w:r w:rsidR="00142922">
        <w:rPr>
          <w:rFonts w:eastAsia="Calibri" w:cs="Calibri"/>
        </w:rPr>
        <w:t xml:space="preserve">voor trustkantoren </w:t>
      </w:r>
      <w:r w:rsidRPr="00220779">
        <w:rPr>
          <w:rFonts w:eastAsia="Calibri" w:cs="Calibri"/>
        </w:rPr>
        <w:t xml:space="preserve">bijvoorbeeld een </w:t>
      </w:r>
      <w:r w:rsidR="0024487D">
        <w:rPr>
          <w:rFonts w:eastAsia="Calibri" w:cs="Calibri"/>
        </w:rPr>
        <w:t>algeheel</w:t>
      </w:r>
      <w:r w:rsidRPr="00220779" w:rsidR="0024487D">
        <w:rPr>
          <w:rFonts w:eastAsia="Calibri" w:cs="Calibri"/>
        </w:rPr>
        <w:t xml:space="preserve"> </w:t>
      </w:r>
      <w:r w:rsidRPr="00220779">
        <w:rPr>
          <w:rFonts w:eastAsia="Calibri" w:cs="Calibri"/>
        </w:rPr>
        <w:t>verbod op belastingadvies</w:t>
      </w:r>
      <w:r w:rsidR="005C6840">
        <w:rPr>
          <w:rStyle w:val="Voetnootmarkering"/>
          <w:rFonts w:eastAsia="Calibri" w:cs="Calibri"/>
        </w:rPr>
        <w:footnoteReference w:id="4"/>
      </w:r>
      <w:r w:rsidRPr="00220779">
        <w:rPr>
          <w:rFonts w:eastAsia="Calibri" w:cs="Calibri"/>
        </w:rPr>
        <w:t xml:space="preserve"> en </w:t>
      </w:r>
      <w:r w:rsidR="00AF125E">
        <w:rPr>
          <w:rFonts w:eastAsia="Calibri" w:cs="Calibri"/>
        </w:rPr>
        <w:t xml:space="preserve">het optreden als </w:t>
      </w:r>
      <w:r w:rsidRPr="00220779">
        <w:rPr>
          <w:rFonts w:eastAsia="Calibri" w:cs="Calibri"/>
        </w:rPr>
        <w:t>doorstroomvennootschap</w:t>
      </w:r>
      <w:r w:rsidR="006E47AB">
        <w:rPr>
          <w:rStyle w:val="Voetnootmarkering"/>
          <w:rFonts w:eastAsia="Calibri" w:cs="Calibri"/>
        </w:rPr>
        <w:footnoteReference w:id="5"/>
      </w:r>
      <w:r w:rsidRPr="00220779">
        <w:rPr>
          <w:rFonts w:eastAsia="Calibri" w:cs="Calibri"/>
        </w:rPr>
        <w:t xml:space="preserve"> ingevoerd om het faciliteren van ongewenste fiscale constructies voor belastingontwijking tegen te gaan.</w:t>
      </w:r>
      <w:r>
        <w:rPr>
          <w:rFonts w:eastAsia="Calibri" w:cs="Calibri"/>
        </w:rPr>
        <w:t xml:space="preserve"> </w:t>
      </w:r>
      <w:r w:rsidRPr="00CD2467">
        <w:rPr>
          <w:rFonts w:eastAsia="Calibri" w:cs="Calibri"/>
        </w:rPr>
        <w:t>Daarnaast wordt momenteel het</w:t>
      </w:r>
      <w:r w:rsidR="00FA0A37">
        <w:rPr>
          <w:rFonts w:eastAsia="Calibri" w:cs="Calibri"/>
        </w:rPr>
        <w:t xml:space="preserve"> nieuwe</w:t>
      </w:r>
      <w:r w:rsidRPr="00CD2467">
        <w:rPr>
          <w:rFonts w:eastAsia="Calibri" w:cs="Calibri"/>
        </w:rPr>
        <w:t xml:space="preserve"> Europese anti-witwaspakket </w:t>
      </w:r>
      <w:r w:rsidR="00557AB1">
        <w:rPr>
          <w:rFonts w:eastAsia="Calibri" w:cs="Calibri"/>
        </w:rPr>
        <w:t xml:space="preserve">(AML-pakket) </w:t>
      </w:r>
      <w:r w:rsidRPr="00CD2467">
        <w:rPr>
          <w:rFonts w:eastAsia="Calibri" w:cs="Calibri"/>
        </w:rPr>
        <w:t xml:space="preserve">geïmplementeerd, wat </w:t>
      </w:r>
      <w:r>
        <w:rPr>
          <w:rFonts w:eastAsia="Calibri" w:cs="Calibri"/>
        </w:rPr>
        <w:t xml:space="preserve">leidt </w:t>
      </w:r>
      <w:r w:rsidRPr="00CD2467">
        <w:rPr>
          <w:rFonts w:eastAsia="Calibri" w:cs="Calibri"/>
        </w:rPr>
        <w:t>to</w:t>
      </w:r>
      <w:r>
        <w:rPr>
          <w:rFonts w:eastAsia="Calibri" w:cs="Calibri"/>
        </w:rPr>
        <w:t>t substantiële</w:t>
      </w:r>
      <w:r w:rsidRPr="00CD2467">
        <w:rPr>
          <w:rFonts w:eastAsia="Calibri" w:cs="Calibri"/>
        </w:rPr>
        <w:t xml:space="preserve"> wijzigingen van </w:t>
      </w:r>
      <w:r w:rsidR="00FA0A37">
        <w:rPr>
          <w:rFonts w:eastAsia="Calibri" w:cs="Calibri"/>
        </w:rPr>
        <w:t xml:space="preserve">de </w:t>
      </w:r>
      <w:proofErr w:type="spellStart"/>
      <w:r>
        <w:rPr>
          <w:rFonts w:eastAsia="Calibri" w:cs="Calibri"/>
        </w:rPr>
        <w:t>Wtt</w:t>
      </w:r>
      <w:proofErr w:type="spellEnd"/>
      <w:r>
        <w:rPr>
          <w:rFonts w:eastAsia="Calibri" w:cs="Calibri"/>
        </w:rPr>
        <w:t xml:space="preserve"> 2018</w:t>
      </w:r>
      <w:r w:rsidRPr="00CD2467">
        <w:rPr>
          <w:rFonts w:eastAsia="Calibri" w:cs="Calibri"/>
        </w:rPr>
        <w:t>.</w:t>
      </w:r>
      <w:r w:rsidR="00FA0A37">
        <w:rPr>
          <w:rStyle w:val="Voetnootmarkering"/>
          <w:rFonts w:eastAsia="Calibri" w:cs="Calibri"/>
        </w:rPr>
        <w:footnoteReference w:id="6"/>
      </w:r>
      <w:r w:rsidRPr="00CD2467">
        <w:rPr>
          <w:rFonts w:eastAsia="Calibri" w:cs="Calibri"/>
        </w:rPr>
        <w:t xml:space="preserve"> Deze ontwikkelingen zijn meegenomen in de evaluatie.</w:t>
      </w:r>
    </w:p>
    <w:p w:rsidR="00420F85" w:rsidP="004E08CB" w:rsidRDefault="00420F85" w14:paraId="09346AA8" w14:textId="77777777">
      <w:pPr>
        <w:spacing w:line="276" w:lineRule="auto"/>
        <w:rPr>
          <w:rFonts w:eastAsia="Calibri" w:cs="Calibri"/>
        </w:rPr>
      </w:pPr>
    </w:p>
    <w:p w:rsidR="00420F85" w:rsidP="004E08CB" w:rsidRDefault="00420F85" w14:paraId="3AEC729E" w14:textId="77777777">
      <w:pPr>
        <w:spacing w:line="276" w:lineRule="auto"/>
        <w:rPr>
          <w:rFonts w:eastAsia="Calibri" w:cs="Calibri"/>
        </w:rPr>
      </w:pPr>
    </w:p>
    <w:p w:rsidRPr="00220779" w:rsidR="00E216D0" w:rsidP="004E08CB" w:rsidRDefault="00E216D0" w14:paraId="1BF5EB19" w14:textId="77777777">
      <w:pPr>
        <w:spacing w:line="276" w:lineRule="auto"/>
        <w:rPr>
          <w:rFonts w:eastAsia="Calibri" w:cs="Calibri"/>
          <w:b/>
          <w:bCs/>
        </w:rPr>
      </w:pPr>
      <w:r w:rsidRPr="00220779">
        <w:rPr>
          <w:rFonts w:eastAsia="Calibri" w:cs="Calibri"/>
          <w:b/>
          <w:bCs/>
        </w:rPr>
        <w:t>Conclusie</w:t>
      </w:r>
    </w:p>
    <w:p w:rsidRPr="00220779" w:rsidR="00E216D0" w:rsidP="004E08CB" w:rsidRDefault="00E216D0" w14:paraId="4448CD70" w14:textId="77777777">
      <w:pPr>
        <w:spacing w:line="276" w:lineRule="auto"/>
        <w:rPr>
          <w:rFonts w:eastAsia="Calibri" w:cs="Calibri"/>
          <w:i/>
          <w:iCs/>
        </w:rPr>
      </w:pPr>
      <w:r w:rsidRPr="00220779">
        <w:rPr>
          <w:rFonts w:eastAsia="Calibri" w:cs="Calibri"/>
          <w:i/>
          <w:iCs/>
        </w:rPr>
        <w:t xml:space="preserve">Doeltreffendheid </w:t>
      </w:r>
    </w:p>
    <w:p w:rsidRPr="00220779" w:rsidR="00E216D0" w:rsidP="004E08CB" w:rsidRDefault="00E216D0" w14:paraId="37FE13BC" w14:textId="77777777">
      <w:pPr>
        <w:spacing w:after="160" w:line="276" w:lineRule="auto"/>
        <w:rPr>
          <w:rFonts w:eastAsia="Calibri" w:cs="Calibri"/>
        </w:rPr>
      </w:pPr>
      <w:r w:rsidRPr="00220779">
        <w:rPr>
          <w:rFonts w:eastAsia="Calibri" w:cs="Calibri"/>
        </w:rPr>
        <w:t xml:space="preserve">De onderzoekers concluderen dat de </w:t>
      </w:r>
      <w:proofErr w:type="spellStart"/>
      <w:r w:rsidRPr="00220779">
        <w:rPr>
          <w:rFonts w:eastAsia="Calibri" w:cs="Calibri"/>
        </w:rPr>
        <w:t>Wtt</w:t>
      </w:r>
      <w:proofErr w:type="spellEnd"/>
      <w:r w:rsidRPr="00220779">
        <w:rPr>
          <w:rFonts w:eastAsia="Calibri" w:cs="Calibri"/>
        </w:rPr>
        <w:t xml:space="preserve"> 2018 en de daaropvolgende aanscherpingen hebben bijgedragen </w:t>
      </w:r>
      <w:r w:rsidR="009F29E1">
        <w:rPr>
          <w:rFonts w:eastAsia="Calibri" w:cs="Calibri"/>
        </w:rPr>
        <w:t>aan</w:t>
      </w:r>
      <w:r w:rsidRPr="00220779">
        <w:rPr>
          <w:rFonts w:eastAsia="Calibri" w:cs="Calibri"/>
        </w:rPr>
        <w:t xml:space="preserve"> verdere versterking van de integriteit van </w:t>
      </w:r>
      <w:proofErr w:type="spellStart"/>
      <w:r w:rsidRPr="00220779">
        <w:rPr>
          <w:rFonts w:eastAsia="Calibri" w:cs="Calibri"/>
        </w:rPr>
        <w:t>vergunninghoudende</w:t>
      </w:r>
      <w:proofErr w:type="spellEnd"/>
      <w:r w:rsidRPr="00220779">
        <w:rPr>
          <w:rFonts w:eastAsia="Calibri" w:cs="Calibri"/>
        </w:rPr>
        <w:t xml:space="preserve"> trustkantoren. Hierdoor is het risico op witwassen en misbruik van rechtspersonen binnen de gereguleerde sector afgenomen. Daarnaast blijkt uit het onderzoek dat de cliëntenpopulatie van trustkantoren de afgelopen jaren is veranderd. Trustkantoren bedienen in toenemende mate cliënten met reële economische activiteiten, terwijl het aandeel </w:t>
      </w:r>
      <w:r w:rsidR="00733919">
        <w:rPr>
          <w:rFonts w:eastAsia="Calibri" w:cs="Calibri"/>
        </w:rPr>
        <w:t xml:space="preserve">van </w:t>
      </w:r>
      <w:r w:rsidRPr="00220779">
        <w:rPr>
          <w:rFonts w:eastAsia="Calibri" w:cs="Calibri"/>
        </w:rPr>
        <w:t xml:space="preserve">doelvennootschappen in </w:t>
      </w:r>
      <w:proofErr w:type="spellStart"/>
      <w:r w:rsidRPr="00220779">
        <w:rPr>
          <w:rFonts w:eastAsia="Calibri" w:cs="Calibri"/>
        </w:rPr>
        <w:t>hoogrisicosectoren</w:t>
      </w:r>
      <w:proofErr w:type="spellEnd"/>
      <w:r w:rsidRPr="00220779">
        <w:rPr>
          <w:rFonts w:eastAsia="Calibri" w:cs="Calibri"/>
        </w:rPr>
        <w:t xml:space="preserve"> en complexe structuren is afgenomen. </w:t>
      </w:r>
    </w:p>
    <w:p w:rsidR="00E216D0" w:rsidP="004E08CB" w:rsidRDefault="00E216D0" w14:paraId="2947E92B" w14:textId="77777777">
      <w:pPr>
        <w:spacing w:line="276" w:lineRule="auto"/>
        <w:rPr>
          <w:rFonts w:eastAsia="Calibri" w:cs="Calibri"/>
        </w:rPr>
      </w:pPr>
      <w:r w:rsidRPr="00220779">
        <w:rPr>
          <w:rFonts w:eastAsia="Calibri" w:cs="Calibri"/>
        </w:rPr>
        <w:t xml:space="preserve">Tegelijkertijd signaleren de onderzoekers een mogelijke verschuiving naar illegale trustdienstverlening, zoals het opknippen van trustdiensten. Volgens de onderzoekers kan deze ontwikkeling mede samenhangen met de strenge verplichtingen die voor </w:t>
      </w:r>
      <w:proofErr w:type="spellStart"/>
      <w:r w:rsidRPr="00220779">
        <w:rPr>
          <w:rFonts w:eastAsia="Calibri" w:cs="Calibri"/>
        </w:rPr>
        <w:t>vergunninghoudende</w:t>
      </w:r>
      <w:proofErr w:type="spellEnd"/>
      <w:r w:rsidRPr="00220779">
        <w:rPr>
          <w:rFonts w:eastAsia="Calibri" w:cs="Calibri"/>
        </w:rPr>
        <w:t xml:space="preserve"> trustkantoren gelden. De omvang en impact van deze verschuiving naar illegale trustdienstverlening zijn echter moeilijk vast te stellen. Hierdoor is het onzeker in hoeverre de </w:t>
      </w:r>
      <w:proofErr w:type="spellStart"/>
      <w:r w:rsidRPr="00220779">
        <w:rPr>
          <w:rFonts w:eastAsia="Calibri" w:cs="Calibri"/>
        </w:rPr>
        <w:t>Wtt</w:t>
      </w:r>
      <w:proofErr w:type="spellEnd"/>
      <w:r w:rsidRPr="00220779">
        <w:rPr>
          <w:rFonts w:eastAsia="Calibri" w:cs="Calibri"/>
        </w:rPr>
        <w:t xml:space="preserve"> 2018 heeft bijgedragen aan het bevorderen van de integriteit van het Nederlandse financiële stelsel als geheel. </w:t>
      </w:r>
    </w:p>
    <w:p w:rsidRPr="00220779" w:rsidR="00E216D0" w:rsidP="004E08CB" w:rsidRDefault="00E216D0" w14:paraId="46C8D03E" w14:textId="77777777">
      <w:pPr>
        <w:spacing w:line="276" w:lineRule="auto"/>
        <w:rPr>
          <w:rFonts w:eastAsia="Calibri" w:cs="Calibri"/>
        </w:rPr>
      </w:pPr>
    </w:p>
    <w:p w:rsidRPr="00220779" w:rsidR="00E216D0" w:rsidP="004E08CB" w:rsidRDefault="004E08CB" w14:paraId="20E9A827" w14:textId="77777777">
      <w:pPr>
        <w:spacing w:line="276" w:lineRule="auto"/>
        <w:rPr>
          <w:rFonts w:eastAsia="Calibri" w:cs="Calibri"/>
        </w:rPr>
      </w:pPr>
      <w:r>
        <w:rPr>
          <w:rFonts w:eastAsia="Calibri" w:cs="Calibri"/>
        </w:rPr>
        <w:t xml:space="preserve">De </w:t>
      </w:r>
      <w:r w:rsidRPr="00220779" w:rsidR="00E216D0">
        <w:rPr>
          <w:rFonts w:eastAsia="Calibri" w:cs="Calibri"/>
        </w:rPr>
        <w:t xml:space="preserve">onderzoekers </w:t>
      </w:r>
      <w:r>
        <w:rPr>
          <w:rFonts w:eastAsia="Calibri" w:cs="Calibri"/>
        </w:rPr>
        <w:t xml:space="preserve">zien </w:t>
      </w:r>
      <w:r w:rsidRPr="00220779" w:rsidR="00E216D0">
        <w:rPr>
          <w:rFonts w:eastAsia="Calibri" w:cs="Calibri"/>
        </w:rPr>
        <w:t xml:space="preserve">geen directe noodzaak tot aanpassingen van de </w:t>
      </w:r>
      <w:proofErr w:type="spellStart"/>
      <w:r w:rsidRPr="00220779" w:rsidR="00E216D0">
        <w:rPr>
          <w:rFonts w:eastAsia="Calibri" w:cs="Calibri"/>
        </w:rPr>
        <w:t>Wtt</w:t>
      </w:r>
      <w:proofErr w:type="spellEnd"/>
      <w:r w:rsidRPr="00220779" w:rsidR="00E216D0">
        <w:rPr>
          <w:rFonts w:eastAsia="Calibri" w:cs="Calibri"/>
        </w:rPr>
        <w:t xml:space="preserve"> 2018 om illegale trustdienstverlening tegen te gaan. De onderzoekers wijzen vooral op het belang van betere detectie en goede samenwerking tussen ketenpartners in de aanpak van illegale trustdienstverlening. </w:t>
      </w:r>
    </w:p>
    <w:p w:rsidRPr="00220779" w:rsidR="00E216D0" w:rsidP="004E08CB" w:rsidRDefault="00E216D0" w14:paraId="3EE49A8A" w14:textId="77777777">
      <w:pPr>
        <w:spacing w:line="276" w:lineRule="auto"/>
        <w:rPr>
          <w:rFonts w:eastAsia="Calibri" w:cs="Calibri"/>
        </w:rPr>
      </w:pPr>
    </w:p>
    <w:p w:rsidRPr="00220779" w:rsidR="00E216D0" w:rsidP="004E08CB" w:rsidRDefault="00E216D0" w14:paraId="630966B7" w14:textId="77777777">
      <w:pPr>
        <w:spacing w:after="160" w:line="276" w:lineRule="auto"/>
        <w:rPr>
          <w:rFonts w:eastAsia="Calibri" w:cs="Calibri"/>
        </w:rPr>
      </w:pPr>
      <w:r w:rsidRPr="00220779">
        <w:t>De onderzoekers constateren daarnaast dat de wijze waarop de trustdienstbegrippen zijn afgebakend</w:t>
      </w:r>
      <w:r w:rsidR="009F29E1">
        <w:t xml:space="preserve"> van invloe</w:t>
      </w:r>
      <w:r w:rsidRPr="00220779">
        <w:t xml:space="preserve">d </w:t>
      </w:r>
      <w:r w:rsidR="009F29E1">
        <w:t xml:space="preserve">is </w:t>
      </w:r>
      <w:r w:rsidRPr="00220779">
        <w:t>op de m</w:t>
      </w:r>
      <w:r w:rsidR="009F29E1">
        <w:t>ate waarin de regelgeving kan worden ontweken.</w:t>
      </w:r>
      <w:r w:rsidRPr="00220779">
        <w:t xml:space="preserve"> Een te beperkte afbakening in de formulering kan ruimte bieden voor ontwijkingsconstructies, terwijl een te ruime afbakening kan leiden tot onnodige regeldruk. Tegen deze achtergrond is in de evaluatie, mede naar aanleiding van een toezegging </w:t>
      </w:r>
      <w:r w:rsidR="009F29E1">
        <w:t>aan</w:t>
      </w:r>
      <w:r w:rsidRPr="00220779">
        <w:t xml:space="preserve"> het toenmalige lid </w:t>
      </w:r>
      <w:r w:rsidR="00B81E7B">
        <w:t>V</w:t>
      </w:r>
      <w:r w:rsidRPr="00220779">
        <w:t>an Hijum, specifiek aandacht besteed aan de reikwijdte van de trustdienstdefinitie en de vrijstellingsregelingen</w:t>
      </w:r>
      <w:r w:rsidRPr="00220779">
        <w:rPr>
          <w:rStyle w:val="Voetnootmarkering"/>
          <w:rFonts w:eastAsia="Calibri" w:cs="Calibri"/>
        </w:rPr>
        <w:footnoteReference w:id="7"/>
      </w:r>
      <w:r w:rsidRPr="00220779">
        <w:t>.</w:t>
      </w:r>
      <w:r w:rsidRPr="00220779">
        <w:rPr>
          <w:rFonts w:eastAsia="Calibri" w:cs="Calibri"/>
        </w:rPr>
        <w:t xml:space="preserve"> De onderzoekers concluderen dat de huidige reikwijdte van de </w:t>
      </w:r>
      <w:proofErr w:type="spellStart"/>
      <w:r w:rsidRPr="00220779">
        <w:rPr>
          <w:rFonts w:eastAsia="Calibri" w:cs="Calibri"/>
        </w:rPr>
        <w:t>Wtt</w:t>
      </w:r>
      <w:proofErr w:type="spellEnd"/>
      <w:r w:rsidRPr="00220779">
        <w:rPr>
          <w:rFonts w:eastAsia="Calibri" w:cs="Calibri"/>
        </w:rPr>
        <w:t xml:space="preserve"> 2018 en de daarbij behorende vrijstellingen bijdragen aan een </w:t>
      </w:r>
      <w:proofErr w:type="spellStart"/>
      <w:r w:rsidRPr="00220779">
        <w:rPr>
          <w:rFonts w:eastAsia="Calibri" w:cs="Calibri"/>
        </w:rPr>
        <w:t>risicogebaseerde</w:t>
      </w:r>
      <w:proofErr w:type="spellEnd"/>
      <w:r w:rsidRPr="00220779">
        <w:rPr>
          <w:rFonts w:eastAsia="Calibri" w:cs="Calibri"/>
        </w:rPr>
        <w:t xml:space="preserve"> aanpak. </w:t>
      </w:r>
    </w:p>
    <w:p w:rsidRPr="00220779" w:rsidR="00E216D0" w:rsidP="004E08CB" w:rsidRDefault="00E216D0" w14:paraId="7AB6585D" w14:textId="77777777">
      <w:pPr>
        <w:spacing w:line="276" w:lineRule="auto"/>
        <w:rPr>
          <w:rFonts w:eastAsia="Calibri" w:cs="Calibri"/>
          <w:i/>
          <w:iCs/>
        </w:rPr>
      </w:pPr>
      <w:r w:rsidRPr="00220779">
        <w:rPr>
          <w:rFonts w:eastAsia="Calibri" w:cs="Calibri"/>
          <w:i/>
          <w:iCs/>
        </w:rPr>
        <w:t>Doelmatigheid</w:t>
      </w:r>
    </w:p>
    <w:p w:rsidR="00E216D0" w:rsidP="004E08CB" w:rsidRDefault="00E216D0" w14:paraId="4068D87A" w14:textId="77777777">
      <w:pPr>
        <w:spacing w:line="276" w:lineRule="auto"/>
        <w:rPr>
          <w:rFonts w:eastAsia="Calibri" w:cs="Calibri"/>
        </w:rPr>
      </w:pPr>
      <w:r w:rsidRPr="00220779">
        <w:rPr>
          <w:rFonts w:eastAsia="Calibri" w:cs="Calibri"/>
        </w:rPr>
        <w:t xml:space="preserve">Wat betreft de doelmatigheid concluderen de onderzoekers dat de </w:t>
      </w:r>
      <w:proofErr w:type="spellStart"/>
      <w:r w:rsidRPr="00220779">
        <w:rPr>
          <w:rFonts w:eastAsia="Calibri" w:cs="Calibri"/>
        </w:rPr>
        <w:t>Wtt</w:t>
      </w:r>
      <w:proofErr w:type="spellEnd"/>
      <w:r w:rsidRPr="00220779">
        <w:rPr>
          <w:rFonts w:eastAsia="Calibri" w:cs="Calibri"/>
        </w:rPr>
        <w:t xml:space="preserve"> 2018 heeft bijgedragen aan een hogere integriteit binnen de gereguleerde trustsector, maar dat deze resultaten gepaard gaan met substantiële nalevingskosten voor de sector. Hoewel de trustsector deze lasten als substantieel erva</w:t>
      </w:r>
      <w:r w:rsidR="004E08CB">
        <w:rPr>
          <w:rFonts w:eastAsia="Calibri" w:cs="Calibri"/>
        </w:rPr>
        <w:t>a</w:t>
      </w:r>
      <w:r w:rsidRPr="00220779">
        <w:rPr>
          <w:rFonts w:eastAsia="Calibri" w:cs="Calibri"/>
        </w:rPr>
        <w:t>r</w:t>
      </w:r>
      <w:r w:rsidR="004E08CB">
        <w:rPr>
          <w:rFonts w:eastAsia="Calibri" w:cs="Calibri"/>
        </w:rPr>
        <w:t>t</w:t>
      </w:r>
      <w:r w:rsidRPr="00220779">
        <w:rPr>
          <w:rFonts w:eastAsia="Calibri" w:cs="Calibri"/>
        </w:rPr>
        <w:t xml:space="preserve">, plaatsen de onderzoekers deze in het licht van de inherente </w:t>
      </w:r>
      <w:proofErr w:type="spellStart"/>
      <w:r w:rsidRPr="00220779">
        <w:rPr>
          <w:rFonts w:eastAsia="Calibri" w:cs="Calibri"/>
        </w:rPr>
        <w:t>integriteitsrsicio’s</w:t>
      </w:r>
      <w:proofErr w:type="spellEnd"/>
      <w:r w:rsidRPr="00220779">
        <w:rPr>
          <w:rFonts w:eastAsia="Calibri" w:cs="Calibri"/>
        </w:rPr>
        <w:t xml:space="preserve"> die met trustdienstverlening samenhangen en het behalen van de doelstellingen van de </w:t>
      </w:r>
      <w:proofErr w:type="spellStart"/>
      <w:r w:rsidRPr="00220779">
        <w:rPr>
          <w:rFonts w:eastAsia="Calibri" w:cs="Calibri"/>
        </w:rPr>
        <w:t>Wtt</w:t>
      </w:r>
      <w:proofErr w:type="spellEnd"/>
      <w:r w:rsidRPr="00220779">
        <w:rPr>
          <w:rFonts w:eastAsia="Calibri" w:cs="Calibri"/>
        </w:rPr>
        <w:t xml:space="preserve"> 2018. Daarnaast stellen de onderzoekers dat de doelmatigheid van de </w:t>
      </w:r>
      <w:proofErr w:type="spellStart"/>
      <w:r w:rsidRPr="00220779">
        <w:rPr>
          <w:rFonts w:eastAsia="Calibri" w:cs="Calibri"/>
        </w:rPr>
        <w:t>Wtt</w:t>
      </w:r>
      <w:proofErr w:type="spellEnd"/>
      <w:r w:rsidRPr="00220779">
        <w:rPr>
          <w:rFonts w:eastAsia="Calibri" w:cs="Calibri"/>
        </w:rPr>
        <w:t xml:space="preserve"> </w:t>
      </w:r>
      <w:r w:rsidRPr="00220779">
        <w:rPr>
          <w:rFonts w:eastAsia="Calibri" w:cs="Calibri"/>
        </w:rPr>
        <w:lastRenderedPageBreak/>
        <w:t xml:space="preserve">2018 wordt verminderd door neveneffecten, waaronder zogenoemde waterbedeffecten als gevolg van de strenge regelgeving. De </w:t>
      </w:r>
      <w:r w:rsidR="00557AB1">
        <w:rPr>
          <w:rFonts w:eastAsia="Calibri" w:cs="Calibri"/>
        </w:rPr>
        <w:t xml:space="preserve">hoge administratieve lasten en </w:t>
      </w:r>
      <w:proofErr w:type="spellStart"/>
      <w:r w:rsidRPr="00220779">
        <w:rPr>
          <w:rFonts w:eastAsia="Calibri" w:cs="Calibri"/>
        </w:rPr>
        <w:t>compliance</w:t>
      </w:r>
      <w:r w:rsidR="00557AB1">
        <w:rPr>
          <w:rFonts w:eastAsia="Calibri" w:cs="Calibri"/>
        </w:rPr>
        <w:t>kosten</w:t>
      </w:r>
      <w:proofErr w:type="spellEnd"/>
      <w:r w:rsidR="00557AB1">
        <w:rPr>
          <w:rFonts w:eastAsia="Calibri" w:cs="Calibri"/>
        </w:rPr>
        <w:t xml:space="preserve"> worden genoemd als een van de redenen voor dit neveneffect.</w:t>
      </w:r>
      <w:r w:rsidRPr="00220779">
        <w:rPr>
          <w:rFonts w:eastAsia="Calibri" w:cs="Calibri"/>
        </w:rPr>
        <w:t xml:space="preserve"> </w:t>
      </w:r>
      <w:r w:rsidR="00557AB1">
        <w:rPr>
          <w:rFonts w:eastAsia="Calibri" w:cs="Calibri"/>
        </w:rPr>
        <w:t>Dit leidt er mogelijk toe dat sommige partijen ervoor kiezen om (illegaal) zonder vergunning trustdiensten te verlenen</w:t>
      </w:r>
      <w:r w:rsidRPr="00220779">
        <w:rPr>
          <w:rFonts w:eastAsia="Calibri" w:cs="Calibri"/>
        </w:rPr>
        <w:t>. De verschuiving van risico</w:t>
      </w:r>
      <w:r w:rsidR="009F29E1">
        <w:rPr>
          <w:rFonts w:eastAsia="Calibri" w:cs="Calibri"/>
        </w:rPr>
        <w:t>’</w:t>
      </w:r>
      <w:r w:rsidRPr="00220779">
        <w:rPr>
          <w:rFonts w:eastAsia="Calibri" w:cs="Calibri"/>
        </w:rPr>
        <w:t>s</w:t>
      </w:r>
      <w:r w:rsidR="004E08CB">
        <w:rPr>
          <w:rFonts w:eastAsia="Calibri" w:cs="Calibri"/>
        </w:rPr>
        <w:t xml:space="preserve"> naar</w:t>
      </w:r>
      <w:r w:rsidRPr="00220779">
        <w:rPr>
          <w:rFonts w:eastAsia="Calibri" w:cs="Calibri"/>
        </w:rPr>
        <w:t xml:space="preserve"> </w:t>
      </w:r>
      <w:r w:rsidR="009F29E1">
        <w:rPr>
          <w:rFonts w:eastAsia="Calibri" w:cs="Calibri"/>
        </w:rPr>
        <w:t xml:space="preserve">illegale trustdienstverlening </w:t>
      </w:r>
      <w:r w:rsidRPr="00220779">
        <w:rPr>
          <w:rFonts w:eastAsia="Calibri" w:cs="Calibri"/>
        </w:rPr>
        <w:t>maakt toezicht, opsporing en handhaving complexer</w:t>
      </w:r>
      <w:r w:rsidR="009F29E1">
        <w:rPr>
          <w:rFonts w:eastAsia="Calibri" w:cs="Calibri"/>
        </w:rPr>
        <w:t xml:space="preserve">. </w:t>
      </w:r>
    </w:p>
    <w:p w:rsidRPr="00220779" w:rsidR="00142922" w:rsidP="004E08CB" w:rsidRDefault="00142922" w14:paraId="1145A15B" w14:textId="77777777">
      <w:pPr>
        <w:spacing w:line="276" w:lineRule="auto"/>
        <w:rPr>
          <w:rFonts w:eastAsia="Calibri" w:cs="Calibri"/>
        </w:rPr>
      </w:pPr>
    </w:p>
    <w:p w:rsidR="004805E0" w:rsidP="004E08CB" w:rsidRDefault="004805E0" w14:paraId="374BDC27" w14:textId="77777777">
      <w:pPr>
        <w:spacing w:line="276" w:lineRule="auto"/>
        <w:rPr>
          <w:rFonts w:eastAsia="Calibri" w:cs="Calibri"/>
          <w:b/>
          <w:bCs/>
        </w:rPr>
      </w:pPr>
    </w:p>
    <w:p w:rsidRPr="00E216D0" w:rsidR="00E216D0" w:rsidP="004E08CB" w:rsidRDefault="00E216D0" w14:paraId="74499191" w14:textId="77777777">
      <w:pPr>
        <w:spacing w:line="276" w:lineRule="auto"/>
        <w:rPr>
          <w:rFonts w:eastAsia="Calibri" w:cs="Calibri"/>
          <w:b/>
          <w:bCs/>
        </w:rPr>
      </w:pPr>
      <w:r w:rsidRPr="00E216D0">
        <w:rPr>
          <w:rFonts w:eastAsia="Calibri" w:cs="Calibri"/>
          <w:b/>
          <w:bCs/>
        </w:rPr>
        <w:t>Aanbevelingen en appreciatie</w:t>
      </w:r>
    </w:p>
    <w:p w:rsidRPr="00E216D0" w:rsidR="00E216D0" w:rsidP="004E08CB" w:rsidRDefault="00E216D0" w14:paraId="456259DE" w14:textId="77777777">
      <w:pPr>
        <w:spacing w:line="276" w:lineRule="auto"/>
        <w:rPr>
          <w:rFonts w:eastAsia="Calibri" w:cs="Calibri"/>
        </w:rPr>
      </w:pPr>
      <w:r w:rsidRPr="00E216D0">
        <w:rPr>
          <w:rFonts w:eastAsia="Calibri" w:cs="Calibri"/>
        </w:rPr>
        <w:t xml:space="preserve">De onderzoekers zien geen noodzaak tot aanpassingen van de </w:t>
      </w:r>
      <w:proofErr w:type="spellStart"/>
      <w:r w:rsidRPr="00E216D0">
        <w:rPr>
          <w:rFonts w:eastAsia="Calibri" w:cs="Calibri"/>
        </w:rPr>
        <w:t>Wtt</w:t>
      </w:r>
      <w:proofErr w:type="spellEnd"/>
      <w:r w:rsidRPr="00E216D0">
        <w:rPr>
          <w:rFonts w:eastAsia="Calibri" w:cs="Calibri"/>
        </w:rPr>
        <w:t xml:space="preserve"> 2018. Zij benadrukken dat de aanpak van illegale trustdienstverlening gebaat is bij effectieve handhaving en vervolging, een betere benutting van beschikbare gegevens en een goede samenwerking tussen ketenpartijen. </w:t>
      </w:r>
    </w:p>
    <w:p w:rsidRPr="00E216D0" w:rsidR="00E216D0" w:rsidP="004E08CB" w:rsidRDefault="00E216D0" w14:paraId="691E6C98" w14:textId="77777777">
      <w:pPr>
        <w:spacing w:line="276" w:lineRule="auto"/>
        <w:rPr>
          <w:rFonts w:eastAsia="Calibri" w:cs="Calibri"/>
        </w:rPr>
      </w:pPr>
    </w:p>
    <w:p w:rsidRPr="00E216D0" w:rsidR="00E216D0" w:rsidP="004E08CB" w:rsidRDefault="00E216D0" w14:paraId="4F38DFFB" w14:textId="77777777">
      <w:pPr>
        <w:spacing w:line="276" w:lineRule="auto"/>
        <w:rPr>
          <w:rFonts w:eastAsia="Calibri" w:cs="Calibri"/>
        </w:rPr>
      </w:pPr>
      <w:r w:rsidRPr="00E216D0">
        <w:rPr>
          <w:rFonts w:eastAsia="Calibri" w:cs="Calibri"/>
        </w:rPr>
        <w:t xml:space="preserve">De belangrijkste uitdaging ligt dus niet zozeer in verdere aanscherping van het wettelijke kader voor </w:t>
      </w:r>
      <w:proofErr w:type="spellStart"/>
      <w:r w:rsidRPr="00E216D0">
        <w:rPr>
          <w:rFonts w:eastAsia="Calibri" w:cs="Calibri"/>
        </w:rPr>
        <w:t>vergunninghoudende</w:t>
      </w:r>
      <w:proofErr w:type="spellEnd"/>
      <w:r w:rsidRPr="00E216D0">
        <w:rPr>
          <w:rFonts w:eastAsia="Calibri" w:cs="Calibri"/>
        </w:rPr>
        <w:t xml:space="preserve"> trustkantoren, maar in het effectief tegengaan van illegale trustdienstverlening. In het samenwerkingsverband Financieel Expertise Centrum (FEC) zetten FEC-partners als DNB, FIOD, Belastingdienst en OM zich intensief in om illegale trustdienstverlening terug te dringen. In het FEC </w:t>
      </w:r>
      <w:r w:rsidR="00557AB1">
        <w:rPr>
          <w:rFonts w:eastAsia="Calibri" w:cs="Calibri"/>
        </w:rPr>
        <w:t>delen</w:t>
      </w:r>
      <w:r w:rsidRPr="00E216D0">
        <w:rPr>
          <w:rFonts w:eastAsia="Calibri" w:cs="Calibri"/>
        </w:rPr>
        <w:t xml:space="preserve"> ketenpartners veelvoudig signalen en kennis over </w:t>
      </w:r>
      <w:r w:rsidR="00557AB1">
        <w:rPr>
          <w:rFonts w:eastAsia="Calibri" w:cs="Calibri"/>
        </w:rPr>
        <w:t xml:space="preserve">onder andere </w:t>
      </w:r>
      <w:r w:rsidRPr="00E216D0">
        <w:rPr>
          <w:rFonts w:eastAsia="Calibri" w:cs="Calibri"/>
        </w:rPr>
        <w:t>illegale trustdienstverlening. In dat kader hebben de FEC-partners in 2026 een onderzoek afgerond naar het opknippen van trustdienstverlening.</w:t>
      </w:r>
      <w:r w:rsidRPr="00E216D0">
        <w:rPr>
          <w:rStyle w:val="Voetnootmarkering"/>
          <w:rFonts w:eastAsia="Calibri" w:cs="Calibri"/>
        </w:rPr>
        <w:footnoteReference w:id="8"/>
      </w:r>
      <w:r w:rsidRPr="00E216D0">
        <w:rPr>
          <w:rFonts w:eastAsia="Calibri" w:cs="Calibri"/>
        </w:rPr>
        <w:t xml:space="preserve"> De uitkomsten daarvan bieden naar verwachting meer inzicht zodat signalen in de praktijk beter kunnen worden herkend en opgevolgd. Ik onderschrijf het belang van een gezamenlijke aanpak en blijf mij inzetten voor een goede samenwerking tussen de ketenpartners.</w:t>
      </w:r>
    </w:p>
    <w:p w:rsidRPr="00E216D0" w:rsidR="00E216D0" w:rsidP="004E08CB" w:rsidRDefault="00E216D0" w14:paraId="53F57514" w14:textId="77777777">
      <w:pPr>
        <w:spacing w:line="276" w:lineRule="auto"/>
        <w:rPr>
          <w:rFonts w:eastAsia="Calibri" w:cs="Calibri"/>
        </w:rPr>
      </w:pPr>
    </w:p>
    <w:p w:rsidR="00E216D0" w:rsidP="004E08CB" w:rsidRDefault="00E216D0" w14:paraId="0A995264" w14:textId="77777777">
      <w:pPr>
        <w:spacing w:line="276" w:lineRule="auto"/>
        <w:rPr>
          <w:rFonts w:eastAsia="Calibri" w:cs="Calibri"/>
        </w:rPr>
      </w:pPr>
      <w:r w:rsidRPr="00E216D0">
        <w:rPr>
          <w:rFonts w:eastAsia="Calibri" w:cs="Calibri"/>
        </w:rPr>
        <w:t xml:space="preserve">De onderzoekers wijzen op het belang van een gelijk speelveld binnen Europa en bevelen aan om na </w:t>
      </w:r>
      <w:r w:rsidR="00125869">
        <w:rPr>
          <w:rFonts w:eastAsia="Calibri" w:cs="Calibri"/>
        </w:rPr>
        <w:t xml:space="preserve">inwerkingtreding </w:t>
      </w:r>
      <w:r w:rsidRPr="00E216D0">
        <w:rPr>
          <w:rFonts w:eastAsia="Calibri" w:cs="Calibri"/>
        </w:rPr>
        <w:t>van het nieuwe Europese anti-witwas</w:t>
      </w:r>
      <w:r w:rsidR="00125869">
        <w:rPr>
          <w:rFonts w:eastAsia="Calibri" w:cs="Calibri"/>
        </w:rPr>
        <w:t xml:space="preserve">pakket </w:t>
      </w:r>
      <w:r w:rsidRPr="00125869" w:rsidR="00125869">
        <w:rPr>
          <w:rFonts w:eastAsia="Calibri" w:cs="Calibri"/>
        </w:rPr>
        <w:t xml:space="preserve">te evalueren </w:t>
      </w:r>
      <w:r w:rsidR="00557AB1">
        <w:rPr>
          <w:rFonts w:eastAsia="Calibri" w:cs="Calibri"/>
        </w:rPr>
        <w:t xml:space="preserve">in hoeverre de aanvullende nationale eisen voor trustdienstverlening noodzakelijk en passend zijn. </w:t>
      </w:r>
      <w:r w:rsidRPr="00E216D0">
        <w:rPr>
          <w:rFonts w:eastAsia="Calibri" w:cs="Calibri"/>
        </w:rPr>
        <w:t>Ik onderschrijf het belang van een gelijk speelveld en zal de gevolgen van de implementatie van het AML-pakket voor de Nederlandse trustsector monitoren. Daarbij zal ook aandacht worden besteed aan de vraag in hoeverre nationale aanvullende eisen op langere termijn noodzakelijk en proportioneel blijven.</w:t>
      </w:r>
    </w:p>
    <w:p w:rsidR="00142922" w:rsidP="004E08CB" w:rsidRDefault="00142922" w14:paraId="36FA7CCD" w14:textId="77777777">
      <w:pPr>
        <w:spacing w:line="276" w:lineRule="auto"/>
        <w:rPr>
          <w:rFonts w:eastAsia="Calibri" w:cs="Calibri"/>
        </w:rPr>
      </w:pPr>
    </w:p>
    <w:p w:rsidRPr="00220779" w:rsidR="00142922" w:rsidP="004E08CB" w:rsidRDefault="00142922" w14:paraId="4292A056" w14:textId="77777777">
      <w:pPr>
        <w:spacing w:line="276" w:lineRule="auto"/>
        <w:rPr>
          <w:rFonts w:eastAsia="Calibri" w:cs="Calibri"/>
        </w:rPr>
      </w:pPr>
    </w:p>
    <w:p w:rsidRPr="00220779" w:rsidR="00E216D0" w:rsidP="004E08CB" w:rsidRDefault="00E216D0" w14:paraId="0E1DD13F" w14:textId="77777777">
      <w:pPr>
        <w:spacing w:line="276" w:lineRule="auto"/>
        <w:rPr>
          <w:rFonts w:eastAsia="Calibri" w:cs="Calibri"/>
          <w:b/>
          <w:bCs/>
        </w:rPr>
      </w:pPr>
      <w:r w:rsidRPr="00220779">
        <w:rPr>
          <w:rFonts w:eastAsia="Calibri" w:cs="Calibri"/>
          <w:b/>
          <w:bCs/>
        </w:rPr>
        <w:t xml:space="preserve">Tot slot </w:t>
      </w:r>
    </w:p>
    <w:p w:rsidR="00420F85" w:rsidP="004E08CB" w:rsidRDefault="00E216D0" w14:paraId="28F114BC" w14:textId="77777777">
      <w:pPr>
        <w:spacing w:line="276" w:lineRule="auto"/>
        <w:rPr>
          <w:rFonts w:eastAsia="Calibri" w:cs="Calibri"/>
        </w:rPr>
      </w:pPr>
      <w:r w:rsidRPr="00220779">
        <w:rPr>
          <w:rFonts w:eastAsia="Calibri" w:cs="Calibri"/>
        </w:rPr>
        <w:t xml:space="preserve">Ik vind </w:t>
      </w:r>
      <w:r w:rsidR="00CB4B75">
        <w:rPr>
          <w:rFonts w:eastAsia="Calibri" w:cs="Calibri"/>
        </w:rPr>
        <w:t xml:space="preserve">het </w:t>
      </w:r>
      <w:r w:rsidRPr="00220779">
        <w:rPr>
          <w:rFonts w:eastAsia="Calibri" w:cs="Calibri"/>
        </w:rPr>
        <w:t xml:space="preserve">belangrijk dat de trustsector op integere wijze kan functioneren en dat misbruik van trustdiensten zoveel mogelijk wordt voorkomen. </w:t>
      </w:r>
      <w:r w:rsidRPr="004A4FB5" w:rsidR="004A4FB5">
        <w:rPr>
          <w:rFonts w:eastAsia="Calibri" w:cs="Calibri"/>
        </w:rPr>
        <w:t xml:space="preserve">De evaluatie laat zien dat de </w:t>
      </w:r>
      <w:proofErr w:type="spellStart"/>
      <w:r w:rsidRPr="004A4FB5" w:rsidR="004A4FB5">
        <w:rPr>
          <w:rFonts w:eastAsia="Calibri" w:cs="Calibri"/>
        </w:rPr>
        <w:t>Wtt</w:t>
      </w:r>
      <w:proofErr w:type="spellEnd"/>
      <w:r w:rsidRPr="004A4FB5" w:rsidR="004A4FB5">
        <w:rPr>
          <w:rFonts w:eastAsia="Calibri" w:cs="Calibri"/>
        </w:rPr>
        <w:t xml:space="preserve"> 2018 de integriteit van de trustsector heeft versterkt en dat trustkantoren vaker cliënten met een reëel economisch doel bedienen dan fiscaal gedreven cliënten.</w:t>
      </w:r>
      <w:r w:rsidR="004A4FB5">
        <w:rPr>
          <w:rFonts w:eastAsia="Calibri" w:cs="Calibri"/>
        </w:rPr>
        <w:t xml:space="preserve"> Dit vind ik een positieve ontwikkeling </w:t>
      </w:r>
      <w:r w:rsidRPr="009D7F26" w:rsidR="009D7F26">
        <w:rPr>
          <w:rFonts w:eastAsia="Calibri" w:cs="Calibri"/>
        </w:rPr>
        <w:t>die de legitieme rol</w:t>
      </w:r>
      <w:r w:rsidR="009D7F26">
        <w:rPr>
          <w:rFonts w:eastAsia="Calibri" w:cs="Calibri"/>
        </w:rPr>
        <w:t xml:space="preserve"> en economische en maatschappelijke meerwaarde</w:t>
      </w:r>
      <w:r w:rsidRPr="009D7F26" w:rsidR="009D7F26">
        <w:rPr>
          <w:rFonts w:eastAsia="Calibri" w:cs="Calibri"/>
        </w:rPr>
        <w:t xml:space="preserve"> van de sector versterkt</w:t>
      </w:r>
      <w:r w:rsidR="00125869">
        <w:rPr>
          <w:rFonts w:eastAsia="Calibri" w:cs="Calibri"/>
        </w:rPr>
        <w:t xml:space="preserve">. </w:t>
      </w:r>
      <w:r w:rsidR="009278B9">
        <w:rPr>
          <w:rFonts w:eastAsia="Calibri" w:cs="Calibri"/>
        </w:rPr>
        <w:t>Tegelijkertijd</w:t>
      </w:r>
      <w:r w:rsidR="00CB4B75">
        <w:rPr>
          <w:rFonts w:eastAsia="Calibri" w:cs="Calibri"/>
        </w:rPr>
        <w:t xml:space="preserve"> </w:t>
      </w:r>
      <w:r w:rsidR="00125869">
        <w:rPr>
          <w:rFonts w:eastAsia="Calibri" w:cs="Calibri"/>
        </w:rPr>
        <w:t>blijft</w:t>
      </w:r>
      <w:r w:rsidR="00CB4B75">
        <w:rPr>
          <w:rFonts w:eastAsia="Calibri" w:cs="Calibri"/>
        </w:rPr>
        <w:t xml:space="preserve"> de aanpak van illegale trustdienstverlening een belangrijk aandachtspunt.</w:t>
      </w:r>
      <w:r w:rsidRPr="00220779">
        <w:rPr>
          <w:rFonts w:eastAsia="Calibri" w:cs="Calibri"/>
        </w:rPr>
        <w:t xml:space="preserve"> Daarbij is een goede en effectieve samenwerking tussen </w:t>
      </w:r>
      <w:r w:rsidRPr="00220779">
        <w:rPr>
          <w:rFonts w:eastAsia="Calibri" w:cs="Calibri"/>
        </w:rPr>
        <w:lastRenderedPageBreak/>
        <w:t>ketenpartners essentieel, zoals ook blijkt uit de aanbevelingen. Hier blijf ik mij de komende jaren voor inzetten.</w:t>
      </w:r>
    </w:p>
    <w:p w:rsidR="005D051E" w:rsidP="004E08CB" w:rsidRDefault="005D051E" w14:paraId="43B548A3" w14:textId="77777777">
      <w:pPr>
        <w:spacing w:line="276" w:lineRule="auto"/>
      </w:pPr>
    </w:p>
    <w:p w:rsidR="00513598" w:rsidP="004E08CB" w:rsidRDefault="00E216D0" w14:paraId="1CB074FA" w14:textId="77777777">
      <w:pPr>
        <w:spacing w:line="276" w:lineRule="auto"/>
      </w:pPr>
      <w:r>
        <w:t>H</w:t>
      </w:r>
      <w:r w:rsidR="00733919">
        <w:t>o</w:t>
      </w:r>
      <w:r>
        <w:t>ogachtend,</w:t>
      </w:r>
    </w:p>
    <w:p w:rsidRPr="00733919" w:rsidR="00733919" w:rsidP="004E08CB" w:rsidRDefault="00733919" w14:paraId="3884538B" w14:textId="77777777">
      <w:pPr>
        <w:spacing w:line="276" w:lineRule="auto"/>
      </w:pPr>
    </w:p>
    <w:tbl>
      <w:tblPr>
        <w:tblStyle w:val="Tabelzonderranden"/>
        <w:tblW w:w="7181" w:type="dxa"/>
        <w:tblInd w:w="0" w:type="dxa"/>
        <w:tblLayout w:type="fixed"/>
        <w:tblLook w:val="07E0" w:firstRow="1" w:lastRow="1" w:firstColumn="1" w:lastColumn="1" w:noHBand="1" w:noVBand="1"/>
      </w:tblPr>
      <w:tblGrid>
        <w:gridCol w:w="3447"/>
        <w:gridCol w:w="3734"/>
      </w:tblGrid>
      <w:tr w:rsidR="00513598" w:rsidTr="00420F85" w14:paraId="28FC4C8F" w14:textId="77777777">
        <w:trPr>
          <w:trHeight w:val="597"/>
        </w:trPr>
        <w:tc>
          <w:tcPr>
            <w:tcW w:w="3447" w:type="dxa"/>
          </w:tcPr>
          <w:p w:rsidR="00733919" w:rsidP="004E08CB" w:rsidRDefault="00E216D0" w14:paraId="4785C23A" w14:textId="77777777">
            <w:pPr>
              <w:spacing w:line="276" w:lineRule="auto"/>
            </w:pPr>
            <w:proofErr w:type="gramStart"/>
            <w:r>
              <w:t>de</w:t>
            </w:r>
            <w:proofErr w:type="gramEnd"/>
            <w:r>
              <w:t xml:space="preserve"> minister van Financiën,</w:t>
            </w:r>
            <w:r>
              <w:br/>
            </w:r>
            <w:r>
              <w:br/>
            </w:r>
            <w:r>
              <w:br/>
            </w:r>
            <w:r>
              <w:br/>
            </w:r>
          </w:p>
          <w:p w:rsidR="00733919" w:rsidP="004E08CB" w:rsidRDefault="00733919" w14:paraId="717916E4" w14:textId="77777777">
            <w:pPr>
              <w:spacing w:line="276" w:lineRule="auto"/>
            </w:pPr>
          </w:p>
          <w:p w:rsidR="00513598" w:rsidP="004E08CB" w:rsidRDefault="00E216D0" w14:paraId="4D701147" w14:textId="77777777">
            <w:pPr>
              <w:spacing w:line="276" w:lineRule="auto"/>
            </w:pPr>
            <w:r>
              <w:t>E. Heinen</w:t>
            </w:r>
          </w:p>
        </w:tc>
        <w:tc>
          <w:tcPr>
            <w:tcW w:w="3734" w:type="dxa"/>
          </w:tcPr>
          <w:p w:rsidR="00513598" w:rsidP="004E08CB" w:rsidRDefault="00513598" w14:paraId="5F53B2B9" w14:textId="77777777">
            <w:pPr>
              <w:spacing w:line="276" w:lineRule="auto"/>
            </w:pPr>
          </w:p>
        </w:tc>
      </w:tr>
    </w:tbl>
    <w:p w:rsidR="00513598" w:rsidP="004E08CB" w:rsidRDefault="00513598" w14:paraId="7211CC42" w14:textId="77777777">
      <w:pPr>
        <w:pStyle w:val="WitregelW1bodytekst"/>
        <w:spacing w:line="276" w:lineRule="auto"/>
      </w:pPr>
    </w:p>
    <w:sectPr w:rsidR="00513598" w:rsidSect="00142922">
      <w:headerReference w:type="default" r:id="rId7"/>
      <w:headerReference w:type="first" r:id="rId8"/>
      <w:pgSz w:w="11905" w:h="16837"/>
      <w:pgMar w:top="2948" w:right="2834" w:bottom="12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E7CE" w14:textId="77777777" w:rsidR="008E4F43" w:rsidRDefault="008E4F43">
      <w:pPr>
        <w:spacing w:line="240" w:lineRule="auto"/>
      </w:pPr>
      <w:r>
        <w:separator/>
      </w:r>
    </w:p>
  </w:endnote>
  <w:endnote w:type="continuationSeparator" w:id="0">
    <w:p w14:paraId="448C4FB3" w14:textId="77777777" w:rsidR="008E4F43" w:rsidRDefault="008E4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90F8" w14:textId="77777777" w:rsidR="008E4F43" w:rsidRDefault="008E4F43">
      <w:pPr>
        <w:spacing w:line="240" w:lineRule="auto"/>
      </w:pPr>
      <w:r>
        <w:separator/>
      </w:r>
    </w:p>
  </w:footnote>
  <w:footnote w:type="continuationSeparator" w:id="0">
    <w:p w14:paraId="6B64F5ED" w14:textId="77777777" w:rsidR="008E4F43" w:rsidRDefault="008E4F43">
      <w:pPr>
        <w:spacing w:line="240" w:lineRule="auto"/>
      </w:pPr>
      <w:r>
        <w:continuationSeparator/>
      </w:r>
    </w:p>
  </w:footnote>
  <w:footnote w:id="1">
    <w:p w14:paraId="16DE130F" w14:textId="77777777" w:rsidR="002C66DA" w:rsidRPr="00FA0A37" w:rsidRDefault="002C66DA" w:rsidP="002C66DA">
      <w:pPr>
        <w:pStyle w:val="Voetnoottekst"/>
        <w:rPr>
          <w:rFonts w:ascii="Verdana" w:hAnsi="Verdana"/>
          <w:sz w:val="14"/>
          <w:szCs w:val="14"/>
        </w:rPr>
      </w:pPr>
      <w:r w:rsidRPr="00FA0A37">
        <w:rPr>
          <w:rStyle w:val="Voetnootmarkering"/>
          <w:rFonts w:ascii="Verdana" w:hAnsi="Verdana"/>
          <w:sz w:val="14"/>
          <w:szCs w:val="14"/>
        </w:rPr>
        <w:footnoteRef/>
      </w:r>
      <w:r w:rsidRPr="00FA0A37">
        <w:rPr>
          <w:rFonts w:ascii="Verdana" w:hAnsi="Verdana"/>
          <w:sz w:val="14"/>
          <w:szCs w:val="14"/>
        </w:rPr>
        <w:t xml:space="preserve"> Kamerstukken II 2023/24, 32 545, nr. 201. De evaluatie heeft twee jaar later plaatsgevonden dan oorspronkelijk voorzien om de laatste ontwikkelingen en de effecten van recente wijzigingen van de </w:t>
      </w:r>
      <w:proofErr w:type="spellStart"/>
      <w:r w:rsidRPr="00FA0A37">
        <w:rPr>
          <w:rFonts w:ascii="Verdana" w:hAnsi="Verdana"/>
          <w:sz w:val="14"/>
          <w:szCs w:val="14"/>
        </w:rPr>
        <w:t>Wtt</w:t>
      </w:r>
      <w:proofErr w:type="spellEnd"/>
      <w:r w:rsidRPr="00FA0A37">
        <w:rPr>
          <w:rFonts w:ascii="Verdana" w:hAnsi="Verdana"/>
          <w:sz w:val="14"/>
          <w:szCs w:val="14"/>
        </w:rPr>
        <w:t xml:space="preserve"> 2018-wijzigingen mee te nemen. </w:t>
      </w:r>
    </w:p>
  </w:footnote>
  <w:footnote w:id="2">
    <w:p w14:paraId="608DEA1C" w14:textId="77777777" w:rsidR="00E216D0" w:rsidRPr="00FA0A37" w:rsidRDefault="00E216D0" w:rsidP="00E216D0">
      <w:pPr>
        <w:pStyle w:val="Voetnoottekst"/>
        <w:rPr>
          <w:rFonts w:ascii="Verdana" w:hAnsi="Verdana"/>
          <w:sz w:val="14"/>
          <w:szCs w:val="14"/>
        </w:rPr>
      </w:pPr>
      <w:r w:rsidRPr="00FA0A37">
        <w:rPr>
          <w:rStyle w:val="Voetnootmarkering"/>
          <w:rFonts w:ascii="Verdana" w:hAnsi="Verdana"/>
          <w:sz w:val="14"/>
          <w:szCs w:val="14"/>
        </w:rPr>
        <w:footnoteRef/>
      </w:r>
      <w:r w:rsidRPr="00FA0A37">
        <w:rPr>
          <w:rFonts w:ascii="Verdana" w:hAnsi="Verdana"/>
          <w:sz w:val="14"/>
          <w:szCs w:val="14"/>
        </w:rPr>
        <w:t xml:space="preserve"> Kamerstukken II 2017/18, 34 910, nr. 3 (</w:t>
      </w:r>
      <w:proofErr w:type="spellStart"/>
      <w:r w:rsidRPr="00FA0A37">
        <w:rPr>
          <w:rFonts w:ascii="Verdana" w:hAnsi="Verdana"/>
          <w:sz w:val="14"/>
          <w:szCs w:val="14"/>
        </w:rPr>
        <w:t>MvT</w:t>
      </w:r>
      <w:proofErr w:type="spellEnd"/>
      <w:r w:rsidRPr="00FA0A37">
        <w:rPr>
          <w:rFonts w:ascii="Verdana" w:hAnsi="Verdana"/>
          <w:sz w:val="14"/>
          <w:szCs w:val="14"/>
        </w:rPr>
        <w:t>).</w:t>
      </w:r>
    </w:p>
  </w:footnote>
  <w:footnote w:id="3">
    <w:p w14:paraId="3F5B0ED6" w14:textId="77777777" w:rsidR="00E216D0" w:rsidRPr="00FA0A37" w:rsidRDefault="00E216D0" w:rsidP="00E216D0">
      <w:pPr>
        <w:pStyle w:val="Voetnoottekst"/>
        <w:rPr>
          <w:rFonts w:ascii="Verdana" w:hAnsi="Verdana"/>
          <w:sz w:val="14"/>
          <w:szCs w:val="14"/>
        </w:rPr>
      </w:pPr>
      <w:r w:rsidRPr="00FA0A37">
        <w:rPr>
          <w:rStyle w:val="Voetnootmarkering"/>
          <w:rFonts w:ascii="Verdana" w:hAnsi="Verdana"/>
          <w:sz w:val="14"/>
          <w:szCs w:val="14"/>
        </w:rPr>
        <w:footnoteRef/>
      </w:r>
      <w:r w:rsidRPr="00FA0A37">
        <w:rPr>
          <w:rFonts w:ascii="Verdana" w:hAnsi="Verdana"/>
          <w:sz w:val="14"/>
          <w:szCs w:val="14"/>
        </w:rPr>
        <w:t xml:space="preserve"> Zie voor het verslag van de ondervragingscommissie Kamerstukken II 2016/17, </w:t>
      </w:r>
      <w:hyperlink r:id="rId1" w:tooltip="link naar publicatie kst-34566-3" w:history="1">
        <w:r w:rsidRPr="00FA0A37">
          <w:rPr>
            <w:rStyle w:val="Hyperlink"/>
            <w:rFonts w:ascii="Verdana" w:hAnsi="Verdana"/>
            <w:sz w:val="14"/>
            <w:szCs w:val="14"/>
          </w:rPr>
          <w:t>34 566, nr. 3</w:t>
        </w:r>
      </w:hyperlink>
      <w:r w:rsidRPr="00FA0A37">
        <w:rPr>
          <w:rFonts w:ascii="Verdana" w:hAnsi="Verdana"/>
          <w:sz w:val="14"/>
          <w:szCs w:val="14"/>
        </w:rPr>
        <w:t>.</w:t>
      </w:r>
    </w:p>
  </w:footnote>
  <w:footnote w:id="4">
    <w:p w14:paraId="2354F957" w14:textId="77777777" w:rsidR="005C6840" w:rsidRPr="005D6954" w:rsidRDefault="005C6840">
      <w:pPr>
        <w:pStyle w:val="Voetnoottekst"/>
        <w:rPr>
          <w:rFonts w:ascii="Verdana" w:hAnsi="Verdana"/>
          <w:sz w:val="14"/>
          <w:szCs w:val="14"/>
        </w:rPr>
      </w:pPr>
      <w:r w:rsidRPr="005D6954">
        <w:rPr>
          <w:rStyle w:val="Voetnootmarkering"/>
          <w:rFonts w:ascii="Verdana" w:hAnsi="Verdana"/>
          <w:sz w:val="14"/>
          <w:szCs w:val="14"/>
        </w:rPr>
        <w:footnoteRef/>
      </w:r>
      <w:r w:rsidRPr="005D6954">
        <w:rPr>
          <w:rFonts w:ascii="Verdana" w:hAnsi="Verdana"/>
          <w:sz w:val="14"/>
          <w:szCs w:val="14"/>
        </w:rPr>
        <w:t xml:space="preserve"> Artikel 3a </w:t>
      </w:r>
      <w:proofErr w:type="spellStart"/>
      <w:r w:rsidRPr="005D6954">
        <w:rPr>
          <w:rFonts w:ascii="Verdana" w:hAnsi="Verdana"/>
          <w:sz w:val="14"/>
          <w:szCs w:val="14"/>
        </w:rPr>
        <w:t>Wtt</w:t>
      </w:r>
      <w:proofErr w:type="spellEnd"/>
      <w:r w:rsidRPr="005D6954">
        <w:rPr>
          <w:rFonts w:ascii="Verdana" w:hAnsi="Verdana"/>
          <w:sz w:val="14"/>
          <w:szCs w:val="14"/>
        </w:rPr>
        <w:t xml:space="preserve"> 2018</w:t>
      </w:r>
      <w:r w:rsidR="00C86ACE">
        <w:rPr>
          <w:rFonts w:ascii="Verdana" w:hAnsi="Verdana"/>
          <w:sz w:val="14"/>
          <w:szCs w:val="14"/>
        </w:rPr>
        <w:t>. Zie</w:t>
      </w:r>
      <w:r w:rsidRPr="005D6954">
        <w:rPr>
          <w:rFonts w:ascii="Verdana" w:hAnsi="Verdana"/>
          <w:sz w:val="14"/>
          <w:szCs w:val="14"/>
        </w:rPr>
        <w:t xml:space="preserve"> </w:t>
      </w:r>
      <w:r w:rsidR="00C86ACE">
        <w:rPr>
          <w:rFonts w:ascii="Verdana" w:hAnsi="Verdana"/>
          <w:sz w:val="14"/>
          <w:szCs w:val="14"/>
        </w:rPr>
        <w:t>Kamerstukken II 2021/22, 36102, nr.3.</w:t>
      </w:r>
    </w:p>
  </w:footnote>
  <w:footnote w:id="5">
    <w:p w14:paraId="0DEE5108" w14:textId="77777777" w:rsidR="006E47AB" w:rsidRPr="005D6954" w:rsidRDefault="006E47AB">
      <w:pPr>
        <w:pStyle w:val="Voetnoottekst"/>
        <w:rPr>
          <w:rFonts w:ascii="Verdana" w:hAnsi="Verdana"/>
          <w:sz w:val="14"/>
          <w:szCs w:val="14"/>
        </w:rPr>
      </w:pPr>
      <w:r w:rsidRPr="005D6954">
        <w:rPr>
          <w:rStyle w:val="Voetnootmarkering"/>
          <w:rFonts w:ascii="Verdana" w:hAnsi="Verdana"/>
          <w:sz w:val="14"/>
          <w:szCs w:val="14"/>
        </w:rPr>
        <w:footnoteRef/>
      </w:r>
      <w:r w:rsidRPr="005D6954">
        <w:rPr>
          <w:rFonts w:ascii="Verdana" w:hAnsi="Verdana"/>
          <w:sz w:val="14"/>
          <w:szCs w:val="14"/>
        </w:rPr>
        <w:t xml:space="preserve"> </w:t>
      </w:r>
      <w:r w:rsidRPr="006E47AB">
        <w:rPr>
          <w:rFonts w:ascii="Verdana" w:hAnsi="Verdana"/>
          <w:sz w:val="14"/>
          <w:szCs w:val="14"/>
        </w:rPr>
        <w:t xml:space="preserve">Artikel 17 </w:t>
      </w:r>
      <w:proofErr w:type="spellStart"/>
      <w:r w:rsidRPr="006E47AB">
        <w:rPr>
          <w:rFonts w:ascii="Verdana" w:hAnsi="Verdana"/>
          <w:sz w:val="14"/>
          <w:szCs w:val="14"/>
        </w:rPr>
        <w:t>Wtt</w:t>
      </w:r>
      <w:proofErr w:type="spellEnd"/>
      <w:r w:rsidRPr="006E47AB">
        <w:rPr>
          <w:rFonts w:ascii="Verdana" w:hAnsi="Verdana"/>
          <w:sz w:val="14"/>
          <w:szCs w:val="14"/>
        </w:rPr>
        <w:t xml:space="preserve"> 2018</w:t>
      </w:r>
      <w:r w:rsidR="00C86ACE">
        <w:rPr>
          <w:rFonts w:ascii="Verdana" w:hAnsi="Verdana"/>
          <w:sz w:val="14"/>
          <w:szCs w:val="14"/>
        </w:rPr>
        <w:t>. Zie</w:t>
      </w:r>
      <w:r w:rsidR="00C86ACE" w:rsidRPr="003838DB">
        <w:rPr>
          <w:rFonts w:ascii="Verdana" w:hAnsi="Verdana"/>
          <w:sz w:val="14"/>
          <w:szCs w:val="14"/>
        </w:rPr>
        <w:t xml:space="preserve"> Kamerstukken II 2023/24, 36422, nr.3. </w:t>
      </w:r>
    </w:p>
  </w:footnote>
  <w:footnote w:id="6">
    <w:p w14:paraId="0AA74BE5" w14:textId="77777777" w:rsidR="00FA0A37" w:rsidRPr="00FA0A37" w:rsidRDefault="00FA0A37" w:rsidP="00FA0A37">
      <w:pPr>
        <w:pStyle w:val="Voetnoottekst"/>
        <w:rPr>
          <w:rFonts w:ascii="Verdana" w:hAnsi="Verdana"/>
          <w:sz w:val="14"/>
          <w:szCs w:val="14"/>
        </w:rPr>
      </w:pPr>
      <w:r w:rsidRPr="006E47AB">
        <w:rPr>
          <w:rStyle w:val="Voetnootmarkering"/>
          <w:rFonts w:ascii="Verdana" w:hAnsi="Verdana"/>
          <w:sz w:val="14"/>
          <w:szCs w:val="14"/>
        </w:rPr>
        <w:footnoteRef/>
      </w:r>
      <w:r w:rsidRPr="006E47AB">
        <w:rPr>
          <w:rFonts w:ascii="Verdana" w:hAnsi="Verdana"/>
          <w:sz w:val="14"/>
          <w:szCs w:val="14"/>
        </w:rPr>
        <w:t xml:space="preserve"> Het </w:t>
      </w:r>
      <w:r w:rsidR="00557AB1" w:rsidRPr="006E47AB">
        <w:rPr>
          <w:rFonts w:ascii="Verdana" w:hAnsi="Verdana"/>
          <w:sz w:val="14"/>
          <w:szCs w:val="14"/>
        </w:rPr>
        <w:t>AML-pakket</w:t>
      </w:r>
      <w:r w:rsidRPr="006E47AB">
        <w:rPr>
          <w:rFonts w:ascii="Verdana" w:hAnsi="Verdana"/>
          <w:sz w:val="14"/>
          <w:szCs w:val="14"/>
        </w:rPr>
        <w:t xml:space="preserve"> </w:t>
      </w:r>
      <w:r w:rsidR="00557AB1" w:rsidRPr="006E47AB">
        <w:rPr>
          <w:rFonts w:ascii="Verdana" w:hAnsi="Verdana"/>
          <w:sz w:val="14"/>
          <w:szCs w:val="14"/>
        </w:rPr>
        <w:t>zal met ingang</w:t>
      </w:r>
      <w:r w:rsidRPr="006E47AB">
        <w:rPr>
          <w:rFonts w:ascii="Verdana" w:hAnsi="Verdana"/>
          <w:sz w:val="14"/>
          <w:szCs w:val="14"/>
        </w:rPr>
        <w:t xml:space="preserve"> van 10 juli 2027 van toepassing</w:t>
      </w:r>
      <w:r w:rsidR="00557AB1" w:rsidRPr="006E47AB">
        <w:rPr>
          <w:rFonts w:ascii="Verdana" w:hAnsi="Verdana"/>
          <w:sz w:val="14"/>
          <w:szCs w:val="14"/>
        </w:rPr>
        <w:t xml:space="preserve"> zijn</w:t>
      </w:r>
      <w:r w:rsidRPr="006E47AB">
        <w:rPr>
          <w:rFonts w:ascii="Verdana" w:hAnsi="Verdana"/>
          <w:sz w:val="14"/>
          <w:szCs w:val="14"/>
        </w:rPr>
        <w:t xml:space="preserve">. In dat kader zal ook de </w:t>
      </w:r>
      <w:proofErr w:type="spellStart"/>
      <w:r w:rsidRPr="006E47AB">
        <w:rPr>
          <w:rFonts w:ascii="Verdana" w:hAnsi="Verdana"/>
          <w:sz w:val="14"/>
          <w:szCs w:val="14"/>
        </w:rPr>
        <w:t>Wtt</w:t>
      </w:r>
      <w:proofErr w:type="spellEnd"/>
      <w:r w:rsidRPr="006E47AB">
        <w:rPr>
          <w:rFonts w:ascii="Verdana" w:hAnsi="Verdana"/>
          <w:sz w:val="14"/>
          <w:szCs w:val="14"/>
        </w:rPr>
        <w:t xml:space="preserve"> 2018 worden aangepast om</w:t>
      </w:r>
      <w:r w:rsidRPr="00FA0A37">
        <w:rPr>
          <w:rFonts w:ascii="Verdana" w:hAnsi="Verdana"/>
          <w:sz w:val="14"/>
          <w:szCs w:val="14"/>
        </w:rPr>
        <w:t xml:space="preserve"> deze in overeenstemming te brengen met de nieuwe Europese anti-witwasrichtlijn en -verordening.</w:t>
      </w:r>
    </w:p>
    <w:p w14:paraId="4F173535" w14:textId="77777777" w:rsidR="00FA0A37" w:rsidRDefault="00FA0A37">
      <w:pPr>
        <w:pStyle w:val="Voetnoottekst"/>
      </w:pPr>
    </w:p>
  </w:footnote>
  <w:footnote w:id="7">
    <w:p w14:paraId="486101C1" w14:textId="77777777" w:rsidR="00E216D0" w:rsidRPr="00FA0A37" w:rsidRDefault="00E216D0" w:rsidP="00E216D0">
      <w:pPr>
        <w:pStyle w:val="Voetnoottekst"/>
        <w:rPr>
          <w:rFonts w:ascii="Verdana" w:hAnsi="Verdana"/>
          <w:sz w:val="14"/>
          <w:szCs w:val="14"/>
        </w:rPr>
      </w:pPr>
      <w:r w:rsidRPr="00FA0A37">
        <w:rPr>
          <w:rStyle w:val="Voetnootmarkering"/>
          <w:rFonts w:ascii="Verdana" w:hAnsi="Verdana"/>
          <w:sz w:val="14"/>
          <w:szCs w:val="14"/>
        </w:rPr>
        <w:footnoteRef/>
      </w:r>
      <w:r w:rsidRPr="00FA0A37">
        <w:rPr>
          <w:rFonts w:ascii="Verdana" w:hAnsi="Verdana"/>
          <w:sz w:val="14"/>
          <w:szCs w:val="14"/>
        </w:rPr>
        <w:t xml:space="preserve"> Kamerstukken II 2023/24, 36 442, nr.14. Toezegging gedaan tijdens het Wetgevingsoverleg Wijzigingswet Financiële Markten 2024. </w:t>
      </w:r>
    </w:p>
  </w:footnote>
  <w:footnote w:id="8">
    <w:p w14:paraId="4C8D183D" w14:textId="77777777" w:rsidR="00E216D0" w:rsidRPr="00FA0A37" w:rsidRDefault="00E216D0" w:rsidP="00E216D0">
      <w:pPr>
        <w:pStyle w:val="Voetnoottekst"/>
        <w:rPr>
          <w:rFonts w:ascii="Verdana" w:hAnsi="Verdana"/>
          <w:i/>
          <w:iCs/>
          <w:sz w:val="14"/>
          <w:szCs w:val="14"/>
        </w:rPr>
      </w:pPr>
      <w:r w:rsidRPr="00FA0A37">
        <w:rPr>
          <w:rStyle w:val="Voetnootmarkering"/>
          <w:rFonts w:ascii="Verdana" w:hAnsi="Verdana"/>
          <w:sz w:val="14"/>
          <w:szCs w:val="14"/>
        </w:rPr>
        <w:footnoteRef/>
      </w:r>
      <w:r w:rsidRPr="00FA0A37">
        <w:rPr>
          <w:rFonts w:ascii="Verdana" w:hAnsi="Verdana"/>
          <w:sz w:val="14"/>
          <w:szCs w:val="14"/>
        </w:rPr>
        <w:t xml:space="preserve"> Zie Financieel Expertise centrum (FEC), </w:t>
      </w:r>
      <w:proofErr w:type="spellStart"/>
      <w:r w:rsidRPr="00FA0A37">
        <w:rPr>
          <w:rFonts w:ascii="Verdana" w:hAnsi="Verdana"/>
          <w:i/>
          <w:iCs/>
          <w:sz w:val="14"/>
          <w:szCs w:val="14"/>
        </w:rPr>
        <w:t>Factsheet</w:t>
      </w:r>
      <w:proofErr w:type="spellEnd"/>
      <w:r w:rsidRPr="00FA0A37">
        <w:rPr>
          <w:rFonts w:ascii="Verdana" w:hAnsi="Verdana"/>
          <w:i/>
          <w:iCs/>
          <w:sz w:val="14"/>
          <w:szCs w:val="14"/>
        </w:rPr>
        <w:t xml:space="preserve"> Opknippen van trustdienstverlening, april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5DBB" w14:textId="77777777" w:rsidR="00513598" w:rsidRDefault="00E216D0">
    <w:r>
      <w:rPr>
        <w:noProof/>
      </w:rPr>
      <mc:AlternateContent>
        <mc:Choice Requires="wps">
          <w:drawing>
            <wp:anchor distT="0" distB="0" distL="0" distR="0" simplePos="0" relativeHeight="251652096" behindDoc="0" locked="1" layoutInCell="1" allowOverlap="1" wp14:anchorId="7C3ACE3F" wp14:editId="770730E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29FC16" w14:textId="77777777" w:rsidR="00513598" w:rsidRDefault="00E216D0">
                          <w:pPr>
                            <w:pStyle w:val="StandaardReferentiegegevensKop"/>
                          </w:pPr>
                          <w:r>
                            <w:t>Ons kenmerk</w:t>
                          </w:r>
                        </w:p>
                        <w:p w14:paraId="7FB8BD5E" w14:textId="15D4FFC1" w:rsidR="00294E2D" w:rsidRDefault="00730D3E">
                          <w:pPr>
                            <w:pStyle w:val="StandaardReferentiegegevens"/>
                          </w:pPr>
                          <w:fldSimple w:instr=" DOCPROPERTY  &quot;Kenmerk&quot;  \* MERGEFORMAT ">
                            <w:r w:rsidR="00732D48">
                              <w:t>2026-0000252797</w:t>
                            </w:r>
                          </w:fldSimple>
                        </w:p>
                      </w:txbxContent>
                    </wps:txbx>
                    <wps:bodyPr vert="horz" wrap="square" lIns="0" tIns="0" rIns="0" bIns="0" anchor="t" anchorCtr="0"/>
                  </wps:wsp>
                </a:graphicData>
              </a:graphic>
            </wp:anchor>
          </w:drawing>
        </mc:Choice>
        <mc:Fallback>
          <w:pict>
            <v:shapetype w14:anchorId="7C3ACE3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229FC16" w14:textId="77777777" w:rsidR="00513598" w:rsidRDefault="00E216D0">
                    <w:pPr>
                      <w:pStyle w:val="StandaardReferentiegegevensKop"/>
                    </w:pPr>
                    <w:r>
                      <w:t>Ons kenmerk</w:t>
                    </w:r>
                  </w:p>
                  <w:p w14:paraId="7FB8BD5E" w14:textId="15D4FFC1" w:rsidR="00294E2D" w:rsidRDefault="00730D3E">
                    <w:pPr>
                      <w:pStyle w:val="StandaardReferentiegegevens"/>
                    </w:pPr>
                    <w:fldSimple w:instr=" DOCPROPERTY  &quot;Kenmerk&quot;  \* MERGEFORMAT ">
                      <w:r w:rsidR="00732D48">
                        <w:t>2026-0000252797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9EC3561" wp14:editId="25C8C93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692147" w14:textId="77777777" w:rsidR="00294E2D" w:rsidRDefault="00732D4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9EC356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6692147" w14:textId="77777777" w:rsidR="00294E2D" w:rsidRDefault="00732D4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2DD24CB" wp14:editId="18D94E5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F8E9F4A" w14:textId="4E5B1582" w:rsidR="00294E2D" w:rsidRDefault="00732D4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DD24C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F8E9F4A" w14:textId="4E5B1582" w:rsidR="00294E2D" w:rsidRDefault="00732D4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96D9" w14:textId="77777777" w:rsidR="00513598" w:rsidRDefault="00E216D0">
    <w:pPr>
      <w:spacing w:after="7029" w:line="14" w:lineRule="exact"/>
    </w:pPr>
    <w:r>
      <w:rPr>
        <w:noProof/>
      </w:rPr>
      <mc:AlternateContent>
        <mc:Choice Requires="wps">
          <w:drawing>
            <wp:anchor distT="0" distB="0" distL="0" distR="0" simplePos="0" relativeHeight="251655168" behindDoc="0" locked="1" layoutInCell="1" allowOverlap="1" wp14:anchorId="639F7490" wp14:editId="7747960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2CA5E09" w14:textId="77777777" w:rsidR="00513598" w:rsidRDefault="00E216D0">
                          <w:pPr>
                            <w:spacing w:line="240" w:lineRule="auto"/>
                          </w:pPr>
                          <w:r>
                            <w:rPr>
                              <w:noProof/>
                            </w:rPr>
                            <w:drawing>
                              <wp:inline distT="0" distB="0" distL="0" distR="0" wp14:anchorId="31F6D1F7" wp14:editId="64E1BB48">
                                <wp:extent cx="2339975" cy="1582834"/>
                                <wp:effectExtent l="0" t="0" r="0" b="0"/>
                                <wp:docPr id="4758708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9F749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2CA5E09" w14:textId="77777777" w:rsidR="00513598" w:rsidRDefault="00E216D0">
                    <w:pPr>
                      <w:spacing w:line="240" w:lineRule="auto"/>
                    </w:pPr>
                    <w:r>
                      <w:rPr>
                        <w:noProof/>
                      </w:rPr>
                      <w:drawing>
                        <wp:inline distT="0" distB="0" distL="0" distR="0" wp14:anchorId="31F6D1F7" wp14:editId="64E1BB48">
                          <wp:extent cx="2339975" cy="1582834"/>
                          <wp:effectExtent l="0" t="0" r="0" b="0"/>
                          <wp:docPr id="4758708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0542D1E" wp14:editId="08539AF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593D328" w14:textId="77777777" w:rsidR="00E216D0" w:rsidRDefault="00E216D0"/>
                      </w:txbxContent>
                    </wps:txbx>
                    <wps:bodyPr vert="horz" wrap="square" lIns="0" tIns="0" rIns="0" bIns="0" anchor="t" anchorCtr="0"/>
                  </wps:wsp>
                </a:graphicData>
              </a:graphic>
            </wp:anchor>
          </w:drawing>
        </mc:Choice>
        <mc:Fallback>
          <w:pict>
            <v:shape w14:anchorId="10542D1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593D328" w14:textId="77777777" w:rsidR="00E216D0" w:rsidRDefault="00E216D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A6C98A7" wp14:editId="0328E48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9CA212" w14:textId="77777777" w:rsidR="00513598" w:rsidRDefault="00E216D0">
                          <w:pPr>
                            <w:pStyle w:val="StandaardReferentiegegevens"/>
                          </w:pPr>
                          <w:r>
                            <w:t>Korte Voorhout 7</w:t>
                          </w:r>
                        </w:p>
                        <w:p w14:paraId="190256CC" w14:textId="77777777" w:rsidR="00513598" w:rsidRDefault="00E216D0">
                          <w:pPr>
                            <w:pStyle w:val="StandaardReferentiegegevens"/>
                          </w:pPr>
                          <w:r>
                            <w:t>2511 CW  'S-GRAVENHAGE</w:t>
                          </w:r>
                        </w:p>
                        <w:p w14:paraId="09C883D0" w14:textId="77777777" w:rsidR="00513598" w:rsidRDefault="00E216D0">
                          <w:pPr>
                            <w:pStyle w:val="StandaardReferentiegegevens"/>
                          </w:pPr>
                          <w:r>
                            <w:t>POSTBUS 20201</w:t>
                          </w:r>
                        </w:p>
                        <w:p w14:paraId="6C7582C6" w14:textId="77777777" w:rsidR="00513598" w:rsidRPr="00E216D0" w:rsidRDefault="00E216D0">
                          <w:pPr>
                            <w:pStyle w:val="StandaardReferentiegegevens"/>
                            <w:rPr>
                              <w:lang w:val="es-ES"/>
                            </w:rPr>
                          </w:pPr>
                          <w:r w:rsidRPr="00E216D0">
                            <w:rPr>
                              <w:lang w:val="es-ES"/>
                            </w:rPr>
                            <w:t xml:space="preserve">2500 </w:t>
                          </w:r>
                          <w:proofErr w:type="gramStart"/>
                          <w:r w:rsidRPr="00E216D0">
                            <w:rPr>
                              <w:lang w:val="es-ES"/>
                            </w:rPr>
                            <w:t>EE  '</w:t>
                          </w:r>
                          <w:proofErr w:type="gramEnd"/>
                          <w:r w:rsidRPr="00E216D0">
                            <w:rPr>
                              <w:lang w:val="es-ES"/>
                            </w:rPr>
                            <w:t>S-GRAVENHAGE</w:t>
                          </w:r>
                        </w:p>
                        <w:p w14:paraId="7326D951" w14:textId="77777777" w:rsidR="00513598" w:rsidRPr="00E216D0" w:rsidRDefault="00E216D0">
                          <w:pPr>
                            <w:pStyle w:val="StandaardReferentiegegevens"/>
                            <w:rPr>
                              <w:lang w:val="es-ES"/>
                            </w:rPr>
                          </w:pPr>
                          <w:r w:rsidRPr="00E216D0">
                            <w:rPr>
                              <w:lang w:val="es-ES"/>
                            </w:rPr>
                            <w:t>www.rijksoverheid.nl/fin</w:t>
                          </w:r>
                        </w:p>
                        <w:p w14:paraId="346BEE24" w14:textId="77777777" w:rsidR="00513598" w:rsidRPr="00E216D0" w:rsidRDefault="00513598">
                          <w:pPr>
                            <w:pStyle w:val="WitregelW2"/>
                            <w:rPr>
                              <w:lang w:val="es-ES"/>
                            </w:rPr>
                          </w:pPr>
                        </w:p>
                        <w:p w14:paraId="2B9B9C58" w14:textId="77777777" w:rsidR="00513598" w:rsidRDefault="00E216D0">
                          <w:pPr>
                            <w:pStyle w:val="StandaardReferentiegegevensKop"/>
                          </w:pPr>
                          <w:r>
                            <w:t>Ons kenmerk</w:t>
                          </w:r>
                        </w:p>
                        <w:p w14:paraId="0BC99777" w14:textId="30AD44A5" w:rsidR="00294E2D" w:rsidRDefault="00730D3E">
                          <w:pPr>
                            <w:pStyle w:val="StandaardReferentiegegevens"/>
                          </w:pPr>
                          <w:fldSimple w:instr=" DOCPROPERTY  &quot;Kenmerk&quot;  \* MERGEFORMAT ">
                            <w:r w:rsidR="00732D48">
                              <w:t>2026-0000252797</w:t>
                            </w:r>
                          </w:fldSimple>
                        </w:p>
                        <w:p w14:paraId="4FC46C3F" w14:textId="77777777" w:rsidR="00513598" w:rsidRDefault="00513598">
                          <w:pPr>
                            <w:pStyle w:val="WitregelW1"/>
                          </w:pPr>
                        </w:p>
                        <w:p w14:paraId="3D7999AF" w14:textId="77777777" w:rsidR="00513598" w:rsidRDefault="00E216D0">
                          <w:pPr>
                            <w:pStyle w:val="StandaardReferentiegegevensKop"/>
                          </w:pPr>
                          <w:r>
                            <w:t>Uw brief (kenmerk)</w:t>
                          </w:r>
                        </w:p>
                        <w:p w14:paraId="7D099E85" w14:textId="66D10424" w:rsidR="00294E2D" w:rsidRDefault="00732D48">
                          <w:pPr>
                            <w:pStyle w:val="StandaardReferentiegegevens"/>
                          </w:pPr>
                          <w:r>
                            <w:fldChar w:fldCharType="begin"/>
                          </w:r>
                          <w:r>
                            <w:instrText xml:space="preserve"> DOCPROPERTY  "UwKenmerk"  \* MERGEFORMAT </w:instrText>
                          </w:r>
                          <w:r>
                            <w:fldChar w:fldCharType="end"/>
                          </w:r>
                        </w:p>
                        <w:p w14:paraId="75134D3F" w14:textId="77777777" w:rsidR="00513598" w:rsidRDefault="00513598">
                          <w:pPr>
                            <w:pStyle w:val="WitregelW1"/>
                          </w:pPr>
                        </w:p>
                        <w:p w14:paraId="008770B0" w14:textId="77777777" w:rsidR="00513598" w:rsidRDefault="00E216D0">
                          <w:pPr>
                            <w:pStyle w:val="StandaardReferentiegegevensKop"/>
                          </w:pPr>
                          <w:r>
                            <w:t>Bijlagen</w:t>
                          </w:r>
                        </w:p>
                        <w:p w14:paraId="66FABAB8" w14:textId="77777777" w:rsidR="00513598" w:rsidRDefault="00E216D0">
                          <w:pPr>
                            <w:pStyle w:val="StandaardReferentiegegevens"/>
                          </w:pPr>
                          <w:r>
                            <w:t xml:space="preserve">1. </w:t>
                          </w:r>
                          <w:r w:rsidR="00397DBF">
                            <w:t>Beleidsappreciatie aanbevelingen evaluatie</w:t>
                          </w:r>
                        </w:p>
                        <w:p w14:paraId="3BDA1A2F" w14:textId="77777777" w:rsidR="00513598" w:rsidRDefault="00E216D0">
                          <w:pPr>
                            <w:pStyle w:val="StandaardReferentiegegevens"/>
                          </w:pPr>
                          <w:r>
                            <w:t>2. Evaluatierapport</w:t>
                          </w:r>
                          <w:r w:rsidR="00397DBF">
                            <w:t xml:space="preserve"> Wet toezicht trustkantoren 2018</w:t>
                          </w:r>
                        </w:p>
                      </w:txbxContent>
                    </wps:txbx>
                    <wps:bodyPr vert="horz" wrap="square" lIns="0" tIns="0" rIns="0" bIns="0" anchor="t" anchorCtr="0"/>
                  </wps:wsp>
                </a:graphicData>
              </a:graphic>
            </wp:anchor>
          </w:drawing>
        </mc:Choice>
        <mc:Fallback>
          <w:pict>
            <v:shape w14:anchorId="0A6C98A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99CA212" w14:textId="77777777" w:rsidR="00513598" w:rsidRDefault="00E216D0">
                    <w:pPr>
                      <w:pStyle w:val="StandaardReferentiegegevens"/>
                    </w:pPr>
                    <w:r>
                      <w:t>Korte Voorhout 7</w:t>
                    </w:r>
                  </w:p>
                  <w:p w14:paraId="190256CC" w14:textId="77777777" w:rsidR="00513598" w:rsidRDefault="00E216D0">
                    <w:pPr>
                      <w:pStyle w:val="StandaardReferentiegegevens"/>
                    </w:pPr>
                    <w:r>
                      <w:t>2511 CW  'S-GRAVENHAGE</w:t>
                    </w:r>
                  </w:p>
                  <w:p w14:paraId="09C883D0" w14:textId="77777777" w:rsidR="00513598" w:rsidRDefault="00E216D0">
                    <w:pPr>
                      <w:pStyle w:val="StandaardReferentiegegevens"/>
                    </w:pPr>
                    <w:r>
                      <w:t>POSTBUS 20201</w:t>
                    </w:r>
                  </w:p>
                  <w:p w14:paraId="6C7582C6" w14:textId="77777777" w:rsidR="00513598" w:rsidRPr="00E216D0" w:rsidRDefault="00E216D0">
                    <w:pPr>
                      <w:pStyle w:val="StandaardReferentiegegevens"/>
                      <w:rPr>
                        <w:lang w:val="es-ES"/>
                      </w:rPr>
                    </w:pPr>
                    <w:r w:rsidRPr="00E216D0">
                      <w:rPr>
                        <w:lang w:val="es-ES"/>
                      </w:rPr>
                      <w:t xml:space="preserve">2500 </w:t>
                    </w:r>
                    <w:proofErr w:type="gramStart"/>
                    <w:r w:rsidRPr="00E216D0">
                      <w:rPr>
                        <w:lang w:val="es-ES"/>
                      </w:rPr>
                      <w:t>EE  '</w:t>
                    </w:r>
                    <w:proofErr w:type="gramEnd"/>
                    <w:r w:rsidRPr="00E216D0">
                      <w:rPr>
                        <w:lang w:val="es-ES"/>
                      </w:rPr>
                      <w:t>S-GRAVENHAGE</w:t>
                    </w:r>
                  </w:p>
                  <w:p w14:paraId="7326D951" w14:textId="77777777" w:rsidR="00513598" w:rsidRPr="00E216D0" w:rsidRDefault="00E216D0">
                    <w:pPr>
                      <w:pStyle w:val="StandaardReferentiegegevens"/>
                      <w:rPr>
                        <w:lang w:val="es-ES"/>
                      </w:rPr>
                    </w:pPr>
                    <w:r w:rsidRPr="00E216D0">
                      <w:rPr>
                        <w:lang w:val="es-ES"/>
                      </w:rPr>
                      <w:t>www.rijksoverheid.nl/fin</w:t>
                    </w:r>
                  </w:p>
                  <w:p w14:paraId="346BEE24" w14:textId="77777777" w:rsidR="00513598" w:rsidRPr="00E216D0" w:rsidRDefault="00513598">
                    <w:pPr>
                      <w:pStyle w:val="WitregelW2"/>
                      <w:rPr>
                        <w:lang w:val="es-ES"/>
                      </w:rPr>
                    </w:pPr>
                  </w:p>
                  <w:p w14:paraId="2B9B9C58" w14:textId="77777777" w:rsidR="00513598" w:rsidRDefault="00E216D0">
                    <w:pPr>
                      <w:pStyle w:val="StandaardReferentiegegevensKop"/>
                    </w:pPr>
                    <w:r>
                      <w:t>Ons kenmerk</w:t>
                    </w:r>
                  </w:p>
                  <w:p w14:paraId="0BC99777" w14:textId="30AD44A5" w:rsidR="00294E2D" w:rsidRDefault="00730D3E">
                    <w:pPr>
                      <w:pStyle w:val="StandaardReferentiegegevens"/>
                    </w:pPr>
                    <w:fldSimple w:instr=" DOCPROPERTY  &quot;Kenmerk&quot;  \* MERGEFORMAT ">
                      <w:r w:rsidR="00732D48">
                        <w:t>2026-0000252797</w:t>
                      </w:r>
                    </w:fldSimple>
                  </w:p>
                  <w:p w14:paraId="4FC46C3F" w14:textId="77777777" w:rsidR="00513598" w:rsidRDefault="00513598">
                    <w:pPr>
                      <w:pStyle w:val="WitregelW1"/>
                    </w:pPr>
                  </w:p>
                  <w:p w14:paraId="3D7999AF" w14:textId="77777777" w:rsidR="00513598" w:rsidRDefault="00E216D0">
                    <w:pPr>
                      <w:pStyle w:val="StandaardReferentiegegevensKop"/>
                    </w:pPr>
                    <w:r>
                      <w:t>Uw brief (kenmerk)</w:t>
                    </w:r>
                  </w:p>
                  <w:p w14:paraId="7D099E85" w14:textId="66D10424" w:rsidR="00294E2D" w:rsidRDefault="00732D48">
                    <w:pPr>
                      <w:pStyle w:val="StandaardReferentiegegevens"/>
                    </w:pPr>
                    <w:r>
                      <w:fldChar w:fldCharType="begin"/>
                    </w:r>
                    <w:r>
                      <w:instrText xml:space="preserve"> DOCPROPERTY  "UwKenmerk"  \* MERGEFORMAT </w:instrText>
                    </w:r>
                    <w:r>
                      <w:fldChar w:fldCharType="end"/>
                    </w:r>
                  </w:p>
                  <w:p w14:paraId="75134D3F" w14:textId="77777777" w:rsidR="00513598" w:rsidRDefault="00513598">
                    <w:pPr>
                      <w:pStyle w:val="WitregelW1"/>
                    </w:pPr>
                  </w:p>
                  <w:p w14:paraId="008770B0" w14:textId="77777777" w:rsidR="00513598" w:rsidRDefault="00E216D0">
                    <w:pPr>
                      <w:pStyle w:val="StandaardReferentiegegevensKop"/>
                    </w:pPr>
                    <w:r>
                      <w:t>Bijlagen</w:t>
                    </w:r>
                  </w:p>
                  <w:p w14:paraId="66FABAB8" w14:textId="77777777" w:rsidR="00513598" w:rsidRDefault="00E216D0">
                    <w:pPr>
                      <w:pStyle w:val="StandaardReferentiegegevens"/>
                    </w:pPr>
                    <w:r>
                      <w:t xml:space="preserve">1. </w:t>
                    </w:r>
                    <w:r w:rsidR="00397DBF">
                      <w:t>Beleidsappreciatie aanbevelingen evaluatie</w:t>
                    </w:r>
                  </w:p>
                  <w:p w14:paraId="3BDA1A2F" w14:textId="77777777" w:rsidR="00513598" w:rsidRDefault="00E216D0">
                    <w:pPr>
                      <w:pStyle w:val="StandaardReferentiegegevens"/>
                    </w:pPr>
                    <w:r>
                      <w:t>2. Evaluatierapport</w:t>
                    </w:r>
                    <w:r w:rsidR="00397DBF">
                      <w:t xml:space="preserve"> Wet toezicht trustkantoren 2018</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D31EA6" wp14:editId="084BB4D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D3F515D" w14:textId="77777777" w:rsidR="00513598" w:rsidRDefault="00E216D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2D31EA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D3F515D" w14:textId="77777777" w:rsidR="00513598" w:rsidRDefault="00E216D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B64F06C" wp14:editId="4A683D0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1565404" w14:textId="311C901C" w:rsidR="00294E2D" w:rsidRDefault="00732D48">
                          <w:pPr>
                            <w:pStyle w:val="Rubricering"/>
                          </w:pPr>
                          <w:r>
                            <w:fldChar w:fldCharType="begin"/>
                          </w:r>
                          <w:r>
                            <w:instrText xml:space="preserve"> DOCPROPERTY  "Rubricering"  \* MERGEFORMAT </w:instrText>
                          </w:r>
                          <w:r>
                            <w:fldChar w:fldCharType="end"/>
                          </w:r>
                        </w:p>
                        <w:p w14:paraId="0BA18956" w14:textId="77777777" w:rsidR="00732D48" w:rsidRDefault="00E216D0">
                          <w:r>
                            <w:fldChar w:fldCharType="begin"/>
                          </w:r>
                          <w:r>
                            <w:instrText xml:space="preserve"> DOCPROPERTY  "Aan"  \* MERGEFORMAT </w:instrText>
                          </w:r>
                          <w:r>
                            <w:fldChar w:fldCharType="separate"/>
                          </w:r>
                          <w:r w:rsidR="00732D48">
                            <w:t>Voorzitter van de Tweede Kamer der Staten-Generaal</w:t>
                          </w:r>
                        </w:p>
                        <w:p w14:paraId="5CFBD922" w14:textId="77777777" w:rsidR="00732D48" w:rsidRDefault="00732D48">
                          <w:r>
                            <w:t>Postbus 20018</w:t>
                          </w:r>
                        </w:p>
                        <w:p w14:paraId="72E4AF8E" w14:textId="77777777" w:rsidR="00732D48" w:rsidRDefault="00732D48">
                          <w:r>
                            <w:t>2500 EA  DEN HAAG</w:t>
                          </w:r>
                        </w:p>
                        <w:p w14:paraId="285F4F57" w14:textId="77777777" w:rsidR="00732D48" w:rsidRDefault="00732D48"/>
                        <w:p w14:paraId="3A2C11AB" w14:textId="77777777" w:rsidR="00513598" w:rsidRDefault="00E216D0">
                          <w:r>
                            <w:fldChar w:fldCharType="end"/>
                          </w:r>
                        </w:p>
                      </w:txbxContent>
                    </wps:txbx>
                    <wps:bodyPr vert="horz" wrap="square" lIns="0" tIns="0" rIns="0" bIns="0" anchor="t" anchorCtr="0"/>
                  </wps:wsp>
                </a:graphicData>
              </a:graphic>
            </wp:anchor>
          </w:drawing>
        </mc:Choice>
        <mc:Fallback>
          <w:pict>
            <v:shape w14:anchorId="5B64F06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1565404" w14:textId="311C901C" w:rsidR="00294E2D" w:rsidRDefault="00732D48">
                    <w:pPr>
                      <w:pStyle w:val="Rubricering"/>
                    </w:pPr>
                    <w:r>
                      <w:fldChar w:fldCharType="begin"/>
                    </w:r>
                    <w:r>
                      <w:instrText xml:space="preserve"> DOCPROPERTY  "Rubricering"  \* MERGEFORMAT </w:instrText>
                    </w:r>
                    <w:r>
                      <w:fldChar w:fldCharType="end"/>
                    </w:r>
                  </w:p>
                  <w:p w14:paraId="0BA18956" w14:textId="77777777" w:rsidR="00732D48" w:rsidRDefault="00E216D0">
                    <w:r>
                      <w:fldChar w:fldCharType="begin"/>
                    </w:r>
                    <w:r>
                      <w:instrText xml:space="preserve"> DOCPROPERTY  "Aan"  \* MERGEFORMAT </w:instrText>
                    </w:r>
                    <w:r>
                      <w:fldChar w:fldCharType="separate"/>
                    </w:r>
                    <w:r w:rsidR="00732D48">
                      <w:t>Voorzitter van de Tweede Kamer der Staten-Generaal</w:t>
                    </w:r>
                  </w:p>
                  <w:p w14:paraId="5CFBD922" w14:textId="77777777" w:rsidR="00732D48" w:rsidRDefault="00732D48">
                    <w:r>
                      <w:t>Postbus 20018</w:t>
                    </w:r>
                  </w:p>
                  <w:p w14:paraId="72E4AF8E" w14:textId="77777777" w:rsidR="00732D48" w:rsidRDefault="00732D48">
                    <w:r>
                      <w:t>2500 EA  DEN HAAG</w:t>
                    </w:r>
                  </w:p>
                  <w:p w14:paraId="285F4F57" w14:textId="77777777" w:rsidR="00732D48" w:rsidRDefault="00732D48"/>
                  <w:p w14:paraId="3A2C11AB" w14:textId="77777777" w:rsidR="00513598" w:rsidRDefault="00E216D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BFAB8B9" wp14:editId="7C8D4FF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FA3506" w14:textId="77777777" w:rsidR="00294E2D" w:rsidRDefault="00732D4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FAB8B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2FA3506" w14:textId="77777777" w:rsidR="00294E2D" w:rsidRDefault="00732D4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442CBB8" wp14:editId="218E22D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3598" w14:paraId="76A162F1" w14:textId="77777777">
                            <w:trPr>
                              <w:trHeight w:val="200"/>
                            </w:trPr>
                            <w:tc>
                              <w:tcPr>
                                <w:tcW w:w="1140" w:type="dxa"/>
                              </w:tcPr>
                              <w:p w14:paraId="20441AFB" w14:textId="77777777" w:rsidR="00513598" w:rsidRDefault="00513598"/>
                            </w:tc>
                            <w:tc>
                              <w:tcPr>
                                <w:tcW w:w="5400" w:type="dxa"/>
                              </w:tcPr>
                              <w:p w14:paraId="6FCBC069" w14:textId="77777777" w:rsidR="00513598" w:rsidRDefault="00513598"/>
                            </w:tc>
                          </w:tr>
                          <w:tr w:rsidR="00513598" w14:paraId="1BC9DC79" w14:textId="77777777">
                            <w:trPr>
                              <w:trHeight w:val="240"/>
                            </w:trPr>
                            <w:tc>
                              <w:tcPr>
                                <w:tcW w:w="1140" w:type="dxa"/>
                              </w:tcPr>
                              <w:p w14:paraId="285DBFD9" w14:textId="77777777" w:rsidR="00513598" w:rsidRDefault="00E216D0">
                                <w:r>
                                  <w:t>Datum</w:t>
                                </w:r>
                              </w:p>
                            </w:tc>
                            <w:tc>
                              <w:tcPr>
                                <w:tcW w:w="5400" w:type="dxa"/>
                              </w:tcPr>
                              <w:p w14:paraId="2F95AAE5" w14:textId="6D219752" w:rsidR="00513598" w:rsidRDefault="00730D3E">
                                <w:r>
                                  <w:t>2</w:t>
                                </w:r>
                                <w:r w:rsidR="00732D48">
                                  <w:t>5</w:t>
                                </w:r>
                                <w:r>
                                  <w:t xml:space="preserve"> juni 2026 </w:t>
                                </w:r>
                              </w:p>
                            </w:tc>
                          </w:tr>
                          <w:tr w:rsidR="00513598" w14:paraId="0703DFF3" w14:textId="77777777">
                            <w:trPr>
                              <w:trHeight w:val="240"/>
                            </w:trPr>
                            <w:tc>
                              <w:tcPr>
                                <w:tcW w:w="1140" w:type="dxa"/>
                              </w:tcPr>
                              <w:p w14:paraId="2A1BDA29" w14:textId="77777777" w:rsidR="00513598" w:rsidRDefault="00E216D0">
                                <w:r>
                                  <w:t>Betreft</w:t>
                                </w:r>
                              </w:p>
                            </w:tc>
                            <w:tc>
                              <w:tcPr>
                                <w:tcW w:w="5400" w:type="dxa"/>
                              </w:tcPr>
                              <w:p w14:paraId="098D2652" w14:textId="487FB1B4" w:rsidR="00294E2D" w:rsidRDefault="00730D3E">
                                <w:fldSimple w:instr=" DOCPROPERTY  &quot;Onderwerp&quot;  \* MERGEFORMAT ">
                                  <w:r w:rsidR="00732D48">
                                    <w:t>Evaluatie Wet toezicht trustkantoren 2018</w:t>
                                  </w:r>
                                </w:fldSimple>
                              </w:p>
                            </w:tc>
                          </w:tr>
                          <w:tr w:rsidR="00513598" w14:paraId="375FCBE5" w14:textId="77777777">
                            <w:trPr>
                              <w:trHeight w:val="200"/>
                            </w:trPr>
                            <w:tc>
                              <w:tcPr>
                                <w:tcW w:w="1140" w:type="dxa"/>
                              </w:tcPr>
                              <w:p w14:paraId="3AB31DAF" w14:textId="77777777" w:rsidR="00513598" w:rsidRDefault="00513598"/>
                            </w:tc>
                            <w:tc>
                              <w:tcPr>
                                <w:tcW w:w="4738" w:type="dxa"/>
                              </w:tcPr>
                              <w:p w14:paraId="04868317" w14:textId="77777777" w:rsidR="00513598" w:rsidRDefault="00513598"/>
                            </w:tc>
                          </w:tr>
                        </w:tbl>
                        <w:p w14:paraId="711DCF0E" w14:textId="77777777" w:rsidR="00E216D0" w:rsidRDefault="00E216D0"/>
                      </w:txbxContent>
                    </wps:txbx>
                    <wps:bodyPr vert="horz" wrap="square" lIns="0" tIns="0" rIns="0" bIns="0" anchor="t" anchorCtr="0"/>
                  </wps:wsp>
                </a:graphicData>
              </a:graphic>
            </wp:anchor>
          </w:drawing>
        </mc:Choice>
        <mc:Fallback>
          <w:pict>
            <v:shape w14:anchorId="5442CBB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13598" w14:paraId="76A162F1" w14:textId="77777777">
                      <w:trPr>
                        <w:trHeight w:val="200"/>
                      </w:trPr>
                      <w:tc>
                        <w:tcPr>
                          <w:tcW w:w="1140" w:type="dxa"/>
                        </w:tcPr>
                        <w:p w14:paraId="20441AFB" w14:textId="77777777" w:rsidR="00513598" w:rsidRDefault="00513598"/>
                      </w:tc>
                      <w:tc>
                        <w:tcPr>
                          <w:tcW w:w="5400" w:type="dxa"/>
                        </w:tcPr>
                        <w:p w14:paraId="6FCBC069" w14:textId="77777777" w:rsidR="00513598" w:rsidRDefault="00513598"/>
                      </w:tc>
                    </w:tr>
                    <w:tr w:rsidR="00513598" w14:paraId="1BC9DC79" w14:textId="77777777">
                      <w:trPr>
                        <w:trHeight w:val="240"/>
                      </w:trPr>
                      <w:tc>
                        <w:tcPr>
                          <w:tcW w:w="1140" w:type="dxa"/>
                        </w:tcPr>
                        <w:p w14:paraId="285DBFD9" w14:textId="77777777" w:rsidR="00513598" w:rsidRDefault="00E216D0">
                          <w:r>
                            <w:t>Datum</w:t>
                          </w:r>
                        </w:p>
                      </w:tc>
                      <w:tc>
                        <w:tcPr>
                          <w:tcW w:w="5400" w:type="dxa"/>
                        </w:tcPr>
                        <w:p w14:paraId="2F95AAE5" w14:textId="6D219752" w:rsidR="00513598" w:rsidRDefault="00730D3E">
                          <w:r>
                            <w:t>2</w:t>
                          </w:r>
                          <w:r w:rsidR="00732D48">
                            <w:t>5</w:t>
                          </w:r>
                          <w:r>
                            <w:t xml:space="preserve"> juni 2026 </w:t>
                          </w:r>
                        </w:p>
                      </w:tc>
                    </w:tr>
                    <w:tr w:rsidR="00513598" w14:paraId="0703DFF3" w14:textId="77777777">
                      <w:trPr>
                        <w:trHeight w:val="240"/>
                      </w:trPr>
                      <w:tc>
                        <w:tcPr>
                          <w:tcW w:w="1140" w:type="dxa"/>
                        </w:tcPr>
                        <w:p w14:paraId="2A1BDA29" w14:textId="77777777" w:rsidR="00513598" w:rsidRDefault="00E216D0">
                          <w:r>
                            <w:t>Betreft</w:t>
                          </w:r>
                        </w:p>
                      </w:tc>
                      <w:tc>
                        <w:tcPr>
                          <w:tcW w:w="5400" w:type="dxa"/>
                        </w:tcPr>
                        <w:p w14:paraId="098D2652" w14:textId="487FB1B4" w:rsidR="00294E2D" w:rsidRDefault="00730D3E">
                          <w:fldSimple w:instr=" DOCPROPERTY  &quot;Onderwerp&quot;  \* MERGEFORMAT ">
                            <w:r w:rsidR="00732D48">
                              <w:t>Evaluatie Wet toezicht trustkantoren 2018</w:t>
                            </w:r>
                          </w:fldSimple>
                        </w:p>
                      </w:tc>
                    </w:tr>
                    <w:tr w:rsidR="00513598" w14:paraId="375FCBE5" w14:textId="77777777">
                      <w:trPr>
                        <w:trHeight w:val="200"/>
                      </w:trPr>
                      <w:tc>
                        <w:tcPr>
                          <w:tcW w:w="1140" w:type="dxa"/>
                        </w:tcPr>
                        <w:p w14:paraId="3AB31DAF" w14:textId="77777777" w:rsidR="00513598" w:rsidRDefault="00513598"/>
                      </w:tc>
                      <w:tc>
                        <w:tcPr>
                          <w:tcW w:w="4738" w:type="dxa"/>
                        </w:tcPr>
                        <w:p w14:paraId="04868317" w14:textId="77777777" w:rsidR="00513598" w:rsidRDefault="00513598"/>
                      </w:tc>
                    </w:tr>
                  </w:tbl>
                  <w:p w14:paraId="711DCF0E" w14:textId="77777777" w:rsidR="00E216D0" w:rsidRDefault="00E216D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4DB7981" wp14:editId="52D13D2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0C4CAA" w14:textId="231905BF" w:rsidR="00294E2D" w:rsidRDefault="00732D4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DB798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0C4CAA" w14:textId="231905BF" w:rsidR="00294E2D" w:rsidRDefault="00732D4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024D618" wp14:editId="60361C0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478E53" w14:textId="77777777" w:rsidR="00E216D0" w:rsidRDefault="00E216D0"/>
                      </w:txbxContent>
                    </wps:txbx>
                    <wps:bodyPr vert="horz" wrap="square" lIns="0" tIns="0" rIns="0" bIns="0" anchor="t" anchorCtr="0"/>
                  </wps:wsp>
                </a:graphicData>
              </a:graphic>
            </wp:anchor>
          </w:drawing>
        </mc:Choice>
        <mc:Fallback>
          <w:pict>
            <v:shape w14:anchorId="4024D61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478E53" w14:textId="77777777" w:rsidR="00E216D0" w:rsidRDefault="00E216D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F5C74"/>
    <w:multiLevelType w:val="multilevel"/>
    <w:tmpl w:val="8475460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7E785A"/>
    <w:multiLevelType w:val="multilevel"/>
    <w:tmpl w:val="6EC7779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73210"/>
    <w:multiLevelType w:val="multilevel"/>
    <w:tmpl w:val="FD083E4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DEDE4"/>
    <w:multiLevelType w:val="multilevel"/>
    <w:tmpl w:val="AD21F9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6CCC531"/>
    <w:multiLevelType w:val="multilevel"/>
    <w:tmpl w:val="9FE2EB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8B47C4"/>
    <w:multiLevelType w:val="multilevel"/>
    <w:tmpl w:val="4C3D9C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9030156">
    <w:abstractNumId w:val="4"/>
  </w:num>
  <w:num w:numId="2" w16cid:durableId="1298685183">
    <w:abstractNumId w:val="2"/>
  </w:num>
  <w:num w:numId="3" w16cid:durableId="1516071411">
    <w:abstractNumId w:val="3"/>
  </w:num>
  <w:num w:numId="4" w16cid:durableId="135415208">
    <w:abstractNumId w:val="5"/>
  </w:num>
  <w:num w:numId="5" w16cid:durableId="1483042012">
    <w:abstractNumId w:val="1"/>
  </w:num>
  <w:num w:numId="6" w16cid:durableId="161540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98"/>
    <w:rsid w:val="00064DBA"/>
    <w:rsid w:val="000E542B"/>
    <w:rsid w:val="00125869"/>
    <w:rsid w:val="00142922"/>
    <w:rsid w:val="00151188"/>
    <w:rsid w:val="001B07B1"/>
    <w:rsid w:val="001F400B"/>
    <w:rsid w:val="0024487D"/>
    <w:rsid w:val="00246D20"/>
    <w:rsid w:val="00294E2D"/>
    <w:rsid w:val="002C66DA"/>
    <w:rsid w:val="002D14B9"/>
    <w:rsid w:val="002F7B2E"/>
    <w:rsid w:val="00311AA1"/>
    <w:rsid w:val="00322C65"/>
    <w:rsid w:val="00335F26"/>
    <w:rsid w:val="00397DBF"/>
    <w:rsid w:val="003B5C6A"/>
    <w:rsid w:val="003F7323"/>
    <w:rsid w:val="00420F85"/>
    <w:rsid w:val="0047109C"/>
    <w:rsid w:val="004805E0"/>
    <w:rsid w:val="004A4FB5"/>
    <w:rsid w:val="004E08CB"/>
    <w:rsid w:val="00513598"/>
    <w:rsid w:val="00557AB1"/>
    <w:rsid w:val="005A6D6F"/>
    <w:rsid w:val="005A6E98"/>
    <w:rsid w:val="005C6840"/>
    <w:rsid w:val="005D051E"/>
    <w:rsid w:val="005D6954"/>
    <w:rsid w:val="006E47AB"/>
    <w:rsid w:val="00730D3E"/>
    <w:rsid w:val="00732D48"/>
    <w:rsid w:val="00733919"/>
    <w:rsid w:val="008E4F43"/>
    <w:rsid w:val="00915374"/>
    <w:rsid w:val="009278B9"/>
    <w:rsid w:val="00956D54"/>
    <w:rsid w:val="00962394"/>
    <w:rsid w:val="00985387"/>
    <w:rsid w:val="009D7F26"/>
    <w:rsid w:val="009E5CF9"/>
    <w:rsid w:val="009F26E9"/>
    <w:rsid w:val="009F2739"/>
    <w:rsid w:val="009F29E1"/>
    <w:rsid w:val="00AF125E"/>
    <w:rsid w:val="00B81E7B"/>
    <w:rsid w:val="00B92610"/>
    <w:rsid w:val="00C17441"/>
    <w:rsid w:val="00C775F4"/>
    <w:rsid w:val="00C86ACE"/>
    <w:rsid w:val="00CB4B75"/>
    <w:rsid w:val="00CD0181"/>
    <w:rsid w:val="00DF36BF"/>
    <w:rsid w:val="00E216D0"/>
    <w:rsid w:val="00ED6CF9"/>
    <w:rsid w:val="00F12BB1"/>
    <w:rsid w:val="00F42037"/>
    <w:rsid w:val="00F8649A"/>
    <w:rsid w:val="00FA0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5716"/>
  <w15:docId w15:val="{78129454-F87B-4A08-B9CF-8192C7AD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216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16D0"/>
    <w:rPr>
      <w:rFonts w:ascii="Verdana" w:hAnsi="Verdana"/>
      <w:color w:val="000000"/>
      <w:sz w:val="18"/>
      <w:szCs w:val="18"/>
    </w:rPr>
  </w:style>
  <w:style w:type="paragraph" w:styleId="Voettekst">
    <w:name w:val="footer"/>
    <w:basedOn w:val="Standaard"/>
    <w:link w:val="VoettekstChar"/>
    <w:uiPriority w:val="99"/>
    <w:unhideWhenUsed/>
    <w:rsid w:val="00E216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16D0"/>
    <w:rPr>
      <w:rFonts w:ascii="Verdana" w:hAnsi="Verdana"/>
      <w:color w:val="000000"/>
      <w:sz w:val="18"/>
      <w:szCs w:val="18"/>
    </w:rPr>
  </w:style>
  <w:style w:type="paragraph" w:styleId="Voetnoottekst">
    <w:name w:val="footnote text"/>
    <w:basedOn w:val="Standaard"/>
    <w:link w:val="VoetnoottekstChar"/>
    <w:uiPriority w:val="99"/>
    <w:semiHidden/>
    <w:unhideWhenUsed/>
    <w:rsid w:val="00E216D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216D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216D0"/>
    <w:rPr>
      <w:vertAlign w:val="superscript"/>
    </w:rPr>
  </w:style>
  <w:style w:type="character" w:styleId="Verwijzingopmerking">
    <w:name w:val="annotation reference"/>
    <w:basedOn w:val="Standaardalinea-lettertype"/>
    <w:uiPriority w:val="99"/>
    <w:semiHidden/>
    <w:unhideWhenUsed/>
    <w:rsid w:val="004E08CB"/>
    <w:rPr>
      <w:sz w:val="16"/>
      <w:szCs w:val="16"/>
    </w:rPr>
  </w:style>
  <w:style w:type="paragraph" w:styleId="Tekstopmerking">
    <w:name w:val="annotation text"/>
    <w:basedOn w:val="Standaard"/>
    <w:link w:val="TekstopmerkingChar"/>
    <w:uiPriority w:val="99"/>
    <w:unhideWhenUsed/>
    <w:rsid w:val="004E08CB"/>
    <w:pPr>
      <w:spacing w:line="240" w:lineRule="auto"/>
    </w:pPr>
    <w:rPr>
      <w:sz w:val="20"/>
      <w:szCs w:val="20"/>
    </w:rPr>
  </w:style>
  <w:style w:type="character" w:customStyle="1" w:styleId="TekstopmerkingChar">
    <w:name w:val="Tekst opmerking Char"/>
    <w:basedOn w:val="Standaardalinea-lettertype"/>
    <w:link w:val="Tekstopmerking"/>
    <w:uiPriority w:val="99"/>
    <w:rsid w:val="004E08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08CB"/>
    <w:rPr>
      <w:b/>
      <w:bCs/>
    </w:rPr>
  </w:style>
  <w:style w:type="character" w:customStyle="1" w:styleId="OnderwerpvanopmerkingChar">
    <w:name w:val="Onderwerp van opmerking Char"/>
    <w:basedOn w:val="TekstopmerkingChar"/>
    <w:link w:val="Onderwerpvanopmerking"/>
    <w:uiPriority w:val="99"/>
    <w:semiHidden/>
    <w:rsid w:val="004E08CB"/>
    <w:rPr>
      <w:rFonts w:ascii="Verdana" w:hAnsi="Verdana"/>
      <w:b/>
      <w:bCs/>
      <w:color w:val="000000"/>
    </w:rPr>
  </w:style>
  <w:style w:type="paragraph" w:styleId="Revisie">
    <w:name w:val="Revision"/>
    <w:hidden/>
    <w:uiPriority w:val="99"/>
    <w:semiHidden/>
    <w:rsid w:val="004E08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4566-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1117</ap:Words>
  <ap:Characters>6149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Evaluatie Wet toezicht trustkantoren 2018</vt:lpstr>
    </vt:vector>
  </ap:TitlesOfParts>
  <ap:LinksUpToDate>false</ap:LinksUpToDate>
  <ap:CharactersWithSpaces>7252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2026-06-25T14:44:00.0000000Z</dcterms:created>
  <dcterms:modified xsi:type="dcterms:W3CDTF">2026-06-25T14:44:00.0000000Z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Evaluatie Wet toezicht trustkantoren 2018</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2026-0000252797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Wet toezicht trustkantoren 2018</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2026-06-09T13:10:47Z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3d1bc80d-9ea2-445b-a25b-e197084810f7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