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567" w:rsidP="00701567" w:rsidRDefault="00701567" w14:paraId="34CC010C" w14:textId="4727B343">
      <w:pPr>
        <w:rPr>
          <w:szCs w:val="18"/>
        </w:rPr>
      </w:pPr>
      <w:r>
        <w:rPr>
          <w:szCs w:val="18"/>
        </w:rPr>
        <w:t>AH 2366</w:t>
      </w:r>
    </w:p>
    <w:p w:rsidR="00701567" w:rsidP="00701567" w:rsidRDefault="00701567" w14:paraId="139D493B" w14:textId="07BA6E48">
      <w:pPr>
        <w:rPr>
          <w:szCs w:val="18"/>
        </w:rPr>
      </w:pPr>
      <w:r>
        <w:rPr>
          <w:szCs w:val="18"/>
        </w:rPr>
        <w:t>2026Z09944</w:t>
      </w:r>
    </w:p>
    <w:p w:rsidR="00701567" w:rsidP="00701567" w:rsidRDefault="00701567" w14:paraId="37C8E8E4" w14:textId="7D8DEC68">
      <w:pPr>
        <w:rPr>
          <w:szCs w:val="18"/>
        </w:rPr>
      </w:pPr>
      <w:r w:rsidRPr="00701567">
        <w:rPr>
          <w:sz w:val="24"/>
          <w:szCs w:val="24"/>
        </w:rPr>
        <w:t xml:space="preserve">Antwoord van minister Letschert (Onderwijs, Cultuur en Wetenschap) (ontvangen </w:t>
      </w:r>
      <w:r>
        <w:rPr>
          <w:sz w:val="24"/>
          <w:szCs w:val="24"/>
        </w:rPr>
        <w:t xml:space="preserve"> 25 juni 2026)</w:t>
      </w:r>
    </w:p>
    <w:p w:rsidR="00701567" w:rsidP="00701567" w:rsidRDefault="00701567" w14:paraId="2ED8DF21" w14:textId="77777777">
      <w:pPr>
        <w:rPr>
          <w:szCs w:val="18"/>
        </w:rPr>
      </w:pPr>
    </w:p>
    <w:p w:rsidRPr="00BA41EF" w:rsidR="00701567" w:rsidP="00701567" w:rsidRDefault="00701567" w14:paraId="5B0B688C" w14:textId="4B82FFD1">
      <w:pPr>
        <w:rPr>
          <w:szCs w:val="18"/>
        </w:rPr>
      </w:pPr>
      <w:r w:rsidRPr="00701567">
        <w:rPr>
          <w:color w:val="000000"/>
          <w:sz w:val="24"/>
          <w:szCs w:val="24"/>
        </w:rPr>
        <w:t xml:space="preserve">Zie ook Aanhangsel Handelingen, vergaderjaar 2025-2026, nr. </w:t>
      </w:r>
      <w:r>
        <w:rPr>
          <w:szCs w:val="18"/>
        </w:rPr>
        <w:t>2057</w:t>
      </w:r>
    </w:p>
    <w:p w:rsidRPr="00BA41EF" w:rsidR="00701567" w:rsidP="00701567" w:rsidRDefault="00701567" w14:paraId="1150F6B0" w14:textId="77777777">
      <w:pPr>
        <w:rPr>
          <w:szCs w:val="18"/>
        </w:rPr>
      </w:pPr>
      <w:r w:rsidRPr="00BA41EF">
        <w:rPr>
          <w:szCs w:val="18"/>
        </w:rPr>
        <w:t xml:space="preserve">Vraag 1 </w:t>
      </w:r>
    </w:p>
    <w:p w:rsidRPr="00BA41EF" w:rsidR="00701567" w:rsidP="00701567" w:rsidRDefault="00701567" w14:paraId="6A1482CB" w14:textId="77777777">
      <w:pPr>
        <w:rPr>
          <w:rFonts w:eastAsia="Calibri"/>
          <w:szCs w:val="18"/>
        </w:rPr>
      </w:pPr>
      <w:r w:rsidRPr="00BA41EF">
        <w:rPr>
          <w:rFonts w:eastAsia="Calibri"/>
          <w:szCs w:val="18"/>
        </w:rPr>
        <w:t>Bent u bekend met het bericht ‘Oud-studenten verdwijnen in buitenland en betalen studieschuld niet terug: staat loopt 170 miljoen mis’?</w:t>
      </w:r>
      <w:r w:rsidRPr="00BA41EF">
        <w:rPr>
          <w:rStyle w:val="Voetnootmarkering"/>
          <w:rFonts w:eastAsia="Calibri"/>
          <w:szCs w:val="18"/>
        </w:rPr>
        <w:footnoteReference w:id="1"/>
      </w:r>
      <w:r w:rsidRPr="00BA41EF">
        <w:rPr>
          <w:rFonts w:eastAsia="Calibri"/>
          <w:szCs w:val="18"/>
        </w:rPr>
        <w:t xml:space="preserve"> </w:t>
      </w:r>
      <w:r w:rsidRPr="00BA41EF">
        <w:rPr>
          <w:rFonts w:eastAsia="Calibri"/>
          <w:szCs w:val="18"/>
        </w:rPr>
        <w:br/>
      </w:r>
    </w:p>
    <w:p w:rsidRPr="00BA41EF" w:rsidR="00701567" w:rsidP="00701567" w:rsidRDefault="00701567" w14:paraId="2FEAA32D" w14:textId="77777777">
      <w:pPr>
        <w:rPr>
          <w:rFonts w:eastAsia="Calibri"/>
          <w:szCs w:val="18"/>
        </w:rPr>
      </w:pPr>
      <w:r w:rsidRPr="00BA41EF">
        <w:rPr>
          <w:rFonts w:eastAsia="Calibri"/>
          <w:szCs w:val="18"/>
        </w:rPr>
        <w:t xml:space="preserve">Antwoord 1 </w:t>
      </w:r>
    </w:p>
    <w:p w:rsidRPr="00BA41EF" w:rsidR="00701567" w:rsidP="00701567" w:rsidRDefault="00701567" w14:paraId="5782D1BC" w14:textId="77777777">
      <w:pPr>
        <w:rPr>
          <w:rFonts w:eastAsia="Calibri"/>
          <w:szCs w:val="18"/>
        </w:rPr>
      </w:pPr>
      <w:r w:rsidRPr="00BA41EF">
        <w:rPr>
          <w:rFonts w:eastAsia="Calibri"/>
          <w:szCs w:val="18"/>
        </w:rPr>
        <w:t>Ja.</w:t>
      </w:r>
    </w:p>
    <w:p w:rsidRPr="00BA41EF" w:rsidR="00701567" w:rsidP="00701567" w:rsidRDefault="00701567" w14:paraId="50B4F1B6" w14:textId="77777777">
      <w:pPr>
        <w:rPr>
          <w:rFonts w:eastAsia="Calibri"/>
          <w:szCs w:val="18"/>
        </w:rPr>
      </w:pPr>
    </w:p>
    <w:p w:rsidRPr="00BA41EF" w:rsidR="00701567" w:rsidP="00701567" w:rsidRDefault="00701567" w14:paraId="48A9B9D8" w14:textId="77777777">
      <w:pPr>
        <w:rPr>
          <w:szCs w:val="18"/>
        </w:rPr>
      </w:pPr>
      <w:r w:rsidRPr="00BA41EF">
        <w:rPr>
          <w:szCs w:val="18"/>
        </w:rPr>
        <w:t>Vraag 2</w:t>
      </w:r>
    </w:p>
    <w:p w:rsidRPr="00BA41EF" w:rsidR="00701567" w:rsidP="00701567" w:rsidRDefault="00701567" w14:paraId="324B6E6F" w14:textId="77777777">
      <w:pPr>
        <w:rPr>
          <w:rFonts w:eastAsia="Calibri"/>
          <w:szCs w:val="18"/>
        </w:rPr>
      </w:pPr>
      <w:r w:rsidRPr="00BA41EF">
        <w:rPr>
          <w:szCs w:val="18"/>
        </w:rPr>
        <w:t>Deelt</w:t>
      </w:r>
      <w:r w:rsidRPr="00BA41EF">
        <w:rPr>
          <w:rFonts w:eastAsia="Calibri"/>
          <w:szCs w:val="18"/>
        </w:rPr>
        <w:t xml:space="preserve"> u de mening dat het onacceptabel is dat Nederlands belastinggeld, bedoeld voor het volgen van hoger onderwijs, verloren gaat doordat oud-studenten zich aan terugbetaling van hun studieschuld onttrekken? </w:t>
      </w:r>
    </w:p>
    <w:p w:rsidRPr="00BA41EF" w:rsidR="00701567" w:rsidP="00701567" w:rsidRDefault="00701567" w14:paraId="12D85F6F" w14:textId="77777777">
      <w:pPr>
        <w:rPr>
          <w:rFonts w:eastAsia="Calibri"/>
          <w:szCs w:val="18"/>
        </w:rPr>
      </w:pPr>
    </w:p>
    <w:p w:rsidRPr="00BA41EF" w:rsidR="00701567" w:rsidP="00701567" w:rsidRDefault="00701567" w14:paraId="11D1E744" w14:textId="77777777">
      <w:pPr>
        <w:rPr>
          <w:rFonts w:eastAsia="Calibri"/>
          <w:szCs w:val="18"/>
        </w:rPr>
      </w:pPr>
      <w:r w:rsidRPr="00BA41EF">
        <w:rPr>
          <w:rFonts w:eastAsia="Calibri"/>
          <w:szCs w:val="18"/>
        </w:rPr>
        <w:t xml:space="preserve">Antwoord 2 </w:t>
      </w:r>
    </w:p>
    <w:p w:rsidRPr="00BA41EF" w:rsidR="00701567" w:rsidP="00701567" w:rsidRDefault="00701567" w14:paraId="3CA1C92F" w14:textId="77777777">
      <w:pPr>
        <w:rPr>
          <w:rFonts w:eastAsia="Calibri"/>
          <w:szCs w:val="18"/>
        </w:rPr>
      </w:pPr>
      <w:r w:rsidRPr="00BA41EF">
        <w:rPr>
          <w:rFonts w:eastAsia="Calibri"/>
          <w:szCs w:val="18"/>
        </w:rPr>
        <w:t>Ja, wanneer personen met een studieschuld (hierna: debiteur) bewust geen contactgegevens doorgeven bij vertrek naar het buitenland, en daarmee het terugbetalen van hun studieschuld proberen te vermijden, vind ik dat on</w:t>
      </w:r>
      <w:r>
        <w:rPr>
          <w:rFonts w:eastAsia="Calibri"/>
          <w:szCs w:val="18"/>
        </w:rPr>
        <w:t>acceptabel</w:t>
      </w:r>
      <w:r w:rsidRPr="00BA41EF">
        <w:rPr>
          <w:rFonts w:eastAsia="Calibri"/>
          <w:szCs w:val="18"/>
        </w:rPr>
        <w:t>.</w:t>
      </w:r>
      <w:r w:rsidRPr="00BA41EF">
        <w:rPr>
          <w:szCs w:val="18"/>
        </w:rPr>
        <w:t xml:space="preserve"> </w:t>
      </w:r>
      <w:r w:rsidRPr="00BA41EF">
        <w:rPr>
          <w:rFonts w:eastAsia="Calibri"/>
          <w:szCs w:val="18"/>
        </w:rPr>
        <w:t xml:space="preserve">Tegelijkertijd komt het in de praktijk niet vaak voor dat studieschulden verjaren doordat debiteuren in het buitenland onbereikbaar zijn. Dit licht ik nader toe bij het antwoord op vraag 3. DUO slaagt er bovendien al in om met de meeste debiteuren van wie de contactgegevens ontbreken weer in contact te komen. Ik erken wel dat de invordering van studieschulden in het buitenland verder verbeterd kan worden. Daarom neem ik in </w:t>
      </w:r>
      <w:r>
        <w:rPr>
          <w:rFonts w:eastAsia="Calibri"/>
          <w:szCs w:val="18"/>
        </w:rPr>
        <w:t>het wetsvoorstel</w:t>
      </w:r>
      <w:r w:rsidRPr="00BA41EF">
        <w:rPr>
          <w:rFonts w:eastAsia="Calibri"/>
          <w:szCs w:val="18"/>
        </w:rPr>
        <w:t xml:space="preserve"> Variawet studiefinanciering een aantal maatregelen hiertoe.</w:t>
      </w:r>
    </w:p>
    <w:p w:rsidRPr="00BA41EF" w:rsidR="00701567" w:rsidP="00701567" w:rsidRDefault="00701567" w14:paraId="25AFF3BB" w14:textId="77777777">
      <w:pPr>
        <w:rPr>
          <w:rFonts w:eastAsia="Calibri"/>
          <w:szCs w:val="18"/>
        </w:rPr>
      </w:pPr>
    </w:p>
    <w:p w:rsidRPr="00BA41EF" w:rsidR="00701567" w:rsidP="00701567" w:rsidRDefault="00701567" w14:paraId="6A2616BC" w14:textId="77777777">
      <w:pPr>
        <w:rPr>
          <w:rFonts w:eastAsia="Calibri"/>
          <w:szCs w:val="18"/>
        </w:rPr>
      </w:pPr>
      <w:r w:rsidRPr="00BA41EF">
        <w:rPr>
          <w:rFonts w:eastAsia="Calibri"/>
          <w:szCs w:val="18"/>
        </w:rPr>
        <w:t xml:space="preserve">Vraag 3 </w:t>
      </w:r>
    </w:p>
    <w:p w:rsidRPr="00BA41EF" w:rsidR="00701567" w:rsidP="00701567" w:rsidRDefault="00701567" w14:paraId="52432747" w14:textId="77777777">
      <w:pPr>
        <w:rPr>
          <w:rFonts w:eastAsia="Calibri"/>
          <w:szCs w:val="18"/>
        </w:rPr>
      </w:pPr>
      <w:r w:rsidRPr="00BA41EF">
        <w:rPr>
          <w:rFonts w:eastAsia="Calibri"/>
          <w:szCs w:val="18"/>
        </w:rPr>
        <w:lastRenderedPageBreak/>
        <w:t xml:space="preserve">Klopt het dat studieschulden momenteel in bepaalde gevallen na vijf jaar verjaren wanneer oud-studenten in het buitenland niet traceerbaar zijn en is u bekend hoeveel schulden hierdoor de afgelopen vijf jaar zijn verjaard? </w:t>
      </w:r>
    </w:p>
    <w:p w:rsidRPr="00BA41EF" w:rsidR="00701567" w:rsidP="00701567" w:rsidRDefault="00701567" w14:paraId="7546A7BB" w14:textId="77777777">
      <w:pPr>
        <w:rPr>
          <w:rFonts w:eastAsia="Calibri"/>
          <w:szCs w:val="18"/>
        </w:rPr>
      </w:pPr>
    </w:p>
    <w:p w:rsidR="00701567" w:rsidP="00701567" w:rsidRDefault="00701567" w14:paraId="329DA214" w14:textId="77777777">
      <w:pPr>
        <w:rPr>
          <w:rFonts w:eastAsia="Calibri"/>
          <w:szCs w:val="18"/>
        </w:rPr>
      </w:pPr>
      <w:r w:rsidRPr="00BA41EF">
        <w:rPr>
          <w:rFonts w:eastAsia="Calibri"/>
          <w:szCs w:val="18"/>
        </w:rPr>
        <w:t xml:space="preserve">Antwoord 3 </w:t>
      </w:r>
    </w:p>
    <w:p w:rsidR="00701567" w:rsidP="00701567" w:rsidRDefault="00701567" w14:paraId="645F9787" w14:textId="77777777">
      <w:pPr>
        <w:rPr>
          <w:rFonts w:eastAsia="Calibri"/>
          <w:szCs w:val="18"/>
        </w:rPr>
      </w:pPr>
      <w:r w:rsidRPr="00BA41EF">
        <w:rPr>
          <w:rFonts w:eastAsia="Calibri"/>
          <w:szCs w:val="18"/>
        </w:rPr>
        <w:t xml:space="preserve">Indien een debiteur het maandelijkse aflosbedrag aan studieschuld niet terugbetaalt, is er sprake van een achterstallige schuld voor dat gedeelte van de studieschuld. Een achterstallige schuld is direct opeisbaar, waardoor DUO op elk gewenst moment het recht heeft om die te innen bij de debiteur. Een vordering op een achterstallige schuld kan alleen verjaren na vijf jaar als DUO geen actie onderneemt. DUO verricht handelingen om de verjaring van de achterstallige schuld te voorkomen, door de vordering van de debiteur te stuiten. Dit doet DUO door zowel tijdige berichten als betaalverzoeken richting de debiteur in de MijnDUO-omgeving aan te maken en door adresonderzoek uit te voeren. Hierdoor </w:t>
      </w:r>
      <w:r>
        <w:rPr>
          <w:rFonts w:eastAsia="Calibri"/>
          <w:szCs w:val="18"/>
        </w:rPr>
        <w:t>gaat</w:t>
      </w:r>
      <w:r w:rsidRPr="00BA41EF">
        <w:rPr>
          <w:rFonts w:eastAsia="Calibri"/>
          <w:szCs w:val="18"/>
        </w:rPr>
        <w:t xml:space="preserve"> een nieuwe verjaringstermijn</w:t>
      </w:r>
      <w:r>
        <w:rPr>
          <w:rFonts w:eastAsia="Calibri"/>
          <w:szCs w:val="18"/>
        </w:rPr>
        <w:t xml:space="preserve"> van vijf jaar</w:t>
      </w:r>
      <w:r w:rsidRPr="00BA41EF">
        <w:rPr>
          <w:rFonts w:eastAsia="Calibri"/>
          <w:szCs w:val="18"/>
        </w:rPr>
        <w:t xml:space="preserve"> lopen en blijft het niet-betaalde gedeelte van de studieschuld opeisbaar. </w:t>
      </w:r>
    </w:p>
    <w:p w:rsidRPr="00844D36" w:rsidR="00701567" w:rsidP="00701567" w:rsidRDefault="00701567" w14:paraId="42451413" w14:textId="77777777">
      <w:pPr>
        <w:rPr>
          <w:rFonts w:eastAsia="Calibri"/>
          <w:szCs w:val="18"/>
        </w:rPr>
      </w:pPr>
      <w:r w:rsidRPr="00844D36">
        <w:rPr>
          <w:rFonts w:eastAsia="Calibri"/>
          <w:szCs w:val="18"/>
        </w:rPr>
        <w:t>De inschatting is dat het niet vaak voorkomt dat achterstallige gedeelten van studieschulden verjaren doordat debiteuren in het buitenland niet-traceerbaar zijn. Het gaat naar verwachting om incidentele gevallen.</w:t>
      </w:r>
      <w:r w:rsidRPr="00844D36">
        <w:rPr>
          <w:rStyle w:val="Voetnootmarkering"/>
          <w:rFonts w:eastAsia="Calibri"/>
          <w:szCs w:val="18"/>
        </w:rPr>
        <w:footnoteReference w:id="2"/>
      </w:r>
      <w:r w:rsidRPr="00844D36">
        <w:rPr>
          <w:rFonts w:eastAsia="Calibri"/>
          <w:szCs w:val="18"/>
        </w:rPr>
        <w:t xml:space="preserve"> Het exacte aantal gevallen is niet bekend, omdat DUO geen overzicht bijhoudt van het totaal aan verjaarde studieschulden in de afgelopen vijf jaar.</w:t>
      </w:r>
    </w:p>
    <w:p w:rsidRPr="00BA41EF" w:rsidR="00701567" w:rsidP="00701567" w:rsidRDefault="00701567" w14:paraId="6F1FE44E" w14:textId="77777777">
      <w:pPr>
        <w:rPr>
          <w:rFonts w:eastAsia="Calibri"/>
          <w:szCs w:val="18"/>
        </w:rPr>
      </w:pPr>
    </w:p>
    <w:p w:rsidRPr="00BA41EF" w:rsidR="00701567" w:rsidP="00701567" w:rsidRDefault="00701567" w14:paraId="35868883" w14:textId="77777777">
      <w:pPr>
        <w:rPr>
          <w:rFonts w:eastAsia="Calibri"/>
          <w:szCs w:val="18"/>
        </w:rPr>
      </w:pPr>
      <w:r w:rsidRPr="00BA41EF">
        <w:rPr>
          <w:rFonts w:eastAsia="Calibri"/>
          <w:szCs w:val="18"/>
        </w:rPr>
        <w:t>Vraag 4</w:t>
      </w:r>
    </w:p>
    <w:p w:rsidRPr="00BA41EF" w:rsidR="00701567" w:rsidP="00701567" w:rsidRDefault="00701567" w14:paraId="052FCCF4" w14:textId="77777777">
      <w:pPr>
        <w:rPr>
          <w:rFonts w:eastAsia="Calibri"/>
          <w:szCs w:val="18"/>
        </w:rPr>
      </w:pPr>
      <w:r w:rsidRPr="00BA41EF">
        <w:rPr>
          <w:rFonts w:eastAsia="Calibri"/>
          <w:szCs w:val="18"/>
        </w:rPr>
        <w:t xml:space="preserve">Welke landen werken op dit moment mee aan gegevensuitwisseling ten behoeve van het innen van studieschulden en lopen er op dit moment gesprekken met andere landen om dit mogelijk te maken? </w:t>
      </w:r>
    </w:p>
    <w:p w:rsidRPr="00BA41EF" w:rsidR="00701567" w:rsidP="00701567" w:rsidRDefault="00701567" w14:paraId="15D66B6F" w14:textId="77777777">
      <w:pPr>
        <w:rPr>
          <w:rFonts w:eastAsia="Calibri"/>
          <w:szCs w:val="18"/>
        </w:rPr>
      </w:pPr>
    </w:p>
    <w:p w:rsidRPr="00BA41EF" w:rsidR="00701567" w:rsidP="00701567" w:rsidRDefault="00701567" w14:paraId="5DE43D0A" w14:textId="77777777">
      <w:pPr>
        <w:rPr>
          <w:rFonts w:eastAsia="Calibri"/>
          <w:szCs w:val="18"/>
        </w:rPr>
      </w:pPr>
      <w:r w:rsidRPr="00BA41EF">
        <w:rPr>
          <w:rFonts w:eastAsia="Calibri"/>
          <w:szCs w:val="18"/>
        </w:rPr>
        <w:t>Antwoord 4</w:t>
      </w:r>
    </w:p>
    <w:p w:rsidRPr="00BA41EF" w:rsidR="00701567" w:rsidP="00701567" w:rsidRDefault="00701567" w14:paraId="18069FEC" w14:textId="77777777">
      <w:pPr>
        <w:rPr>
          <w:rFonts w:eastAsia="Calibri"/>
          <w:szCs w:val="18"/>
        </w:rPr>
      </w:pPr>
      <w:r w:rsidRPr="00BA41EF">
        <w:rPr>
          <w:rFonts w:eastAsia="Calibri"/>
          <w:szCs w:val="18"/>
        </w:rPr>
        <w:t xml:space="preserve">Een aantal buitenlandse overheidsorganisaties verleent medewerking wanneer DUO vraagt om gegevens van debiteuren, zodat contact met hen kan worden gelegd. Daarnaast heeft DUO in het afgelopen jaar contact gelegd en gesprekken gevoerd met een aantal nieuwe buitenlandse overheidsinstanties ten behoeve van het uitbreiden van gegevensuitwisseling. Om berekenend gedrag van debiteuren zoveel mogelijk te voorkomen, kies ik ervoor om geen opsommende lijst van individuele buitenlandse overheidsinstanties in deze beantwoording op te nemen. Overigens geven de meeste debiteuren met wie DUO het toch gelukt is om contact </w:t>
      </w:r>
      <w:r w:rsidRPr="00BA41EF">
        <w:rPr>
          <w:rFonts w:eastAsia="Calibri"/>
          <w:szCs w:val="18"/>
        </w:rPr>
        <w:lastRenderedPageBreak/>
        <w:t>te leggen aan dat het niet actueel houden van een adres een kwestie van slordigheid en onoplettendheid was. Zij treffen dan ook in veel gevallen regelingen met DUO om de achterstanden in te lopen.</w:t>
      </w:r>
    </w:p>
    <w:p w:rsidRPr="00BA41EF" w:rsidR="00701567" w:rsidP="00701567" w:rsidRDefault="00701567" w14:paraId="5131DACE" w14:textId="77777777">
      <w:pPr>
        <w:rPr>
          <w:rFonts w:eastAsia="Calibri"/>
          <w:szCs w:val="18"/>
        </w:rPr>
      </w:pPr>
    </w:p>
    <w:p w:rsidRPr="00BA41EF" w:rsidR="00701567" w:rsidP="00701567" w:rsidRDefault="00701567" w14:paraId="00A3E1EA" w14:textId="77777777">
      <w:pPr>
        <w:rPr>
          <w:rFonts w:eastAsia="Calibri"/>
          <w:szCs w:val="18"/>
        </w:rPr>
      </w:pPr>
      <w:r w:rsidRPr="00BA41EF">
        <w:rPr>
          <w:rFonts w:eastAsia="Calibri"/>
          <w:szCs w:val="18"/>
        </w:rPr>
        <w:t>Naast gegevens opvragen bij buitenlandse overheidsinstanties is gegevensopvraging ook in enkele landen een mogelijkheid via een contractpartner</w:t>
      </w:r>
      <w:r w:rsidRPr="00BA41EF">
        <w:rPr>
          <w:rStyle w:val="Voetnootmarkering"/>
          <w:rFonts w:eastAsia="Calibri"/>
          <w:szCs w:val="18"/>
        </w:rPr>
        <w:footnoteReference w:id="3"/>
      </w:r>
      <w:r w:rsidRPr="00BA41EF">
        <w:rPr>
          <w:rFonts w:eastAsia="Calibri"/>
          <w:szCs w:val="18"/>
        </w:rPr>
        <w:t xml:space="preserve">. De gecontracteerde partij kan via lokale advocaten of deurwaarders toegang krijgen tot adresregisters die DUO niet zelfstandig kan raadplegen. </w:t>
      </w:r>
    </w:p>
    <w:p w:rsidR="00701567" w:rsidP="00701567" w:rsidRDefault="00701567" w14:paraId="2A1E6FA7" w14:textId="77777777">
      <w:pPr>
        <w:rPr>
          <w:rFonts w:eastAsia="Calibri"/>
          <w:szCs w:val="18"/>
        </w:rPr>
      </w:pPr>
    </w:p>
    <w:p w:rsidRPr="00BA41EF" w:rsidR="00701567" w:rsidP="00701567" w:rsidRDefault="00701567" w14:paraId="6CAE227F" w14:textId="77777777">
      <w:pPr>
        <w:rPr>
          <w:rFonts w:eastAsia="Calibri"/>
          <w:szCs w:val="18"/>
        </w:rPr>
      </w:pPr>
      <w:r w:rsidRPr="00BA41EF">
        <w:rPr>
          <w:rFonts w:eastAsia="Calibri"/>
          <w:szCs w:val="18"/>
        </w:rPr>
        <w:t xml:space="preserve">DUO zet ook in op samenwerking met andere rijksdiensten voor het innen van studieschulden. Zo heeft een pilot plaatsgevonden met de Sociale Verzekeringsbank (SVB) in Turkije die DUO hielp om studieschulden te innen. </w:t>
      </w:r>
    </w:p>
    <w:p w:rsidRPr="00BA41EF" w:rsidR="00701567" w:rsidP="00701567" w:rsidRDefault="00701567" w14:paraId="6F6E5CC1" w14:textId="77777777">
      <w:pPr>
        <w:rPr>
          <w:rFonts w:eastAsia="Calibri"/>
          <w:szCs w:val="18"/>
        </w:rPr>
      </w:pPr>
      <w:r w:rsidRPr="00BA41EF">
        <w:rPr>
          <w:rFonts w:eastAsia="Calibri"/>
          <w:szCs w:val="18"/>
        </w:rPr>
        <w:br/>
        <w:t>Vraag 5</w:t>
      </w:r>
    </w:p>
    <w:p w:rsidRPr="00BA41EF" w:rsidR="00701567" w:rsidP="00701567" w:rsidRDefault="00701567" w14:paraId="77E94F05" w14:textId="77777777">
      <w:pPr>
        <w:rPr>
          <w:rFonts w:eastAsia="Calibri"/>
          <w:szCs w:val="18"/>
        </w:rPr>
      </w:pPr>
      <w:r w:rsidRPr="00BA41EF">
        <w:rPr>
          <w:rFonts w:eastAsia="Calibri"/>
          <w:szCs w:val="18"/>
        </w:rPr>
        <w:t xml:space="preserve">Kunt u toelichten hoe de beperkte mogelijkheden in internationale gegevensuitwisseling voor DUO zich verhouden tot de forse toename in internationalisering in het hoger onderwijs? </w:t>
      </w:r>
    </w:p>
    <w:p w:rsidRPr="00BA41EF" w:rsidR="00701567" w:rsidP="00701567" w:rsidRDefault="00701567" w14:paraId="4C897D35" w14:textId="77777777">
      <w:pPr>
        <w:rPr>
          <w:rFonts w:eastAsia="Calibri"/>
          <w:szCs w:val="18"/>
        </w:rPr>
      </w:pPr>
    </w:p>
    <w:p w:rsidRPr="00BA41EF" w:rsidR="00701567" w:rsidP="00701567" w:rsidRDefault="00701567" w14:paraId="519546F9" w14:textId="77777777">
      <w:pPr>
        <w:rPr>
          <w:rFonts w:eastAsia="Calibri"/>
          <w:szCs w:val="18"/>
        </w:rPr>
      </w:pPr>
      <w:r w:rsidRPr="00BA41EF">
        <w:rPr>
          <w:rFonts w:eastAsia="Calibri"/>
          <w:szCs w:val="18"/>
        </w:rPr>
        <w:t>Antwoord 5</w:t>
      </w:r>
    </w:p>
    <w:p w:rsidRPr="00BA41EF" w:rsidR="00701567" w:rsidP="00701567" w:rsidRDefault="00701567" w14:paraId="66D0ADCC" w14:textId="77777777">
      <w:pPr>
        <w:rPr>
          <w:rFonts w:eastAsia="Calibri"/>
          <w:szCs w:val="18"/>
        </w:rPr>
      </w:pPr>
      <w:r w:rsidRPr="00BA41EF">
        <w:rPr>
          <w:rFonts w:eastAsia="Calibri"/>
          <w:szCs w:val="18"/>
        </w:rPr>
        <w:t>Het gaat bij onbereikbare debiteuren voornamelijk om Nederlandse debiteuren die nu in het buitenland wonen. Van de onbereikbare debiteuren heeft namelijk 78,7% de Nederlandse nationaliteit. Veel van hen woonden op het moment dat zij studiefinanciering ontvingen in de grensregio’s met Duitsland en België.</w:t>
      </w:r>
    </w:p>
    <w:p w:rsidRPr="00BA41EF" w:rsidR="00701567" w:rsidP="00701567" w:rsidRDefault="00701567" w14:paraId="6EA8682A" w14:textId="77777777">
      <w:pPr>
        <w:rPr>
          <w:rFonts w:eastAsia="Calibri"/>
          <w:szCs w:val="18"/>
        </w:rPr>
      </w:pPr>
    </w:p>
    <w:p w:rsidRPr="00BA41EF" w:rsidR="00701567" w:rsidP="00701567" w:rsidRDefault="00701567" w14:paraId="4DB0F32A" w14:textId="77777777">
      <w:pPr>
        <w:rPr>
          <w:rFonts w:eastAsia="Calibri"/>
          <w:szCs w:val="18"/>
        </w:rPr>
      </w:pPr>
      <w:r w:rsidRPr="00BA41EF">
        <w:rPr>
          <w:rFonts w:eastAsia="Calibri"/>
          <w:szCs w:val="18"/>
        </w:rPr>
        <w:t>Het vermoeden van OCW en DUO is verder dat</w:t>
      </w:r>
      <w:r>
        <w:rPr>
          <w:rFonts w:eastAsia="Calibri"/>
          <w:szCs w:val="18"/>
        </w:rPr>
        <w:t xml:space="preserve"> het</w:t>
      </w:r>
      <w:r w:rsidRPr="00BA41EF">
        <w:rPr>
          <w:rFonts w:eastAsia="Calibri"/>
          <w:szCs w:val="18"/>
        </w:rPr>
        <w:t xml:space="preserve"> voor een deel gaat om personen met de Nederlandse nationaliteit die na hun studietijd in Nederland naar het buitenland zijn verhuisd. Daarnaast bestaat waarschijnlijk een deel van de onvindbare debiteuren uit personen die in het buitenland hebben gestudeerd met behoud van studiefinanciering op grond van de Wsf 2000 en die nu nog steeds in het buitenland wonen.</w:t>
      </w:r>
    </w:p>
    <w:p w:rsidRPr="00BA41EF" w:rsidR="00701567" w:rsidP="00701567" w:rsidRDefault="00701567" w14:paraId="186D7F48" w14:textId="77777777">
      <w:pPr>
        <w:rPr>
          <w:rFonts w:eastAsia="Calibri"/>
          <w:szCs w:val="18"/>
        </w:rPr>
      </w:pPr>
    </w:p>
    <w:p w:rsidR="00701567" w:rsidP="00701567" w:rsidRDefault="00701567" w14:paraId="3BB8ABA6" w14:textId="77777777">
      <w:pPr>
        <w:rPr>
          <w:rFonts w:eastAsia="Calibri"/>
          <w:szCs w:val="18"/>
        </w:rPr>
      </w:pPr>
      <w:r w:rsidRPr="00BA41EF">
        <w:rPr>
          <w:rFonts w:eastAsia="Calibri"/>
          <w:szCs w:val="18"/>
        </w:rPr>
        <w:t xml:space="preserve">Het aantal (on)vindbare debiteuren in het buitenland is daardoor dus niet direct te relateren aan het aantal internationale studenten in het hbo en wo. Wel is het aannemelijk dat de toename van het aantal internationale studenten ertoe leidt dat </w:t>
      </w:r>
      <w:r w:rsidRPr="00BA41EF">
        <w:rPr>
          <w:rFonts w:eastAsia="Calibri"/>
          <w:szCs w:val="18"/>
        </w:rPr>
        <w:lastRenderedPageBreak/>
        <w:t>in de toekomst een groter aandeel van de debiteuren vanuit het buitenland hun studieschuld zal aflossen.</w:t>
      </w:r>
      <w:r w:rsidRPr="00BA41EF" w:rsidDel="00DD3429">
        <w:rPr>
          <w:rFonts w:eastAsia="Calibri"/>
          <w:szCs w:val="18"/>
        </w:rPr>
        <w:t xml:space="preserve"> </w:t>
      </w:r>
      <w:r w:rsidRPr="00BA41EF">
        <w:rPr>
          <w:rFonts w:eastAsia="Calibri"/>
          <w:szCs w:val="18"/>
        </w:rPr>
        <w:t xml:space="preserve">Met het wetsvoorstel Variawet studiefinanciering, </w:t>
      </w:r>
      <w:r>
        <w:rPr>
          <w:rFonts w:eastAsia="Calibri"/>
          <w:szCs w:val="18"/>
        </w:rPr>
        <w:t>dat</w:t>
      </w:r>
      <w:r w:rsidRPr="00BA41EF">
        <w:rPr>
          <w:rFonts w:eastAsia="Calibri"/>
          <w:szCs w:val="18"/>
        </w:rPr>
        <w:t xml:space="preserve"> nu in internetconsultatie is, wil ik DUO extra instrumenten geven om studieschulden in het buitenland effectiever te kunnen innen. Hier ga ik bij het antwoord op vraag 9 nader op in.</w:t>
      </w:r>
    </w:p>
    <w:p w:rsidRPr="00BA41EF" w:rsidR="00701567" w:rsidP="00701567" w:rsidRDefault="00701567" w14:paraId="369DC583" w14:textId="77777777">
      <w:pPr>
        <w:rPr>
          <w:rFonts w:eastAsia="Calibri"/>
          <w:szCs w:val="18"/>
        </w:rPr>
      </w:pPr>
    </w:p>
    <w:p w:rsidRPr="00BA41EF" w:rsidR="00701567" w:rsidP="00701567" w:rsidRDefault="00701567" w14:paraId="5DAF13FF" w14:textId="77777777">
      <w:pPr>
        <w:rPr>
          <w:rFonts w:eastAsia="Calibri"/>
          <w:szCs w:val="18"/>
        </w:rPr>
      </w:pPr>
      <w:r w:rsidRPr="00BA41EF">
        <w:rPr>
          <w:rFonts w:eastAsia="Calibri"/>
          <w:szCs w:val="18"/>
        </w:rPr>
        <w:t>Vraag 6</w:t>
      </w:r>
    </w:p>
    <w:p w:rsidRPr="00BA41EF" w:rsidR="00701567" w:rsidP="00701567" w:rsidRDefault="00701567" w14:paraId="209EFC93" w14:textId="77777777">
      <w:pPr>
        <w:rPr>
          <w:rFonts w:eastAsia="Calibri"/>
          <w:szCs w:val="18"/>
        </w:rPr>
      </w:pPr>
      <w:r w:rsidRPr="00BA41EF">
        <w:rPr>
          <w:rFonts w:eastAsia="Calibri"/>
          <w:szCs w:val="18"/>
        </w:rPr>
        <w:t xml:space="preserve">Kunt u aangeven hoeveel van deze onbereikbare debiteuren de Nederlandse nationaliteit hebben of studiefinanciering hebben ontvangen op basis van een verblijfsvergunning type II, III, IV of V? </w:t>
      </w:r>
    </w:p>
    <w:p w:rsidRPr="00BA41EF" w:rsidR="00701567" w:rsidP="00701567" w:rsidRDefault="00701567" w14:paraId="0E4C4C34" w14:textId="77777777">
      <w:pPr>
        <w:rPr>
          <w:rFonts w:eastAsia="Calibri"/>
          <w:szCs w:val="18"/>
        </w:rPr>
      </w:pPr>
    </w:p>
    <w:p w:rsidRPr="00BA41EF" w:rsidR="00701567" w:rsidP="00701567" w:rsidRDefault="00701567" w14:paraId="20140E3B" w14:textId="77777777">
      <w:pPr>
        <w:rPr>
          <w:rFonts w:eastAsia="Calibri"/>
          <w:szCs w:val="18"/>
        </w:rPr>
      </w:pPr>
      <w:r w:rsidRPr="00BA41EF">
        <w:rPr>
          <w:rFonts w:eastAsia="Calibri"/>
          <w:szCs w:val="18"/>
        </w:rPr>
        <w:t xml:space="preserve">Antwoord 6 </w:t>
      </w:r>
    </w:p>
    <w:p w:rsidRPr="00BA41EF" w:rsidR="00701567" w:rsidP="00701567" w:rsidRDefault="00701567" w14:paraId="3C72AEC6" w14:textId="77777777">
      <w:pPr>
        <w:rPr>
          <w:rFonts w:eastAsia="Calibri"/>
          <w:szCs w:val="18"/>
        </w:rPr>
      </w:pPr>
      <w:r w:rsidRPr="00BA41EF">
        <w:rPr>
          <w:rFonts w:eastAsia="Calibri"/>
          <w:szCs w:val="18"/>
        </w:rPr>
        <w:t xml:space="preserve">In onderstaande tabel is het aantal onbereikbare debiteuren opgenomen uitgesplitst naar nationaliteit. </w:t>
      </w:r>
      <w:r w:rsidRPr="00BA41EF">
        <w:rPr>
          <w:rFonts w:eastAsia="Calibri"/>
          <w:szCs w:val="18"/>
        </w:rPr>
        <w:br/>
      </w:r>
    </w:p>
    <w:tbl>
      <w:tblPr>
        <w:tblW w:w="4090" w:type="dxa"/>
        <w:tblInd w:w="75" w:type="dxa"/>
        <w:tblCellMar>
          <w:left w:w="70" w:type="dxa"/>
          <w:right w:w="70" w:type="dxa"/>
        </w:tblCellMar>
        <w:tblLook w:val="04A0" w:firstRow="1" w:lastRow="0" w:firstColumn="1" w:lastColumn="0" w:noHBand="0" w:noVBand="1"/>
      </w:tblPr>
      <w:tblGrid>
        <w:gridCol w:w="1330"/>
        <w:gridCol w:w="1280"/>
        <w:gridCol w:w="1480"/>
      </w:tblGrid>
      <w:tr w:rsidRPr="00BA41EF" w:rsidR="00701567" w:rsidTr="00F17D4A" w14:paraId="4C830F2F" w14:textId="77777777">
        <w:trPr>
          <w:trHeight w:val="255"/>
        </w:trPr>
        <w:tc>
          <w:tcPr>
            <w:tcW w:w="1330" w:type="dxa"/>
            <w:tcBorders>
              <w:top w:val="single" w:color="auto" w:sz="4" w:space="0"/>
              <w:left w:val="single" w:color="auto" w:sz="4" w:space="0"/>
              <w:bottom w:val="single" w:color="auto" w:sz="4" w:space="0"/>
              <w:right w:val="single" w:color="auto" w:sz="4" w:space="0"/>
            </w:tcBorders>
            <w:shd w:val="clear" w:color="000000" w:fill="E8E8E8"/>
            <w:noWrap/>
            <w:vAlign w:val="bottom"/>
            <w:hideMark/>
          </w:tcPr>
          <w:p w:rsidRPr="00BA41EF" w:rsidR="00701567" w:rsidP="00F17D4A" w:rsidRDefault="00701567" w14:paraId="16A7A465" w14:textId="77777777">
            <w:pPr>
              <w:rPr>
                <w:color w:val="000000"/>
                <w:szCs w:val="18"/>
              </w:rPr>
            </w:pPr>
            <w:r w:rsidRPr="00BA41EF">
              <w:rPr>
                <w:color w:val="000000"/>
                <w:szCs w:val="18"/>
              </w:rPr>
              <w:t>Nationaliteit</w:t>
            </w:r>
          </w:p>
        </w:tc>
        <w:tc>
          <w:tcPr>
            <w:tcW w:w="1280" w:type="dxa"/>
            <w:tcBorders>
              <w:top w:val="single" w:color="auto" w:sz="4" w:space="0"/>
              <w:left w:val="nil"/>
              <w:bottom w:val="single" w:color="auto" w:sz="4" w:space="0"/>
              <w:right w:val="single" w:color="auto" w:sz="4" w:space="0"/>
            </w:tcBorders>
            <w:shd w:val="clear" w:color="000000" w:fill="E8E8E8"/>
            <w:noWrap/>
            <w:vAlign w:val="bottom"/>
            <w:hideMark/>
          </w:tcPr>
          <w:p w:rsidRPr="00BA41EF" w:rsidR="00701567" w:rsidP="00F17D4A" w:rsidRDefault="00701567" w14:paraId="385A6E97" w14:textId="77777777">
            <w:pPr>
              <w:rPr>
                <w:color w:val="000000"/>
                <w:szCs w:val="18"/>
              </w:rPr>
            </w:pPr>
            <w:r w:rsidRPr="00BA41EF">
              <w:rPr>
                <w:color w:val="000000"/>
                <w:szCs w:val="18"/>
              </w:rPr>
              <w:t xml:space="preserve">Aantal </w:t>
            </w:r>
          </w:p>
        </w:tc>
        <w:tc>
          <w:tcPr>
            <w:tcW w:w="1480" w:type="dxa"/>
            <w:tcBorders>
              <w:top w:val="single" w:color="auto" w:sz="4" w:space="0"/>
              <w:left w:val="nil"/>
              <w:bottom w:val="single" w:color="auto" w:sz="4" w:space="0"/>
              <w:right w:val="single" w:color="auto" w:sz="4" w:space="0"/>
            </w:tcBorders>
            <w:shd w:val="clear" w:color="000000" w:fill="E8E8E8"/>
            <w:noWrap/>
            <w:vAlign w:val="bottom"/>
            <w:hideMark/>
          </w:tcPr>
          <w:p w:rsidRPr="00BA41EF" w:rsidR="00701567" w:rsidP="00F17D4A" w:rsidRDefault="00701567" w14:paraId="00515DAB" w14:textId="77777777">
            <w:pPr>
              <w:rPr>
                <w:color w:val="000000"/>
                <w:szCs w:val="18"/>
              </w:rPr>
            </w:pPr>
            <w:r w:rsidRPr="00BA41EF">
              <w:rPr>
                <w:color w:val="000000"/>
                <w:szCs w:val="18"/>
              </w:rPr>
              <w:t>Aandeel</w:t>
            </w:r>
          </w:p>
        </w:tc>
      </w:tr>
      <w:tr w:rsidRPr="00BA41EF" w:rsidR="00701567" w:rsidTr="00F17D4A" w14:paraId="21D90AA4" w14:textId="77777777">
        <w:trPr>
          <w:trHeight w:val="255"/>
        </w:trPr>
        <w:tc>
          <w:tcPr>
            <w:tcW w:w="1330" w:type="dxa"/>
            <w:tcBorders>
              <w:top w:val="nil"/>
              <w:left w:val="single" w:color="auto" w:sz="4" w:space="0"/>
              <w:bottom w:val="single" w:color="auto" w:sz="4" w:space="0"/>
              <w:right w:val="single" w:color="auto" w:sz="4" w:space="0"/>
            </w:tcBorders>
            <w:noWrap/>
            <w:vAlign w:val="bottom"/>
            <w:hideMark/>
          </w:tcPr>
          <w:p w:rsidRPr="00BA41EF" w:rsidR="00701567" w:rsidP="00F17D4A" w:rsidRDefault="00701567" w14:paraId="5AEA6267" w14:textId="77777777">
            <w:pPr>
              <w:rPr>
                <w:color w:val="000000"/>
                <w:szCs w:val="18"/>
              </w:rPr>
            </w:pPr>
            <w:r w:rsidRPr="00BA41EF">
              <w:rPr>
                <w:color w:val="000000"/>
                <w:szCs w:val="18"/>
              </w:rPr>
              <w:t>Nederlands</w:t>
            </w:r>
          </w:p>
        </w:tc>
        <w:tc>
          <w:tcPr>
            <w:tcW w:w="1280" w:type="dxa"/>
            <w:tcBorders>
              <w:top w:val="nil"/>
              <w:left w:val="nil"/>
              <w:bottom w:val="single" w:color="auto" w:sz="4" w:space="0"/>
              <w:right w:val="single" w:color="auto" w:sz="4" w:space="0"/>
            </w:tcBorders>
            <w:noWrap/>
            <w:vAlign w:val="bottom"/>
            <w:hideMark/>
          </w:tcPr>
          <w:p w:rsidRPr="00BA41EF" w:rsidR="00701567" w:rsidP="00F17D4A" w:rsidRDefault="00701567" w14:paraId="6CCDF9F5" w14:textId="77777777">
            <w:pPr>
              <w:jc w:val="right"/>
              <w:rPr>
                <w:color w:val="000000"/>
                <w:szCs w:val="18"/>
              </w:rPr>
            </w:pPr>
            <w:r w:rsidRPr="00BA41EF">
              <w:rPr>
                <w:color w:val="000000"/>
                <w:szCs w:val="18"/>
              </w:rPr>
              <w:t>18.076</w:t>
            </w:r>
          </w:p>
        </w:tc>
        <w:tc>
          <w:tcPr>
            <w:tcW w:w="1480" w:type="dxa"/>
            <w:tcBorders>
              <w:top w:val="nil"/>
              <w:left w:val="nil"/>
              <w:bottom w:val="single" w:color="auto" w:sz="4" w:space="0"/>
              <w:right w:val="single" w:color="auto" w:sz="4" w:space="0"/>
            </w:tcBorders>
            <w:noWrap/>
            <w:vAlign w:val="bottom"/>
            <w:hideMark/>
          </w:tcPr>
          <w:p w:rsidRPr="00BA41EF" w:rsidR="00701567" w:rsidP="00F17D4A" w:rsidRDefault="00701567" w14:paraId="34FB2577" w14:textId="77777777">
            <w:pPr>
              <w:jc w:val="right"/>
              <w:rPr>
                <w:color w:val="000000"/>
                <w:szCs w:val="18"/>
              </w:rPr>
            </w:pPr>
            <w:r w:rsidRPr="00BA41EF">
              <w:rPr>
                <w:color w:val="000000"/>
                <w:szCs w:val="18"/>
              </w:rPr>
              <w:t>78,7%</w:t>
            </w:r>
          </w:p>
        </w:tc>
      </w:tr>
      <w:tr w:rsidRPr="00BA41EF" w:rsidR="00701567" w:rsidTr="00F17D4A" w14:paraId="720E1FDC" w14:textId="77777777">
        <w:trPr>
          <w:trHeight w:val="255"/>
        </w:trPr>
        <w:tc>
          <w:tcPr>
            <w:tcW w:w="1330" w:type="dxa"/>
            <w:tcBorders>
              <w:top w:val="nil"/>
              <w:left w:val="single" w:color="auto" w:sz="4" w:space="0"/>
              <w:bottom w:val="single" w:color="auto" w:sz="4" w:space="0"/>
              <w:right w:val="single" w:color="auto" w:sz="4" w:space="0"/>
            </w:tcBorders>
            <w:noWrap/>
            <w:vAlign w:val="bottom"/>
            <w:hideMark/>
          </w:tcPr>
          <w:p w:rsidRPr="00BA41EF" w:rsidR="00701567" w:rsidP="00F17D4A" w:rsidRDefault="00701567" w14:paraId="1E7A0933" w14:textId="77777777">
            <w:pPr>
              <w:rPr>
                <w:color w:val="000000"/>
                <w:szCs w:val="18"/>
              </w:rPr>
            </w:pPr>
            <w:r w:rsidRPr="00BA41EF">
              <w:rPr>
                <w:color w:val="000000"/>
                <w:szCs w:val="18"/>
              </w:rPr>
              <w:t>EER</w:t>
            </w:r>
          </w:p>
        </w:tc>
        <w:tc>
          <w:tcPr>
            <w:tcW w:w="1280" w:type="dxa"/>
            <w:tcBorders>
              <w:top w:val="nil"/>
              <w:left w:val="nil"/>
              <w:bottom w:val="single" w:color="auto" w:sz="4" w:space="0"/>
              <w:right w:val="single" w:color="auto" w:sz="4" w:space="0"/>
            </w:tcBorders>
            <w:noWrap/>
            <w:vAlign w:val="bottom"/>
            <w:hideMark/>
          </w:tcPr>
          <w:p w:rsidRPr="00BA41EF" w:rsidR="00701567" w:rsidP="00F17D4A" w:rsidRDefault="00701567" w14:paraId="4ABFB847" w14:textId="77777777">
            <w:pPr>
              <w:jc w:val="right"/>
              <w:rPr>
                <w:color w:val="000000"/>
                <w:szCs w:val="18"/>
              </w:rPr>
            </w:pPr>
            <w:r w:rsidRPr="00BA41EF">
              <w:rPr>
                <w:color w:val="000000"/>
                <w:szCs w:val="18"/>
              </w:rPr>
              <w:t>1.444</w:t>
            </w:r>
          </w:p>
        </w:tc>
        <w:tc>
          <w:tcPr>
            <w:tcW w:w="1480" w:type="dxa"/>
            <w:tcBorders>
              <w:top w:val="nil"/>
              <w:left w:val="nil"/>
              <w:bottom w:val="single" w:color="auto" w:sz="4" w:space="0"/>
              <w:right w:val="single" w:color="auto" w:sz="4" w:space="0"/>
            </w:tcBorders>
            <w:noWrap/>
            <w:vAlign w:val="bottom"/>
            <w:hideMark/>
          </w:tcPr>
          <w:p w:rsidRPr="00BA41EF" w:rsidR="00701567" w:rsidP="00F17D4A" w:rsidRDefault="00701567" w14:paraId="380D51F6" w14:textId="77777777">
            <w:pPr>
              <w:jc w:val="right"/>
              <w:rPr>
                <w:color w:val="000000"/>
                <w:szCs w:val="18"/>
              </w:rPr>
            </w:pPr>
            <w:r w:rsidRPr="00BA41EF">
              <w:rPr>
                <w:color w:val="000000"/>
                <w:szCs w:val="18"/>
              </w:rPr>
              <w:t>6,3%</w:t>
            </w:r>
          </w:p>
        </w:tc>
      </w:tr>
      <w:tr w:rsidRPr="00BA41EF" w:rsidR="00701567" w:rsidTr="00F17D4A" w14:paraId="07206592" w14:textId="77777777">
        <w:trPr>
          <w:trHeight w:val="255"/>
        </w:trPr>
        <w:tc>
          <w:tcPr>
            <w:tcW w:w="1330" w:type="dxa"/>
            <w:tcBorders>
              <w:top w:val="nil"/>
              <w:left w:val="single" w:color="auto" w:sz="4" w:space="0"/>
              <w:bottom w:val="single" w:color="auto" w:sz="4" w:space="0"/>
              <w:right w:val="single" w:color="auto" w:sz="4" w:space="0"/>
            </w:tcBorders>
            <w:noWrap/>
            <w:vAlign w:val="bottom"/>
            <w:hideMark/>
          </w:tcPr>
          <w:p w:rsidRPr="00BA41EF" w:rsidR="00701567" w:rsidP="00F17D4A" w:rsidRDefault="00701567" w14:paraId="22E91E6E" w14:textId="77777777">
            <w:pPr>
              <w:rPr>
                <w:color w:val="000000"/>
                <w:szCs w:val="18"/>
              </w:rPr>
            </w:pPr>
            <w:r w:rsidRPr="00BA41EF">
              <w:rPr>
                <w:color w:val="000000"/>
                <w:szCs w:val="18"/>
              </w:rPr>
              <w:t>Overig</w:t>
            </w:r>
            <w:r>
              <w:rPr>
                <w:color w:val="000000"/>
                <w:szCs w:val="18"/>
              </w:rPr>
              <w:t>*</w:t>
            </w:r>
          </w:p>
        </w:tc>
        <w:tc>
          <w:tcPr>
            <w:tcW w:w="1280" w:type="dxa"/>
            <w:tcBorders>
              <w:top w:val="nil"/>
              <w:left w:val="nil"/>
              <w:bottom w:val="single" w:color="auto" w:sz="4" w:space="0"/>
              <w:right w:val="single" w:color="auto" w:sz="4" w:space="0"/>
            </w:tcBorders>
            <w:noWrap/>
            <w:vAlign w:val="bottom"/>
            <w:hideMark/>
          </w:tcPr>
          <w:p w:rsidRPr="00BA41EF" w:rsidR="00701567" w:rsidP="00F17D4A" w:rsidRDefault="00701567" w14:paraId="64411DD4" w14:textId="77777777">
            <w:pPr>
              <w:jc w:val="right"/>
              <w:rPr>
                <w:color w:val="000000"/>
                <w:szCs w:val="18"/>
              </w:rPr>
            </w:pPr>
            <w:r w:rsidRPr="00BA41EF">
              <w:rPr>
                <w:color w:val="000000"/>
                <w:szCs w:val="18"/>
              </w:rPr>
              <w:t>3.460</w:t>
            </w:r>
          </w:p>
        </w:tc>
        <w:tc>
          <w:tcPr>
            <w:tcW w:w="1480" w:type="dxa"/>
            <w:tcBorders>
              <w:top w:val="nil"/>
              <w:left w:val="nil"/>
              <w:bottom w:val="single" w:color="auto" w:sz="4" w:space="0"/>
              <w:right w:val="single" w:color="auto" w:sz="4" w:space="0"/>
            </w:tcBorders>
            <w:noWrap/>
            <w:vAlign w:val="bottom"/>
            <w:hideMark/>
          </w:tcPr>
          <w:p w:rsidRPr="00BA41EF" w:rsidR="00701567" w:rsidP="00F17D4A" w:rsidRDefault="00701567" w14:paraId="31222CE0" w14:textId="77777777">
            <w:pPr>
              <w:jc w:val="right"/>
              <w:rPr>
                <w:color w:val="000000"/>
                <w:szCs w:val="18"/>
              </w:rPr>
            </w:pPr>
            <w:r w:rsidRPr="00BA41EF">
              <w:rPr>
                <w:color w:val="000000"/>
                <w:szCs w:val="18"/>
              </w:rPr>
              <w:t>15,0%</w:t>
            </w:r>
          </w:p>
        </w:tc>
      </w:tr>
      <w:tr w:rsidRPr="00BA41EF" w:rsidR="00701567" w:rsidTr="00F17D4A" w14:paraId="13DD3D06" w14:textId="77777777">
        <w:trPr>
          <w:trHeight w:val="255"/>
        </w:trPr>
        <w:tc>
          <w:tcPr>
            <w:tcW w:w="1330" w:type="dxa"/>
            <w:tcBorders>
              <w:top w:val="nil"/>
              <w:left w:val="single" w:color="auto" w:sz="4" w:space="0"/>
              <w:bottom w:val="single" w:color="auto" w:sz="4" w:space="0"/>
              <w:right w:val="single" w:color="auto" w:sz="4" w:space="0"/>
            </w:tcBorders>
            <w:noWrap/>
            <w:vAlign w:val="bottom"/>
            <w:hideMark/>
          </w:tcPr>
          <w:p w:rsidRPr="00BA41EF" w:rsidR="00701567" w:rsidP="00F17D4A" w:rsidRDefault="00701567" w14:paraId="00E53D80" w14:textId="77777777">
            <w:pPr>
              <w:rPr>
                <w:color w:val="000000"/>
                <w:szCs w:val="18"/>
              </w:rPr>
            </w:pPr>
            <w:r w:rsidRPr="00BA41EF">
              <w:rPr>
                <w:color w:val="000000"/>
                <w:szCs w:val="18"/>
              </w:rPr>
              <w:t>totaal</w:t>
            </w:r>
          </w:p>
        </w:tc>
        <w:tc>
          <w:tcPr>
            <w:tcW w:w="1280" w:type="dxa"/>
            <w:tcBorders>
              <w:top w:val="nil"/>
              <w:left w:val="nil"/>
              <w:bottom w:val="single" w:color="auto" w:sz="4" w:space="0"/>
              <w:right w:val="single" w:color="auto" w:sz="4" w:space="0"/>
            </w:tcBorders>
            <w:noWrap/>
            <w:vAlign w:val="bottom"/>
            <w:hideMark/>
          </w:tcPr>
          <w:p w:rsidRPr="00BA41EF" w:rsidR="00701567" w:rsidP="00F17D4A" w:rsidRDefault="00701567" w14:paraId="75751876" w14:textId="77777777">
            <w:pPr>
              <w:jc w:val="right"/>
              <w:rPr>
                <w:color w:val="000000"/>
                <w:szCs w:val="18"/>
              </w:rPr>
            </w:pPr>
            <w:r w:rsidRPr="00BA41EF">
              <w:rPr>
                <w:color w:val="000000"/>
                <w:szCs w:val="18"/>
              </w:rPr>
              <w:t>22.980</w:t>
            </w:r>
          </w:p>
        </w:tc>
        <w:tc>
          <w:tcPr>
            <w:tcW w:w="1480" w:type="dxa"/>
            <w:tcBorders>
              <w:top w:val="nil"/>
              <w:left w:val="nil"/>
              <w:bottom w:val="single" w:color="auto" w:sz="4" w:space="0"/>
              <w:right w:val="single" w:color="auto" w:sz="4" w:space="0"/>
            </w:tcBorders>
            <w:noWrap/>
            <w:vAlign w:val="bottom"/>
            <w:hideMark/>
          </w:tcPr>
          <w:p w:rsidRPr="00BA41EF" w:rsidR="00701567" w:rsidP="00F17D4A" w:rsidRDefault="00701567" w14:paraId="28385337" w14:textId="77777777">
            <w:pPr>
              <w:jc w:val="right"/>
              <w:rPr>
                <w:color w:val="000000"/>
                <w:szCs w:val="18"/>
              </w:rPr>
            </w:pPr>
            <w:r w:rsidRPr="00BA41EF">
              <w:rPr>
                <w:color w:val="000000"/>
                <w:szCs w:val="18"/>
              </w:rPr>
              <w:t>100%</w:t>
            </w:r>
          </w:p>
        </w:tc>
      </w:tr>
    </w:tbl>
    <w:p w:rsidRPr="00A127F5" w:rsidR="00701567" w:rsidP="00701567" w:rsidRDefault="00701567" w14:paraId="297AD311" w14:textId="77777777">
      <w:pPr>
        <w:rPr>
          <w:rFonts w:eastAsia="Calibri"/>
          <w:i/>
          <w:iCs/>
          <w:szCs w:val="18"/>
        </w:rPr>
      </w:pPr>
      <w:r w:rsidRPr="00D94098">
        <w:rPr>
          <w:rFonts w:eastAsia="Calibri"/>
          <w:i/>
          <w:iCs/>
          <w:szCs w:val="18"/>
        </w:rPr>
        <w:t>Peildatum: 4 juni 2026</w:t>
      </w:r>
      <w:r w:rsidRPr="00A127F5">
        <w:rPr>
          <w:rFonts w:eastAsia="Calibri"/>
          <w:i/>
          <w:iCs/>
          <w:szCs w:val="18"/>
        </w:rPr>
        <w:t>.</w:t>
      </w:r>
    </w:p>
    <w:p w:rsidR="00701567" w:rsidP="00701567" w:rsidRDefault="00701567" w14:paraId="67FFFC61" w14:textId="77777777">
      <w:pPr>
        <w:rPr>
          <w:rFonts w:eastAsia="Calibri"/>
          <w:szCs w:val="18"/>
        </w:rPr>
      </w:pPr>
    </w:p>
    <w:p w:rsidRPr="00D87348" w:rsidR="00701567" w:rsidP="00701567" w:rsidRDefault="00701567" w14:paraId="628200D5" w14:textId="77777777">
      <w:pPr>
        <w:rPr>
          <w:rFonts w:eastAsia="Calibri"/>
          <w:szCs w:val="18"/>
        </w:rPr>
      </w:pPr>
      <w:r>
        <w:rPr>
          <w:rFonts w:eastAsia="Calibri"/>
          <w:szCs w:val="18"/>
        </w:rPr>
        <w:t>S</w:t>
      </w:r>
      <w:r w:rsidRPr="00D87348">
        <w:rPr>
          <w:rFonts w:eastAsia="Calibri"/>
          <w:szCs w:val="18"/>
        </w:rPr>
        <w:t>tudenten die studiefinanciering ontvangen op grond van een verblijfsvergunning type II, III, IV of V</w:t>
      </w:r>
      <w:r>
        <w:rPr>
          <w:rFonts w:eastAsia="Calibri"/>
          <w:szCs w:val="18"/>
        </w:rPr>
        <w:t xml:space="preserve"> maken onderdeel uit van de categorie overig. Het is niet mogelijk om deze apart inzichtelijk te maken.</w:t>
      </w:r>
      <w:r>
        <w:rPr>
          <w:rStyle w:val="Voetnootmarkering"/>
          <w:rFonts w:eastAsia="Calibri"/>
          <w:szCs w:val="18"/>
        </w:rPr>
        <w:footnoteReference w:id="4"/>
      </w:r>
      <w:r>
        <w:rPr>
          <w:rFonts w:eastAsia="Calibri"/>
          <w:szCs w:val="18"/>
        </w:rPr>
        <w:t xml:space="preserve"> </w:t>
      </w:r>
    </w:p>
    <w:p w:rsidRPr="00BA41EF" w:rsidR="00701567" w:rsidP="00701567" w:rsidRDefault="00701567" w14:paraId="3066E54A" w14:textId="77777777">
      <w:pPr>
        <w:rPr>
          <w:rFonts w:eastAsia="Calibri"/>
          <w:szCs w:val="18"/>
        </w:rPr>
      </w:pPr>
    </w:p>
    <w:p w:rsidRPr="00BA41EF" w:rsidR="00701567" w:rsidP="00701567" w:rsidRDefault="00701567" w14:paraId="76770FA9" w14:textId="77777777">
      <w:pPr>
        <w:rPr>
          <w:rFonts w:eastAsia="Calibri"/>
          <w:szCs w:val="18"/>
        </w:rPr>
      </w:pPr>
      <w:r w:rsidRPr="00BA41EF">
        <w:rPr>
          <w:rFonts w:eastAsia="Calibri"/>
          <w:szCs w:val="18"/>
        </w:rPr>
        <w:t>Vraag 7</w:t>
      </w:r>
    </w:p>
    <w:p w:rsidRPr="00BA41EF" w:rsidR="00701567" w:rsidP="00701567" w:rsidRDefault="00701567" w14:paraId="50A0C70C" w14:textId="77777777">
      <w:pPr>
        <w:rPr>
          <w:rFonts w:eastAsia="Calibri"/>
          <w:szCs w:val="18"/>
        </w:rPr>
      </w:pPr>
      <w:r w:rsidRPr="00BA41EF">
        <w:rPr>
          <w:rFonts w:eastAsia="Calibri"/>
          <w:szCs w:val="18"/>
        </w:rPr>
        <w:t>Heeft u inzicht in hoeveel internationale studenten op dit moment Nederlandse studiefinanciering ontvangen dan wel lenen via DUO? Hoeveel van hen keren na hun studie terug naar of verblijven in het buitenland?</w:t>
      </w:r>
    </w:p>
    <w:p w:rsidRPr="00BA41EF" w:rsidR="00701567" w:rsidP="00701567" w:rsidRDefault="00701567" w14:paraId="4300EC8E" w14:textId="77777777">
      <w:pPr>
        <w:rPr>
          <w:rFonts w:eastAsia="Calibri"/>
          <w:szCs w:val="18"/>
        </w:rPr>
      </w:pPr>
    </w:p>
    <w:p w:rsidRPr="00BA41EF" w:rsidR="00701567" w:rsidP="00701567" w:rsidRDefault="00701567" w14:paraId="157FCB38" w14:textId="77777777">
      <w:pPr>
        <w:rPr>
          <w:rFonts w:eastAsia="Calibri"/>
          <w:szCs w:val="18"/>
        </w:rPr>
      </w:pPr>
      <w:r w:rsidRPr="00BA41EF">
        <w:rPr>
          <w:rFonts w:eastAsia="Calibri"/>
          <w:szCs w:val="18"/>
        </w:rPr>
        <w:t xml:space="preserve">Antwoord 7 </w:t>
      </w:r>
    </w:p>
    <w:p w:rsidRPr="00BA41EF" w:rsidR="00701567" w:rsidP="00701567" w:rsidRDefault="00701567" w14:paraId="62A3EFB2" w14:textId="77777777">
      <w:pPr>
        <w:rPr>
          <w:rFonts w:eastAsia="Calibri"/>
          <w:szCs w:val="18"/>
        </w:rPr>
      </w:pPr>
      <w:r w:rsidRPr="00BA41EF">
        <w:rPr>
          <w:rFonts w:eastAsia="Calibri"/>
          <w:szCs w:val="18"/>
        </w:rPr>
        <w:t>In 2025 ontvingen circa 76.000 niet-Nederlandse studenten</w:t>
      </w:r>
      <w:r w:rsidRPr="00BA41EF">
        <w:rPr>
          <w:rStyle w:val="Voetnootmarkering"/>
          <w:rFonts w:eastAsia="Calibri"/>
          <w:szCs w:val="18"/>
        </w:rPr>
        <w:footnoteReference w:id="5"/>
      </w:r>
      <w:r w:rsidRPr="00BA41EF">
        <w:rPr>
          <w:rFonts w:eastAsia="Calibri"/>
          <w:szCs w:val="18"/>
        </w:rPr>
        <w:t xml:space="preserve"> een vorm van studiefinanciering. Van hen maakten circa 19.500 gebruik van een rentedragende leningen en/of collegegeldkrediet. Het gaat hierbij om mbo-, hbo- en wo-studenten die in 2025 minimaal één maand studiefinanciering van DUO ontvingen.</w:t>
      </w:r>
    </w:p>
    <w:p w:rsidR="00701567" w:rsidP="00701567" w:rsidRDefault="00701567" w14:paraId="462F5D06" w14:textId="77777777">
      <w:pPr>
        <w:rPr>
          <w:rFonts w:eastAsia="Calibri"/>
          <w:szCs w:val="18"/>
        </w:rPr>
      </w:pPr>
    </w:p>
    <w:p w:rsidRPr="00BA41EF" w:rsidR="00701567" w:rsidP="00701567" w:rsidRDefault="00701567" w14:paraId="22109575" w14:textId="77777777">
      <w:pPr>
        <w:rPr>
          <w:rFonts w:eastAsia="Calibri"/>
          <w:szCs w:val="18"/>
        </w:rPr>
      </w:pPr>
      <w:r w:rsidRPr="00BA41EF">
        <w:rPr>
          <w:rFonts w:eastAsia="Calibri"/>
          <w:szCs w:val="18"/>
        </w:rPr>
        <w:t>Het overgrote deel van de niet</w:t>
      </w:r>
      <w:r w:rsidRPr="00BA41EF">
        <w:rPr>
          <w:rFonts w:eastAsia="Calibri"/>
          <w:szCs w:val="18"/>
        </w:rPr>
        <w:noBreakHyphen/>
        <w:t xml:space="preserve">Nederlandse studenten dat studiefinanciering ontvangt, komt uit landen binnen de EER. Uit onderzoek van Nuffic naar de </w:t>
      </w:r>
      <w:r w:rsidRPr="00BA41EF">
        <w:rPr>
          <w:rFonts w:eastAsia="Calibri"/>
          <w:i/>
          <w:iCs/>
          <w:szCs w:val="18"/>
        </w:rPr>
        <w:t>stayrates</w:t>
      </w:r>
      <w:r w:rsidRPr="00BA41EF">
        <w:rPr>
          <w:rFonts w:eastAsia="Calibri"/>
          <w:szCs w:val="18"/>
        </w:rPr>
        <w:t xml:space="preserve"> van internationale afgestudeerden studenten</w:t>
      </w:r>
      <w:r w:rsidRPr="00BA41EF">
        <w:rPr>
          <w:rFonts w:eastAsia="Calibri"/>
          <w:szCs w:val="18"/>
          <w:vertAlign w:val="superscript"/>
        </w:rPr>
        <w:footnoteReference w:id="6"/>
      </w:r>
      <w:r w:rsidRPr="00BA41EF">
        <w:rPr>
          <w:rFonts w:eastAsia="Calibri"/>
          <w:szCs w:val="18"/>
        </w:rPr>
        <w:t xml:space="preserve"> blijkt dat van de groep die in studiejaar 2018</w:t>
      </w:r>
      <w:r w:rsidRPr="00BA41EF">
        <w:rPr>
          <w:rFonts w:eastAsia="Calibri"/>
          <w:szCs w:val="18"/>
        </w:rPr>
        <w:noBreakHyphen/>
        <w:t>2019 is afgestudeerd, na vijf jaar 24,3% nog in Nederland woont en werkt.</w:t>
      </w:r>
    </w:p>
    <w:p w:rsidR="00701567" w:rsidP="00701567" w:rsidRDefault="00701567" w14:paraId="71428104" w14:textId="77777777">
      <w:pPr>
        <w:rPr>
          <w:rFonts w:eastAsia="Calibri"/>
          <w:szCs w:val="18"/>
        </w:rPr>
      </w:pPr>
    </w:p>
    <w:p w:rsidRPr="00BA41EF" w:rsidR="00701567" w:rsidP="00701567" w:rsidRDefault="00701567" w14:paraId="1F5C7CA7" w14:textId="77777777">
      <w:pPr>
        <w:rPr>
          <w:rFonts w:eastAsia="Calibri"/>
          <w:szCs w:val="18"/>
        </w:rPr>
      </w:pPr>
      <w:r w:rsidRPr="00BA41EF">
        <w:rPr>
          <w:rFonts w:eastAsia="Calibri"/>
          <w:szCs w:val="18"/>
        </w:rPr>
        <w:t>Naast niet</w:t>
      </w:r>
      <w:r w:rsidRPr="00BA41EF">
        <w:rPr>
          <w:rFonts w:eastAsia="Calibri"/>
          <w:szCs w:val="18"/>
        </w:rPr>
        <w:noBreakHyphen/>
        <w:t>Nederlandse studenten met Nederlandse studiefinanciering is het ook belangrijk te benadrukken dat Nederlandse studenten óók internationale studenten kunnen zijn die in het buitenland studeren met behoud van studiefinanciering op grond van de Wsf 2000 (meeneembare studiefinanciering). In 2025 ging het om totaal 14.692 studenten waarvan ruim 91% de Nederlandse nationaliteit had.</w:t>
      </w:r>
    </w:p>
    <w:p w:rsidR="00701567" w:rsidP="00701567" w:rsidRDefault="00701567" w14:paraId="3A26D26F" w14:textId="77777777">
      <w:pPr>
        <w:rPr>
          <w:rFonts w:eastAsia="Calibri"/>
          <w:szCs w:val="18"/>
        </w:rPr>
      </w:pPr>
      <w:r w:rsidRPr="00BA41EF">
        <w:rPr>
          <w:rFonts w:eastAsia="Calibri"/>
          <w:szCs w:val="18"/>
        </w:rPr>
        <w:br/>
        <w:t>Vraag 8</w:t>
      </w:r>
      <w:r w:rsidRPr="00BA41EF">
        <w:rPr>
          <w:rFonts w:eastAsia="Calibri"/>
          <w:szCs w:val="18"/>
        </w:rPr>
        <w:br/>
        <w:t>Welke mogelijkheden heeft DUO op dit moment om oud-studenten die in het buitenland verblijven op te sporen en hun studieschuld te innen?</w:t>
      </w:r>
    </w:p>
    <w:p w:rsidRPr="00BA41EF" w:rsidR="00701567" w:rsidP="00701567" w:rsidRDefault="00701567" w14:paraId="7E63B5E6" w14:textId="77777777">
      <w:pPr>
        <w:rPr>
          <w:rFonts w:eastAsia="Calibri"/>
          <w:szCs w:val="18"/>
        </w:rPr>
      </w:pPr>
    </w:p>
    <w:p w:rsidRPr="00BA41EF" w:rsidR="00701567" w:rsidP="00701567" w:rsidRDefault="00701567" w14:paraId="524646FE" w14:textId="77777777">
      <w:pPr>
        <w:rPr>
          <w:rFonts w:eastAsia="Calibri"/>
          <w:szCs w:val="18"/>
        </w:rPr>
      </w:pPr>
      <w:r w:rsidRPr="00BA41EF">
        <w:rPr>
          <w:rFonts w:eastAsia="Calibri"/>
          <w:szCs w:val="18"/>
        </w:rPr>
        <w:t xml:space="preserve">Antwoord 8 </w:t>
      </w:r>
    </w:p>
    <w:p w:rsidRPr="00BA41EF" w:rsidR="00701567" w:rsidP="00701567" w:rsidRDefault="00701567" w14:paraId="6D1E63A6" w14:textId="77777777">
      <w:pPr>
        <w:rPr>
          <w:rFonts w:eastAsia="Calibri"/>
          <w:szCs w:val="18"/>
        </w:rPr>
      </w:pPr>
      <w:r w:rsidRPr="00BA41EF">
        <w:rPr>
          <w:rFonts w:eastAsia="Calibri"/>
          <w:szCs w:val="18"/>
        </w:rPr>
        <w:t>Het in contact komen met debiteuren in het buitenland is arbeidsintensiever voor DUO in het buitenland dan in Nederland, omdat DUO niet geautomatiseerd beschikt over actuele adresgegevens van debiteuren die buiten Nederland wonen. DUO is hiervoor grotendeels afhankelijk van informatie die door de debiteur zelf wordt verstrekt. Naast het versturen van berichten via de Mijn DUO</w:t>
      </w:r>
      <w:r w:rsidRPr="00BA41EF">
        <w:rPr>
          <w:rFonts w:eastAsia="Calibri"/>
          <w:szCs w:val="18"/>
        </w:rPr>
        <w:noBreakHyphen/>
        <w:t xml:space="preserve">omgeving zijn </w:t>
      </w:r>
      <w:r w:rsidRPr="00BA41EF">
        <w:rPr>
          <w:rFonts w:eastAsia="Calibri"/>
          <w:szCs w:val="18"/>
        </w:rPr>
        <w:lastRenderedPageBreak/>
        <w:t>er verschillende andere mogelijkheden om (te proberen) in contact te komen met de debiteur.</w:t>
      </w:r>
    </w:p>
    <w:p w:rsidRPr="00BA41EF" w:rsidR="00701567" w:rsidP="00701567" w:rsidRDefault="00701567" w14:paraId="41E1CE4B" w14:textId="77777777">
      <w:pPr>
        <w:rPr>
          <w:rFonts w:eastAsia="Calibri"/>
          <w:szCs w:val="18"/>
        </w:rPr>
      </w:pPr>
    </w:p>
    <w:p w:rsidR="00701567" w:rsidP="00701567" w:rsidRDefault="00701567" w14:paraId="0EB3D7CF" w14:textId="77777777">
      <w:pPr>
        <w:rPr>
          <w:rFonts w:eastAsia="Calibri"/>
          <w:szCs w:val="18"/>
        </w:rPr>
      </w:pPr>
      <w:r w:rsidRPr="00BA41EF">
        <w:rPr>
          <w:rFonts w:eastAsia="Calibri"/>
          <w:i/>
          <w:iCs/>
          <w:szCs w:val="18"/>
        </w:rPr>
        <w:t>Persoonsgericht Innen en gegevensopvraging bij buitenlandse overheidsinstanties</w:t>
      </w:r>
      <w:r w:rsidRPr="00BA41EF">
        <w:rPr>
          <w:rFonts w:eastAsia="Calibri"/>
          <w:i/>
          <w:iCs/>
          <w:szCs w:val="18"/>
        </w:rPr>
        <w:br/>
      </w:r>
      <w:r w:rsidRPr="00BA41EF">
        <w:rPr>
          <w:rFonts w:eastAsia="Calibri"/>
          <w:szCs w:val="18"/>
        </w:rPr>
        <w:t xml:space="preserve">Wanneer een studieschuld niet wordt terugbetaald en het adres van de debiteur niet bekend is bij DUO, worden deze intern DUO overgedragen voor adresonderzoek (traceren) en proactieve benadering. Het doel hiervan is om betalingsachterstanden zo veel als mogelijk te voorkomen en op te lossen, met oog voor de situatie van de debiteur. Zo kan DUO via een eigen account op sociale media de debiteuren benaderen of op basis van sociale media proberen om meer informatie te verkrijgen over de verblijfplaats van de debiteur. Indien sprake is van een land waar succesvol gegevens aan de buitenlandse overheidsinstantie kunnen worden gevraagd, kan vervolgens een adresbevraging worden gedaan bij een buitenlandse overheidsinstantie. </w:t>
      </w:r>
    </w:p>
    <w:p w:rsidRPr="00BA41EF" w:rsidR="00701567" w:rsidP="00701567" w:rsidRDefault="00701567" w14:paraId="246ADB65" w14:textId="77777777">
      <w:pPr>
        <w:rPr>
          <w:rFonts w:eastAsia="Calibri"/>
          <w:i/>
          <w:iCs/>
          <w:szCs w:val="18"/>
        </w:rPr>
      </w:pPr>
    </w:p>
    <w:p w:rsidRPr="00BA41EF" w:rsidR="00701567" w:rsidP="00701567" w:rsidRDefault="00701567" w14:paraId="326F7833" w14:textId="77777777">
      <w:pPr>
        <w:rPr>
          <w:rFonts w:eastAsia="Calibri"/>
          <w:szCs w:val="18"/>
        </w:rPr>
      </w:pPr>
      <w:r w:rsidRPr="00BA41EF">
        <w:rPr>
          <w:rFonts w:eastAsia="Calibri"/>
          <w:i/>
          <w:iCs/>
          <w:szCs w:val="18"/>
        </w:rPr>
        <w:t>Incassobureaus en gerechtelijke procedures</w:t>
      </w:r>
      <w:r w:rsidRPr="00BA41EF">
        <w:rPr>
          <w:rFonts w:eastAsia="Calibri"/>
          <w:szCs w:val="18"/>
        </w:rPr>
        <w:br/>
        <w:t xml:space="preserve">In het buitenland kan DUO niet zelfstandig een dwangbevel uitvaardigen om zonder tussenkomst van de rechter executiemaatregelen op te kunnen leggen, zoals beslaglegging. DUO moet daar gebruik maken van buitenlandse incassobureaus voor de inning van studieschulden, voor zover bekend is waar de oud-student verblijft. </w:t>
      </w:r>
    </w:p>
    <w:p w:rsidR="00701567" w:rsidP="00701567" w:rsidRDefault="00701567" w14:paraId="79631371" w14:textId="77777777">
      <w:pPr>
        <w:rPr>
          <w:rFonts w:eastAsia="Calibri"/>
          <w:szCs w:val="18"/>
        </w:rPr>
      </w:pPr>
      <w:r w:rsidRPr="00BA41EF">
        <w:rPr>
          <w:rFonts w:eastAsia="Calibri"/>
          <w:szCs w:val="18"/>
        </w:rPr>
        <w:t>Indien een oud-student niet vrijwillig betaalt of meewerkt via het incassobureau, kan DUO ook rechtszaken tegen debiteuren voeren in het buitenland. Deze gerechtelijke procedures vinden plaats volgens de toepasselijke internationale privaatrechtelijke regels. Deze procedures verschillen per land en zijn doorgaans tijdrovender, duurder en complexer dan in Nederland. Bovendien is gerechtelijke inning niet in alle landen mogelijk, bijvoorbeeld doordat er geen toepasselijk verdrag bestaat of de lokale regelgeving onvoldoende mogelijkheden biedt voor het effectief uitvoeren van een rechterlijke uitspraak of beslissing.</w:t>
      </w:r>
    </w:p>
    <w:p w:rsidRPr="00BA41EF" w:rsidR="00701567" w:rsidP="00701567" w:rsidRDefault="00701567" w14:paraId="68EDCADD" w14:textId="77777777">
      <w:pPr>
        <w:rPr>
          <w:rFonts w:eastAsia="Calibri"/>
          <w:szCs w:val="18"/>
        </w:rPr>
      </w:pPr>
    </w:p>
    <w:p w:rsidR="00701567" w:rsidP="00701567" w:rsidRDefault="00701567" w14:paraId="058C6105" w14:textId="77777777">
      <w:pPr>
        <w:rPr>
          <w:rFonts w:eastAsia="Calibri"/>
          <w:szCs w:val="18"/>
        </w:rPr>
      </w:pPr>
      <w:r w:rsidRPr="00BA41EF">
        <w:rPr>
          <w:rFonts w:eastAsia="Calibri"/>
          <w:i/>
          <w:iCs/>
          <w:szCs w:val="18"/>
        </w:rPr>
        <w:t>Paspoortsignalering en systeem Executie en Signalering</w:t>
      </w:r>
      <w:r w:rsidRPr="00BA41EF">
        <w:rPr>
          <w:rFonts w:eastAsia="Calibri"/>
          <w:i/>
          <w:iCs/>
          <w:szCs w:val="18"/>
        </w:rPr>
        <w:br/>
      </w:r>
      <w:r w:rsidRPr="00BA41EF">
        <w:rPr>
          <w:rFonts w:eastAsia="Calibri"/>
          <w:szCs w:val="18"/>
        </w:rPr>
        <w:t xml:space="preserve">Wanneer een studieschuld niet wordt betaald, de betalingsachterstand hoger is dan € 5.000,- en er geen bekend buitenlands adres is kan DUO gebruik maken van paspoortsignalering bij Nederlandse debiteuren. De student krijgt dan pas een nieuw paspoort als de achterstand is betaald of een betalingsregeling is overeengekomen met DUO. Bij een zeer hoge achterstand (vanaf € 45.000) kan DUO gegevens van een debiteur laten opnemen in het systeem Executie en Signalering, waarbij het paspoort wordt ingenomen wanneer de debiteur Nederland binnenkomt.  </w:t>
      </w:r>
    </w:p>
    <w:p w:rsidRPr="00BA41EF" w:rsidR="00701567" w:rsidP="00701567" w:rsidRDefault="00701567" w14:paraId="7572C365" w14:textId="77777777">
      <w:pPr>
        <w:rPr>
          <w:rFonts w:eastAsia="Calibri"/>
          <w:i/>
          <w:iCs/>
          <w:szCs w:val="18"/>
        </w:rPr>
      </w:pPr>
    </w:p>
    <w:p w:rsidRPr="00BA41EF" w:rsidR="00701567" w:rsidP="00701567" w:rsidRDefault="00701567" w14:paraId="4EBEFDF0" w14:textId="77777777">
      <w:pPr>
        <w:rPr>
          <w:rFonts w:eastAsia="Calibri"/>
          <w:szCs w:val="18"/>
        </w:rPr>
      </w:pPr>
      <w:r w:rsidRPr="00BA41EF">
        <w:rPr>
          <w:rFonts w:eastAsia="Calibri"/>
          <w:szCs w:val="18"/>
        </w:rPr>
        <w:lastRenderedPageBreak/>
        <w:t>Vraag 9</w:t>
      </w:r>
    </w:p>
    <w:p w:rsidRPr="00BA41EF" w:rsidR="00701567" w:rsidP="00701567" w:rsidRDefault="00701567" w14:paraId="1020D0F5" w14:textId="77777777">
      <w:pPr>
        <w:rPr>
          <w:rFonts w:eastAsia="Calibri"/>
          <w:szCs w:val="18"/>
        </w:rPr>
      </w:pPr>
      <w:r w:rsidRPr="00BA41EF">
        <w:rPr>
          <w:rFonts w:eastAsia="Calibri"/>
          <w:szCs w:val="18"/>
        </w:rPr>
        <w:t>Zijn deze huidige instrumenten volgens u voldoende effectief? Zo nee, welke aanvullende maatregelen overweegt u om het innen van dit soort studieschulden te verbeteren?</w:t>
      </w:r>
    </w:p>
    <w:p w:rsidRPr="00BA41EF" w:rsidR="00701567" w:rsidP="00701567" w:rsidRDefault="00701567" w14:paraId="55FD08A4" w14:textId="77777777">
      <w:pPr>
        <w:rPr>
          <w:rFonts w:eastAsia="Calibri"/>
          <w:szCs w:val="18"/>
        </w:rPr>
      </w:pPr>
    </w:p>
    <w:p w:rsidRPr="00BA41EF" w:rsidR="00701567" w:rsidP="00701567" w:rsidRDefault="00701567" w14:paraId="674159E9" w14:textId="77777777">
      <w:pPr>
        <w:rPr>
          <w:rFonts w:eastAsia="Calibri"/>
          <w:szCs w:val="18"/>
        </w:rPr>
      </w:pPr>
      <w:r w:rsidRPr="00BA41EF">
        <w:rPr>
          <w:rFonts w:eastAsia="Calibri"/>
          <w:szCs w:val="18"/>
        </w:rPr>
        <w:t>Antwoord 9</w:t>
      </w:r>
      <w:r w:rsidRPr="00BA41EF">
        <w:rPr>
          <w:rFonts w:eastAsia="Calibri"/>
          <w:szCs w:val="18"/>
        </w:rPr>
        <w:br/>
        <w:t xml:space="preserve">DUO slaagt erin het </w:t>
      </w:r>
      <w:r>
        <w:rPr>
          <w:rFonts w:eastAsia="Calibri"/>
          <w:szCs w:val="18"/>
        </w:rPr>
        <w:t>merend</w:t>
      </w:r>
      <w:r w:rsidRPr="00BA41EF">
        <w:rPr>
          <w:rFonts w:eastAsia="Calibri"/>
          <w:szCs w:val="18"/>
        </w:rPr>
        <w:t xml:space="preserve">eel van alle maandelijkse aflosbedragen van studieschulden binnen twaalf maanden na opeisbaarheid te innen. Dit laat zien dat het inningsbeleid over het algemeen effectief is. Tegelijkertijd blijkt dat de inning van studieschulden bij debiteuren in het buitenland uitdagender is dan bij debiteuren in Nederland. Hoewel DUO met veel debiteuren van wie de contactgegevens ontbreken uiteindelijk in contact komt, erken ik dat de invordering van studieschulden in het buitenland verder verbeterd kan worden. Daarom stel ik, met het wetsvoorstel Variawet studiefinanciering dat nu in internetconsultatie is, een aantal maatregelen voor om het innen van studieschulden in het buitenland te verbeteren: </w:t>
      </w:r>
    </w:p>
    <w:p w:rsidRPr="00BA41EF" w:rsidR="00701567" w:rsidP="00701567" w:rsidRDefault="00701567" w14:paraId="512333C8" w14:textId="77777777">
      <w:pPr>
        <w:rPr>
          <w:rFonts w:eastAsia="Calibri"/>
          <w:szCs w:val="18"/>
        </w:rPr>
      </w:pPr>
    </w:p>
    <w:p w:rsidRPr="00BA41EF" w:rsidR="00701567" w:rsidP="00701567" w:rsidRDefault="00701567" w14:paraId="4E866E53" w14:textId="77777777">
      <w:pPr>
        <w:pStyle w:val="Lijstalinea"/>
        <w:numPr>
          <w:ilvl w:val="0"/>
          <w:numId w:val="2"/>
        </w:numPr>
        <w:spacing w:after="0" w:line="240" w:lineRule="atLeast"/>
        <w:rPr>
          <w:rFonts w:eastAsia="Calibri"/>
          <w:szCs w:val="18"/>
        </w:rPr>
      </w:pPr>
      <w:r w:rsidRPr="00BA41EF">
        <w:rPr>
          <w:rFonts w:eastAsia="Calibri"/>
          <w:szCs w:val="18"/>
        </w:rPr>
        <w:t xml:space="preserve">Met de bereikbaarheidsplicht worden scholieren, studenten en debiteuren verplicht om hun actuele contactgegevens aan DUO door te geven, zodat DUO deze betrokkenen kan bereiken en eventuele studieschulden effectiever kan innen. </w:t>
      </w:r>
    </w:p>
    <w:p w:rsidRPr="00820DDA" w:rsidR="00701567" w:rsidP="00701567" w:rsidRDefault="00701567" w14:paraId="16434ADC" w14:textId="77777777">
      <w:pPr>
        <w:pStyle w:val="Lijstalinea"/>
        <w:numPr>
          <w:ilvl w:val="0"/>
          <w:numId w:val="2"/>
        </w:numPr>
        <w:spacing w:after="0" w:line="240" w:lineRule="auto"/>
      </w:pPr>
      <w:r w:rsidRPr="00DB06F3">
        <w:rPr>
          <w:rFonts w:eastAsia="Calibri"/>
          <w:szCs w:val="18"/>
        </w:rPr>
        <w:t xml:space="preserve">Indien DUO geen actuele contactgegevens ontvangt van de betrokkene zelf, dan kan DUO ook contactgegevens ophalen bij andere bestuursorganen in Nederland (zoals de Belastingdienst) of autoriteiten in het buitenland waar de betrokkene verblijft. Volgens de huidige wet heeft DUO al deze bevoegdheden om bepaalde informatie uit te wisselen met andere bestuursorganen en andere staten, maar met dit wetsvoorstel worden deze bevoegdheden geëxpliciteerd en verduidelijkt, waardoor het voor de debiteur ook duidelijk is welke gegevens uitgewisseld kunnen worden. </w:t>
      </w:r>
    </w:p>
    <w:p w:rsidR="00B9326E" w:rsidRDefault="00B9326E" w14:paraId="2E9B9232" w14:textId="77777777"/>
    <w:sectPr w:rsidR="00B9326E" w:rsidSect="0070156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C28F" w14:textId="77777777" w:rsidR="00435522" w:rsidRDefault="00435522" w:rsidP="00701567">
      <w:pPr>
        <w:spacing w:after="0" w:line="240" w:lineRule="auto"/>
      </w:pPr>
      <w:r>
        <w:separator/>
      </w:r>
    </w:p>
  </w:endnote>
  <w:endnote w:type="continuationSeparator" w:id="0">
    <w:p w14:paraId="75E6AB42" w14:textId="77777777" w:rsidR="00435522" w:rsidRDefault="00435522" w:rsidP="0070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DD93" w14:textId="77777777" w:rsidR="00701567" w:rsidRPr="00701567" w:rsidRDefault="00701567" w:rsidP="007015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4EAE" w14:textId="77777777" w:rsidR="00701567" w:rsidRPr="00701567" w:rsidRDefault="00701567" w:rsidP="007015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F52D" w14:textId="77777777" w:rsidR="00701567" w:rsidRPr="00701567" w:rsidRDefault="00701567" w:rsidP="007015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5F44" w14:textId="77777777" w:rsidR="00435522" w:rsidRDefault="00435522" w:rsidP="00701567">
      <w:pPr>
        <w:spacing w:after="0" w:line="240" w:lineRule="auto"/>
      </w:pPr>
      <w:r>
        <w:separator/>
      </w:r>
    </w:p>
  </w:footnote>
  <w:footnote w:type="continuationSeparator" w:id="0">
    <w:p w14:paraId="1588EDB6" w14:textId="77777777" w:rsidR="00435522" w:rsidRDefault="00435522" w:rsidP="00701567">
      <w:pPr>
        <w:spacing w:after="0" w:line="240" w:lineRule="auto"/>
      </w:pPr>
      <w:r>
        <w:continuationSeparator/>
      </w:r>
    </w:p>
  </w:footnote>
  <w:footnote w:id="1">
    <w:p w14:paraId="3B135D28" w14:textId="77777777" w:rsidR="00701567" w:rsidRDefault="00701567" w:rsidP="00701567">
      <w:pPr>
        <w:pStyle w:val="Voetnoottekst"/>
      </w:pPr>
      <w:r>
        <w:rPr>
          <w:rStyle w:val="Voetnootmarkering"/>
        </w:rPr>
        <w:footnoteRef/>
      </w:r>
      <w:r>
        <w:t xml:space="preserve"> </w:t>
      </w:r>
      <w:r w:rsidRPr="00350C93">
        <w:rPr>
          <w:rFonts w:eastAsia="Calibri"/>
          <w:szCs w:val="18"/>
          <w:lang w:eastAsia="en-US"/>
        </w:rPr>
        <w:t>AD, d.d. 13 mei 2026, 'Oud-studenten verdwijnen in buitenland en betalen studieschuld niet terug: staat loopt 170 miljoen mis', </w:t>
      </w:r>
      <w:hyperlink r:id="rId1" w:history="1">
        <w:r w:rsidRPr="00350C93">
          <w:rPr>
            <w:rStyle w:val="Hyperlink"/>
            <w:rFonts w:eastAsia="Calibri"/>
            <w:szCs w:val="18"/>
            <w:lang w:eastAsia="en-US"/>
          </w:rPr>
          <w:t>https://www.ad.nl/binnenland/oud-studenten-verdwijnen-in-buitenland-en-betalen-studieschuld-niet-terug-staat-loopt-170-miljoen-mis~a9566b2f/</w:t>
        </w:r>
      </w:hyperlink>
    </w:p>
  </w:footnote>
  <w:footnote w:id="2">
    <w:p w14:paraId="70E99DFF" w14:textId="77777777" w:rsidR="00701567" w:rsidRDefault="00701567" w:rsidP="00701567">
      <w:pPr>
        <w:pStyle w:val="Voetnoottekst"/>
      </w:pPr>
      <w:r>
        <w:rPr>
          <w:rStyle w:val="Voetnootmarkering"/>
        </w:rPr>
        <w:footnoteRef/>
      </w:r>
      <w:r>
        <w:t xml:space="preserve"> </w:t>
      </w:r>
      <w:r w:rsidRPr="00844D36">
        <w:t>Deze gevallen dateren veelal uit een periode waarin processen nog niet volledig waren geautomatiseerd en handmatige handelingen noodzakelijk waren.</w:t>
      </w:r>
    </w:p>
  </w:footnote>
  <w:footnote w:id="3">
    <w:p w14:paraId="4D5F3101" w14:textId="77777777" w:rsidR="00701567" w:rsidRDefault="00701567" w:rsidP="00701567">
      <w:pPr>
        <w:pStyle w:val="Voetnoottekst"/>
      </w:pPr>
      <w:r w:rsidRPr="009A1989">
        <w:rPr>
          <w:rStyle w:val="Voetnootmarkering"/>
        </w:rPr>
        <w:footnoteRef/>
      </w:r>
      <w:r w:rsidRPr="009A1989">
        <w:t xml:space="preserve"> Een contractpartner is een externe partij waarmee een overheidsdienst of semioverheid, bindende afspraken maakt voor het leveren van diensten en producten.</w:t>
      </w:r>
    </w:p>
  </w:footnote>
  <w:footnote w:id="4">
    <w:p w14:paraId="57E7C675" w14:textId="77777777" w:rsidR="00701567" w:rsidRDefault="00701567" w:rsidP="00701567">
      <w:pPr>
        <w:pStyle w:val="Voetnoottekst"/>
      </w:pPr>
      <w:r>
        <w:rPr>
          <w:rStyle w:val="Voetnootmarkering"/>
        </w:rPr>
        <w:footnoteRef/>
      </w:r>
      <w:r>
        <w:t xml:space="preserve"> </w:t>
      </w:r>
      <w:r>
        <w:rPr>
          <w:rFonts w:eastAsia="Calibri"/>
          <w:szCs w:val="18"/>
          <w:lang w:eastAsia="en-US"/>
        </w:rPr>
        <w:t>Dit komt omdat het type verblijfsvergunning van debiteuren gedurende de aflossingsperiode kan wijzigen. Bovendien registreert DUO deze gegevens van debiteuren niet, omdat deze informatie niet nodig is voor de inning van studieschulden.</w:t>
      </w:r>
    </w:p>
  </w:footnote>
  <w:footnote w:id="5">
    <w:p w14:paraId="71B56133" w14:textId="77777777" w:rsidR="00701567" w:rsidRDefault="00701567" w:rsidP="00701567">
      <w:pPr>
        <w:pStyle w:val="Voetnoottekst"/>
      </w:pPr>
      <w:r>
        <w:rPr>
          <w:rStyle w:val="Voetnootmarkering"/>
        </w:rPr>
        <w:footnoteRef/>
      </w:r>
      <w:r>
        <w:t xml:space="preserve"> Niet-Nederlandse studenten kunnen aanspraak maken op volledige studiefinanciering op grond van:</w:t>
      </w:r>
    </w:p>
    <w:p w14:paraId="565ED48B" w14:textId="77777777" w:rsidR="00701567" w:rsidRDefault="00701567" w:rsidP="00701567">
      <w:pPr>
        <w:pStyle w:val="Voetnoottekst"/>
        <w:numPr>
          <w:ilvl w:val="0"/>
          <w:numId w:val="1"/>
        </w:numPr>
      </w:pPr>
      <w:r w:rsidRPr="00C40CCE">
        <w:t>een verblijfsvergunning type II, III, IV of V</w:t>
      </w:r>
      <w:r>
        <w:t xml:space="preserve"> (en in sommige gevallen bij type I)</w:t>
      </w:r>
    </w:p>
    <w:p w14:paraId="0F0CAB72" w14:textId="77777777" w:rsidR="00701567" w:rsidRDefault="00701567" w:rsidP="00701567">
      <w:pPr>
        <w:pStyle w:val="Voetnoottekst"/>
        <w:numPr>
          <w:ilvl w:val="0"/>
          <w:numId w:val="1"/>
        </w:numPr>
      </w:pPr>
      <w:r>
        <w:t>duurzaam verblijf (student woont 5 jaar of langer achter elkaar in Nederland)</w:t>
      </w:r>
    </w:p>
    <w:p w14:paraId="7419EACF" w14:textId="77777777" w:rsidR="00701567" w:rsidRDefault="00701567" w:rsidP="00701567">
      <w:pPr>
        <w:pStyle w:val="Voetnoottekst"/>
        <w:numPr>
          <w:ilvl w:val="0"/>
          <w:numId w:val="1"/>
        </w:numPr>
      </w:pPr>
      <w:r>
        <w:t>of de student, diens partner of ouders kwalificeert als migrerend werknemer.</w:t>
      </w:r>
    </w:p>
    <w:p w14:paraId="21520275" w14:textId="77777777" w:rsidR="00701567" w:rsidRDefault="00701567" w:rsidP="00701567">
      <w:pPr>
        <w:pStyle w:val="Voetnoottekst"/>
      </w:pPr>
      <w:r w:rsidRPr="00FA65F7">
        <w:t>Wanneer studenten uit een EER land of Zwitserland of het Verenigd Koninkrijk geen recht hebben op volledige studiefinanciering, kunnen zij wél collegegeldkrediet aanvragen. Dit geldt ook voor studenten uit het Verenigd Koninkrijk die een artikel 50 verblijfsvergunning hebben.</w:t>
      </w:r>
    </w:p>
  </w:footnote>
  <w:footnote w:id="6">
    <w:p w14:paraId="623514B3" w14:textId="77777777" w:rsidR="00701567" w:rsidRPr="00D81880" w:rsidRDefault="00701567" w:rsidP="00701567">
      <w:pPr>
        <w:pStyle w:val="Voetnoottekst"/>
        <w:rPr>
          <w:color w:val="0000FF"/>
          <w:u w:val="single"/>
        </w:rPr>
      </w:pPr>
      <w:r>
        <w:rPr>
          <w:rStyle w:val="Voetnootmarkering"/>
        </w:rPr>
        <w:footnoteRef/>
      </w:r>
      <w:r>
        <w:t xml:space="preserve"> </w:t>
      </w:r>
      <w:r>
        <w:fldChar w:fldCharType="begin"/>
      </w:r>
      <w:r>
        <w:instrText>HYPERLINK "https://www.nuffic.nl/en/stayrates-of-international-graduates"</w:instrText>
      </w:r>
      <w:r>
        <w:fldChar w:fldCharType="separate"/>
      </w:r>
      <w:hyperlink r:id="rId2" w:history="1">
        <w:r w:rsidRPr="00D81880">
          <w:rPr>
            <w:rStyle w:val="Hyperlink"/>
          </w:rPr>
          <w:t>Nuffic, Stayrate en arbeidsmarktpositie van internationale afgestudeerden 2013-2022, 31 maart 2025</w:t>
        </w:r>
      </w:hyperlink>
    </w:p>
    <w:p w14:paraId="2967FAD5" w14:textId="77777777" w:rsidR="00701567" w:rsidRDefault="00701567" w:rsidP="00701567">
      <w:pPr>
        <w:pStyle w:val="Voetnoottekst"/>
      </w:pP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2548" w14:textId="77777777" w:rsidR="00701567" w:rsidRPr="00701567" w:rsidRDefault="00701567" w:rsidP="007015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1E9F" w14:textId="77777777" w:rsidR="00701567" w:rsidRPr="00701567" w:rsidRDefault="00701567" w:rsidP="007015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1725" w14:textId="77777777" w:rsidR="00701567" w:rsidRPr="00701567" w:rsidRDefault="00701567" w:rsidP="007015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E784D"/>
    <w:multiLevelType w:val="hybridMultilevel"/>
    <w:tmpl w:val="D46E0C92"/>
    <w:lvl w:ilvl="0" w:tplc="BB005EA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100A24"/>
    <w:multiLevelType w:val="hybridMultilevel"/>
    <w:tmpl w:val="AD96C86E"/>
    <w:lvl w:ilvl="0" w:tplc="DBD2C5D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9183525">
    <w:abstractNumId w:val="0"/>
  </w:num>
  <w:num w:numId="2" w16cid:durableId="384064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67"/>
    <w:rsid w:val="00435522"/>
    <w:rsid w:val="00701567"/>
    <w:rsid w:val="00B9326E"/>
    <w:rsid w:val="00E20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7D4D"/>
  <w15:chartTrackingRefBased/>
  <w15:docId w15:val="{64D37A58-08BF-45F9-B3B2-BFFF7086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1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15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15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15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15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5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5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5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5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15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15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15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15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15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5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5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567"/>
    <w:rPr>
      <w:rFonts w:eastAsiaTheme="majorEastAsia" w:cstheme="majorBidi"/>
      <w:color w:val="272727" w:themeColor="text1" w:themeTint="D8"/>
    </w:rPr>
  </w:style>
  <w:style w:type="paragraph" w:styleId="Titel">
    <w:name w:val="Title"/>
    <w:basedOn w:val="Standaard"/>
    <w:next w:val="Standaard"/>
    <w:link w:val="TitelChar"/>
    <w:uiPriority w:val="10"/>
    <w:qFormat/>
    <w:rsid w:val="00701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5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5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5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5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567"/>
    <w:rPr>
      <w:i/>
      <w:iCs/>
      <w:color w:val="404040" w:themeColor="text1" w:themeTint="BF"/>
    </w:rPr>
  </w:style>
  <w:style w:type="paragraph" w:styleId="Lijstalinea">
    <w:name w:val="List Paragraph"/>
    <w:basedOn w:val="Standaard"/>
    <w:uiPriority w:val="34"/>
    <w:qFormat/>
    <w:rsid w:val="00701567"/>
    <w:pPr>
      <w:ind w:left="720"/>
      <w:contextualSpacing/>
    </w:pPr>
  </w:style>
  <w:style w:type="character" w:styleId="Intensievebenadrukking">
    <w:name w:val="Intense Emphasis"/>
    <w:basedOn w:val="Standaardalinea-lettertype"/>
    <w:uiPriority w:val="21"/>
    <w:qFormat/>
    <w:rsid w:val="00701567"/>
    <w:rPr>
      <w:i/>
      <w:iCs/>
      <w:color w:val="2F5496" w:themeColor="accent1" w:themeShade="BF"/>
    </w:rPr>
  </w:style>
  <w:style w:type="paragraph" w:styleId="Duidelijkcitaat">
    <w:name w:val="Intense Quote"/>
    <w:basedOn w:val="Standaard"/>
    <w:next w:val="Standaard"/>
    <w:link w:val="DuidelijkcitaatChar"/>
    <w:uiPriority w:val="30"/>
    <w:qFormat/>
    <w:rsid w:val="00701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1567"/>
    <w:rPr>
      <w:i/>
      <w:iCs/>
      <w:color w:val="2F5496" w:themeColor="accent1" w:themeShade="BF"/>
    </w:rPr>
  </w:style>
  <w:style w:type="character" w:styleId="Intensieveverwijzing">
    <w:name w:val="Intense Reference"/>
    <w:basedOn w:val="Standaardalinea-lettertype"/>
    <w:uiPriority w:val="32"/>
    <w:qFormat/>
    <w:rsid w:val="00701567"/>
    <w:rPr>
      <w:b/>
      <w:bCs/>
      <w:smallCaps/>
      <w:color w:val="2F5496" w:themeColor="accent1" w:themeShade="BF"/>
      <w:spacing w:val="5"/>
    </w:rPr>
  </w:style>
  <w:style w:type="paragraph" w:styleId="Koptekst">
    <w:name w:val="header"/>
    <w:basedOn w:val="Standaard"/>
    <w:link w:val="KoptekstChar"/>
    <w:rsid w:val="007015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0156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015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0156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0156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01567"/>
    <w:rPr>
      <w:rFonts w:ascii="Verdana" w:hAnsi="Verdana"/>
      <w:noProof/>
      <w:sz w:val="13"/>
      <w:szCs w:val="24"/>
      <w:lang w:eastAsia="nl-NL"/>
    </w:rPr>
  </w:style>
  <w:style w:type="paragraph" w:customStyle="1" w:styleId="Huisstijl-Gegeven">
    <w:name w:val="Huisstijl-Gegeven"/>
    <w:basedOn w:val="Standaard"/>
    <w:link w:val="Huisstijl-GegevenCharChar"/>
    <w:rsid w:val="0070156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0156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01567"/>
    <w:rPr>
      <w:color w:val="0000FF"/>
      <w:u w:val="single"/>
    </w:rPr>
  </w:style>
  <w:style w:type="character" w:customStyle="1" w:styleId="Huisstijl-AdresChar">
    <w:name w:val="Huisstijl-Adres Char"/>
    <w:link w:val="Huisstijl-Adres"/>
    <w:locked/>
    <w:rsid w:val="0070156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0156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0156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0156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7015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uffic.nl/sites/default/files/2025-03/nuffic_stayrate_en_arbeidsmarktpositie-van-internationale-afgestudeerden.pdf" TargetMode="External"/><Relationship Id="rId1" Type="http://schemas.openxmlformats.org/officeDocument/2006/relationships/hyperlink" Target="https://www.ad.nl/binnenland/oud-studenten-verdwijnen-in-buitenland-en-betalen-studieschuld-niet-terug-staat-loopt-170-miljoen-mis~a9566b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1913</ap:Words>
  <ap:Characters>10526</ap:Characters>
  <ap:DocSecurity>0</ap:DocSecurity>
  <ap:Lines>87</ap:Lines>
  <ap:Paragraphs>24</ap:Paragraphs>
  <ap:ScaleCrop>false</ap:ScaleCrop>
  <ap:LinksUpToDate>false</ap:LinksUpToDate>
  <ap:CharactersWithSpaces>12415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2026-06-25T13:34:00.0000000Z</dcterms:created>
  <dcterms:modified xsi:type="dcterms:W3CDTF">2026-06-25T13:35:00.0000000Z</dcterms:modified>
  <version/>
  <category/>
</coreProperties>
</file>