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B52788C" w14:textId="77777777">
        <w:trPr>
          <w:cantSplit/>
        </w:trPr>
        <w:tc>
          <w:tcPr>
            <w:tcW w:w="9212" w:type="dxa"/>
            <w:gridSpan w:val="2"/>
          </w:tcPr>
          <w:p w:rsidR="003B4752" w:rsidRDefault="003B4752" w14:paraId="3BE2EAB2" w14:textId="77777777">
            <w:pPr>
              <w:tabs>
                <w:tab w:val="left" w:pos="-1440"/>
                <w:tab w:val="left" w:pos="-720"/>
              </w:tabs>
              <w:suppressAutoHyphens/>
            </w:pPr>
          </w:p>
        </w:tc>
      </w:tr>
      <w:tr w:rsidR="003B4752" w14:paraId="4511DC73" w14:textId="77777777">
        <w:trPr>
          <w:cantSplit/>
        </w:trPr>
        <w:tc>
          <w:tcPr>
            <w:tcW w:w="9212" w:type="dxa"/>
            <w:gridSpan w:val="2"/>
          </w:tcPr>
          <w:p w:rsidR="003B4752" w:rsidRDefault="003B4752" w14:paraId="75E74A14" w14:textId="77777777">
            <w:pPr>
              <w:tabs>
                <w:tab w:val="left" w:pos="-1440"/>
                <w:tab w:val="left" w:pos="-720"/>
              </w:tabs>
              <w:suppressAutoHyphens/>
              <w:rPr>
                <w:b/>
              </w:rPr>
            </w:pPr>
          </w:p>
        </w:tc>
      </w:tr>
      <w:tr w:rsidR="009833D1" w14:paraId="409B655C" w14:textId="77777777">
        <w:tc>
          <w:tcPr>
            <w:tcW w:w="2622" w:type="dxa"/>
          </w:tcPr>
          <w:p w:rsidR="009833D1" w:rsidRDefault="00B941DB" w14:paraId="5942F2EE" w14:textId="40303E9F">
            <w:pPr>
              <w:widowControl w:val="0"/>
              <w:rPr>
                <w:b/>
              </w:rPr>
            </w:pPr>
            <w:r>
              <w:rPr>
                <w:b/>
              </w:rPr>
              <w:t>36 774</w:t>
            </w:r>
          </w:p>
        </w:tc>
        <w:tc>
          <w:tcPr>
            <w:tcW w:w="6590" w:type="dxa"/>
          </w:tcPr>
          <w:p w:rsidRPr="00B941DB" w:rsidR="009833D1" w:rsidP="00B941DB" w:rsidRDefault="00B941DB" w14:paraId="786E756A" w14:textId="3C7EEDF3">
            <w:pPr>
              <w:rPr>
                <w:b/>
                <w:bCs/>
                <w:szCs w:val="24"/>
              </w:rPr>
            </w:pPr>
            <w:r w:rsidRPr="00B941DB">
              <w:rPr>
                <w:b/>
                <w:bCs/>
                <w:szCs w:val="24"/>
              </w:rPr>
              <w:t xml:space="preserve">Voorstel van wet van het lid </w:t>
            </w:r>
            <w:proofErr w:type="spellStart"/>
            <w:r w:rsidRPr="00B941DB">
              <w:rPr>
                <w:b/>
                <w:bCs/>
                <w:szCs w:val="24"/>
              </w:rPr>
              <w:t>Bushoff</w:t>
            </w:r>
            <w:proofErr w:type="spellEnd"/>
            <w:r w:rsidRPr="00B941DB">
              <w:rPr>
                <w:b/>
                <w:bCs/>
                <w:szCs w:val="24"/>
              </w:rPr>
              <w:t xml:space="preserve"> tot wijziging van de Mededingingswet in verband met de uitbreiding van het concentratietoezicht (Wet inroepbevoegdheid ACM)</w:t>
            </w:r>
          </w:p>
        </w:tc>
      </w:tr>
      <w:tr w:rsidR="003B4752" w14:paraId="6CF3AC81" w14:textId="77777777">
        <w:tc>
          <w:tcPr>
            <w:tcW w:w="2622" w:type="dxa"/>
          </w:tcPr>
          <w:p w:rsidR="003B4752" w:rsidRDefault="003B4752" w14:paraId="248C4C05" w14:textId="77777777">
            <w:pPr>
              <w:tabs>
                <w:tab w:val="left" w:pos="284"/>
              </w:tabs>
              <w:rPr>
                <w:b/>
              </w:rPr>
            </w:pPr>
          </w:p>
        </w:tc>
        <w:tc>
          <w:tcPr>
            <w:tcW w:w="6590" w:type="dxa"/>
          </w:tcPr>
          <w:p w:rsidR="003B4752" w:rsidRDefault="003B4752" w14:paraId="354D2E3D" w14:textId="77777777">
            <w:pPr>
              <w:tabs>
                <w:tab w:val="left" w:pos="284"/>
              </w:tabs>
              <w:rPr>
                <w:b/>
              </w:rPr>
            </w:pPr>
          </w:p>
        </w:tc>
      </w:tr>
      <w:tr w:rsidR="003B4752" w14:paraId="666EF594" w14:textId="77777777">
        <w:tc>
          <w:tcPr>
            <w:tcW w:w="2622" w:type="dxa"/>
          </w:tcPr>
          <w:p w:rsidR="003B4752" w:rsidRDefault="003B4752" w14:paraId="5B2DC29A" w14:textId="3B5CA555">
            <w:pPr>
              <w:tabs>
                <w:tab w:val="left" w:pos="284"/>
              </w:tabs>
              <w:rPr>
                <w:b/>
              </w:rPr>
            </w:pPr>
            <w:r>
              <w:rPr>
                <w:b/>
              </w:rPr>
              <w:t xml:space="preserve">Nr. </w:t>
            </w:r>
            <w:r w:rsidR="00B941DB">
              <w:rPr>
                <w:b/>
              </w:rPr>
              <w:t>9</w:t>
            </w:r>
          </w:p>
        </w:tc>
        <w:tc>
          <w:tcPr>
            <w:tcW w:w="6590" w:type="dxa"/>
          </w:tcPr>
          <w:p w:rsidR="003B4752" w:rsidRDefault="003B4752" w14:paraId="058F83F6" w14:textId="77777777">
            <w:pPr>
              <w:tabs>
                <w:tab w:val="left" w:pos="284"/>
              </w:tabs>
              <w:rPr>
                <w:b/>
              </w:rPr>
            </w:pPr>
            <w:r>
              <w:rPr>
                <w:b/>
              </w:rPr>
              <w:t>NOTA VAN WIJZIGING</w:t>
            </w:r>
          </w:p>
          <w:p w:rsidR="003B4752" w:rsidP="009833D1" w:rsidRDefault="003B4752" w14:paraId="6DC62B10" w14:textId="61C100C4">
            <w:pPr>
              <w:tabs>
                <w:tab w:val="left" w:pos="284"/>
              </w:tabs>
            </w:pPr>
            <w:r>
              <w:t xml:space="preserve">Ontvangen </w:t>
            </w:r>
            <w:r w:rsidRPr="00B941DB" w:rsidR="00B941DB">
              <w:rPr>
                <w:bCs/>
              </w:rPr>
              <w:t>25 juni 2026</w:t>
            </w:r>
          </w:p>
        </w:tc>
      </w:tr>
    </w:tbl>
    <w:p w:rsidR="00B941DB" w:rsidP="00B941DB" w:rsidRDefault="00B941DB" w14:paraId="45CE0196" w14:textId="77777777">
      <w:pPr>
        <w:tabs>
          <w:tab w:val="left" w:pos="284"/>
        </w:tabs>
      </w:pPr>
    </w:p>
    <w:p w:rsidR="007178B0" w:rsidP="007178B0" w:rsidRDefault="00B941DB" w14:paraId="4184B778" w14:textId="77777777">
      <w:pPr>
        <w:tabs>
          <w:tab w:val="left" w:pos="284"/>
        </w:tabs>
      </w:pPr>
      <w:r>
        <w:tab/>
      </w:r>
      <w:r w:rsidR="007178B0">
        <w:t>Het voorstel van wet wordt als volgt gewijzigd:</w:t>
      </w:r>
    </w:p>
    <w:p w:rsidR="007178B0" w:rsidP="007178B0" w:rsidRDefault="007178B0" w14:paraId="1B7F506F" w14:textId="77777777">
      <w:pPr>
        <w:tabs>
          <w:tab w:val="left" w:pos="284"/>
        </w:tabs>
      </w:pPr>
    </w:p>
    <w:p w:rsidR="007178B0" w:rsidP="007178B0" w:rsidRDefault="007178B0" w14:paraId="7E3D83FE" w14:textId="77777777">
      <w:pPr>
        <w:tabs>
          <w:tab w:val="left" w:pos="284"/>
        </w:tabs>
      </w:pPr>
      <w:r>
        <w:t>A</w:t>
      </w:r>
    </w:p>
    <w:p w:rsidR="007178B0" w:rsidP="007178B0" w:rsidRDefault="007178B0" w14:paraId="18FDA707" w14:textId="77777777">
      <w:pPr>
        <w:tabs>
          <w:tab w:val="left" w:pos="284"/>
        </w:tabs>
      </w:pPr>
    </w:p>
    <w:p w:rsidR="007178B0" w:rsidP="007178B0" w:rsidRDefault="007178B0" w14:paraId="55FD85D8" w14:textId="0568E2E9">
      <w:pPr>
        <w:tabs>
          <w:tab w:val="left" w:pos="284"/>
        </w:tabs>
      </w:pPr>
      <w:r>
        <w:tab/>
        <w:t>Artikel I, onderdeel A, wordt als volgt gewijzigd:</w:t>
      </w:r>
    </w:p>
    <w:p w:rsidR="007178B0" w:rsidP="007178B0" w:rsidRDefault="007178B0" w14:paraId="7A048230" w14:textId="77777777">
      <w:pPr>
        <w:tabs>
          <w:tab w:val="left" w:pos="284"/>
        </w:tabs>
      </w:pPr>
    </w:p>
    <w:p w:rsidR="007178B0" w:rsidP="007178B0" w:rsidRDefault="007178B0" w14:paraId="1A0359A9" w14:textId="23D5B653">
      <w:pPr>
        <w:tabs>
          <w:tab w:val="left" w:pos="284"/>
        </w:tabs>
      </w:pPr>
      <w:r>
        <w:tab/>
        <w:t>1. In artikel 49c, eerste lid, wordt “een concentratie als bedoeld in artikel 49b” vervangen door ““een concentratie, ten aanzien waarvan een verzoek als bedoeld in artikel 49b, eerste lid, is gedaan,”.</w:t>
      </w:r>
    </w:p>
    <w:p w:rsidR="007178B0" w:rsidP="007178B0" w:rsidRDefault="007178B0" w14:paraId="651812D6" w14:textId="77777777">
      <w:pPr>
        <w:tabs>
          <w:tab w:val="left" w:pos="284"/>
        </w:tabs>
      </w:pPr>
    </w:p>
    <w:p w:rsidR="007178B0" w:rsidP="007178B0" w:rsidRDefault="007178B0" w14:paraId="0D93635E" w14:textId="67978756">
      <w:pPr>
        <w:tabs>
          <w:tab w:val="left" w:pos="284"/>
        </w:tabs>
      </w:pPr>
      <w:r>
        <w:tab/>
        <w:t>2. Er wordt een artikel toegevoegd, luidende:</w:t>
      </w:r>
    </w:p>
    <w:p w:rsidR="007178B0" w:rsidP="007178B0" w:rsidRDefault="007178B0" w14:paraId="6A57BEC0" w14:textId="77777777">
      <w:pPr>
        <w:tabs>
          <w:tab w:val="left" w:pos="284"/>
        </w:tabs>
      </w:pPr>
    </w:p>
    <w:p w:rsidRPr="007178B0" w:rsidR="007178B0" w:rsidP="007178B0" w:rsidRDefault="007178B0" w14:paraId="433DAF08" w14:textId="77777777">
      <w:pPr>
        <w:tabs>
          <w:tab w:val="left" w:pos="284"/>
        </w:tabs>
        <w:rPr>
          <w:b/>
          <w:bCs/>
        </w:rPr>
      </w:pPr>
      <w:r w:rsidRPr="007178B0">
        <w:rPr>
          <w:b/>
          <w:bCs/>
        </w:rPr>
        <w:t>Artikel 49e</w:t>
      </w:r>
    </w:p>
    <w:p w:rsidR="007178B0" w:rsidP="007178B0" w:rsidRDefault="007178B0" w14:paraId="3070933C" w14:textId="77777777">
      <w:pPr>
        <w:tabs>
          <w:tab w:val="left" w:pos="284"/>
        </w:tabs>
      </w:pPr>
    </w:p>
    <w:p w:rsidR="007178B0" w:rsidP="007178B0" w:rsidRDefault="007178B0" w14:paraId="69CD29A7" w14:textId="3B2FE827">
      <w:pPr>
        <w:tabs>
          <w:tab w:val="left" w:pos="284"/>
        </w:tabs>
      </w:pPr>
      <w:r>
        <w:tab/>
        <w:t>Onze Minister zendt binnen vijf jaar na de inwerkingtreding van deze paragraaf aan de Staten-Generaal een verslag over de doeltreffendheid en de effecten van deze paragraaf in de praktijk.</w:t>
      </w:r>
    </w:p>
    <w:p w:rsidR="007178B0" w:rsidP="007178B0" w:rsidRDefault="007178B0" w14:paraId="7EC3E918" w14:textId="77777777">
      <w:pPr>
        <w:tabs>
          <w:tab w:val="left" w:pos="284"/>
        </w:tabs>
      </w:pPr>
    </w:p>
    <w:p w:rsidR="007178B0" w:rsidP="007178B0" w:rsidRDefault="007178B0" w14:paraId="3CD24078" w14:textId="77777777">
      <w:pPr>
        <w:tabs>
          <w:tab w:val="left" w:pos="284"/>
        </w:tabs>
      </w:pPr>
      <w:r>
        <w:t>B</w:t>
      </w:r>
    </w:p>
    <w:p w:rsidR="007178B0" w:rsidP="007178B0" w:rsidRDefault="007178B0" w14:paraId="69001415" w14:textId="77777777">
      <w:pPr>
        <w:tabs>
          <w:tab w:val="left" w:pos="284"/>
        </w:tabs>
      </w:pPr>
    </w:p>
    <w:p w:rsidR="007178B0" w:rsidP="007178B0" w:rsidRDefault="007178B0" w14:paraId="430F5753" w14:textId="37E9E7F3">
      <w:pPr>
        <w:tabs>
          <w:tab w:val="left" w:pos="284"/>
        </w:tabs>
      </w:pPr>
      <w:r>
        <w:tab/>
        <w:t>Artikel I, onderdeel C, wordt als volgt gewijzigd:</w:t>
      </w:r>
    </w:p>
    <w:p w:rsidR="007178B0" w:rsidP="007178B0" w:rsidRDefault="007178B0" w14:paraId="3E95E1FF" w14:textId="77777777">
      <w:pPr>
        <w:tabs>
          <w:tab w:val="left" w:pos="284"/>
        </w:tabs>
      </w:pPr>
    </w:p>
    <w:p w:rsidR="007178B0" w:rsidP="007178B0" w:rsidRDefault="007178B0" w14:paraId="170BBB1F" w14:textId="23742F91">
      <w:pPr>
        <w:tabs>
          <w:tab w:val="left" w:pos="284"/>
        </w:tabs>
      </w:pPr>
      <w:r>
        <w:tab/>
        <w:t>1. In de aanhef wordt “twee onderdelen” vervangen door “vier onderdelen”.</w:t>
      </w:r>
    </w:p>
    <w:p w:rsidR="007178B0" w:rsidP="007178B0" w:rsidRDefault="007178B0" w14:paraId="381652AE" w14:textId="3B51A2CC">
      <w:pPr>
        <w:tabs>
          <w:tab w:val="left" w:pos="284"/>
        </w:tabs>
      </w:pPr>
      <w:r>
        <w:tab/>
        <w:t>2. Er worden twee onderdelen toegevoegd, luidende:</w:t>
      </w:r>
    </w:p>
    <w:p w:rsidR="007178B0" w:rsidP="007178B0" w:rsidRDefault="007178B0" w14:paraId="4B6E9C73" w14:textId="45DF2CC6">
      <w:pPr>
        <w:tabs>
          <w:tab w:val="left" w:pos="284"/>
        </w:tabs>
      </w:pPr>
      <w:r>
        <w:tab/>
        <w:t>8˚. 49c, zesde lid,</w:t>
      </w:r>
    </w:p>
    <w:p w:rsidR="007178B0" w:rsidP="007178B0" w:rsidRDefault="007178B0" w14:paraId="6D74CD4D" w14:textId="1DC57868">
      <w:pPr>
        <w:tabs>
          <w:tab w:val="left" w:pos="284"/>
        </w:tabs>
      </w:pPr>
      <w:r>
        <w:tab/>
        <w:t>9˚. 49d, derde lid,</w:t>
      </w:r>
    </w:p>
    <w:p w:rsidR="007178B0" w:rsidP="007178B0" w:rsidRDefault="007178B0" w14:paraId="34F507E5" w14:textId="77777777">
      <w:pPr>
        <w:tabs>
          <w:tab w:val="left" w:pos="284"/>
        </w:tabs>
      </w:pPr>
    </w:p>
    <w:p w:rsidRPr="007178B0" w:rsidR="007178B0" w:rsidP="007178B0" w:rsidRDefault="007178B0" w14:paraId="1123B733" w14:textId="77777777">
      <w:pPr>
        <w:tabs>
          <w:tab w:val="left" w:pos="284"/>
        </w:tabs>
        <w:rPr>
          <w:b/>
          <w:bCs/>
        </w:rPr>
      </w:pPr>
      <w:r w:rsidRPr="007178B0">
        <w:rPr>
          <w:b/>
          <w:bCs/>
        </w:rPr>
        <w:t>Toelichting</w:t>
      </w:r>
    </w:p>
    <w:p w:rsidR="007178B0" w:rsidP="007178B0" w:rsidRDefault="007178B0" w14:paraId="2237CFA2" w14:textId="77777777">
      <w:pPr>
        <w:tabs>
          <w:tab w:val="left" w:pos="284"/>
        </w:tabs>
      </w:pPr>
    </w:p>
    <w:p w:rsidR="007178B0" w:rsidP="007178B0" w:rsidRDefault="007178B0" w14:paraId="522544DB" w14:textId="77777777">
      <w:pPr>
        <w:tabs>
          <w:tab w:val="left" w:pos="284"/>
        </w:tabs>
      </w:pPr>
      <w:r>
        <w:t>Met deze nota van wijziging wordt een bepaling toegevoegd aan het wetsvoorstel met als doel om vijf jaar na inwerkingtreding de doeltreffendheid en effecten van de wet in de praktijk te evalueren.</w:t>
      </w:r>
    </w:p>
    <w:p w:rsidR="007178B0" w:rsidP="007178B0" w:rsidRDefault="007178B0" w14:paraId="7ACF5893" w14:textId="77777777">
      <w:pPr>
        <w:tabs>
          <w:tab w:val="left" w:pos="284"/>
        </w:tabs>
      </w:pPr>
    </w:p>
    <w:p w:rsidR="007178B0" w:rsidP="007178B0" w:rsidRDefault="007178B0" w14:paraId="7F86097E" w14:textId="77777777">
      <w:pPr>
        <w:tabs>
          <w:tab w:val="left" w:pos="284"/>
        </w:tabs>
      </w:pPr>
      <w:r>
        <w:t xml:space="preserve">Daarnaast wordt een omissie hersteld. Het voorgestelde nieuwe artikel 49c, eerste lid, van de Mededingingswet biedt de grondslag voor de Autoriteit Consument en Markt (hierna: ACM) om een meldplicht en een verbod op het tot stand brengen van een concentratie op te leggen ten aanzien van een concentratie waarvan naar haar oordeel aanleiding bestaat om aan te nemen dat die negatieve gevolgen heeft voor de mededinging. Met onderhavige wijziging (artikel I, onderdeel A, eerste lid, van deze nota van wijziging) wordt verduidelijkt dat het hierbij gaat om een concentratie ten aanzien waarvan de ACM een verzoek heeft gedaan om </w:t>
      </w:r>
      <w:r>
        <w:lastRenderedPageBreak/>
        <w:t>informatie als bedoeld in het voorgestelde nieuwe artikel 49b, eerste lid, van de Mededingingswet.</w:t>
      </w:r>
    </w:p>
    <w:p w:rsidR="007178B0" w:rsidP="007178B0" w:rsidRDefault="007178B0" w14:paraId="54271DFC" w14:textId="77777777">
      <w:pPr>
        <w:tabs>
          <w:tab w:val="left" w:pos="284"/>
        </w:tabs>
      </w:pPr>
    </w:p>
    <w:p w:rsidR="009833D1" w:rsidP="007178B0" w:rsidRDefault="007178B0" w14:paraId="49D016D7" w14:textId="7BB62615">
      <w:pPr>
        <w:tabs>
          <w:tab w:val="left" w:pos="284"/>
        </w:tabs>
      </w:pPr>
      <w:r>
        <w:t>Per abuis ontbraken de voorgestelde artikelen 49c, zesde lid, en 49d, derde lid,  van de Mededingingswet in de voorgestelde wijziging van artikel 74, eerste lid, van die wet (artikel I, onderdeel C, van het wetsvoorstel). Deze omissie wordt nu hersteld (artikel I, onderdeel B, van deze nota van wijziging). Dit maakt het mogelijk voor de ACM om een bestuurlijke boete op te leggen bij overtreding van die bepalingen.</w:t>
      </w:r>
    </w:p>
    <w:p w:rsidR="001D42E6" w:rsidP="007178B0" w:rsidRDefault="001D42E6" w14:paraId="2ED286CD" w14:textId="77777777">
      <w:pPr>
        <w:tabs>
          <w:tab w:val="left" w:pos="284"/>
        </w:tabs>
      </w:pPr>
    </w:p>
    <w:p w:rsidR="001D42E6" w:rsidP="007178B0" w:rsidRDefault="001D42E6" w14:paraId="197C29A3" w14:textId="0522D493">
      <w:pPr>
        <w:tabs>
          <w:tab w:val="left" w:pos="284"/>
        </w:tabs>
      </w:pPr>
      <w:proofErr w:type="spellStart"/>
      <w:r>
        <w:t>Bushoff</w:t>
      </w:r>
      <w:proofErr w:type="spellEnd"/>
    </w:p>
    <w:sectPr w:rsidR="001D42E6" w:rsidSect="00B11072">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4211" w14:textId="77777777" w:rsidR="00F06FA3" w:rsidRDefault="00F06FA3">
      <w:r>
        <w:separator/>
      </w:r>
    </w:p>
  </w:endnote>
  <w:endnote w:type="continuationSeparator" w:id="0">
    <w:p w14:paraId="19E279AF" w14:textId="77777777" w:rsidR="00F06FA3" w:rsidRDefault="00F0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E27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2426ED"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9A9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3BB422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3257" w14:textId="77777777" w:rsidR="00F06FA3" w:rsidRDefault="00F06FA3">
      <w:r>
        <w:separator/>
      </w:r>
    </w:p>
  </w:footnote>
  <w:footnote w:type="continuationSeparator" w:id="0">
    <w:p w14:paraId="6649887A" w14:textId="77777777" w:rsidR="00F06FA3" w:rsidRDefault="00F06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DB"/>
    <w:rsid w:val="001D42E6"/>
    <w:rsid w:val="003B4752"/>
    <w:rsid w:val="004D5FF9"/>
    <w:rsid w:val="007178B0"/>
    <w:rsid w:val="00725F93"/>
    <w:rsid w:val="007C02C8"/>
    <w:rsid w:val="009833D1"/>
    <w:rsid w:val="00B00423"/>
    <w:rsid w:val="00B11072"/>
    <w:rsid w:val="00B941DB"/>
    <w:rsid w:val="00DA0607"/>
    <w:rsid w:val="00DB2729"/>
    <w:rsid w:val="00F06FA3"/>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F934A"/>
  <w15:docId w15:val="{110DB13A-5F5E-475C-B3B1-CEE7F6C4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366</ap:Words>
  <ap:Characters>2015</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2026-06-25T12:17:00.0000000Z</dcterms:created>
  <dcterms:modified xsi:type="dcterms:W3CDTF">2026-06-25T12:17:00.0000000Z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