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650" w:rsidR="00107650" w:rsidP="00107650" w:rsidRDefault="009D73DA" w14:paraId="6A6A405A" w14:textId="339207CB">
      <w:pPr>
        <w:ind w:left="1440" w:hanging="1440"/>
        <w:rPr>
          <w:rFonts w:ascii="Times New Roman" w:hAnsi="Times New Roman"/>
          <w:b/>
          <w:bCs/>
          <w:sz w:val="24"/>
        </w:rPr>
      </w:pPr>
      <w:r w:rsidRPr="009D73DA">
        <w:rPr>
          <w:rFonts w:ascii="Times New Roman" w:hAnsi="Times New Roman"/>
          <w:b/>
          <w:bCs/>
          <w:sz w:val="24"/>
        </w:rPr>
        <w:t>36</w:t>
      </w:r>
      <w:r w:rsidR="00107650">
        <w:rPr>
          <w:rFonts w:ascii="Times New Roman" w:hAnsi="Times New Roman"/>
          <w:b/>
          <w:bCs/>
          <w:sz w:val="24"/>
        </w:rPr>
        <w:t xml:space="preserve"> </w:t>
      </w:r>
      <w:r w:rsidR="001617FF">
        <w:rPr>
          <w:rFonts w:ascii="Times New Roman" w:hAnsi="Times New Roman"/>
          <w:b/>
          <w:bCs/>
          <w:sz w:val="24"/>
        </w:rPr>
        <w:t>774</w:t>
      </w:r>
      <w:r w:rsidRPr="000122BA" w:rsidR="000122BA">
        <w:rPr>
          <w:rFonts w:ascii="Times New Roman" w:hAnsi="Times New Roman"/>
          <w:sz w:val="24"/>
        </w:rPr>
        <w:tab/>
      </w:r>
      <w:r w:rsidRPr="00107650" w:rsidR="00107650">
        <w:rPr>
          <w:rFonts w:ascii="Times New Roman" w:hAnsi="Times New Roman"/>
          <w:b/>
          <w:bCs/>
          <w:sz w:val="24"/>
        </w:rPr>
        <w:t xml:space="preserve">Voorstel van wet van het lid </w:t>
      </w:r>
      <w:proofErr w:type="spellStart"/>
      <w:r w:rsidRPr="00107650" w:rsidR="00107650">
        <w:rPr>
          <w:rFonts w:ascii="Times New Roman" w:hAnsi="Times New Roman"/>
          <w:b/>
          <w:bCs/>
          <w:sz w:val="24"/>
        </w:rPr>
        <w:t>Bushoff</w:t>
      </w:r>
      <w:proofErr w:type="spellEnd"/>
      <w:r w:rsidRPr="00107650" w:rsidR="00107650">
        <w:rPr>
          <w:rFonts w:ascii="Times New Roman" w:hAnsi="Times New Roman"/>
          <w:b/>
          <w:bCs/>
          <w:sz w:val="24"/>
        </w:rPr>
        <w:t xml:space="preserve"> tot wijziging van de Mededingingswet in verband met de uitbreiding van het concentratietoezicht (Wet inroepbevoegdheid ACM)</w:t>
      </w:r>
    </w:p>
    <w:p w:rsidRPr="00396507" w:rsidR="00396507" w:rsidP="00396507" w:rsidRDefault="00396507" w14:paraId="2672DC62" w14:textId="0933A7B2">
      <w:pPr>
        <w:ind w:left="1440" w:hanging="1440"/>
        <w:rPr>
          <w:rFonts w:ascii="Times New Roman" w:hAnsi="Times New Roman"/>
          <w:b/>
          <w:bCs/>
          <w:sz w:val="24"/>
        </w:rPr>
      </w:pPr>
    </w:p>
    <w:p w:rsidR="000469EA" w:rsidP="00A320C1" w:rsidRDefault="000469EA" w14:paraId="3A44E230" w14:textId="77777777">
      <w:pPr>
        <w:spacing w:line="240" w:lineRule="auto"/>
        <w:ind w:left="1440" w:hanging="1440"/>
        <w:jc w:val="both"/>
        <w:rPr>
          <w:rFonts w:ascii="Times New Roman" w:hAnsi="Times New Roman"/>
          <w:b/>
          <w:bCs/>
          <w:sz w:val="24"/>
        </w:rPr>
      </w:pPr>
    </w:p>
    <w:p w:rsidR="00752788" w:rsidP="001101CA" w:rsidRDefault="00107650" w14:paraId="002D447A" w14:textId="521E8B75">
      <w:pPr>
        <w:spacing w:line="240" w:lineRule="auto"/>
        <w:ind w:left="1440" w:hanging="1440"/>
        <w:jc w:val="both"/>
        <w:rPr>
          <w:rFonts w:ascii="Times New Roman" w:hAnsi="Times New Roman"/>
          <w:b/>
          <w:bCs/>
          <w:sz w:val="24"/>
        </w:rPr>
      </w:pPr>
      <w:r>
        <w:rPr>
          <w:rFonts w:ascii="Times New Roman" w:hAnsi="Times New Roman"/>
          <w:b/>
          <w:bCs/>
          <w:sz w:val="24"/>
        </w:rPr>
        <w:t>Nr. 8</w:t>
      </w:r>
      <w:r>
        <w:rPr>
          <w:rFonts w:ascii="Times New Roman" w:hAnsi="Times New Roman"/>
          <w:b/>
          <w:bCs/>
          <w:sz w:val="24"/>
        </w:rPr>
        <w:tab/>
      </w:r>
      <w:r w:rsidRPr="001101CA" w:rsidR="001101CA">
        <w:rPr>
          <w:rFonts w:ascii="Times New Roman" w:hAnsi="Times New Roman"/>
          <w:b/>
          <w:bCs/>
          <w:sz w:val="24"/>
        </w:rPr>
        <w:t xml:space="preserve">NOTA NAAR AANLEIDING VAN HET VERSLAG </w:t>
      </w:r>
    </w:p>
    <w:p w:rsidRPr="00752788" w:rsidR="0092495F" w:rsidP="00107650" w:rsidRDefault="001101CA" w14:paraId="63552A11" w14:textId="07B9E9D0">
      <w:pPr>
        <w:spacing w:line="240" w:lineRule="auto"/>
        <w:ind w:left="1440"/>
        <w:jc w:val="both"/>
        <w:rPr>
          <w:rFonts w:ascii="Times New Roman" w:hAnsi="Times New Roman"/>
          <w:color w:val="000000" w:themeColor="text1"/>
          <w:sz w:val="24"/>
        </w:rPr>
      </w:pPr>
      <w:r w:rsidRPr="00752788">
        <w:rPr>
          <w:rFonts w:ascii="Times New Roman" w:hAnsi="Times New Roman"/>
          <w:sz w:val="24"/>
        </w:rPr>
        <w:t xml:space="preserve">Ontvangen </w:t>
      </w:r>
      <w:r w:rsidRPr="00752788" w:rsidR="00752788">
        <w:rPr>
          <w:rFonts w:ascii="Times New Roman" w:hAnsi="Times New Roman"/>
          <w:color w:val="000000" w:themeColor="text1"/>
          <w:sz w:val="24"/>
        </w:rPr>
        <w:t>25 juni 2026</w:t>
      </w:r>
    </w:p>
    <w:p w:rsidRPr="000122BA" w:rsidR="001101CA" w:rsidP="00A320C1" w:rsidRDefault="001101CA" w14:paraId="18E43EE6" w14:textId="77777777">
      <w:pPr>
        <w:spacing w:line="240" w:lineRule="auto"/>
        <w:ind w:left="1440" w:hanging="1440"/>
        <w:jc w:val="both"/>
        <w:rPr>
          <w:rFonts w:ascii="Times New Roman" w:hAnsi="Times New Roman"/>
          <w:b/>
          <w:bCs/>
          <w:sz w:val="24"/>
        </w:rPr>
      </w:pPr>
    </w:p>
    <w:p w:rsidR="000469EA" w:rsidP="00A320C1" w:rsidRDefault="000469EA" w14:paraId="3D86C839" w14:textId="77777777">
      <w:pPr>
        <w:spacing w:line="240" w:lineRule="auto"/>
        <w:jc w:val="both"/>
        <w:rPr>
          <w:rFonts w:ascii="Times New Roman" w:hAnsi="Times New Roman"/>
          <w:sz w:val="24"/>
        </w:rPr>
      </w:pPr>
    </w:p>
    <w:p w:rsidR="00697514" w:rsidP="00A320C1" w:rsidRDefault="00697514" w14:paraId="4674C590" w14:textId="28E8E734">
      <w:pPr>
        <w:pStyle w:val="Lijstalinea"/>
        <w:numPr>
          <w:ilvl w:val="0"/>
          <w:numId w:val="12"/>
        </w:numPr>
        <w:spacing w:line="240" w:lineRule="auto"/>
        <w:jc w:val="both"/>
        <w:rPr>
          <w:rFonts w:ascii="Times New Roman" w:hAnsi="Times New Roman"/>
          <w:b/>
          <w:bCs/>
          <w:sz w:val="24"/>
        </w:rPr>
      </w:pPr>
      <w:r w:rsidRPr="00B606FE">
        <w:rPr>
          <w:rFonts w:ascii="Times New Roman" w:hAnsi="Times New Roman"/>
          <w:b/>
          <w:bCs/>
          <w:sz w:val="24"/>
        </w:rPr>
        <w:t>ALGEMEEN DEEL</w:t>
      </w:r>
    </w:p>
    <w:p w:rsidR="004E7971" w:rsidP="00A320C1" w:rsidRDefault="004E7971" w14:paraId="11D6BAE9" w14:textId="77777777">
      <w:pPr>
        <w:spacing w:line="240" w:lineRule="auto"/>
        <w:jc w:val="both"/>
        <w:rPr>
          <w:rFonts w:ascii="Times New Roman" w:hAnsi="Times New Roman"/>
          <w:b/>
          <w:bCs/>
          <w:sz w:val="24"/>
        </w:rPr>
      </w:pPr>
    </w:p>
    <w:p w:rsidRPr="00DE3DA2" w:rsidR="00FB7C71" w:rsidP="00A320C1" w:rsidRDefault="00FB7C71" w14:paraId="26F8CB51" w14:textId="462D2376">
      <w:pPr>
        <w:spacing w:line="240" w:lineRule="auto"/>
        <w:jc w:val="both"/>
        <w:rPr>
          <w:rFonts w:ascii="Times New Roman" w:hAnsi="Times New Roman"/>
          <w:i/>
          <w:iCs/>
          <w:sz w:val="24"/>
        </w:rPr>
      </w:pPr>
      <w:r w:rsidRPr="00DE3DA2">
        <w:rPr>
          <w:rFonts w:ascii="Times New Roman" w:hAnsi="Times New Roman"/>
          <w:i/>
          <w:iCs/>
          <w:sz w:val="24"/>
        </w:rPr>
        <w:t xml:space="preserve">De leden van de D66-fractie hebben met belangstelling kennisgenomen van </w:t>
      </w:r>
      <w:r w:rsidRPr="00DE3DA2" w:rsidR="003B13D6">
        <w:rPr>
          <w:rFonts w:ascii="Times New Roman" w:hAnsi="Times New Roman"/>
          <w:i/>
          <w:iCs/>
          <w:sz w:val="24"/>
        </w:rPr>
        <w:t>het wetsvoorstel van het lid Bushoff tot wijziging van de Mededingingswet in verband met de uitbreiding van het concentratietoezicht (Wet inroepbevoegdheid ACM)</w:t>
      </w:r>
      <w:r w:rsidRPr="00DE3DA2" w:rsidR="00D27B04">
        <w:rPr>
          <w:rFonts w:ascii="Times New Roman" w:hAnsi="Times New Roman"/>
          <w:i/>
          <w:iCs/>
          <w:sz w:val="24"/>
        </w:rPr>
        <w:t xml:space="preserve"> (het wetsvoorstel). </w:t>
      </w:r>
    </w:p>
    <w:p w:rsidRPr="00DE3DA2" w:rsidR="00FB7C71" w:rsidP="00A320C1" w:rsidRDefault="00FB7C71" w14:paraId="603804B1" w14:textId="77777777">
      <w:pPr>
        <w:spacing w:line="240" w:lineRule="auto"/>
        <w:jc w:val="both"/>
        <w:rPr>
          <w:rFonts w:ascii="Times New Roman" w:hAnsi="Times New Roman"/>
          <w:i/>
          <w:iCs/>
          <w:sz w:val="24"/>
        </w:rPr>
      </w:pPr>
    </w:p>
    <w:p w:rsidRPr="00DE3DA2" w:rsidR="004E7971" w:rsidP="00A320C1" w:rsidRDefault="004E7971" w14:paraId="1AC2AF18" w14:textId="04698EF1">
      <w:pPr>
        <w:spacing w:line="240" w:lineRule="auto"/>
        <w:jc w:val="both"/>
        <w:rPr>
          <w:rFonts w:ascii="Times New Roman" w:hAnsi="Times New Roman"/>
          <w:i/>
          <w:iCs/>
          <w:sz w:val="24"/>
        </w:rPr>
      </w:pPr>
      <w:r w:rsidRPr="00DE3DA2">
        <w:rPr>
          <w:rFonts w:ascii="Times New Roman" w:hAnsi="Times New Roman"/>
          <w:i/>
          <w:iCs/>
          <w:sz w:val="24"/>
        </w:rPr>
        <w:t>De leden van de VVD-fractie hebben kennisgenomen van het wetsvoorstel</w:t>
      </w:r>
      <w:r w:rsidRPr="00DE3DA2" w:rsidR="00D27B04">
        <w:rPr>
          <w:rFonts w:ascii="Times New Roman" w:hAnsi="Times New Roman"/>
          <w:i/>
          <w:iCs/>
          <w:sz w:val="24"/>
        </w:rPr>
        <w:t>.</w:t>
      </w:r>
      <w:r w:rsidRPr="00DE3DA2">
        <w:rPr>
          <w:rFonts w:ascii="Times New Roman" w:hAnsi="Times New Roman"/>
          <w:i/>
          <w:iCs/>
          <w:sz w:val="24"/>
        </w:rPr>
        <w:t xml:space="preserve"> </w:t>
      </w:r>
    </w:p>
    <w:p w:rsidRPr="00DE3DA2" w:rsidR="00431A81" w:rsidP="00A320C1" w:rsidRDefault="00431A81" w14:paraId="4FDB50C2" w14:textId="77777777">
      <w:pPr>
        <w:spacing w:line="240" w:lineRule="auto"/>
        <w:jc w:val="both"/>
        <w:rPr>
          <w:rFonts w:ascii="Times New Roman" w:hAnsi="Times New Roman"/>
          <w:i/>
          <w:iCs/>
          <w:sz w:val="24"/>
        </w:rPr>
      </w:pPr>
    </w:p>
    <w:p w:rsidRPr="00DE3DA2" w:rsidR="00431A81" w:rsidP="00A320C1" w:rsidRDefault="00431A81" w14:paraId="024C8231" w14:textId="27A95103">
      <w:pPr>
        <w:spacing w:line="240" w:lineRule="auto"/>
        <w:jc w:val="both"/>
        <w:rPr>
          <w:rFonts w:ascii="Times New Roman" w:hAnsi="Times New Roman"/>
          <w:b/>
          <w:bCs/>
          <w:i/>
          <w:iCs/>
          <w:sz w:val="24"/>
        </w:rPr>
      </w:pPr>
      <w:r w:rsidRPr="00DE3DA2">
        <w:rPr>
          <w:rFonts w:ascii="Times New Roman" w:hAnsi="Times New Roman"/>
          <w:i/>
          <w:iCs/>
          <w:sz w:val="24"/>
        </w:rPr>
        <w:t>De leden van de PVV-fractie hebben kennisgenomen van het wetsvoorstel.</w:t>
      </w:r>
    </w:p>
    <w:p w:rsidRPr="00DE3DA2" w:rsidR="00B606FE" w:rsidP="00A320C1" w:rsidRDefault="00B606FE" w14:paraId="2DE442F1" w14:textId="77777777">
      <w:pPr>
        <w:spacing w:line="240" w:lineRule="auto"/>
        <w:jc w:val="both"/>
        <w:rPr>
          <w:rFonts w:ascii="Times New Roman" w:hAnsi="Times New Roman"/>
          <w:b/>
          <w:bCs/>
          <w:i/>
          <w:iCs/>
          <w:sz w:val="24"/>
        </w:rPr>
      </w:pPr>
    </w:p>
    <w:p w:rsidRPr="00DE3DA2" w:rsidR="006D48E5" w:rsidP="00A320C1" w:rsidRDefault="006D48E5" w14:paraId="51E85775" w14:textId="77777777">
      <w:pPr>
        <w:spacing w:line="240" w:lineRule="auto"/>
        <w:jc w:val="both"/>
        <w:rPr>
          <w:rFonts w:ascii="Times New Roman" w:hAnsi="Times New Roman"/>
          <w:i/>
          <w:iCs/>
          <w:sz w:val="24"/>
        </w:rPr>
      </w:pPr>
      <w:r w:rsidRPr="00DE3DA2">
        <w:rPr>
          <w:rFonts w:ascii="Times New Roman" w:hAnsi="Times New Roman"/>
          <w:i/>
          <w:iCs/>
          <w:sz w:val="24"/>
        </w:rPr>
        <w:t>De leden van de CDA-fractie willen allereerst hun waardering uitspreken voor het lid Bushoff en zijn ondersteuning voor het opstellen en indienen van deze uitgebreide initiatiefwet. Zij zijn zich er terdege van bewust dat het opstellen van een dergelijk initiatiefwetsvoorstel veel tijd en denkkracht vergt. De memorie van toelichting biedt bovendien een interessant overzicht van het internationale mededingingsbeleid.  </w:t>
      </w:r>
    </w:p>
    <w:p w:rsidRPr="00DE3DA2" w:rsidR="00C711EA" w:rsidP="00A320C1" w:rsidRDefault="00C711EA" w14:paraId="1477F7F8" w14:textId="77777777">
      <w:pPr>
        <w:spacing w:line="240" w:lineRule="auto"/>
        <w:jc w:val="both"/>
        <w:rPr>
          <w:rFonts w:ascii="Times New Roman" w:hAnsi="Times New Roman"/>
          <w:i/>
          <w:iCs/>
          <w:sz w:val="24"/>
        </w:rPr>
      </w:pPr>
    </w:p>
    <w:p w:rsidRPr="00DE3DA2" w:rsidR="006D48E5" w:rsidP="00A320C1" w:rsidRDefault="006D48E5" w14:paraId="39931C6A" w14:textId="71B98278">
      <w:pPr>
        <w:spacing w:line="240" w:lineRule="auto"/>
        <w:jc w:val="both"/>
        <w:rPr>
          <w:rFonts w:ascii="Times New Roman" w:hAnsi="Times New Roman"/>
          <w:i/>
          <w:iCs/>
          <w:sz w:val="24"/>
        </w:rPr>
      </w:pPr>
      <w:r w:rsidRPr="00DE3DA2">
        <w:rPr>
          <w:rFonts w:ascii="Times New Roman" w:hAnsi="Times New Roman"/>
          <w:i/>
          <w:iCs/>
          <w:sz w:val="24"/>
        </w:rPr>
        <w:t xml:space="preserve">De leden van de CDA-fractie staan in beginsel niet onwelwillend tegenover de doelstelling van het wetsvoorstel. Op basis van onderzoek van de </w:t>
      </w:r>
      <w:r w:rsidRPr="00DE3DA2" w:rsidR="00A320C1">
        <w:rPr>
          <w:rFonts w:ascii="Times New Roman" w:hAnsi="Times New Roman"/>
          <w:i/>
          <w:iCs/>
          <w:sz w:val="24"/>
        </w:rPr>
        <w:t>Autoriteit Consument en Markt (</w:t>
      </w:r>
      <w:r w:rsidRPr="00DE3DA2">
        <w:rPr>
          <w:rFonts w:ascii="Times New Roman" w:hAnsi="Times New Roman"/>
          <w:i/>
          <w:iCs/>
          <w:sz w:val="24"/>
        </w:rPr>
        <w:t>ACM</w:t>
      </w:r>
      <w:r w:rsidRPr="00DE3DA2" w:rsidR="00A320C1">
        <w:rPr>
          <w:rFonts w:ascii="Times New Roman" w:hAnsi="Times New Roman"/>
          <w:i/>
          <w:iCs/>
          <w:sz w:val="24"/>
        </w:rPr>
        <w:t>)</w:t>
      </w:r>
      <w:r w:rsidRPr="00DE3DA2">
        <w:rPr>
          <w:rFonts w:ascii="Times New Roman" w:hAnsi="Times New Roman"/>
          <w:i/>
          <w:iCs/>
          <w:sz w:val="24"/>
        </w:rPr>
        <w:t xml:space="preserve"> constateren zij dat in bepaalde markten sprake is van een afname van de concurrentie. Een goed functionerende concurrentie draagt echter juist bij aan innovatie, economische weerbaarheid, betaalbare prijzen en keuzevrijheid voor consumenten.</w:t>
      </w:r>
      <w:r w:rsidRPr="00DE3DA2" w:rsidR="00C62445">
        <w:rPr>
          <w:rFonts w:ascii="Times New Roman" w:hAnsi="Times New Roman"/>
          <w:i/>
          <w:iCs/>
          <w:sz w:val="24"/>
        </w:rPr>
        <w:t xml:space="preserve"> </w:t>
      </w:r>
      <w:r w:rsidRPr="00DE3DA2">
        <w:rPr>
          <w:rFonts w:ascii="Times New Roman" w:hAnsi="Times New Roman"/>
          <w:i/>
          <w:iCs/>
          <w:sz w:val="24"/>
        </w:rPr>
        <w:t>Met betrekking tot de risico’s die kunnen ontstaan door een reeks kleinere overnames, zogenoemd ‘kralenrijgen’, of door de overname van innovatieve concurrenten die onder de huidige omzetdrempels blijven, herkennen de</w:t>
      </w:r>
      <w:r w:rsidRPr="00DE3DA2" w:rsidR="00C62445">
        <w:rPr>
          <w:rFonts w:ascii="Times New Roman" w:hAnsi="Times New Roman"/>
          <w:i/>
          <w:iCs/>
          <w:sz w:val="24"/>
        </w:rPr>
        <w:t>ze</w:t>
      </w:r>
      <w:r w:rsidRPr="00DE3DA2">
        <w:rPr>
          <w:rFonts w:ascii="Times New Roman" w:hAnsi="Times New Roman"/>
          <w:i/>
          <w:iCs/>
          <w:sz w:val="24"/>
        </w:rPr>
        <w:t xml:space="preserve"> leden de door de initiatiefnemer geschetste problematiek. Dat geldt in het bijzonder voor sectoren waarin de markt lokaal of regionaal is georganiseerd, zoals delen van de zorgsector. </w:t>
      </w:r>
    </w:p>
    <w:p w:rsidRPr="00DE3DA2" w:rsidR="00C62445" w:rsidP="00A320C1" w:rsidRDefault="00C62445" w14:paraId="485612A3" w14:textId="77777777">
      <w:pPr>
        <w:spacing w:line="240" w:lineRule="auto"/>
        <w:jc w:val="both"/>
        <w:rPr>
          <w:rFonts w:ascii="Times New Roman" w:hAnsi="Times New Roman"/>
          <w:i/>
          <w:iCs/>
          <w:sz w:val="24"/>
        </w:rPr>
      </w:pPr>
    </w:p>
    <w:p w:rsidRPr="00DE3DA2" w:rsidR="00C62445" w:rsidP="00A320C1" w:rsidRDefault="006D48E5" w14:paraId="46270A91" w14:textId="77777777">
      <w:pPr>
        <w:spacing w:line="240" w:lineRule="auto"/>
        <w:jc w:val="both"/>
        <w:rPr>
          <w:rFonts w:ascii="Times New Roman" w:hAnsi="Times New Roman"/>
          <w:i/>
          <w:iCs/>
          <w:sz w:val="24"/>
        </w:rPr>
      </w:pPr>
      <w:r w:rsidRPr="00DE3DA2">
        <w:rPr>
          <w:rFonts w:ascii="Times New Roman" w:hAnsi="Times New Roman"/>
          <w:i/>
          <w:iCs/>
          <w:sz w:val="24"/>
        </w:rPr>
        <w:t xml:space="preserve">Tegelijkertijd constateren de leden van de CDA-fractie dat het wetsvoorstel een ingrijpende uitbreiding van het instrumentarium van de ACM behelst. Deze leden achten het daarom van belang dat overtuigend wordt aangetoond dat een generieke inroepbevoegdheid noodzakelijk, proportioneel en uitvoerbaar is. Zij hebben in dat kader vragen over de gevolgen voor de rechtszekerheid van ondernemingen, de administratieve lasten en doorlooptijden voor het </w:t>
      </w:r>
      <w:r w:rsidRPr="00DE3DA2">
        <w:rPr>
          <w:rFonts w:ascii="Times New Roman" w:hAnsi="Times New Roman"/>
          <w:i/>
          <w:iCs/>
          <w:sz w:val="24"/>
        </w:rPr>
        <w:lastRenderedPageBreak/>
        <w:t>bedrijfsleven, de uitvoerbaarheid voor de ACM en de afweging tussen een generieke bevoegdheid en meer sectorspecifieke alternatieven. </w:t>
      </w:r>
    </w:p>
    <w:p w:rsidRPr="00DE3DA2" w:rsidR="00C62445" w:rsidP="00A320C1" w:rsidRDefault="00C62445" w14:paraId="75DF358E" w14:textId="77777777">
      <w:pPr>
        <w:spacing w:line="240" w:lineRule="auto"/>
        <w:jc w:val="both"/>
        <w:rPr>
          <w:rFonts w:ascii="Times New Roman" w:hAnsi="Times New Roman"/>
          <w:i/>
          <w:iCs/>
          <w:sz w:val="24"/>
        </w:rPr>
      </w:pPr>
    </w:p>
    <w:p w:rsidRPr="00DE3DA2" w:rsidR="006D48E5" w:rsidP="00A320C1" w:rsidRDefault="006D48E5" w14:paraId="5BB5EEF0" w14:textId="6A576F7F">
      <w:pPr>
        <w:spacing w:line="240" w:lineRule="auto"/>
        <w:jc w:val="both"/>
        <w:rPr>
          <w:rFonts w:ascii="Times New Roman" w:hAnsi="Times New Roman"/>
          <w:i/>
          <w:iCs/>
          <w:sz w:val="24"/>
        </w:rPr>
      </w:pPr>
      <w:r w:rsidRPr="00DE3DA2">
        <w:rPr>
          <w:rFonts w:ascii="Times New Roman" w:hAnsi="Times New Roman"/>
          <w:i/>
          <w:iCs/>
          <w:sz w:val="24"/>
        </w:rPr>
        <w:t>Daarnaast zien de leden van de CDA</w:t>
      </w:r>
      <w:r w:rsidRPr="00DE3DA2" w:rsidR="00C62445">
        <w:rPr>
          <w:rFonts w:ascii="Times New Roman" w:hAnsi="Times New Roman"/>
          <w:i/>
          <w:iCs/>
          <w:sz w:val="24"/>
        </w:rPr>
        <w:t>-</w:t>
      </w:r>
      <w:r w:rsidRPr="00DE3DA2">
        <w:rPr>
          <w:rFonts w:ascii="Times New Roman" w:hAnsi="Times New Roman"/>
          <w:i/>
          <w:iCs/>
          <w:sz w:val="24"/>
        </w:rPr>
        <w:t>fractie dat het voorliggende wetsvoorstel veel open normen hanteert en veel beoordelingsruimte laat voor de ACM. Daarin kan een spanning ontstaan tussen onafhankelijke uitvoering en democratische legitimiteit. Ook daar zullen zij op ingaan.   </w:t>
      </w:r>
    </w:p>
    <w:p w:rsidR="00DE6931" w:rsidP="00A320C1" w:rsidRDefault="00DE6931" w14:paraId="5B93095B" w14:textId="77777777">
      <w:pPr>
        <w:spacing w:line="240" w:lineRule="auto"/>
        <w:jc w:val="both"/>
        <w:rPr>
          <w:rFonts w:ascii="Times New Roman" w:hAnsi="Times New Roman"/>
          <w:sz w:val="24"/>
        </w:rPr>
      </w:pPr>
    </w:p>
    <w:p w:rsidR="00DE3DA2" w:rsidP="00A320C1" w:rsidRDefault="00DE3DA2" w14:paraId="3945FE1A" w14:textId="58D74083">
      <w:pPr>
        <w:spacing w:line="240" w:lineRule="auto"/>
        <w:jc w:val="both"/>
        <w:rPr>
          <w:rFonts w:ascii="Times New Roman" w:hAnsi="Times New Roman"/>
          <w:sz w:val="24"/>
        </w:rPr>
      </w:pPr>
      <w:r w:rsidRPr="00DE3DA2">
        <w:rPr>
          <w:rFonts w:ascii="Times New Roman" w:hAnsi="Times New Roman"/>
          <w:sz w:val="24"/>
        </w:rPr>
        <w:t>De initiatiefnemer dank</w:t>
      </w:r>
      <w:r w:rsidR="00EB6E24">
        <w:rPr>
          <w:rFonts w:ascii="Times New Roman" w:hAnsi="Times New Roman"/>
          <w:sz w:val="24"/>
        </w:rPr>
        <w:t>t</w:t>
      </w:r>
      <w:r w:rsidRPr="00DE3DA2">
        <w:rPr>
          <w:rFonts w:ascii="Times New Roman" w:hAnsi="Times New Roman"/>
          <w:sz w:val="24"/>
        </w:rPr>
        <w:t xml:space="preserve"> de leden van de diverse fracties voor hun vragen en opmerkingen over het voorliggend wetsvoorstel. </w:t>
      </w:r>
      <w:r w:rsidR="00B22F30">
        <w:rPr>
          <w:rFonts w:ascii="Times New Roman" w:hAnsi="Times New Roman"/>
          <w:sz w:val="24"/>
        </w:rPr>
        <w:t>Hij zal</w:t>
      </w:r>
      <w:r w:rsidRPr="00DE3DA2">
        <w:rPr>
          <w:rFonts w:ascii="Times New Roman" w:hAnsi="Times New Roman"/>
          <w:sz w:val="24"/>
        </w:rPr>
        <w:t xml:space="preserve"> hierna trachten daar antwoord op te geven of op te reageren. </w:t>
      </w:r>
    </w:p>
    <w:p w:rsidR="00EB6E24" w:rsidP="00A320C1" w:rsidRDefault="00EB6E24" w14:paraId="5AB0465C" w14:textId="61AE9409">
      <w:pPr>
        <w:spacing w:line="240" w:lineRule="auto"/>
        <w:jc w:val="both"/>
        <w:rPr>
          <w:rFonts w:ascii="Times New Roman" w:hAnsi="Times New Roman"/>
          <w:sz w:val="24"/>
        </w:rPr>
      </w:pPr>
      <w:r>
        <w:rPr>
          <w:rFonts w:ascii="Times New Roman" w:hAnsi="Times New Roman"/>
          <w:sz w:val="24"/>
        </w:rPr>
        <w:t xml:space="preserve">Tevens is de initiatiefnemer verheugd </w:t>
      </w:r>
      <w:r w:rsidR="00085977">
        <w:rPr>
          <w:rFonts w:ascii="Times New Roman" w:hAnsi="Times New Roman"/>
          <w:sz w:val="24"/>
        </w:rPr>
        <w:t xml:space="preserve">dat in het </w:t>
      </w:r>
      <w:r w:rsidRPr="00B22F30" w:rsidR="00B22F30">
        <w:rPr>
          <w:rFonts w:ascii="Times New Roman" w:hAnsi="Times New Roman"/>
          <w:sz w:val="24"/>
        </w:rPr>
        <w:t xml:space="preserve">Coalitieakkoord 2026-2030 </w:t>
      </w:r>
      <w:r w:rsidR="00B22F30">
        <w:rPr>
          <w:rFonts w:ascii="Times New Roman" w:hAnsi="Times New Roman"/>
          <w:sz w:val="24"/>
        </w:rPr>
        <w:t xml:space="preserve">van </w:t>
      </w:r>
      <w:r w:rsidRPr="00B22F30" w:rsidR="00B22F30">
        <w:rPr>
          <w:rFonts w:ascii="Times New Roman" w:hAnsi="Times New Roman"/>
          <w:sz w:val="24"/>
        </w:rPr>
        <w:t>D66, VVD en CDA</w:t>
      </w:r>
      <w:r w:rsidR="00B22F30">
        <w:rPr>
          <w:rFonts w:ascii="Times New Roman" w:hAnsi="Times New Roman"/>
          <w:sz w:val="24"/>
        </w:rPr>
        <w:t xml:space="preserve"> het voornemen is opgenomen dat om </w:t>
      </w:r>
      <w:r w:rsidRPr="00EB6E24">
        <w:rPr>
          <w:rFonts w:ascii="Times New Roman" w:hAnsi="Times New Roman"/>
          <w:sz w:val="24"/>
        </w:rPr>
        <w:t>een gezonde marktwerking te bevorderen</w:t>
      </w:r>
      <w:r w:rsidR="00B22F30">
        <w:rPr>
          <w:rFonts w:ascii="Times New Roman" w:hAnsi="Times New Roman"/>
          <w:sz w:val="24"/>
        </w:rPr>
        <w:t xml:space="preserve"> </w:t>
      </w:r>
      <w:r w:rsidRPr="00EB6E24">
        <w:rPr>
          <w:rFonts w:ascii="Times New Roman" w:hAnsi="Times New Roman"/>
          <w:sz w:val="24"/>
        </w:rPr>
        <w:t xml:space="preserve">de Autoriteit Consument en Markt </w:t>
      </w:r>
      <w:r w:rsidR="00B22F30">
        <w:rPr>
          <w:rFonts w:ascii="Times New Roman" w:hAnsi="Times New Roman"/>
          <w:sz w:val="24"/>
        </w:rPr>
        <w:t xml:space="preserve">(ACM) </w:t>
      </w:r>
      <w:r w:rsidRPr="00EB6E24">
        <w:rPr>
          <w:rFonts w:ascii="Times New Roman" w:hAnsi="Times New Roman"/>
          <w:sz w:val="24"/>
        </w:rPr>
        <w:t xml:space="preserve">als marktmeester </w:t>
      </w:r>
      <w:r w:rsidR="00B22F30">
        <w:rPr>
          <w:rFonts w:ascii="Times New Roman" w:hAnsi="Times New Roman"/>
          <w:sz w:val="24"/>
        </w:rPr>
        <w:t xml:space="preserve">een inroepbevoegdheid </w:t>
      </w:r>
      <w:r w:rsidR="00CA19BE">
        <w:rPr>
          <w:rFonts w:ascii="Times New Roman" w:hAnsi="Times New Roman"/>
          <w:sz w:val="24"/>
        </w:rPr>
        <w:t>moet krijgen</w:t>
      </w:r>
      <w:r w:rsidR="00B22F30">
        <w:rPr>
          <w:rFonts w:ascii="Times New Roman" w:hAnsi="Times New Roman"/>
          <w:sz w:val="24"/>
        </w:rPr>
        <w:t>.</w:t>
      </w:r>
      <w:r w:rsidRPr="00EB6E24">
        <w:rPr>
          <w:rFonts w:ascii="Times New Roman" w:hAnsi="Times New Roman"/>
          <w:sz w:val="24"/>
        </w:rPr>
        <w:t xml:space="preserve"> </w:t>
      </w:r>
      <w:r w:rsidR="00E7049F">
        <w:rPr>
          <w:rFonts w:ascii="Times New Roman" w:hAnsi="Times New Roman"/>
          <w:sz w:val="24"/>
        </w:rPr>
        <w:t>Hij hoopt met het voorliggend wetsvoorstel invulling aan dat voornemen te kunnen geven.</w:t>
      </w:r>
    </w:p>
    <w:p w:rsidRPr="006D48E5" w:rsidR="00DE3DA2" w:rsidP="00A320C1" w:rsidRDefault="00DE3DA2" w14:paraId="12EA943B" w14:textId="77777777">
      <w:pPr>
        <w:spacing w:line="240" w:lineRule="auto"/>
        <w:jc w:val="both"/>
        <w:rPr>
          <w:rFonts w:ascii="Times New Roman" w:hAnsi="Times New Roman"/>
          <w:sz w:val="24"/>
        </w:rPr>
      </w:pPr>
    </w:p>
    <w:p w:rsidRPr="00697514" w:rsidR="00697514" w:rsidP="00A320C1" w:rsidRDefault="00697514" w14:paraId="08CC1050" w14:textId="77777777">
      <w:pPr>
        <w:spacing w:line="240" w:lineRule="auto"/>
        <w:jc w:val="both"/>
        <w:rPr>
          <w:rFonts w:ascii="Times New Roman" w:hAnsi="Times New Roman"/>
          <w:sz w:val="24"/>
        </w:rPr>
      </w:pPr>
    </w:p>
    <w:p w:rsidRPr="009850EC" w:rsidR="00697514" w:rsidP="00A320C1" w:rsidRDefault="00697514" w14:paraId="179A8F3A" w14:textId="683C19CE">
      <w:pPr>
        <w:pStyle w:val="Lijstalinea"/>
        <w:numPr>
          <w:ilvl w:val="0"/>
          <w:numId w:val="11"/>
        </w:numPr>
        <w:spacing w:line="240" w:lineRule="auto"/>
        <w:jc w:val="both"/>
        <w:rPr>
          <w:rFonts w:ascii="Times New Roman" w:hAnsi="Times New Roman"/>
          <w:b/>
          <w:bCs/>
          <w:sz w:val="24"/>
        </w:rPr>
      </w:pPr>
      <w:r w:rsidRPr="009850EC">
        <w:rPr>
          <w:rFonts w:ascii="Times New Roman" w:hAnsi="Times New Roman"/>
          <w:b/>
          <w:bCs/>
          <w:sz w:val="24"/>
        </w:rPr>
        <w:t>Inleiding</w:t>
      </w:r>
    </w:p>
    <w:p w:rsidR="009850EC" w:rsidP="00A320C1" w:rsidRDefault="009850EC" w14:paraId="766DAABD" w14:textId="77777777">
      <w:pPr>
        <w:spacing w:line="240" w:lineRule="auto"/>
        <w:jc w:val="both"/>
        <w:rPr>
          <w:rFonts w:ascii="Times New Roman" w:hAnsi="Times New Roman"/>
          <w:b/>
          <w:bCs/>
          <w:sz w:val="24"/>
        </w:rPr>
      </w:pPr>
    </w:p>
    <w:p w:rsidRPr="004A7AD4" w:rsidR="002D06E5" w:rsidP="00A320C1" w:rsidRDefault="00AD6A15" w14:paraId="60CD891F" w14:textId="0C863F6F">
      <w:pPr>
        <w:spacing w:line="240" w:lineRule="auto"/>
        <w:jc w:val="both"/>
        <w:rPr>
          <w:rFonts w:ascii="Times New Roman" w:hAnsi="Times New Roman"/>
          <w:i/>
          <w:iCs/>
          <w:sz w:val="24"/>
        </w:rPr>
      </w:pPr>
      <w:r w:rsidRPr="004A7AD4">
        <w:rPr>
          <w:rFonts w:ascii="Times New Roman" w:hAnsi="Times New Roman"/>
          <w:i/>
          <w:iCs/>
          <w:sz w:val="24"/>
        </w:rPr>
        <w:t xml:space="preserve">De leden </w:t>
      </w:r>
      <w:r w:rsidRPr="004A7AD4" w:rsidR="006D3687">
        <w:rPr>
          <w:rFonts w:ascii="Times New Roman" w:hAnsi="Times New Roman"/>
          <w:i/>
          <w:iCs/>
          <w:sz w:val="24"/>
        </w:rPr>
        <w:t xml:space="preserve">van de D66-fractie </w:t>
      </w:r>
      <w:r w:rsidRPr="004A7AD4">
        <w:rPr>
          <w:rFonts w:ascii="Times New Roman" w:hAnsi="Times New Roman"/>
          <w:i/>
          <w:iCs/>
          <w:sz w:val="24"/>
        </w:rPr>
        <w:t>delen de analyse die ten grondslag ligt</w:t>
      </w:r>
      <w:r w:rsidRPr="004A7AD4" w:rsidR="00A4592E">
        <w:rPr>
          <w:rFonts w:ascii="Times New Roman" w:hAnsi="Times New Roman"/>
          <w:i/>
          <w:iCs/>
          <w:sz w:val="24"/>
        </w:rPr>
        <w:t xml:space="preserve"> aan het wetsvoorstel</w:t>
      </w:r>
      <w:r w:rsidRPr="004A7AD4">
        <w:rPr>
          <w:rFonts w:ascii="Times New Roman" w:hAnsi="Times New Roman"/>
          <w:i/>
          <w:iCs/>
          <w:sz w:val="24"/>
        </w:rPr>
        <w:t xml:space="preserve">: ook concentraties die onder de huidige omzetdrempels blijven, kunnen de mededinging en daarmee het belang van consumenten schaden, in het bijzonder via “kralenrijgen” en zogenoemde killer </w:t>
      </w:r>
      <w:r w:rsidRPr="004A7AD4" w:rsidR="00F5607E">
        <w:rPr>
          <w:rFonts w:ascii="Times New Roman" w:hAnsi="Times New Roman"/>
          <w:i/>
          <w:iCs/>
          <w:sz w:val="24"/>
        </w:rPr>
        <w:t>acquisities</w:t>
      </w:r>
      <w:r w:rsidRPr="004A7AD4">
        <w:rPr>
          <w:rFonts w:ascii="Times New Roman" w:hAnsi="Times New Roman"/>
          <w:i/>
          <w:iCs/>
          <w:sz w:val="24"/>
        </w:rPr>
        <w:t>.</w:t>
      </w:r>
      <w:r w:rsidRPr="004A7AD4" w:rsidR="00C62445">
        <w:rPr>
          <w:rFonts w:ascii="Times New Roman" w:hAnsi="Times New Roman"/>
          <w:i/>
          <w:iCs/>
          <w:sz w:val="24"/>
        </w:rPr>
        <w:t xml:space="preserve"> </w:t>
      </w:r>
      <w:r w:rsidRPr="004A7AD4">
        <w:rPr>
          <w:rFonts w:ascii="Times New Roman" w:hAnsi="Times New Roman"/>
          <w:i/>
          <w:iCs/>
          <w:sz w:val="24"/>
        </w:rPr>
        <w:t>Deze leden wijzen erop dat het versterken van het mededingingsinstrumentarium met een inroepbevoegdheid aansluit bij de afspraak in het coalitieakkoord om de ACM als marktmeester twee nieuwe instrumenten te geven — de call-</w:t>
      </w:r>
      <w:proofErr w:type="spellStart"/>
      <w:r w:rsidRPr="004A7AD4">
        <w:rPr>
          <w:rFonts w:ascii="Times New Roman" w:hAnsi="Times New Roman"/>
          <w:i/>
          <w:iCs/>
          <w:sz w:val="24"/>
        </w:rPr>
        <w:t>inbevoegdheid</w:t>
      </w:r>
      <w:proofErr w:type="spellEnd"/>
      <w:r w:rsidRPr="004A7AD4">
        <w:rPr>
          <w:rFonts w:ascii="Times New Roman" w:hAnsi="Times New Roman"/>
          <w:i/>
          <w:iCs/>
          <w:sz w:val="24"/>
        </w:rPr>
        <w:t xml:space="preserve"> en de New </w:t>
      </w:r>
      <w:proofErr w:type="spellStart"/>
      <w:r w:rsidRPr="004A7AD4">
        <w:rPr>
          <w:rFonts w:ascii="Times New Roman" w:hAnsi="Times New Roman"/>
          <w:i/>
          <w:iCs/>
          <w:sz w:val="24"/>
        </w:rPr>
        <w:t>Competition</w:t>
      </w:r>
      <w:proofErr w:type="spellEnd"/>
      <w:r w:rsidRPr="004A7AD4">
        <w:rPr>
          <w:rFonts w:ascii="Times New Roman" w:hAnsi="Times New Roman"/>
          <w:i/>
          <w:iCs/>
          <w:sz w:val="24"/>
        </w:rPr>
        <w:t xml:space="preserve"> Tool — en bij voorstellen die </w:t>
      </w:r>
      <w:r w:rsidRPr="004A7AD4" w:rsidR="00412CFF">
        <w:rPr>
          <w:rFonts w:ascii="Times New Roman" w:hAnsi="Times New Roman"/>
          <w:i/>
          <w:iCs/>
          <w:sz w:val="24"/>
        </w:rPr>
        <w:t xml:space="preserve">de leden van de </w:t>
      </w:r>
      <w:r w:rsidRPr="004A7AD4">
        <w:rPr>
          <w:rFonts w:ascii="Times New Roman" w:hAnsi="Times New Roman"/>
          <w:i/>
          <w:iCs/>
          <w:sz w:val="24"/>
        </w:rPr>
        <w:t>D66</w:t>
      </w:r>
      <w:r w:rsidRPr="004A7AD4" w:rsidR="00412CFF">
        <w:rPr>
          <w:rFonts w:ascii="Times New Roman" w:hAnsi="Times New Roman"/>
          <w:i/>
          <w:iCs/>
          <w:sz w:val="24"/>
        </w:rPr>
        <w:t>-fractie</w:t>
      </w:r>
      <w:r w:rsidRPr="004A7AD4">
        <w:rPr>
          <w:rFonts w:ascii="Times New Roman" w:hAnsi="Times New Roman"/>
          <w:i/>
          <w:iCs/>
          <w:sz w:val="24"/>
        </w:rPr>
        <w:t xml:space="preserve"> zelf he</w:t>
      </w:r>
      <w:r w:rsidRPr="004A7AD4" w:rsidR="00412CFF">
        <w:rPr>
          <w:rFonts w:ascii="Times New Roman" w:hAnsi="Times New Roman"/>
          <w:i/>
          <w:iCs/>
          <w:sz w:val="24"/>
        </w:rPr>
        <w:t xml:space="preserve">bben </w:t>
      </w:r>
      <w:r w:rsidRPr="004A7AD4">
        <w:rPr>
          <w:rFonts w:ascii="Times New Roman" w:hAnsi="Times New Roman"/>
          <w:i/>
          <w:iCs/>
          <w:sz w:val="24"/>
        </w:rPr>
        <w:t>gedaan, onder meer bij de op 22 oktober 2024 door de Kamer aangenomen motie die de regering verzocht een call-</w:t>
      </w:r>
      <w:proofErr w:type="spellStart"/>
      <w:r w:rsidRPr="004A7AD4">
        <w:rPr>
          <w:rFonts w:ascii="Times New Roman" w:hAnsi="Times New Roman"/>
          <w:i/>
          <w:iCs/>
          <w:sz w:val="24"/>
        </w:rPr>
        <w:t>inbevoegdheid</w:t>
      </w:r>
      <w:proofErr w:type="spellEnd"/>
      <w:r w:rsidRPr="004A7AD4">
        <w:rPr>
          <w:rFonts w:ascii="Times New Roman" w:hAnsi="Times New Roman"/>
          <w:i/>
          <w:iCs/>
          <w:sz w:val="24"/>
        </w:rPr>
        <w:t xml:space="preserve"> in de Mededingingswet op te nemen</w:t>
      </w:r>
      <w:r w:rsidRPr="004A7AD4" w:rsidR="00384181">
        <w:rPr>
          <w:rFonts w:ascii="Times New Roman" w:hAnsi="Times New Roman"/>
          <w:i/>
          <w:iCs/>
          <w:sz w:val="24"/>
        </w:rPr>
        <w:t>.</w:t>
      </w:r>
      <w:r w:rsidRPr="004A7AD4" w:rsidR="00384181">
        <w:rPr>
          <w:rStyle w:val="Voetnootmarkering"/>
          <w:rFonts w:ascii="Times New Roman" w:hAnsi="Times New Roman"/>
          <w:i/>
          <w:iCs/>
          <w:sz w:val="24"/>
        </w:rPr>
        <w:footnoteReference w:id="1"/>
      </w:r>
      <w:r w:rsidRPr="004A7AD4">
        <w:rPr>
          <w:rFonts w:ascii="Times New Roman" w:hAnsi="Times New Roman"/>
          <w:i/>
          <w:iCs/>
          <w:sz w:val="24"/>
        </w:rPr>
        <w:t xml:space="preserve"> Deze leden steunen de hoofdlijn van het voorstel en hebben daarbij nog enkele vragen.</w:t>
      </w:r>
    </w:p>
    <w:p w:rsidRPr="004A7AD4" w:rsidR="00CF7733" w:rsidP="00A320C1" w:rsidRDefault="00CF7733" w14:paraId="57D40501" w14:textId="77777777">
      <w:pPr>
        <w:spacing w:line="240" w:lineRule="auto"/>
        <w:jc w:val="both"/>
        <w:rPr>
          <w:rFonts w:ascii="Times New Roman" w:hAnsi="Times New Roman"/>
          <w:i/>
          <w:iCs/>
          <w:sz w:val="24"/>
        </w:rPr>
      </w:pPr>
    </w:p>
    <w:p w:rsidRPr="004A7AD4" w:rsidR="0042604B" w:rsidP="00A320C1" w:rsidRDefault="0042604B" w14:paraId="30E539AB" w14:textId="6795D66A">
      <w:pPr>
        <w:spacing w:line="240" w:lineRule="auto"/>
        <w:jc w:val="both"/>
        <w:rPr>
          <w:rFonts w:ascii="Times New Roman" w:hAnsi="Times New Roman"/>
          <w:i/>
          <w:iCs/>
          <w:sz w:val="24"/>
        </w:rPr>
      </w:pPr>
      <w:r w:rsidRPr="004A7AD4">
        <w:rPr>
          <w:rFonts w:ascii="Times New Roman" w:hAnsi="Times New Roman"/>
          <w:i/>
          <w:iCs/>
          <w:sz w:val="24"/>
        </w:rPr>
        <w:t xml:space="preserve">De leden </w:t>
      </w:r>
      <w:r w:rsidRPr="004A7AD4" w:rsidR="00A4592E">
        <w:rPr>
          <w:rFonts w:ascii="Times New Roman" w:hAnsi="Times New Roman"/>
          <w:i/>
          <w:iCs/>
          <w:sz w:val="24"/>
        </w:rPr>
        <w:t xml:space="preserve">van de VVD-fractie </w:t>
      </w:r>
      <w:r w:rsidRPr="004A7AD4">
        <w:rPr>
          <w:rFonts w:ascii="Times New Roman" w:hAnsi="Times New Roman"/>
          <w:i/>
          <w:iCs/>
          <w:sz w:val="24"/>
        </w:rPr>
        <w:t xml:space="preserve">waarderen de inzet die de initiatiefnemer op dit onderwerp toont. Deze leden delen de opmerking </w:t>
      </w:r>
      <w:r w:rsidRPr="004A7AD4" w:rsidR="00676426">
        <w:rPr>
          <w:rFonts w:ascii="Times New Roman" w:hAnsi="Times New Roman"/>
          <w:i/>
          <w:iCs/>
          <w:sz w:val="24"/>
        </w:rPr>
        <w:t xml:space="preserve">van de indiener </w:t>
      </w:r>
      <w:r w:rsidRPr="004A7AD4">
        <w:rPr>
          <w:rFonts w:ascii="Times New Roman" w:hAnsi="Times New Roman"/>
          <w:i/>
          <w:iCs/>
          <w:sz w:val="24"/>
        </w:rPr>
        <w:t xml:space="preserve">in de </w:t>
      </w:r>
      <w:r w:rsidRPr="004A7AD4" w:rsidR="00970607">
        <w:rPr>
          <w:rFonts w:ascii="Times New Roman" w:hAnsi="Times New Roman"/>
          <w:i/>
          <w:iCs/>
          <w:sz w:val="24"/>
        </w:rPr>
        <w:t>t</w:t>
      </w:r>
      <w:r w:rsidRPr="004A7AD4">
        <w:rPr>
          <w:rFonts w:ascii="Times New Roman" w:hAnsi="Times New Roman"/>
          <w:i/>
          <w:iCs/>
          <w:sz w:val="24"/>
        </w:rPr>
        <w:t>oelichting dat het beter is om onevenredige marktconcentratie</w:t>
      </w:r>
      <w:r w:rsidRPr="004A7AD4" w:rsidR="00A80950">
        <w:rPr>
          <w:rFonts w:ascii="Times New Roman" w:hAnsi="Times New Roman"/>
          <w:i/>
          <w:iCs/>
          <w:sz w:val="24"/>
        </w:rPr>
        <w:t>s</w:t>
      </w:r>
      <w:r w:rsidRPr="004A7AD4">
        <w:rPr>
          <w:rFonts w:ascii="Times New Roman" w:hAnsi="Times New Roman"/>
          <w:i/>
          <w:iCs/>
          <w:sz w:val="24"/>
        </w:rPr>
        <w:t xml:space="preserve"> te voorkomen dan </w:t>
      </w:r>
      <w:r w:rsidRPr="004A7AD4" w:rsidR="00A80950">
        <w:rPr>
          <w:rFonts w:ascii="Times New Roman" w:hAnsi="Times New Roman"/>
          <w:i/>
          <w:iCs/>
          <w:sz w:val="24"/>
        </w:rPr>
        <w:t xml:space="preserve">dat </w:t>
      </w:r>
      <w:r w:rsidRPr="004A7AD4">
        <w:rPr>
          <w:rFonts w:ascii="Times New Roman" w:hAnsi="Times New Roman"/>
          <w:i/>
          <w:iCs/>
          <w:sz w:val="24"/>
        </w:rPr>
        <w:t xml:space="preserve">dit achteraf </w:t>
      </w:r>
      <w:r w:rsidRPr="004A7AD4" w:rsidR="00A80950">
        <w:rPr>
          <w:rFonts w:ascii="Times New Roman" w:hAnsi="Times New Roman"/>
          <w:i/>
          <w:iCs/>
          <w:sz w:val="24"/>
        </w:rPr>
        <w:t xml:space="preserve">wordt gecorrigeerd. </w:t>
      </w:r>
      <w:r w:rsidRPr="004A7AD4">
        <w:rPr>
          <w:rFonts w:ascii="Times New Roman" w:hAnsi="Times New Roman"/>
          <w:i/>
          <w:iCs/>
          <w:sz w:val="24"/>
        </w:rPr>
        <w:t xml:space="preserve">Deze leden hebben nog enkele opmerkingen en vragen over het wetsvoorstel. </w:t>
      </w:r>
    </w:p>
    <w:p w:rsidRPr="004A7AD4" w:rsidR="00C62445" w:rsidP="00A320C1" w:rsidRDefault="00C62445" w14:paraId="1C2DDAE4" w14:textId="77777777">
      <w:pPr>
        <w:spacing w:line="240" w:lineRule="auto"/>
        <w:jc w:val="both"/>
        <w:rPr>
          <w:rFonts w:ascii="Times New Roman" w:hAnsi="Times New Roman"/>
          <w:i/>
          <w:iCs/>
          <w:sz w:val="24"/>
        </w:rPr>
      </w:pPr>
    </w:p>
    <w:p w:rsidR="0042604B" w:rsidP="00A320C1" w:rsidRDefault="0042604B" w14:paraId="64E21BDA" w14:textId="500AF860">
      <w:pPr>
        <w:spacing w:line="240" w:lineRule="auto"/>
        <w:jc w:val="both"/>
        <w:rPr>
          <w:rFonts w:ascii="Times New Roman" w:hAnsi="Times New Roman"/>
          <w:i/>
          <w:iCs/>
          <w:sz w:val="24"/>
        </w:rPr>
      </w:pPr>
      <w:r w:rsidRPr="004A7AD4">
        <w:rPr>
          <w:rFonts w:ascii="Times New Roman" w:hAnsi="Times New Roman"/>
          <w:i/>
          <w:iCs/>
          <w:sz w:val="24"/>
        </w:rPr>
        <w:t xml:space="preserve">De leden van de </w:t>
      </w:r>
      <w:r w:rsidRPr="004A7AD4" w:rsidR="009F3088">
        <w:rPr>
          <w:rFonts w:ascii="Times New Roman" w:hAnsi="Times New Roman"/>
          <w:i/>
          <w:iCs/>
          <w:sz w:val="24"/>
        </w:rPr>
        <w:t>VVD-</w:t>
      </w:r>
      <w:r w:rsidRPr="004A7AD4">
        <w:rPr>
          <w:rFonts w:ascii="Times New Roman" w:hAnsi="Times New Roman"/>
          <w:i/>
          <w:iCs/>
          <w:sz w:val="24"/>
        </w:rPr>
        <w:t xml:space="preserve">fractie lezen dat de initiatiefnemer de gezondheidszorg aanhaalt als sector waarbij in </w:t>
      </w:r>
      <w:r w:rsidRPr="004A7AD4" w:rsidR="009F3088">
        <w:rPr>
          <w:rFonts w:ascii="Times New Roman" w:hAnsi="Times New Roman"/>
          <w:i/>
          <w:iCs/>
          <w:sz w:val="24"/>
        </w:rPr>
        <w:t xml:space="preserve">zijn </w:t>
      </w:r>
      <w:r w:rsidRPr="004A7AD4">
        <w:rPr>
          <w:rFonts w:ascii="Times New Roman" w:hAnsi="Times New Roman"/>
          <w:i/>
          <w:iCs/>
          <w:sz w:val="24"/>
        </w:rPr>
        <w:t xml:space="preserve">ogen onwenselijke overnames plaatsvinden. Tegelijkertijd ontbreekt in de </w:t>
      </w:r>
      <w:r w:rsidRPr="004A7AD4" w:rsidR="001F029E">
        <w:rPr>
          <w:rFonts w:ascii="Times New Roman" w:hAnsi="Times New Roman"/>
          <w:i/>
          <w:iCs/>
          <w:sz w:val="24"/>
        </w:rPr>
        <w:t xml:space="preserve">toelichting </w:t>
      </w:r>
      <w:r w:rsidRPr="004A7AD4">
        <w:rPr>
          <w:rFonts w:ascii="Times New Roman" w:hAnsi="Times New Roman"/>
          <w:i/>
          <w:iCs/>
          <w:sz w:val="24"/>
        </w:rPr>
        <w:t xml:space="preserve">de notie dat investeringen in bijvoorbeeld de gezondheidszorg nodig zijn om de Nederlandse consument te bedienen. Een overname kan additioneel kapitaal in een sector teweegbrengen. Deelt de initiatiefnemer deze constatering? Zo ja, waarom meent </w:t>
      </w:r>
      <w:r w:rsidRPr="004A7AD4" w:rsidR="008532D2">
        <w:rPr>
          <w:rFonts w:ascii="Times New Roman" w:hAnsi="Times New Roman"/>
          <w:i/>
          <w:iCs/>
          <w:sz w:val="24"/>
        </w:rPr>
        <w:t xml:space="preserve">hij </w:t>
      </w:r>
      <w:r w:rsidRPr="004A7AD4">
        <w:rPr>
          <w:rFonts w:ascii="Times New Roman" w:hAnsi="Times New Roman"/>
          <w:i/>
          <w:iCs/>
          <w:sz w:val="24"/>
        </w:rPr>
        <w:t xml:space="preserve">dat </w:t>
      </w:r>
      <w:r w:rsidRPr="004A7AD4" w:rsidR="001F029E">
        <w:rPr>
          <w:rFonts w:ascii="Times New Roman" w:hAnsi="Times New Roman"/>
          <w:i/>
          <w:iCs/>
          <w:sz w:val="24"/>
        </w:rPr>
        <w:t xml:space="preserve">het </w:t>
      </w:r>
      <w:r w:rsidRPr="004A7AD4">
        <w:rPr>
          <w:rFonts w:ascii="Times New Roman" w:hAnsi="Times New Roman"/>
          <w:i/>
          <w:iCs/>
          <w:sz w:val="24"/>
        </w:rPr>
        <w:lastRenderedPageBreak/>
        <w:t xml:space="preserve">voorgestelde </w:t>
      </w:r>
      <w:r w:rsidRPr="004A7AD4" w:rsidR="001F029E">
        <w:rPr>
          <w:rFonts w:ascii="Times New Roman" w:hAnsi="Times New Roman"/>
          <w:i/>
          <w:iCs/>
          <w:sz w:val="24"/>
        </w:rPr>
        <w:t xml:space="preserve">wetsvoorstel </w:t>
      </w:r>
      <w:r w:rsidRPr="004A7AD4">
        <w:rPr>
          <w:rFonts w:ascii="Times New Roman" w:hAnsi="Times New Roman"/>
          <w:i/>
          <w:iCs/>
          <w:sz w:val="24"/>
        </w:rPr>
        <w:t>proportioneel is ten aanzien van een mogelijke reductie in investeringen in de economie?</w:t>
      </w:r>
    </w:p>
    <w:p w:rsidR="002D06E5" w:rsidP="00A320C1" w:rsidRDefault="002D06E5" w14:paraId="41986AF0" w14:textId="77777777">
      <w:pPr>
        <w:spacing w:line="240" w:lineRule="auto"/>
        <w:jc w:val="both"/>
        <w:rPr>
          <w:rFonts w:ascii="Times New Roman" w:hAnsi="Times New Roman"/>
          <w:i/>
          <w:iCs/>
          <w:sz w:val="24"/>
        </w:rPr>
      </w:pPr>
    </w:p>
    <w:p w:rsidRPr="002D06E5" w:rsidR="002D06E5" w:rsidP="00A320C1" w:rsidRDefault="00E56718" w14:paraId="596C31D1" w14:textId="5968B958">
      <w:pPr>
        <w:spacing w:line="240" w:lineRule="auto"/>
        <w:jc w:val="both"/>
        <w:rPr>
          <w:rFonts w:ascii="Times New Roman" w:hAnsi="Times New Roman"/>
          <w:sz w:val="24"/>
        </w:rPr>
      </w:pPr>
      <w:r>
        <w:rPr>
          <w:rFonts w:ascii="Times New Roman" w:hAnsi="Times New Roman"/>
          <w:sz w:val="24"/>
        </w:rPr>
        <w:t xml:space="preserve">De initiatiefnemer is het met de leden van de VVD-fractie eens dat </w:t>
      </w:r>
      <w:r w:rsidR="008E0D92">
        <w:rPr>
          <w:rFonts w:ascii="Times New Roman" w:hAnsi="Times New Roman"/>
          <w:sz w:val="24"/>
        </w:rPr>
        <w:t xml:space="preserve">investeringen </w:t>
      </w:r>
      <w:r w:rsidR="00CA19BE">
        <w:rPr>
          <w:rFonts w:ascii="Times New Roman" w:hAnsi="Times New Roman"/>
          <w:sz w:val="24"/>
        </w:rPr>
        <w:t>i</w:t>
      </w:r>
      <w:r w:rsidR="008E0D92">
        <w:rPr>
          <w:rFonts w:ascii="Times New Roman" w:hAnsi="Times New Roman"/>
          <w:sz w:val="24"/>
        </w:rPr>
        <w:t xml:space="preserve">n de gezondheidszorg nodig zijn. Daarbij denkt de initiatiefnemer </w:t>
      </w:r>
      <w:r w:rsidR="00797E19">
        <w:rPr>
          <w:rFonts w:ascii="Times New Roman" w:hAnsi="Times New Roman"/>
          <w:sz w:val="24"/>
        </w:rPr>
        <w:t xml:space="preserve">overigens </w:t>
      </w:r>
      <w:r w:rsidR="008E0D92">
        <w:rPr>
          <w:rFonts w:ascii="Times New Roman" w:hAnsi="Times New Roman"/>
          <w:sz w:val="24"/>
        </w:rPr>
        <w:t xml:space="preserve">eerder aan investeringen vanuit de overheid dan vanuit de particuliere sector. </w:t>
      </w:r>
      <w:r w:rsidR="0055297C">
        <w:rPr>
          <w:rFonts w:ascii="Times New Roman" w:hAnsi="Times New Roman"/>
          <w:sz w:val="24"/>
        </w:rPr>
        <w:t xml:space="preserve">Echter ook vanuit die sector kunnen investeringen </w:t>
      </w:r>
      <w:r w:rsidR="0017064A">
        <w:rPr>
          <w:rFonts w:ascii="Times New Roman" w:hAnsi="Times New Roman"/>
          <w:sz w:val="24"/>
        </w:rPr>
        <w:t xml:space="preserve">in de zorg er </w:t>
      </w:r>
      <w:r w:rsidR="00D47B8D">
        <w:rPr>
          <w:rFonts w:ascii="Times New Roman" w:hAnsi="Times New Roman"/>
          <w:sz w:val="24"/>
        </w:rPr>
        <w:t xml:space="preserve">zeker </w:t>
      </w:r>
      <w:r w:rsidR="0017064A">
        <w:rPr>
          <w:rFonts w:ascii="Times New Roman" w:hAnsi="Times New Roman"/>
          <w:sz w:val="24"/>
        </w:rPr>
        <w:t xml:space="preserve">aan </w:t>
      </w:r>
      <w:r w:rsidR="0055297C">
        <w:rPr>
          <w:rFonts w:ascii="Times New Roman" w:hAnsi="Times New Roman"/>
          <w:sz w:val="24"/>
        </w:rPr>
        <w:t xml:space="preserve">bijdragen </w:t>
      </w:r>
      <w:r w:rsidR="0017064A">
        <w:rPr>
          <w:rFonts w:ascii="Times New Roman" w:hAnsi="Times New Roman"/>
          <w:sz w:val="24"/>
        </w:rPr>
        <w:t xml:space="preserve">dat </w:t>
      </w:r>
      <w:r w:rsidR="00065053">
        <w:rPr>
          <w:rFonts w:ascii="Times New Roman" w:hAnsi="Times New Roman"/>
          <w:sz w:val="24"/>
        </w:rPr>
        <w:t xml:space="preserve">de Nederlandse </w:t>
      </w:r>
      <w:r w:rsidR="00CA19BE">
        <w:rPr>
          <w:rFonts w:ascii="Times New Roman" w:hAnsi="Times New Roman"/>
          <w:sz w:val="24"/>
        </w:rPr>
        <w:t>pati</w:t>
      </w:r>
      <w:r w:rsidR="001B6161">
        <w:rPr>
          <w:rFonts w:ascii="Times New Roman" w:hAnsi="Times New Roman"/>
          <w:sz w:val="24"/>
        </w:rPr>
        <w:t>ënt</w:t>
      </w:r>
      <w:r w:rsidR="0017064A">
        <w:rPr>
          <w:rFonts w:ascii="Times New Roman" w:hAnsi="Times New Roman"/>
          <w:sz w:val="24"/>
        </w:rPr>
        <w:t xml:space="preserve"> beter bediend wordt</w:t>
      </w:r>
      <w:r w:rsidR="00065053">
        <w:rPr>
          <w:rFonts w:ascii="Times New Roman" w:hAnsi="Times New Roman"/>
          <w:sz w:val="24"/>
        </w:rPr>
        <w:t xml:space="preserve">. Dit wetsvoorstel kent dan ook niet als </w:t>
      </w:r>
      <w:r w:rsidR="00150F7B">
        <w:rPr>
          <w:rFonts w:ascii="Times New Roman" w:hAnsi="Times New Roman"/>
          <w:sz w:val="24"/>
        </w:rPr>
        <w:t xml:space="preserve">uitgangspunt </w:t>
      </w:r>
      <w:r w:rsidR="00065053">
        <w:rPr>
          <w:rFonts w:ascii="Times New Roman" w:hAnsi="Times New Roman"/>
          <w:sz w:val="24"/>
        </w:rPr>
        <w:t xml:space="preserve">dat investeringen, in dit geval door overnames of fusies, belemmerd </w:t>
      </w:r>
      <w:r w:rsidR="0017064A">
        <w:rPr>
          <w:rFonts w:ascii="Times New Roman" w:hAnsi="Times New Roman"/>
          <w:sz w:val="24"/>
        </w:rPr>
        <w:t xml:space="preserve">zouden </w:t>
      </w:r>
      <w:r w:rsidR="00065053">
        <w:rPr>
          <w:rFonts w:ascii="Times New Roman" w:hAnsi="Times New Roman"/>
          <w:sz w:val="24"/>
        </w:rPr>
        <w:t>moeten worden.</w:t>
      </w:r>
      <w:r w:rsidR="001C0083">
        <w:rPr>
          <w:rFonts w:ascii="Times New Roman" w:hAnsi="Times New Roman"/>
          <w:sz w:val="24"/>
        </w:rPr>
        <w:t xml:space="preserve"> </w:t>
      </w:r>
      <w:r w:rsidR="00150F7B">
        <w:rPr>
          <w:rFonts w:ascii="Times New Roman" w:hAnsi="Times New Roman"/>
          <w:sz w:val="24"/>
        </w:rPr>
        <w:t xml:space="preserve">Een beperking van concentraties in de gezondheidszorg </w:t>
      </w:r>
      <w:r w:rsidR="009C34DD">
        <w:rPr>
          <w:rFonts w:ascii="Times New Roman" w:hAnsi="Times New Roman"/>
          <w:sz w:val="24"/>
        </w:rPr>
        <w:t xml:space="preserve">kan echter wel </w:t>
      </w:r>
      <w:r w:rsidR="00150F7B">
        <w:rPr>
          <w:rFonts w:ascii="Times New Roman" w:hAnsi="Times New Roman"/>
          <w:sz w:val="24"/>
        </w:rPr>
        <w:t>noodzakelijk</w:t>
      </w:r>
      <w:r w:rsidR="009C34DD">
        <w:rPr>
          <w:rFonts w:ascii="Times New Roman" w:hAnsi="Times New Roman"/>
          <w:sz w:val="24"/>
        </w:rPr>
        <w:t xml:space="preserve"> zijn </w:t>
      </w:r>
      <w:r w:rsidR="0017064A">
        <w:rPr>
          <w:rFonts w:ascii="Times New Roman" w:hAnsi="Times New Roman"/>
          <w:sz w:val="24"/>
        </w:rPr>
        <w:t xml:space="preserve">in de specifieke omstandigheid </w:t>
      </w:r>
      <w:r w:rsidR="009C34DD">
        <w:rPr>
          <w:rFonts w:ascii="Times New Roman" w:hAnsi="Times New Roman"/>
          <w:sz w:val="24"/>
        </w:rPr>
        <w:t>als door een concentratie</w:t>
      </w:r>
      <w:r w:rsidR="00DE6D58">
        <w:rPr>
          <w:rFonts w:ascii="Times New Roman" w:hAnsi="Times New Roman"/>
          <w:sz w:val="24"/>
        </w:rPr>
        <w:t xml:space="preserve"> </w:t>
      </w:r>
      <w:r w:rsidR="00680F02">
        <w:rPr>
          <w:rFonts w:ascii="Times New Roman" w:hAnsi="Times New Roman"/>
          <w:sz w:val="24"/>
        </w:rPr>
        <w:t xml:space="preserve">de vrije mededinging </w:t>
      </w:r>
      <w:r w:rsidR="00DE6D58">
        <w:rPr>
          <w:rFonts w:ascii="Times New Roman" w:hAnsi="Times New Roman"/>
          <w:sz w:val="24"/>
        </w:rPr>
        <w:t>dermate bedreigd wordt dat er een situatie ontstaat waar</w:t>
      </w:r>
      <w:r w:rsidR="00BF3F98">
        <w:rPr>
          <w:rFonts w:ascii="Times New Roman" w:hAnsi="Times New Roman"/>
          <w:sz w:val="24"/>
        </w:rPr>
        <w:t xml:space="preserve">door de </w:t>
      </w:r>
      <w:r w:rsidR="001B6161">
        <w:rPr>
          <w:rFonts w:ascii="Times New Roman" w:hAnsi="Times New Roman"/>
          <w:sz w:val="24"/>
        </w:rPr>
        <w:t>patiënt</w:t>
      </w:r>
      <w:r w:rsidR="003B3E12">
        <w:rPr>
          <w:rFonts w:ascii="Times New Roman" w:hAnsi="Times New Roman"/>
          <w:sz w:val="24"/>
        </w:rPr>
        <w:t xml:space="preserve"> </w:t>
      </w:r>
      <w:r w:rsidR="00C47849">
        <w:rPr>
          <w:rFonts w:ascii="Times New Roman" w:hAnsi="Times New Roman"/>
          <w:sz w:val="24"/>
        </w:rPr>
        <w:t xml:space="preserve">juist </w:t>
      </w:r>
      <w:r w:rsidR="00BF3F98">
        <w:rPr>
          <w:rFonts w:ascii="Times New Roman" w:hAnsi="Times New Roman"/>
          <w:sz w:val="24"/>
        </w:rPr>
        <w:t>slechter bediend zal kunnen gaan worden</w:t>
      </w:r>
      <w:r w:rsidR="00C00EC9">
        <w:rPr>
          <w:rFonts w:ascii="Times New Roman" w:hAnsi="Times New Roman"/>
          <w:sz w:val="24"/>
        </w:rPr>
        <w:t xml:space="preserve">. </w:t>
      </w:r>
      <w:r w:rsidR="00C51A0D">
        <w:rPr>
          <w:rFonts w:ascii="Times New Roman" w:hAnsi="Times New Roman"/>
          <w:sz w:val="24"/>
        </w:rPr>
        <w:t xml:space="preserve">In het geval van dergelijke marktverstorende concentraties </w:t>
      </w:r>
      <w:r w:rsidR="00F4173D">
        <w:rPr>
          <w:rFonts w:ascii="Times New Roman" w:hAnsi="Times New Roman"/>
          <w:sz w:val="24"/>
        </w:rPr>
        <w:t>bestaat immers het gevaar dat het zorgaanbod vers</w:t>
      </w:r>
      <w:r w:rsidR="007E0232">
        <w:rPr>
          <w:rFonts w:ascii="Times New Roman" w:hAnsi="Times New Roman"/>
          <w:sz w:val="24"/>
        </w:rPr>
        <w:t>chraald</w:t>
      </w:r>
      <w:r w:rsidR="00F4173D">
        <w:rPr>
          <w:rFonts w:ascii="Times New Roman" w:hAnsi="Times New Roman"/>
          <w:sz w:val="24"/>
        </w:rPr>
        <w:t xml:space="preserve">. </w:t>
      </w:r>
      <w:r w:rsidR="00FE182A">
        <w:rPr>
          <w:rFonts w:ascii="Times New Roman" w:hAnsi="Times New Roman"/>
          <w:sz w:val="24"/>
        </w:rPr>
        <w:t>Of waar</w:t>
      </w:r>
      <w:r w:rsidR="00A81C8C">
        <w:rPr>
          <w:rFonts w:ascii="Times New Roman" w:hAnsi="Times New Roman"/>
          <w:sz w:val="24"/>
        </w:rPr>
        <w:t xml:space="preserve"> </w:t>
      </w:r>
      <w:r w:rsidR="00FE182A">
        <w:rPr>
          <w:rFonts w:ascii="Times New Roman" w:hAnsi="Times New Roman"/>
          <w:sz w:val="24"/>
        </w:rPr>
        <w:t xml:space="preserve">door een killer </w:t>
      </w:r>
      <w:proofErr w:type="spellStart"/>
      <w:r w:rsidR="00FE182A">
        <w:rPr>
          <w:rFonts w:ascii="Times New Roman" w:hAnsi="Times New Roman"/>
          <w:sz w:val="24"/>
        </w:rPr>
        <w:t>acquisit</w:t>
      </w:r>
      <w:r w:rsidR="00131BAF">
        <w:rPr>
          <w:rFonts w:ascii="Times New Roman" w:hAnsi="Times New Roman"/>
          <w:sz w:val="24"/>
        </w:rPr>
        <w:t>ion</w:t>
      </w:r>
      <w:proofErr w:type="spellEnd"/>
      <w:r w:rsidR="00131BAF">
        <w:rPr>
          <w:rFonts w:ascii="Times New Roman" w:hAnsi="Times New Roman"/>
          <w:sz w:val="24"/>
        </w:rPr>
        <w:t xml:space="preserve"> innovatie in die kiem wordt gesmoord. </w:t>
      </w:r>
      <w:r w:rsidR="003B1E6C">
        <w:rPr>
          <w:rFonts w:ascii="Times New Roman" w:hAnsi="Times New Roman"/>
          <w:sz w:val="24"/>
        </w:rPr>
        <w:t>Bij investeringen</w:t>
      </w:r>
      <w:r w:rsidR="001C5468">
        <w:rPr>
          <w:rFonts w:ascii="Times New Roman" w:hAnsi="Times New Roman"/>
          <w:sz w:val="24"/>
        </w:rPr>
        <w:t xml:space="preserve"> waar</w:t>
      </w:r>
      <w:r w:rsidR="00460409">
        <w:rPr>
          <w:rFonts w:ascii="Times New Roman" w:hAnsi="Times New Roman"/>
          <w:sz w:val="24"/>
        </w:rPr>
        <w:t xml:space="preserve">bij </w:t>
      </w:r>
      <w:r w:rsidR="001C5468">
        <w:rPr>
          <w:rFonts w:ascii="Times New Roman" w:hAnsi="Times New Roman"/>
          <w:sz w:val="24"/>
        </w:rPr>
        <w:t>geen overname of fusie aan de orde is</w:t>
      </w:r>
      <w:r w:rsidR="00460409">
        <w:rPr>
          <w:rFonts w:ascii="Times New Roman" w:hAnsi="Times New Roman"/>
          <w:sz w:val="24"/>
        </w:rPr>
        <w:t>,</w:t>
      </w:r>
      <w:r w:rsidR="00805477">
        <w:rPr>
          <w:rFonts w:ascii="Times New Roman" w:hAnsi="Times New Roman"/>
          <w:sz w:val="24"/>
        </w:rPr>
        <w:t xml:space="preserve"> zoals in het geval van </w:t>
      </w:r>
      <w:r w:rsidR="00B369A0">
        <w:rPr>
          <w:rFonts w:ascii="Times New Roman" w:hAnsi="Times New Roman"/>
          <w:sz w:val="24"/>
        </w:rPr>
        <w:t xml:space="preserve">het </w:t>
      </w:r>
      <w:r w:rsidR="00460409">
        <w:rPr>
          <w:rFonts w:ascii="Times New Roman" w:hAnsi="Times New Roman"/>
          <w:sz w:val="24"/>
        </w:rPr>
        <w:t>oprichten</w:t>
      </w:r>
      <w:r w:rsidR="00B369A0">
        <w:rPr>
          <w:rFonts w:ascii="Times New Roman" w:hAnsi="Times New Roman"/>
          <w:sz w:val="24"/>
        </w:rPr>
        <w:t xml:space="preserve"> van </w:t>
      </w:r>
      <w:r w:rsidR="00805477">
        <w:rPr>
          <w:rFonts w:ascii="Times New Roman" w:hAnsi="Times New Roman"/>
          <w:sz w:val="24"/>
        </w:rPr>
        <w:t xml:space="preserve">een </w:t>
      </w:r>
      <w:r w:rsidR="00B369A0">
        <w:rPr>
          <w:rFonts w:ascii="Times New Roman" w:hAnsi="Times New Roman"/>
          <w:sz w:val="24"/>
        </w:rPr>
        <w:t xml:space="preserve">geheel </w:t>
      </w:r>
      <w:r w:rsidR="00805477">
        <w:rPr>
          <w:rFonts w:ascii="Times New Roman" w:hAnsi="Times New Roman"/>
          <w:sz w:val="24"/>
        </w:rPr>
        <w:t>nieuwe onderneming of in</w:t>
      </w:r>
      <w:r w:rsidR="00F511CE">
        <w:rPr>
          <w:rFonts w:ascii="Times New Roman" w:hAnsi="Times New Roman"/>
          <w:sz w:val="24"/>
        </w:rPr>
        <w:t>vestering in een bestaande onderneming</w:t>
      </w:r>
      <w:r w:rsidR="00240E26">
        <w:rPr>
          <w:rFonts w:ascii="Times New Roman" w:hAnsi="Times New Roman"/>
          <w:sz w:val="24"/>
        </w:rPr>
        <w:t>,</w:t>
      </w:r>
      <w:r w:rsidR="001C5468">
        <w:rPr>
          <w:rFonts w:ascii="Times New Roman" w:hAnsi="Times New Roman"/>
          <w:sz w:val="24"/>
        </w:rPr>
        <w:t xml:space="preserve"> </w:t>
      </w:r>
      <w:r w:rsidR="00B369A0">
        <w:rPr>
          <w:rFonts w:ascii="Times New Roman" w:hAnsi="Times New Roman"/>
          <w:sz w:val="24"/>
        </w:rPr>
        <w:t>is de inroepbevoegdheid niet van toepassing.</w:t>
      </w:r>
    </w:p>
    <w:p w:rsidRPr="004A7AD4" w:rsidR="0006645B" w:rsidP="00A320C1" w:rsidRDefault="0006645B" w14:paraId="07A5F4F4" w14:textId="77777777">
      <w:pPr>
        <w:spacing w:line="240" w:lineRule="auto"/>
        <w:jc w:val="both"/>
        <w:rPr>
          <w:rFonts w:ascii="Times New Roman" w:hAnsi="Times New Roman"/>
          <w:i/>
          <w:iCs/>
          <w:sz w:val="24"/>
        </w:rPr>
      </w:pPr>
    </w:p>
    <w:p w:rsidR="003824ED" w:rsidP="00A320C1" w:rsidRDefault="003824ED" w14:paraId="4F5046C1" w14:textId="16BCF8B6">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merken op dat de initiatiefnemer in </w:t>
      </w:r>
      <w:r w:rsidRPr="004A7AD4" w:rsidR="00913EE3">
        <w:rPr>
          <w:rFonts w:ascii="Times New Roman" w:hAnsi="Times New Roman"/>
          <w:i/>
          <w:iCs/>
          <w:sz w:val="24"/>
        </w:rPr>
        <w:t xml:space="preserve">de </w:t>
      </w:r>
      <w:r w:rsidRPr="004A7AD4">
        <w:rPr>
          <w:rFonts w:ascii="Times New Roman" w:hAnsi="Times New Roman"/>
          <w:i/>
          <w:iCs/>
          <w:sz w:val="24"/>
        </w:rPr>
        <w:t>toelichting zelf erkent dat overnames en schaalvergroting positieve effecten kunnen hebben, zoals efficiënter werken, kwaliteitsverbetering en innovatie. Deze leden vragen de initiatiefnemer hoe in de voorgestelde inroepbevoegdheid voldoende wordt gewaarborgd dat legitieme schaalvergroting en bedrijfsgroei niet onnodig worden belemmerd.</w:t>
      </w:r>
      <w:r w:rsidRPr="004A7AD4" w:rsidR="00C62445">
        <w:rPr>
          <w:rFonts w:ascii="Times New Roman" w:hAnsi="Times New Roman"/>
          <w:i/>
          <w:iCs/>
          <w:sz w:val="24"/>
        </w:rPr>
        <w:t xml:space="preserve"> </w:t>
      </w:r>
      <w:r w:rsidRPr="004A7AD4">
        <w:rPr>
          <w:rFonts w:ascii="Times New Roman" w:hAnsi="Times New Roman"/>
          <w:i/>
          <w:iCs/>
          <w:sz w:val="24"/>
        </w:rPr>
        <w:t xml:space="preserve">De initiatiefnemer verwijst terecht naar het </w:t>
      </w:r>
      <w:proofErr w:type="spellStart"/>
      <w:r w:rsidRPr="004A7AD4">
        <w:rPr>
          <w:rFonts w:ascii="Times New Roman" w:hAnsi="Times New Roman"/>
          <w:i/>
          <w:iCs/>
          <w:sz w:val="24"/>
        </w:rPr>
        <w:t>Towercast</w:t>
      </w:r>
      <w:proofErr w:type="spellEnd"/>
      <w:r w:rsidRPr="004A7AD4">
        <w:rPr>
          <w:rFonts w:ascii="Times New Roman" w:hAnsi="Times New Roman"/>
          <w:i/>
          <w:iCs/>
          <w:sz w:val="24"/>
        </w:rPr>
        <w:t>-arrest en de mogelijkheden die dit arrest biedt voor de ACM om niet-</w:t>
      </w:r>
      <w:proofErr w:type="spellStart"/>
      <w:r w:rsidRPr="004A7AD4">
        <w:rPr>
          <w:rFonts w:ascii="Times New Roman" w:hAnsi="Times New Roman"/>
          <w:i/>
          <w:iCs/>
          <w:sz w:val="24"/>
        </w:rPr>
        <w:t>meldingsplichtige</w:t>
      </w:r>
      <w:proofErr w:type="spellEnd"/>
      <w:r w:rsidRPr="004A7AD4">
        <w:rPr>
          <w:rFonts w:ascii="Times New Roman" w:hAnsi="Times New Roman"/>
          <w:i/>
          <w:iCs/>
          <w:sz w:val="24"/>
        </w:rPr>
        <w:t xml:space="preserve"> overnames te toetsen aan het verbod op misbruik van een economische machtspositie. De initiatiefnemer merkt daarbij op dat de bewijslast voor ingrijpen hoog is.  De leden van de CDA-fractie vragen de initiatiefnemer te reflecteren op de vraag in hoeverre deze hoge bewijslast juist niet proportioneel is, gelet op de ingrijpende aard van overheidsoptreden bij overnames en concentraties. Deze leden merken daarbij op dat ingrijpen in een overname zorgvuldig en deugdelijk gemotiveerd dient te zijn. </w:t>
      </w:r>
      <w:r w:rsidRPr="004A7AD4" w:rsidR="00C62445">
        <w:rPr>
          <w:rFonts w:ascii="Times New Roman" w:hAnsi="Times New Roman"/>
          <w:i/>
          <w:iCs/>
          <w:sz w:val="24"/>
        </w:rPr>
        <w:t>D</w:t>
      </w:r>
      <w:r w:rsidRPr="004A7AD4">
        <w:rPr>
          <w:rFonts w:ascii="Times New Roman" w:hAnsi="Times New Roman"/>
          <w:i/>
          <w:iCs/>
          <w:sz w:val="24"/>
        </w:rPr>
        <w:t>eze leden</w:t>
      </w:r>
      <w:r w:rsidRPr="004A7AD4" w:rsidR="00C62445">
        <w:rPr>
          <w:rFonts w:ascii="Times New Roman" w:hAnsi="Times New Roman"/>
          <w:i/>
          <w:iCs/>
          <w:sz w:val="24"/>
        </w:rPr>
        <w:t xml:space="preserve"> vragen</w:t>
      </w:r>
      <w:r w:rsidRPr="004A7AD4">
        <w:rPr>
          <w:rFonts w:ascii="Times New Roman" w:hAnsi="Times New Roman"/>
          <w:i/>
          <w:iCs/>
          <w:sz w:val="24"/>
        </w:rPr>
        <w:t xml:space="preserve"> hoe de initiatiefnemer aankijkt tegen de eerste Nederlandse praktijkervaringen sinds het schrappen van artikel 24, tweede lid, van de Mededingingswet. </w:t>
      </w:r>
    </w:p>
    <w:p w:rsidR="005E5269" w:rsidP="00A320C1" w:rsidRDefault="005E5269" w14:paraId="78AE312F" w14:textId="77777777">
      <w:pPr>
        <w:spacing w:line="240" w:lineRule="auto"/>
        <w:jc w:val="both"/>
        <w:rPr>
          <w:rFonts w:ascii="Times New Roman" w:hAnsi="Times New Roman"/>
          <w:i/>
          <w:iCs/>
          <w:sz w:val="24"/>
        </w:rPr>
      </w:pPr>
    </w:p>
    <w:p w:rsidR="00654725" w:rsidP="00E33DF5" w:rsidRDefault="00E33DF5" w14:paraId="172A09A3" w14:textId="61C24A86">
      <w:pPr>
        <w:spacing w:line="240" w:lineRule="auto"/>
        <w:jc w:val="both"/>
        <w:rPr>
          <w:rFonts w:ascii="Times New Roman" w:hAnsi="Times New Roman"/>
          <w:sz w:val="24"/>
        </w:rPr>
      </w:pPr>
      <w:r>
        <w:rPr>
          <w:rFonts w:ascii="Times New Roman" w:hAnsi="Times New Roman"/>
          <w:sz w:val="24"/>
        </w:rPr>
        <w:t>In antwoord op deze vraag van de leden van de CDA-fractie zou de initiatiefnemer er op willen wijzen dat schaalvergroting en bedrijfsgroei enkel door dit wetsvoorstel wordt geraakt als daarbij sprake is van een concentratie en dan alleen nog indien door die concentratie</w:t>
      </w:r>
      <w:r w:rsidRPr="00911273">
        <w:t xml:space="preserve"> </w:t>
      </w:r>
      <w:r w:rsidRPr="00911273">
        <w:rPr>
          <w:rFonts w:ascii="Times New Roman" w:hAnsi="Times New Roman"/>
          <w:sz w:val="24"/>
        </w:rPr>
        <w:t xml:space="preserve">de daadwerkelijke mededinging op de Nederlandse markt of een deel daarvan op significante wijze zou kunnen </w:t>
      </w:r>
      <w:r>
        <w:rPr>
          <w:rFonts w:ascii="Times New Roman" w:hAnsi="Times New Roman"/>
          <w:sz w:val="24"/>
        </w:rPr>
        <w:t xml:space="preserve">worden </w:t>
      </w:r>
      <w:r w:rsidRPr="00911273">
        <w:rPr>
          <w:rFonts w:ascii="Times New Roman" w:hAnsi="Times New Roman"/>
          <w:sz w:val="24"/>
        </w:rPr>
        <w:t>belemmer</w:t>
      </w:r>
      <w:r>
        <w:rPr>
          <w:rFonts w:ascii="Times New Roman" w:hAnsi="Times New Roman"/>
          <w:sz w:val="24"/>
        </w:rPr>
        <w:t xml:space="preserve">d. Intrinsieke groei van ondernemingen wordt door dit wetsvoorstel niet geraakt. </w:t>
      </w:r>
      <w:r w:rsidRPr="00B9212A" w:rsidR="00B9212A">
        <w:rPr>
          <w:rFonts w:ascii="Times New Roman" w:hAnsi="Times New Roman"/>
          <w:sz w:val="24"/>
        </w:rPr>
        <w:t xml:space="preserve">Door effectieve concentratiecontrole wordt marktmacht voorkomen; dat versterkt de marktdynamiek en is gunstig voor </w:t>
      </w:r>
      <w:r w:rsidRPr="00B9212A" w:rsidR="00B9212A">
        <w:rPr>
          <w:rFonts w:ascii="Times New Roman" w:hAnsi="Times New Roman"/>
          <w:sz w:val="24"/>
        </w:rPr>
        <w:lastRenderedPageBreak/>
        <w:t>afnemers en toeleveranciers en draagt zo bij aan een gunstig ondernemings- en investeringsklimaat.</w:t>
      </w:r>
      <w:r w:rsidR="008A2E44">
        <w:rPr>
          <w:rFonts w:ascii="Times New Roman" w:hAnsi="Times New Roman"/>
          <w:sz w:val="24"/>
        </w:rPr>
        <w:t xml:space="preserve"> C</w:t>
      </w:r>
      <w:r w:rsidRPr="008A2E44" w:rsidR="008A2E44">
        <w:rPr>
          <w:rFonts w:ascii="Times New Roman" w:hAnsi="Times New Roman"/>
          <w:sz w:val="24"/>
        </w:rPr>
        <w:t>oncentratie</w:t>
      </w:r>
      <w:r w:rsidR="008A2E44">
        <w:rPr>
          <w:rFonts w:ascii="Times New Roman" w:hAnsi="Times New Roman"/>
          <w:sz w:val="24"/>
        </w:rPr>
        <w:t xml:space="preserve">toezicht is er dan ook </w:t>
      </w:r>
      <w:r w:rsidRPr="008A2E44" w:rsidR="008A2E44">
        <w:rPr>
          <w:rFonts w:ascii="Times New Roman" w:hAnsi="Times New Roman"/>
          <w:sz w:val="24"/>
        </w:rPr>
        <w:t>niet op gericht om fusies en overname die economische voordelen zoals investeringe</w:t>
      </w:r>
      <w:r w:rsidR="008A2E44">
        <w:rPr>
          <w:rFonts w:ascii="Times New Roman" w:hAnsi="Times New Roman"/>
          <w:sz w:val="24"/>
        </w:rPr>
        <w:t xml:space="preserve">n </w:t>
      </w:r>
      <w:r w:rsidRPr="008A2E44" w:rsidR="008A2E44">
        <w:rPr>
          <w:rFonts w:ascii="Times New Roman" w:hAnsi="Times New Roman"/>
          <w:sz w:val="24"/>
        </w:rPr>
        <w:t>of schaalvergroting opleveren tegen te houden, maar juist om die te onderscheiden van gevallen waar een mededingingsprobleem ontstaat.</w:t>
      </w:r>
      <w:r w:rsidR="002500AF">
        <w:rPr>
          <w:rFonts w:ascii="Times New Roman" w:hAnsi="Times New Roman"/>
          <w:sz w:val="24"/>
        </w:rPr>
        <w:t xml:space="preserve"> Daarbij zou de initiatiefnemer er op willen wijzen dat </w:t>
      </w:r>
      <w:r w:rsidR="00D41451">
        <w:rPr>
          <w:rFonts w:ascii="Times New Roman" w:hAnsi="Times New Roman"/>
          <w:sz w:val="24"/>
        </w:rPr>
        <w:t>ve</w:t>
      </w:r>
      <w:r w:rsidRPr="002500AF" w:rsidR="002500AF">
        <w:rPr>
          <w:rFonts w:ascii="Times New Roman" w:hAnsi="Times New Roman"/>
          <w:sz w:val="24"/>
        </w:rPr>
        <w:t xml:space="preserve">ruit de meeste concentraties </w:t>
      </w:r>
      <w:r w:rsidR="00D41451">
        <w:rPr>
          <w:rFonts w:ascii="Times New Roman" w:hAnsi="Times New Roman"/>
          <w:sz w:val="24"/>
        </w:rPr>
        <w:t xml:space="preserve">die onder de bestaande wet gemeld </w:t>
      </w:r>
      <w:r w:rsidRPr="002500AF" w:rsidR="002500AF">
        <w:rPr>
          <w:rFonts w:ascii="Times New Roman" w:hAnsi="Times New Roman"/>
          <w:sz w:val="24"/>
        </w:rPr>
        <w:t xml:space="preserve">worden </w:t>
      </w:r>
      <w:r w:rsidR="00D41451">
        <w:rPr>
          <w:rFonts w:ascii="Times New Roman" w:hAnsi="Times New Roman"/>
          <w:sz w:val="24"/>
        </w:rPr>
        <w:t xml:space="preserve">al </w:t>
      </w:r>
      <w:r w:rsidRPr="002500AF" w:rsidR="002500AF">
        <w:rPr>
          <w:rFonts w:ascii="Times New Roman" w:hAnsi="Times New Roman"/>
          <w:sz w:val="24"/>
        </w:rPr>
        <w:t>in een vroeg stadium goedgekeurd</w:t>
      </w:r>
      <w:r w:rsidR="00D41451">
        <w:rPr>
          <w:rFonts w:ascii="Times New Roman" w:hAnsi="Times New Roman"/>
          <w:sz w:val="24"/>
        </w:rPr>
        <w:t xml:space="preserve"> worden</w:t>
      </w:r>
      <w:r w:rsidRPr="002500AF" w:rsidR="002500AF">
        <w:rPr>
          <w:rFonts w:ascii="Times New Roman" w:hAnsi="Times New Roman"/>
          <w:sz w:val="24"/>
        </w:rPr>
        <w:t xml:space="preserve">. </w:t>
      </w:r>
    </w:p>
    <w:p w:rsidR="002500AF" w:rsidP="00E33DF5" w:rsidRDefault="002500AF" w14:paraId="37AF96D0" w14:textId="77777777">
      <w:pPr>
        <w:spacing w:line="240" w:lineRule="auto"/>
        <w:jc w:val="both"/>
        <w:rPr>
          <w:rFonts w:ascii="Times New Roman" w:hAnsi="Times New Roman"/>
          <w:sz w:val="24"/>
        </w:rPr>
      </w:pPr>
    </w:p>
    <w:p w:rsidRPr="00FE3489" w:rsidR="00E1529A" w:rsidP="00E33DF5" w:rsidRDefault="00E1529A" w14:paraId="1737AE63" w14:textId="2B992D63">
      <w:pPr>
        <w:spacing w:line="240" w:lineRule="auto"/>
        <w:jc w:val="both"/>
        <w:rPr>
          <w:rFonts w:ascii="Times New Roman" w:hAnsi="Times New Roman"/>
          <w:sz w:val="24"/>
        </w:rPr>
      </w:pPr>
      <w:r>
        <w:rPr>
          <w:rFonts w:ascii="Times New Roman" w:hAnsi="Times New Roman"/>
          <w:sz w:val="24"/>
        </w:rPr>
        <w:t xml:space="preserve">Ten aanzien van de bewijsstandaard zou de initiatiefnemer als volgt willen reageren: </w:t>
      </w:r>
      <w:r w:rsidRPr="00E1529A">
        <w:rPr>
          <w:rFonts w:ascii="Times New Roman" w:hAnsi="Times New Roman"/>
          <w:sz w:val="24"/>
        </w:rPr>
        <w:t>Volgens het bestaande systeem verbiedt de ACM een concentratie als de concentratie een significante belemmering van de daadwerkelijke mededinging tot gevolg zal hebben.</w:t>
      </w:r>
      <w:r>
        <w:rPr>
          <w:rFonts w:ascii="Times New Roman" w:hAnsi="Times New Roman"/>
          <w:sz w:val="24"/>
        </w:rPr>
        <w:t xml:space="preserve"> D</w:t>
      </w:r>
      <w:r w:rsidRPr="00E1529A">
        <w:rPr>
          <w:rFonts w:ascii="Times New Roman" w:hAnsi="Times New Roman"/>
          <w:sz w:val="24"/>
        </w:rPr>
        <w:t>eze bewijsstandaard ligt lager dan voor het vaststellen van een overtreding van artikel 24 Mededingingswet</w:t>
      </w:r>
      <w:r w:rsidR="00A56833">
        <w:rPr>
          <w:rFonts w:ascii="Times New Roman" w:hAnsi="Times New Roman"/>
          <w:sz w:val="24"/>
        </w:rPr>
        <w:t>, het verbod om gebruik te maken van economische marktmacht</w:t>
      </w:r>
      <w:r w:rsidRPr="00E1529A">
        <w:rPr>
          <w:rFonts w:ascii="Times New Roman" w:hAnsi="Times New Roman"/>
          <w:sz w:val="24"/>
        </w:rPr>
        <w:t>. Het huidige wetsvoorstel sluit aan bij de bewijsstandaard die al voor de concentratie controle geldt.</w:t>
      </w:r>
    </w:p>
    <w:p w:rsidR="00775E1D" w:rsidP="00354E1A" w:rsidRDefault="00775E1D" w14:paraId="736147A3" w14:textId="77777777">
      <w:pPr>
        <w:spacing w:line="240" w:lineRule="auto"/>
        <w:jc w:val="both"/>
        <w:rPr>
          <w:rFonts w:ascii="Times New Roman" w:hAnsi="Times New Roman"/>
          <w:sz w:val="24"/>
        </w:rPr>
      </w:pPr>
    </w:p>
    <w:p w:rsidRPr="00354E1A" w:rsidR="00354E1A" w:rsidP="00354E1A" w:rsidRDefault="00354E1A" w14:paraId="698F406A" w14:textId="03C244FF">
      <w:pPr>
        <w:spacing w:line="240" w:lineRule="auto"/>
        <w:jc w:val="both"/>
        <w:rPr>
          <w:rFonts w:ascii="Times New Roman" w:hAnsi="Times New Roman"/>
          <w:sz w:val="24"/>
        </w:rPr>
      </w:pPr>
      <w:r w:rsidRPr="00354E1A">
        <w:rPr>
          <w:rFonts w:ascii="Times New Roman" w:hAnsi="Times New Roman"/>
          <w:sz w:val="24"/>
        </w:rPr>
        <w:t xml:space="preserve">In het arrest </w:t>
      </w:r>
      <w:proofErr w:type="spellStart"/>
      <w:r w:rsidRPr="00354E1A">
        <w:rPr>
          <w:rFonts w:ascii="Times New Roman" w:hAnsi="Times New Roman"/>
          <w:sz w:val="24"/>
        </w:rPr>
        <w:t>Towercast</w:t>
      </w:r>
      <w:proofErr w:type="spellEnd"/>
      <w:r w:rsidRPr="00354E1A">
        <w:rPr>
          <w:rFonts w:ascii="Times New Roman" w:hAnsi="Times New Roman"/>
          <w:sz w:val="24"/>
        </w:rPr>
        <w:t xml:space="preserve"> (2023) heef</w:t>
      </w:r>
      <w:r w:rsidR="00775E1D">
        <w:rPr>
          <w:rFonts w:ascii="Times New Roman" w:hAnsi="Times New Roman"/>
          <w:sz w:val="24"/>
        </w:rPr>
        <w:t>t</w:t>
      </w:r>
      <w:r w:rsidRPr="00354E1A">
        <w:rPr>
          <w:rFonts w:ascii="Times New Roman" w:hAnsi="Times New Roman"/>
          <w:sz w:val="24"/>
        </w:rPr>
        <w:t xml:space="preserve"> het Hof van Justitie van de Europese Unie bevestigd dat, in bepaalde omstandigheden, een overname een misbruik van economische machtspositie kan opleveren, d</w:t>
      </w:r>
      <w:r>
        <w:rPr>
          <w:rFonts w:ascii="Times New Roman" w:hAnsi="Times New Roman"/>
          <w:sz w:val="24"/>
        </w:rPr>
        <w:t xml:space="preserve">at wil zeggen </w:t>
      </w:r>
      <w:r w:rsidRPr="00354E1A">
        <w:rPr>
          <w:rFonts w:ascii="Times New Roman" w:hAnsi="Times New Roman"/>
          <w:sz w:val="24"/>
        </w:rPr>
        <w:t xml:space="preserve">een overtreding van art. 102 VWEU.  De bewijsstandaard van </w:t>
      </w:r>
      <w:proofErr w:type="spellStart"/>
      <w:r w:rsidRPr="00354E1A">
        <w:rPr>
          <w:rFonts w:ascii="Times New Roman" w:hAnsi="Times New Roman"/>
          <w:sz w:val="24"/>
        </w:rPr>
        <w:t>Towercast</w:t>
      </w:r>
      <w:proofErr w:type="spellEnd"/>
      <w:r w:rsidRPr="00354E1A">
        <w:rPr>
          <w:rFonts w:ascii="Times New Roman" w:hAnsi="Times New Roman"/>
          <w:sz w:val="24"/>
        </w:rPr>
        <w:t xml:space="preserve"> is dus hetzelfde als in andere zaken over misbruik van economische machtspositie (art. 24 Mededingingswet). Dat is een punitief instrument voor een van de zwaarste overtredingen van het mededingingsrecht. Een hoge</w:t>
      </w:r>
      <w:r w:rsidR="00775E1D">
        <w:rPr>
          <w:rFonts w:ascii="Times New Roman" w:hAnsi="Times New Roman"/>
          <w:sz w:val="24"/>
        </w:rPr>
        <w:t xml:space="preserve">re </w:t>
      </w:r>
      <w:r w:rsidRPr="00354E1A">
        <w:rPr>
          <w:rFonts w:ascii="Times New Roman" w:hAnsi="Times New Roman"/>
          <w:sz w:val="24"/>
        </w:rPr>
        <w:t xml:space="preserve">bewijslast </w:t>
      </w:r>
      <w:r w:rsidR="00775E1D">
        <w:rPr>
          <w:rFonts w:ascii="Times New Roman" w:hAnsi="Times New Roman"/>
          <w:sz w:val="24"/>
        </w:rPr>
        <w:t xml:space="preserve">dan bij het concentratietoezicht </w:t>
      </w:r>
      <w:r w:rsidRPr="00354E1A">
        <w:rPr>
          <w:rFonts w:ascii="Times New Roman" w:hAnsi="Times New Roman"/>
          <w:sz w:val="24"/>
        </w:rPr>
        <w:t xml:space="preserve">is daarom gerechtvaardigd, niet alleen vanwege mogelijke zwaarte van de sanctie – een boete van maximaal 10% van de wereldomzet – maar ook omdat een overtreding wordt vastgesteld op basis waarvan partijen die schade hebben geleden die in civiele procedures zullen proberen te claimen. </w:t>
      </w:r>
    </w:p>
    <w:p w:rsidRPr="00354E1A" w:rsidR="00354E1A" w:rsidP="00354E1A" w:rsidRDefault="00ED2668" w14:paraId="37A704E4" w14:textId="72D0B15D">
      <w:pPr>
        <w:spacing w:line="240" w:lineRule="auto"/>
        <w:jc w:val="both"/>
        <w:rPr>
          <w:rFonts w:ascii="Times New Roman" w:hAnsi="Times New Roman"/>
          <w:sz w:val="24"/>
        </w:rPr>
      </w:pPr>
      <w:r>
        <w:rPr>
          <w:rFonts w:ascii="Times New Roman" w:hAnsi="Times New Roman"/>
          <w:sz w:val="24"/>
        </w:rPr>
        <w:t>De c</w:t>
      </w:r>
      <w:r w:rsidRPr="00354E1A" w:rsidR="00354E1A">
        <w:rPr>
          <w:rFonts w:ascii="Times New Roman" w:hAnsi="Times New Roman"/>
          <w:sz w:val="24"/>
        </w:rPr>
        <w:t xml:space="preserve">oncentratiecontrole, waaronder een inroepbevoegdheid, is </w:t>
      </w:r>
      <w:r>
        <w:rPr>
          <w:rFonts w:ascii="Times New Roman" w:hAnsi="Times New Roman"/>
          <w:sz w:val="24"/>
        </w:rPr>
        <w:t xml:space="preserve">juist niet punitief maar </w:t>
      </w:r>
      <w:r w:rsidRPr="00354E1A" w:rsidR="00354E1A">
        <w:rPr>
          <w:rFonts w:ascii="Times New Roman" w:hAnsi="Times New Roman"/>
          <w:sz w:val="24"/>
        </w:rPr>
        <w:t>erop gericht een marktprobleem te voorkomen. Omdat een eventueel verbod op een overname natuurlijk ingrijpend kan zijn voor de bedrijven is ook hier gedegen bewijsvoering noodzakelijk, maar die lat kan minder hoog zijn dan bij mogelijk misbruik van economische machtspositie.</w:t>
      </w:r>
    </w:p>
    <w:p w:rsidR="00354E1A" w:rsidP="00A320C1" w:rsidRDefault="00354E1A" w14:paraId="36BB20F7" w14:textId="336377AB">
      <w:pPr>
        <w:spacing w:line="240" w:lineRule="auto"/>
        <w:jc w:val="both"/>
        <w:rPr>
          <w:rFonts w:ascii="Times New Roman" w:hAnsi="Times New Roman"/>
          <w:i/>
          <w:iCs/>
          <w:sz w:val="24"/>
        </w:rPr>
      </w:pPr>
      <w:r w:rsidRPr="00354E1A">
        <w:rPr>
          <w:rFonts w:ascii="Times New Roman" w:hAnsi="Times New Roman"/>
          <w:sz w:val="24"/>
        </w:rPr>
        <w:t>De ACM heeft, sinds de afschaffing van artikel 24 lid 2 Mw vorig jaar, nog niet op basis van artikel 24 Mw een concentratie beoordeeld. Wel heeft de ACM een dergelijk onderzoek gestart op basis van art. 102 VWEU.</w:t>
      </w:r>
      <w:r w:rsidR="00ED2668">
        <w:rPr>
          <w:rFonts w:ascii="Times New Roman" w:hAnsi="Times New Roman"/>
          <w:sz w:val="24"/>
        </w:rPr>
        <w:t xml:space="preserve"> Dat onderzoek is echter nog niet afgerond.</w:t>
      </w:r>
    </w:p>
    <w:p w:rsidRPr="004A7AD4" w:rsidR="00C62445" w:rsidP="00A320C1" w:rsidRDefault="00C62445" w14:paraId="33BC6F8D" w14:textId="77777777">
      <w:pPr>
        <w:spacing w:line="240" w:lineRule="auto"/>
        <w:jc w:val="both"/>
        <w:rPr>
          <w:rFonts w:ascii="Times New Roman" w:hAnsi="Times New Roman"/>
          <w:i/>
          <w:iCs/>
          <w:sz w:val="24"/>
        </w:rPr>
      </w:pPr>
    </w:p>
    <w:p w:rsidR="003824ED" w:rsidP="00A320C1" w:rsidRDefault="003824ED" w14:paraId="55B74CC1" w14:textId="77777777">
      <w:pPr>
        <w:spacing w:line="240" w:lineRule="auto"/>
        <w:jc w:val="both"/>
        <w:rPr>
          <w:rFonts w:ascii="Times New Roman" w:hAnsi="Times New Roman"/>
          <w:i/>
          <w:iCs/>
          <w:sz w:val="24"/>
        </w:rPr>
      </w:pPr>
      <w:r w:rsidRPr="004A7AD4">
        <w:rPr>
          <w:rFonts w:ascii="Times New Roman" w:hAnsi="Times New Roman"/>
          <w:i/>
          <w:iCs/>
          <w:sz w:val="24"/>
        </w:rPr>
        <w:t>De leden van de CDA-fractie constateren dat de initiatiefnemer het advies van de Afdeling advisering van de Raad van State pareert met de stelling dat het risico op mededingingsbeperkende concentraties zich niet beperkt tot enkele specifieke sectoren, maar een breder structureel karakter heeft. Deze leden vragen de initiatiefnemer echter nader te onderbouwen op basis van welke concrete Nederlandse praktijkvoorbeelden, marktanalyses of empirische gegevens hij concludeert dat een generieke inroepbevoegdheid voor de gehele economie noodzakelijk en proportioneel is, in plaats van een meer sectorspecifieke benadering.  </w:t>
      </w:r>
    </w:p>
    <w:p w:rsidR="00753F1D" w:rsidP="00A320C1" w:rsidRDefault="00753F1D" w14:paraId="282782AF" w14:textId="77777777">
      <w:pPr>
        <w:spacing w:line="240" w:lineRule="auto"/>
        <w:jc w:val="both"/>
        <w:rPr>
          <w:rFonts w:ascii="Times New Roman" w:hAnsi="Times New Roman"/>
          <w:i/>
          <w:iCs/>
          <w:sz w:val="24"/>
        </w:rPr>
      </w:pPr>
    </w:p>
    <w:p w:rsidR="00AF61CD" w:rsidP="00A320C1" w:rsidRDefault="00646E85" w14:paraId="07D7216C" w14:textId="41854E90">
      <w:pPr>
        <w:spacing w:line="240" w:lineRule="auto"/>
        <w:jc w:val="both"/>
        <w:rPr>
          <w:rFonts w:ascii="Times New Roman" w:hAnsi="Times New Roman"/>
          <w:sz w:val="24"/>
        </w:rPr>
      </w:pPr>
      <w:r>
        <w:rPr>
          <w:rFonts w:ascii="Times New Roman" w:hAnsi="Times New Roman"/>
          <w:sz w:val="24"/>
        </w:rPr>
        <w:lastRenderedPageBreak/>
        <w:t>De initiatiefnemer zou graag als volgt op de vraag van de leden van de CDA-fractie ingaan. Zijn keuze voor een generieke inroepbevoegdheid is</w:t>
      </w:r>
      <w:r w:rsidR="0076114E">
        <w:rPr>
          <w:rFonts w:ascii="Times New Roman" w:hAnsi="Times New Roman"/>
          <w:sz w:val="24"/>
        </w:rPr>
        <w:t xml:space="preserve"> </w:t>
      </w:r>
      <w:r w:rsidR="007C0B6C">
        <w:rPr>
          <w:rFonts w:ascii="Times New Roman" w:hAnsi="Times New Roman"/>
          <w:sz w:val="24"/>
        </w:rPr>
        <w:t xml:space="preserve">ingegeven door het uitgangspunt </w:t>
      </w:r>
      <w:r>
        <w:rPr>
          <w:rFonts w:ascii="Times New Roman" w:hAnsi="Times New Roman"/>
          <w:sz w:val="24"/>
        </w:rPr>
        <w:t xml:space="preserve">dat </w:t>
      </w:r>
      <w:r w:rsidR="0076114E">
        <w:rPr>
          <w:rFonts w:ascii="Times New Roman" w:hAnsi="Times New Roman"/>
          <w:sz w:val="24"/>
        </w:rPr>
        <w:t xml:space="preserve">een sectorgewijze inroepbevoegdheid </w:t>
      </w:r>
      <w:r w:rsidR="00AD45E6">
        <w:rPr>
          <w:rFonts w:ascii="Times New Roman" w:hAnsi="Times New Roman"/>
          <w:sz w:val="24"/>
        </w:rPr>
        <w:t xml:space="preserve">niet effectief </w:t>
      </w:r>
      <w:r w:rsidR="0076114E">
        <w:rPr>
          <w:rFonts w:ascii="Times New Roman" w:hAnsi="Times New Roman"/>
          <w:sz w:val="24"/>
        </w:rPr>
        <w:t>is</w:t>
      </w:r>
      <w:r w:rsidR="007C0B6C">
        <w:rPr>
          <w:rFonts w:ascii="Times New Roman" w:hAnsi="Times New Roman"/>
          <w:sz w:val="24"/>
        </w:rPr>
        <w:t xml:space="preserve"> </w:t>
      </w:r>
      <w:r w:rsidR="004F47D4">
        <w:rPr>
          <w:rFonts w:ascii="Times New Roman" w:hAnsi="Times New Roman"/>
          <w:sz w:val="24"/>
        </w:rPr>
        <w:t xml:space="preserve">vooral </w:t>
      </w:r>
      <w:r w:rsidR="007C0B6C">
        <w:rPr>
          <w:rFonts w:ascii="Times New Roman" w:hAnsi="Times New Roman"/>
          <w:sz w:val="24"/>
        </w:rPr>
        <w:t xml:space="preserve">omdat </w:t>
      </w:r>
      <w:r w:rsidR="00D54255">
        <w:rPr>
          <w:rFonts w:ascii="Times New Roman" w:hAnsi="Times New Roman"/>
          <w:sz w:val="24"/>
        </w:rPr>
        <w:t xml:space="preserve">niet op voorhand per sector </w:t>
      </w:r>
      <w:r w:rsidR="00EC5FA1">
        <w:rPr>
          <w:rFonts w:ascii="Times New Roman" w:hAnsi="Times New Roman"/>
          <w:sz w:val="24"/>
        </w:rPr>
        <w:t xml:space="preserve">is te voorspellen of </w:t>
      </w:r>
      <w:r w:rsidR="00CA376A">
        <w:rPr>
          <w:rFonts w:ascii="Times New Roman" w:hAnsi="Times New Roman"/>
          <w:sz w:val="24"/>
        </w:rPr>
        <w:t xml:space="preserve">er sprake kan zijn van </w:t>
      </w:r>
      <w:r w:rsidRPr="00CA376A" w:rsidR="00CA376A">
        <w:rPr>
          <w:rFonts w:ascii="Times New Roman" w:hAnsi="Times New Roman"/>
          <w:sz w:val="24"/>
        </w:rPr>
        <w:t>mededinging verstorende concentraties.</w:t>
      </w:r>
      <w:r w:rsidRPr="000E3D7D" w:rsidR="000E3D7D">
        <w:rPr>
          <w:rFonts w:ascii="Times New Roman" w:hAnsi="Times New Roman"/>
          <w:sz w:val="24"/>
        </w:rPr>
        <w:t xml:space="preserve"> De ACM wijst er op dat in markten waar de (technologische en/of economische) dynamiek hoog is, vooraf gedefinieerde sectoren snel achterhaald kunnen zijn.</w:t>
      </w:r>
      <w:r w:rsidR="003E5DC2">
        <w:rPr>
          <w:rFonts w:ascii="Times New Roman" w:hAnsi="Times New Roman"/>
          <w:sz w:val="24"/>
        </w:rPr>
        <w:t xml:space="preserve"> </w:t>
      </w:r>
      <w:r w:rsidRPr="00AF61CD" w:rsidR="00AF61CD">
        <w:rPr>
          <w:rFonts w:ascii="Times New Roman" w:hAnsi="Times New Roman"/>
          <w:sz w:val="24"/>
        </w:rPr>
        <w:t xml:space="preserve">Het nadeel van </w:t>
      </w:r>
      <w:r w:rsidR="00AF61CD">
        <w:rPr>
          <w:rFonts w:ascii="Times New Roman" w:hAnsi="Times New Roman"/>
          <w:sz w:val="24"/>
        </w:rPr>
        <w:t>een sectorgewijze</w:t>
      </w:r>
      <w:r w:rsidR="00F851F4">
        <w:rPr>
          <w:rFonts w:ascii="Times New Roman" w:hAnsi="Times New Roman"/>
          <w:sz w:val="24"/>
        </w:rPr>
        <w:t xml:space="preserve"> </w:t>
      </w:r>
      <w:r w:rsidR="003E54AE">
        <w:rPr>
          <w:rFonts w:ascii="Times New Roman" w:hAnsi="Times New Roman"/>
          <w:sz w:val="24"/>
        </w:rPr>
        <w:t xml:space="preserve">inroepbevoegdheid is bovendien dat </w:t>
      </w:r>
      <w:r w:rsidR="00F817B9">
        <w:rPr>
          <w:rFonts w:ascii="Times New Roman" w:hAnsi="Times New Roman"/>
          <w:sz w:val="24"/>
        </w:rPr>
        <w:t xml:space="preserve">vooraf de sectoren aangewezen moeten gaan worden omdat daar </w:t>
      </w:r>
      <w:r w:rsidR="00166EC4">
        <w:rPr>
          <w:rFonts w:ascii="Times New Roman" w:hAnsi="Times New Roman"/>
          <w:sz w:val="24"/>
        </w:rPr>
        <w:t xml:space="preserve">al </w:t>
      </w:r>
      <w:r w:rsidR="001B4ECA">
        <w:rPr>
          <w:rFonts w:ascii="Times New Roman" w:hAnsi="Times New Roman"/>
          <w:sz w:val="24"/>
        </w:rPr>
        <w:t xml:space="preserve">langer </w:t>
      </w:r>
      <w:r w:rsidR="00166EC4">
        <w:rPr>
          <w:rFonts w:ascii="Times New Roman" w:hAnsi="Times New Roman"/>
          <w:sz w:val="24"/>
        </w:rPr>
        <w:t xml:space="preserve">sprake is </w:t>
      </w:r>
      <w:r w:rsidRPr="00AF61CD" w:rsidR="00AF61CD">
        <w:rPr>
          <w:rFonts w:ascii="Times New Roman" w:hAnsi="Times New Roman"/>
          <w:sz w:val="24"/>
        </w:rPr>
        <w:t xml:space="preserve">van een ongewenste belemmering van de concurrentie. Wat </w:t>
      </w:r>
      <w:r w:rsidR="006814EA">
        <w:rPr>
          <w:rFonts w:ascii="Times New Roman" w:hAnsi="Times New Roman"/>
          <w:sz w:val="24"/>
        </w:rPr>
        <w:t xml:space="preserve">een inroepbevoegdheid </w:t>
      </w:r>
      <w:r w:rsidRPr="00AF61CD" w:rsidR="00AF61CD">
        <w:rPr>
          <w:rFonts w:ascii="Times New Roman" w:hAnsi="Times New Roman"/>
          <w:sz w:val="24"/>
        </w:rPr>
        <w:t xml:space="preserve">dan </w:t>
      </w:r>
      <w:r w:rsidR="006814EA">
        <w:rPr>
          <w:rFonts w:ascii="Times New Roman" w:hAnsi="Times New Roman"/>
          <w:sz w:val="24"/>
        </w:rPr>
        <w:t xml:space="preserve">nog toevoegt blijft dan beperkt tot het er </w:t>
      </w:r>
      <w:r w:rsidR="00862562">
        <w:rPr>
          <w:rFonts w:ascii="Times New Roman" w:hAnsi="Times New Roman"/>
          <w:sz w:val="24"/>
        </w:rPr>
        <w:t xml:space="preserve">enkel </w:t>
      </w:r>
      <w:r w:rsidRPr="00AF61CD" w:rsidR="00AF61CD">
        <w:rPr>
          <w:rFonts w:ascii="Times New Roman" w:hAnsi="Times New Roman"/>
          <w:sz w:val="24"/>
        </w:rPr>
        <w:t xml:space="preserve">nog voor zorgen dat nieuwe concentraties in die sector </w:t>
      </w:r>
      <w:r w:rsidR="00862562">
        <w:rPr>
          <w:rFonts w:ascii="Times New Roman" w:hAnsi="Times New Roman"/>
          <w:sz w:val="24"/>
        </w:rPr>
        <w:t>afgeremd worden.</w:t>
      </w:r>
      <w:r w:rsidRPr="00AF61CD" w:rsidR="00AF61CD">
        <w:rPr>
          <w:rFonts w:ascii="Times New Roman" w:hAnsi="Times New Roman"/>
          <w:sz w:val="24"/>
        </w:rPr>
        <w:t xml:space="preserve"> Het gaat in dat geval hooguit om het tegengaan van verdere verstoringen zonder dat de scheefgegroeide verhoudingen rechtgetrokken kunnen worden. </w:t>
      </w:r>
      <w:r w:rsidR="00AD44E6">
        <w:rPr>
          <w:rFonts w:ascii="Times New Roman" w:hAnsi="Times New Roman"/>
          <w:sz w:val="24"/>
        </w:rPr>
        <w:t xml:space="preserve">Dit scenario </w:t>
      </w:r>
      <w:r w:rsidR="00F14D2B">
        <w:rPr>
          <w:rFonts w:ascii="Times New Roman" w:hAnsi="Times New Roman"/>
          <w:sz w:val="24"/>
        </w:rPr>
        <w:t>is onwenselijk</w:t>
      </w:r>
      <w:r w:rsidR="009B5210">
        <w:rPr>
          <w:rFonts w:ascii="Times New Roman" w:hAnsi="Times New Roman"/>
          <w:sz w:val="24"/>
        </w:rPr>
        <w:t>. E</w:t>
      </w:r>
      <w:r w:rsidR="001813F6">
        <w:rPr>
          <w:rFonts w:ascii="Times New Roman" w:hAnsi="Times New Roman"/>
          <w:sz w:val="24"/>
        </w:rPr>
        <w:t xml:space="preserve">en generieke inroepbevoegdheid kan </w:t>
      </w:r>
      <w:r w:rsidR="009B5210">
        <w:rPr>
          <w:rFonts w:ascii="Times New Roman" w:hAnsi="Times New Roman"/>
          <w:sz w:val="24"/>
        </w:rPr>
        <w:t xml:space="preserve">juist al </w:t>
      </w:r>
      <w:r w:rsidR="00B718D8">
        <w:rPr>
          <w:rFonts w:ascii="Times New Roman" w:hAnsi="Times New Roman"/>
          <w:sz w:val="24"/>
        </w:rPr>
        <w:t xml:space="preserve">ingezet worden voor het te laat is en er al sprake </w:t>
      </w:r>
      <w:r w:rsidR="009B5210">
        <w:rPr>
          <w:rFonts w:ascii="Times New Roman" w:hAnsi="Times New Roman"/>
          <w:sz w:val="24"/>
        </w:rPr>
        <w:t xml:space="preserve">is van scheefgegroeide verhoudingen. </w:t>
      </w:r>
      <w:r w:rsidR="00F14D2B">
        <w:rPr>
          <w:rFonts w:ascii="Times New Roman" w:hAnsi="Times New Roman"/>
          <w:sz w:val="24"/>
        </w:rPr>
        <w:t xml:space="preserve"> </w:t>
      </w:r>
    </w:p>
    <w:p w:rsidRPr="004A7AD4" w:rsidR="00697514" w:rsidP="00A320C1" w:rsidRDefault="00730CDB" w14:paraId="1F756676" w14:textId="601C690D">
      <w:pPr>
        <w:spacing w:line="240" w:lineRule="auto"/>
        <w:jc w:val="both"/>
        <w:rPr>
          <w:rFonts w:ascii="Times New Roman" w:hAnsi="Times New Roman"/>
          <w:i/>
          <w:iCs/>
          <w:sz w:val="24"/>
        </w:rPr>
      </w:pPr>
      <w:r>
        <w:rPr>
          <w:rFonts w:ascii="Times New Roman" w:hAnsi="Times New Roman"/>
          <w:i/>
          <w:iCs/>
          <w:sz w:val="24"/>
        </w:rPr>
        <w:t xml:space="preserve"> </w:t>
      </w:r>
    </w:p>
    <w:p w:rsidRPr="004A7AD4" w:rsidR="00697514" w:rsidP="00E77016" w:rsidRDefault="00697514" w14:paraId="7DF1B3DD" w14:textId="71FEF9D8">
      <w:pPr>
        <w:pStyle w:val="Lijstalinea"/>
        <w:numPr>
          <w:ilvl w:val="0"/>
          <w:numId w:val="11"/>
        </w:numPr>
        <w:spacing w:line="240" w:lineRule="auto"/>
        <w:jc w:val="both"/>
        <w:rPr>
          <w:rFonts w:ascii="Times New Roman" w:hAnsi="Times New Roman"/>
          <w:b/>
          <w:bCs/>
          <w:i/>
          <w:iCs/>
          <w:sz w:val="24"/>
        </w:rPr>
      </w:pPr>
      <w:r w:rsidRPr="004A7AD4">
        <w:rPr>
          <w:rFonts w:ascii="Times New Roman" w:hAnsi="Times New Roman"/>
          <w:b/>
          <w:bCs/>
          <w:i/>
          <w:iCs/>
          <w:sz w:val="24"/>
        </w:rPr>
        <w:t>Aanpassing van de Mededingingswet</w:t>
      </w:r>
    </w:p>
    <w:p w:rsidRPr="004A7AD4" w:rsidR="00ED6934" w:rsidP="00A320C1" w:rsidRDefault="00ED6934" w14:paraId="5E8447B4" w14:textId="77777777">
      <w:pPr>
        <w:spacing w:line="240" w:lineRule="auto"/>
        <w:jc w:val="both"/>
        <w:rPr>
          <w:rFonts w:ascii="Times New Roman" w:hAnsi="Times New Roman"/>
          <w:b/>
          <w:bCs/>
          <w:i/>
          <w:iCs/>
          <w:sz w:val="24"/>
        </w:rPr>
      </w:pPr>
    </w:p>
    <w:p w:rsidRPr="004A7AD4" w:rsidR="001D6448" w:rsidP="00A320C1" w:rsidRDefault="001D6448" w14:paraId="7E5BB524" w14:textId="7248F1FC">
      <w:pPr>
        <w:spacing w:line="240" w:lineRule="auto"/>
        <w:jc w:val="both"/>
        <w:rPr>
          <w:rFonts w:ascii="Times New Roman" w:hAnsi="Times New Roman"/>
          <w:bCs/>
          <w:i/>
          <w:iCs/>
          <w:sz w:val="24"/>
        </w:rPr>
      </w:pPr>
      <w:r w:rsidRPr="004A7AD4">
        <w:rPr>
          <w:rFonts w:ascii="Times New Roman" w:hAnsi="Times New Roman"/>
          <w:bCs/>
          <w:i/>
          <w:iCs/>
          <w:sz w:val="24"/>
        </w:rPr>
        <w:t>Verhouding tot de generieke omzetdrempels</w:t>
      </w:r>
    </w:p>
    <w:p w:rsidRPr="004A7AD4" w:rsidR="001D6448" w:rsidP="00A320C1" w:rsidRDefault="001D6448" w14:paraId="1F412156" w14:textId="44D4FBBF">
      <w:pPr>
        <w:spacing w:line="240" w:lineRule="auto"/>
        <w:jc w:val="both"/>
        <w:rPr>
          <w:rFonts w:ascii="Times New Roman" w:hAnsi="Times New Roman"/>
          <w:i/>
          <w:iCs/>
          <w:sz w:val="24"/>
        </w:rPr>
      </w:pPr>
      <w:r w:rsidRPr="004A7AD4">
        <w:rPr>
          <w:rFonts w:ascii="Times New Roman" w:hAnsi="Times New Roman"/>
          <w:i/>
          <w:iCs/>
          <w:sz w:val="24"/>
        </w:rPr>
        <w:t xml:space="preserve">De leden van de D66-fractie constateren dat de initiatiefnemer een verhoging van de generieke omzetdrempels voor de reguliere meldingsplicht buiten de reikwijdte van dit wetsvoorstel laat. Deze leden begrijpen die afbakening, maar wijzen erop dat beide onderwerpen inhoudelijk nauw samenhangen. De ACM heeft in haar Wetgevingsbrief 2025 zelf bepleit de generieke omzetdrempel — die voor het laatst in 2003 is aangepast — te verhogen van € 30 miljoen naar € 50 miljoen, en wel uitdrukkelijk in combinatie met een inroepbevoegdheid voor </w:t>
      </w:r>
      <w:proofErr w:type="spellStart"/>
      <w:r w:rsidRPr="004A7AD4">
        <w:rPr>
          <w:rFonts w:ascii="Times New Roman" w:hAnsi="Times New Roman"/>
          <w:i/>
          <w:iCs/>
          <w:sz w:val="24"/>
        </w:rPr>
        <w:t>onderdrempelige</w:t>
      </w:r>
      <w:proofErr w:type="spellEnd"/>
      <w:r w:rsidRPr="004A7AD4">
        <w:rPr>
          <w:rFonts w:ascii="Times New Roman" w:hAnsi="Times New Roman"/>
          <w:i/>
          <w:iCs/>
          <w:sz w:val="24"/>
        </w:rPr>
        <w:t xml:space="preserve"> overnames. Volgens de ACM daalt het aantal verplichte meldingen daardoor van gemiddeld circa 130 naar ongeveer 75 per jaar, waardoor capaciteit vrijkomt om gericht de daadwerkelijk problematische concentraties — waaronder kralenrijgen en killer </w:t>
      </w:r>
      <w:r w:rsidRPr="004A7AD4" w:rsidR="005C5000">
        <w:rPr>
          <w:rFonts w:ascii="Times New Roman" w:hAnsi="Times New Roman"/>
          <w:i/>
          <w:iCs/>
          <w:sz w:val="24"/>
        </w:rPr>
        <w:t>acquisities</w:t>
      </w:r>
      <w:r w:rsidRPr="004A7AD4">
        <w:rPr>
          <w:rFonts w:ascii="Times New Roman" w:hAnsi="Times New Roman"/>
          <w:i/>
          <w:iCs/>
          <w:sz w:val="24"/>
        </w:rPr>
        <w:t xml:space="preserve"> — in te roepen en te onderzoeken. De ACM presenteert de drempelverhoging en de inroepbevoegdheid daarmee als communicerende vaten; ook D66 heeft deze combinatie eerder bepleit.</w:t>
      </w:r>
    </w:p>
    <w:p w:rsidRPr="004A7AD4" w:rsidR="001D6448" w:rsidP="00A320C1" w:rsidRDefault="001D6448" w14:paraId="20A8B271" w14:textId="77777777">
      <w:pPr>
        <w:spacing w:line="240" w:lineRule="auto"/>
        <w:jc w:val="both"/>
        <w:rPr>
          <w:rFonts w:ascii="Times New Roman" w:hAnsi="Times New Roman"/>
          <w:i/>
          <w:iCs/>
          <w:sz w:val="24"/>
        </w:rPr>
      </w:pPr>
    </w:p>
    <w:p w:rsidRPr="004A7AD4" w:rsidR="001D6448" w:rsidP="00A320C1" w:rsidRDefault="00A91E8C" w14:paraId="02D2567F" w14:textId="480B9D15">
      <w:pPr>
        <w:spacing w:line="240" w:lineRule="auto"/>
        <w:jc w:val="both"/>
        <w:rPr>
          <w:rFonts w:ascii="Times New Roman" w:hAnsi="Times New Roman"/>
          <w:i/>
          <w:iCs/>
          <w:sz w:val="24"/>
        </w:rPr>
      </w:pPr>
      <w:r w:rsidRPr="004A7AD4">
        <w:rPr>
          <w:rFonts w:ascii="Times New Roman" w:hAnsi="Times New Roman"/>
          <w:i/>
          <w:iCs/>
          <w:sz w:val="24"/>
        </w:rPr>
        <w:t>De leden van de D66-fractie</w:t>
      </w:r>
      <w:r w:rsidRPr="004A7AD4" w:rsidR="001D6448">
        <w:rPr>
          <w:rFonts w:ascii="Times New Roman" w:hAnsi="Times New Roman"/>
          <w:i/>
          <w:iCs/>
          <w:sz w:val="24"/>
        </w:rPr>
        <w:t xml:space="preserve"> vragen de initiatiefnemer hoe hij een eventuele verhoging van de generieke omzetdrempel naar € 50 miljoen, conform het advies van de ACM, beoordeelt. Ziet de initiatiefnemer de drempelverhoging en de inroepbevoegdheid eveneens als complementaire, samenhangende maatregelen, en zo ja, wat betekent dit voor de weging van het voorliggende wetsvoorstel? Acht de initiatiefnemer een inroepbevoegdheid zónder gelijktijdige verhoging van de generieke drempel evenwichtig, mede gelet op de lasten voor het bedrijfsleven en de gerichtheid van het toezicht?</w:t>
      </w:r>
    </w:p>
    <w:p w:rsidR="001A60B8" w:rsidP="00A320C1" w:rsidRDefault="001A60B8" w14:paraId="73F35B40" w14:textId="77777777">
      <w:pPr>
        <w:spacing w:line="240" w:lineRule="auto"/>
        <w:jc w:val="both"/>
        <w:rPr>
          <w:rFonts w:ascii="Times New Roman" w:hAnsi="Times New Roman"/>
          <w:i/>
          <w:iCs/>
          <w:sz w:val="24"/>
        </w:rPr>
      </w:pPr>
    </w:p>
    <w:p w:rsidRPr="004A7AD4" w:rsidR="001D6448" w:rsidP="00A320C1" w:rsidRDefault="00A91E8C" w14:paraId="55C05154" w14:textId="0731F572">
      <w:pPr>
        <w:spacing w:line="240" w:lineRule="auto"/>
        <w:jc w:val="both"/>
        <w:rPr>
          <w:rFonts w:ascii="Times New Roman" w:hAnsi="Times New Roman"/>
          <w:i/>
          <w:iCs/>
          <w:sz w:val="24"/>
        </w:rPr>
      </w:pPr>
      <w:r w:rsidRPr="004A7AD4">
        <w:rPr>
          <w:rFonts w:ascii="Times New Roman" w:hAnsi="Times New Roman"/>
          <w:i/>
          <w:iCs/>
          <w:sz w:val="24"/>
        </w:rPr>
        <w:t>De leden van de D66-fractie</w:t>
      </w:r>
      <w:r w:rsidRPr="004A7AD4" w:rsidR="001D6448">
        <w:rPr>
          <w:rFonts w:ascii="Times New Roman" w:hAnsi="Times New Roman"/>
          <w:i/>
          <w:iCs/>
          <w:sz w:val="24"/>
        </w:rPr>
        <w:t xml:space="preserve"> wijzen er voorts op dat de ACM blijkens de toelichting verwacht per saldo geen extra middelen nodig te hebben voor de uitvoering van de inroepbevoegdheid. Tegelijkertijd heeft de minister van </w:t>
      </w:r>
      <w:r w:rsidRPr="004A7AD4" w:rsidR="001D6448">
        <w:rPr>
          <w:rFonts w:ascii="Times New Roman" w:hAnsi="Times New Roman"/>
          <w:i/>
          <w:iCs/>
          <w:sz w:val="24"/>
        </w:rPr>
        <w:lastRenderedPageBreak/>
        <w:t>Economische Zaken</w:t>
      </w:r>
      <w:r w:rsidRPr="004A7AD4" w:rsidR="00A63707">
        <w:rPr>
          <w:rFonts w:ascii="Times New Roman" w:hAnsi="Times New Roman"/>
          <w:i/>
          <w:iCs/>
          <w:sz w:val="24"/>
        </w:rPr>
        <w:t xml:space="preserve"> en Klimaat</w:t>
      </w:r>
      <w:r w:rsidRPr="004A7AD4" w:rsidR="001D6448">
        <w:rPr>
          <w:rFonts w:ascii="Times New Roman" w:hAnsi="Times New Roman"/>
          <w:i/>
          <w:iCs/>
          <w:sz w:val="24"/>
        </w:rPr>
        <w:t xml:space="preserve"> in het commissiedebat Marktordening en consumentenbescherming van 2 oktober 2025 gemeld dat de ACM heeft aangegeven het inroepen van fusies binnen de bestaande capaciteit te kunnen opvangen, mits dit wordt gecombineerd met de verhoging van de algemene</w:t>
      </w:r>
      <w:r w:rsidR="00804DA3">
        <w:rPr>
          <w:rFonts w:ascii="Times New Roman" w:hAnsi="Times New Roman"/>
          <w:i/>
          <w:iCs/>
          <w:sz w:val="24"/>
        </w:rPr>
        <w:t xml:space="preserve"> </w:t>
      </w:r>
      <w:r w:rsidRPr="004A7AD4" w:rsidR="001D6448">
        <w:rPr>
          <w:rFonts w:ascii="Times New Roman" w:hAnsi="Times New Roman"/>
          <w:i/>
          <w:iCs/>
          <w:sz w:val="24"/>
        </w:rPr>
        <w:t>omzetdrempel. Het voorliggende wetsvoorstel voorziet echter niet in die verhoging. Deze leden vragen de initiatiefnemer hoe de aanname dat de ACM geen extra middelen nodig heeft, zich verhoudt tot de voorwaarde die de ACM aan dat capaciteitsoordeel lijkt te hebben verbonden. Hoe waarschijnlijk acht de initiatiefnemer het dat de ACM de inroepbevoegdheid binnen de bestaande capaciteit kan uitvoeren wanneer het aantal verplichte reguliere meldingen niet gelijktijdig wordt teruggebracht, en is hij bereid het oordeel van de ACM op dit punt expliciet te maken?</w:t>
      </w:r>
    </w:p>
    <w:p w:rsidR="001D6448" w:rsidP="00A320C1" w:rsidRDefault="001D6448" w14:paraId="4DFCF435" w14:textId="77777777">
      <w:pPr>
        <w:spacing w:line="240" w:lineRule="auto"/>
        <w:jc w:val="both"/>
        <w:rPr>
          <w:rFonts w:ascii="Times New Roman" w:hAnsi="Times New Roman"/>
          <w:i/>
          <w:iCs/>
          <w:sz w:val="24"/>
        </w:rPr>
      </w:pPr>
    </w:p>
    <w:p w:rsidR="00C257BA" w:rsidP="007A2679" w:rsidRDefault="00C257BA" w14:paraId="541E1933" w14:textId="4264B943">
      <w:pPr>
        <w:rPr>
          <w:rFonts w:ascii="Times New Roman" w:hAnsi="Times New Roman"/>
          <w:i/>
          <w:iCs/>
          <w:sz w:val="24"/>
        </w:rPr>
      </w:pPr>
      <w:r w:rsidRPr="00C257BA">
        <w:rPr>
          <w:rFonts w:ascii="Times New Roman" w:hAnsi="Times New Roman"/>
          <w:sz w:val="24"/>
        </w:rPr>
        <w:t xml:space="preserve">De initiatiefnemer acht het creëren van een inroepbevoegdheid zonder gelijktijdige verhoging van de generieke drempel mogelijk. Het door de ACM ingeschatte lage aantal in te roepen concentraties </w:t>
      </w:r>
      <w:r w:rsidR="00F242B9">
        <w:rPr>
          <w:rFonts w:ascii="Times New Roman" w:hAnsi="Times New Roman"/>
          <w:sz w:val="24"/>
        </w:rPr>
        <w:t xml:space="preserve">en </w:t>
      </w:r>
      <w:r w:rsidRPr="00C257BA">
        <w:rPr>
          <w:rFonts w:ascii="Times New Roman" w:hAnsi="Times New Roman"/>
          <w:sz w:val="24"/>
        </w:rPr>
        <w:t xml:space="preserve">de relatief lage </w:t>
      </w:r>
      <w:r w:rsidR="00F242B9">
        <w:rPr>
          <w:rFonts w:ascii="Times New Roman" w:hAnsi="Times New Roman"/>
          <w:sz w:val="24"/>
        </w:rPr>
        <w:t xml:space="preserve">bijkomende </w:t>
      </w:r>
      <w:r w:rsidRPr="00C257BA">
        <w:rPr>
          <w:rFonts w:ascii="Times New Roman" w:hAnsi="Times New Roman"/>
          <w:sz w:val="24"/>
        </w:rPr>
        <w:t>kosten voor extra personeel bij de ACM maakt dat naar de mening van de initiatiefnemer een inroepbevoegdheid een op zich zelf</w:t>
      </w:r>
      <w:r w:rsidR="00EF1820">
        <w:rPr>
          <w:rFonts w:ascii="Times New Roman" w:hAnsi="Times New Roman"/>
          <w:sz w:val="24"/>
        </w:rPr>
        <w:t xml:space="preserve"> staand</w:t>
      </w:r>
      <w:r w:rsidRPr="00C257BA">
        <w:rPr>
          <w:rFonts w:ascii="Times New Roman" w:hAnsi="Times New Roman"/>
          <w:sz w:val="24"/>
        </w:rPr>
        <w:t xml:space="preserve"> extra instrument kan zijn. </w:t>
      </w:r>
      <w:r w:rsidR="008C6A60">
        <w:rPr>
          <w:rFonts w:ascii="Times New Roman" w:hAnsi="Times New Roman"/>
          <w:sz w:val="24"/>
        </w:rPr>
        <w:t xml:space="preserve">Dat door het invoeren van de inroepbevoegdheid de ACM niet binnen de bestaande capaciteit kan uitvoeren </w:t>
      </w:r>
      <w:r w:rsidR="005F34F1">
        <w:rPr>
          <w:rFonts w:ascii="Times New Roman" w:hAnsi="Times New Roman"/>
          <w:sz w:val="24"/>
        </w:rPr>
        <w:t>is voor de initiatiefgever een gegeven. Echter meent hij dat</w:t>
      </w:r>
      <w:r w:rsidR="008070FF">
        <w:rPr>
          <w:rFonts w:ascii="Times New Roman" w:hAnsi="Times New Roman"/>
          <w:sz w:val="24"/>
        </w:rPr>
        <w:t xml:space="preserve"> een extra investering voor </w:t>
      </w:r>
      <w:r w:rsidR="007159C2">
        <w:rPr>
          <w:rFonts w:ascii="Times New Roman" w:hAnsi="Times New Roman"/>
          <w:sz w:val="24"/>
        </w:rPr>
        <w:t xml:space="preserve">de </w:t>
      </w:r>
      <w:r w:rsidRPr="008070FF" w:rsidR="008070FF">
        <w:rPr>
          <w:rFonts w:ascii="Times New Roman" w:hAnsi="Times New Roman"/>
          <w:sz w:val="24"/>
        </w:rPr>
        <w:t xml:space="preserve">500 uur per jaar aan capaciteit </w:t>
      </w:r>
      <w:r w:rsidR="008070FF">
        <w:rPr>
          <w:rFonts w:ascii="Times New Roman" w:hAnsi="Times New Roman"/>
          <w:sz w:val="24"/>
        </w:rPr>
        <w:t xml:space="preserve">die </w:t>
      </w:r>
      <w:r w:rsidR="007159C2">
        <w:rPr>
          <w:rFonts w:ascii="Times New Roman" w:hAnsi="Times New Roman"/>
          <w:sz w:val="24"/>
        </w:rPr>
        <w:t xml:space="preserve">de </w:t>
      </w:r>
      <w:r w:rsidRPr="008070FF" w:rsidR="007159C2">
        <w:rPr>
          <w:rFonts w:ascii="Times New Roman" w:hAnsi="Times New Roman"/>
          <w:sz w:val="24"/>
        </w:rPr>
        <w:t xml:space="preserve">naar verwachting </w:t>
      </w:r>
      <w:r w:rsidRPr="008070FF" w:rsidR="008070FF">
        <w:rPr>
          <w:rFonts w:ascii="Times New Roman" w:hAnsi="Times New Roman"/>
          <w:sz w:val="24"/>
        </w:rPr>
        <w:t xml:space="preserve">nodig zal zijn voor het behandelen van informele meldingen en het behandelen van </w:t>
      </w:r>
      <w:r w:rsidR="008070FF">
        <w:rPr>
          <w:rFonts w:ascii="Times New Roman" w:hAnsi="Times New Roman"/>
          <w:sz w:val="24"/>
        </w:rPr>
        <w:t>ingeroepen zaken verantwoord is</w:t>
      </w:r>
      <w:r w:rsidRPr="008070FF" w:rsidR="008070FF">
        <w:rPr>
          <w:rFonts w:ascii="Times New Roman" w:hAnsi="Times New Roman"/>
          <w:sz w:val="24"/>
        </w:rPr>
        <w:t>. De initiatiefnemer is van mening dat d</w:t>
      </w:r>
      <w:r w:rsidR="007159C2">
        <w:rPr>
          <w:rFonts w:ascii="Times New Roman" w:hAnsi="Times New Roman"/>
          <w:sz w:val="24"/>
        </w:rPr>
        <w:t>i</w:t>
      </w:r>
      <w:r w:rsidRPr="008070FF" w:rsidR="008070FF">
        <w:rPr>
          <w:rFonts w:ascii="Times New Roman" w:hAnsi="Times New Roman"/>
          <w:sz w:val="24"/>
        </w:rPr>
        <w:t xml:space="preserve">e </w:t>
      </w:r>
      <w:r w:rsidR="007159C2">
        <w:rPr>
          <w:rFonts w:ascii="Times New Roman" w:hAnsi="Times New Roman"/>
          <w:sz w:val="24"/>
        </w:rPr>
        <w:t>benodigde</w:t>
      </w:r>
      <w:r w:rsidRPr="008070FF" w:rsidR="008070FF">
        <w:rPr>
          <w:rFonts w:ascii="Times New Roman" w:hAnsi="Times New Roman"/>
          <w:sz w:val="24"/>
        </w:rPr>
        <w:t xml:space="preserve"> 500 uur door middel van een verhoging van het budget van de ACM </w:t>
      </w:r>
      <w:r w:rsidR="00FD79C5">
        <w:rPr>
          <w:rFonts w:ascii="Times New Roman" w:hAnsi="Times New Roman"/>
          <w:sz w:val="24"/>
        </w:rPr>
        <w:t>gefinancierd</w:t>
      </w:r>
      <w:r w:rsidRPr="008070FF" w:rsidR="008070FF">
        <w:rPr>
          <w:rFonts w:ascii="Times New Roman" w:hAnsi="Times New Roman"/>
          <w:sz w:val="24"/>
        </w:rPr>
        <w:t xml:space="preserve"> kan gaan worden.  </w:t>
      </w:r>
    </w:p>
    <w:p w:rsidRPr="004A7AD4" w:rsidR="00C257BA" w:rsidP="00A320C1" w:rsidRDefault="00C257BA" w14:paraId="67AD8AF0" w14:textId="77777777">
      <w:pPr>
        <w:spacing w:line="240" w:lineRule="auto"/>
        <w:jc w:val="both"/>
        <w:rPr>
          <w:rFonts w:ascii="Times New Roman" w:hAnsi="Times New Roman"/>
          <w:i/>
          <w:iCs/>
          <w:sz w:val="24"/>
        </w:rPr>
      </w:pPr>
    </w:p>
    <w:p w:rsidR="001D6448" w:rsidP="00A320C1" w:rsidRDefault="001D6448" w14:paraId="7C317648" w14:textId="77777777">
      <w:pPr>
        <w:spacing w:line="240" w:lineRule="auto"/>
        <w:jc w:val="both"/>
        <w:rPr>
          <w:rFonts w:ascii="Times New Roman" w:hAnsi="Times New Roman"/>
          <w:i/>
          <w:iCs/>
          <w:sz w:val="24"/>
        </w:rPr>
      </w:pPr>
      <w:r w:rsidRPr="004A7AD4">
        <w:rPr>
          <w:rFonts w:ascii="Times New Roman" w:hAnsi="Times New Roman"/>
          <w:i/>
          <w:iCs/>
          <w:sz w:val="24"/>
        </w:rPr>
        <w:t>Tot slot vragen de leden van de D66-fractie aandacht voor de wijze waarop de omzetdrempels in de toekomst worden geactualiseerd. Deze leden constateren dat de generieke omzetdrempel sinds 2003 niet is aangepast, mede doordat een aanpassing telkens een wetswijziging vergt. Zij vragen de initiatiefnemer of hij mogelijkheden ziet om de omzetdrempels (zowel de generieke drempel als de in dit voorstel gehanteerde drempel) een meer dynamisch karakter te geven, bijvoorbeeld door te voorzien in een grondslag voor periodieke of automatische indexatie, dan wel voor aanpassing bij algemene maatregel van bestuur, zodat de drempels kunnen meebewegen met bijvoorbeeld de inflatie zonder dat daarvoor telkens een wetswijziging nodig is. Hoe weegt de initiatiefnemer een dergelijke systematiek, mede gelet op enerzijds de rechtszekerheid en voorspelbaarheid voor ondernemingen en anderzijds de wens om de drempels actueel en effectief te houden?</w:t>
      </w:r>
    </w:p>
    <w:p w:rsidR="00FE6CA9" w:rsidP="00A320C1" w:rsidRDefault="00FE6CA9" w14:paraId="4F4CAB3C" w14:textId="77777777">
      <w:pPr>
        <w:spacing w:line="240" w:lineRule="auto"/>
        <w:jc w:val="both"/>
        <w:rPr>
          <w:rFonts w:ascii="Times New Roman" w:hAnsi="Times New Roman"/>
          <w:i/>
          <w:iCs/>
          <w:sz w:val="24"/>
        </w:rPr>
      </w:pPr>
    </w:p>
    <w:p w:rsidRPr="00FE6CA9" w:rsidR="00804DA3" w:rsidP="00A320C1" w:rsidRDefault="00FE6CA9" w14:paraId="019B1599" w14:textId="29764661">
      <w:pPr>
        <w:spacing w:line="240" w:lineRule="auto"/>
        <w:jc w:val="both"/>
        <w:rPr>
          <w:rFonts w:ascii="Times New Roman" w:hAnsi="Times New Roman"/>
          <w:sz w:val="24"/>
        </w:rPr>
      </w:pPr>
      <w:r>
        <w:rPr>
          <w:rFonts w:ascii="Times New Roman" w:hAnsi="Times New Roman"/>
          <w:sz w:val="24"/>
        </w:rPr>
        <w:t xml:space="preserve">De initiatiefnemer staat neutraal ten opzichte van </w:t>
      </w:r>
      <w:r w:rsidR="00D02EF8">
        <w:rPr>
          <w:rFonts w:ascii="Times New Roman" w:hAnsi="Times New Roman"/>
          <w:sz w:val="24"/>
        </w:rPr>
        <w:t xml:space="preserve">een grondslag waarmee de genoemde omzetdrempels </w:t>
      </w:r>
      <w:r w:rsidR="005D0701">
        <w:rPr>
          <w:rFonts w:ascii="Times New Roman" w:hAnsi="Times New Roman"/>
          <w:sz w:val="24"/>
        </w:rPr>
        <w:t>een meer dynamisch karakter zouden krijgen bijvoorbeeld om inflatiecorrectie te kunnen toepassen. Aangezien het echter ook over de omzetdrempels</w:t>
      </w:r>
      <w:r w:rsidR="008E405B">
        <w:rPr>
          <w:rFonts w:ascii="Times New Roman" w:hAnsi="Times New Roman"/>
          <w:sz w:val="24"/>
        </w:rPr>
        <w:t xml:space="preserve"> gaat die het algemeen concentratietoezicht </w:t>
      </w:r>
      <w:r w:rsidR="00473255">
        <w:rPr>
          <w:rFonts w:ascii="Times New Roman" w:hAnsi="Times New Roman"/>
          <w:sz w:val="24"/>
        </w:rPr>
        <w:t xml:space="preserve">betreffen </w:t>
      </w:r>
      <w:r w:rsidR="001C3D61">
        <w:rPr>
          <w:rFonts w:ascii="Times New Roman" w:hAnsi="Times New Roman"/>
          <w:sz w:val="24"/>
        </w:rPr>
        <w:t xml:space="preserve">en niet alleen de inroepbevoegdheid </w:t>
      </w:r>
      <w:r w:rsidR="00473255">
        <w:rPr>
          <w:rFonts w:ascii="Times New Roman" w:hAnsi="Times New Roman"/>
          <w:sz w:val="24"/>
        </w:rPr>
        <w:t xml:space="preserve">acht de initiatiefnemer het niet binnen het onderhavige </w:t>
      </w:r>
      <w:r w:rsidR="00F9256A">
        <w:rPr>
          <w:rFonts w:ascii="Times New Roman" w:hAnsi="Times New Roman"/>
          <w:sz w:val="24"/>
        </w:rPr>
        <w:t>wetsvoorstel passen</w:t>
      </w:r>
      <w:r w:rsidR="007337B2">
        <w:rPr>
          <w:rFonts w:ascii="Times New Roman" w:hAnsi="Times New Roman"/>
          <w:sz w:val="24"/>
        </w:rPr>
        <w:t>d</w:t>
      </w:r>
      <w:r w:rsidR="00F9256A">
        <w:rPr>
          <w:rFonts w:ascii="Times New Roman" w:hAnsi="Times New Roman"/>
          <w:sz w:val="24"/>
        </w:rPr>
        <w:t xml:space="preserve"> om de</w:t>
      </w:r>
      <w:r w:rsidR="00AE175F">
        <w:rPr>
          <w:rFonts w:ascii="Times New Roman" w:hAnsi="Times New Roman"/>
          <w:sz w:val="24"/>
        </w:rPr>
        <w:t>ze</w:t>
      </w:r>
      <w:r w:rsidR="00F9256A">
        <w:rPr>
          <w:rFonts w:ascii="Times New Roman" w:hAnsi="Times New Roman"/>
          <w:sz w:val="24"/>
        </w:rPr>
        <w:t xml:space="preserve"> grondslag </w:t>
      </w:r>
      <w:r w:rsidR="00BB06D4">
        <w:rPr>
          <w:rFonts w:ascii="Times New Roman" w:hAnsi="Times New Roman"/>
          <w:sz w:val="24"/>
        </w:rPr>
        <w:t xml:space="preserve">enkel voor de </w:t>
      </w:r>
      <w:r w:rsidR="00BB06D4">
        <w:rPr>
          <w:rFonts w:ascii="Times New Roman" w:hAnsi="Times New Roman"/>
          <w:sz w:val="24"/>
        </w:rPr>
        <w:lastRenderedPageBreak/>
        <w:t xml:space="preserve">inroepbevoegdheid </w:t>
      </w:r>
      <w:r w:rsidR="00F9256A">
        <w:rPr>
          <w:rFonts w:ascii="Times New Roman" w:hAnsi="Times New Roman"/>
          <w:sz w:val="24"/>
        </w:rPr>
        <w:t>aan te passen.</w:t>
      </w:r>
      <w:r w:rsidR="009E6A66">
        <w:rPr>
          <w:rFonts w:ascii="Times New Roman" w:hAnsi="Times New Roman"/>
          <w:sz w:val="24"/>
        </w:rPr>
        <w:t xml:space="preserve"> De initiat</w:t>
      </w:r>
      <w:r w:rsidR="00D66A6C">
        <w:rPr>
          <w:rFonts w:ascii="Times New Roman" w:hAnsi="Times New Roman"/>
          <w:sz w:val="24"/>
        </w:rPr>
        <w:t xml:space="preserve">iefnemer wijst op </w:t>
      </w:r>
      <w:r w:rsidR="00142FD6">
        <w:rPr>
          <w:rFonts w:ascii="Times New Roman" w:hAnsi="Times New Roman"/>
          <w:sz w:val="24"/>
        </w:rPr>
        <w:t xml:space="preserve">de </w:t>
      </w:r>
      <w:r w:rsidR="000A0AB2">
        <w:rPr>
          <w:rFonts w:ascii="Times New Roman" w:hAnsi="Times New Roman"/>
          <w:sz w:val="24"/>
        </w:rPr>
        <w:t>wenselijkheid</w:t>
      </w:r>
      <w:r w:rsidR="00142FD6">
        <w:rPr>
          <w:rFonts w:ascii="Times New Roman" w:hAnsi="Times New Roman"/>
          <w:sz w:val="24"/>
        </w:rPr>
        <w:t xml:space="preserve"> van eenduidig beleid </w:t>
      </w:r>
      <w:r w:rsidR="000A0AB2">
        <w:rPr>
          <w:rFonts w:ascii="Times New Roman" w:hAnsi="Times New Roman"/>
          <w:sz w:val="24"/>
        </w:rPr>
        <w:t xml:space="preserve">en </w:t>
      </w:r>
      <w:r w:rsidR="00D66A6C">
        <w:rPr>
          <w:rFonts w:ascii="Times New Roman" w:hAnsi="Times New Roman"/>
          <w:sz w:val="24"/>
        </w:rPr>
        <w:t xml:space="preserve">dat voorliggend wetsvoorstel aansluit bij </w:t>
      </w:r>
      <w:r w:rsidR="000A0AB2">
        <w:rPr>
          <w:rFonts w:ascii="Times New Roman" w:hAnsi="Times New Roman"/>
          <w:sz w:val="24"/>
        </w:rPr>
        <w:t xml:space="preserve">de bestaande </w:t>
      </w:r>
      <w:r w:rsidR="00804DA3">
        <w:rPr>
          <w:rFonts w:ascii="Times New Roman" w:hAnsi="Times New Roman"/>
          <w:sz w:val="24"/>
        </w:rPr>
        <w:t xml:space="preserve">Mededingingswet. Indien de wens er is om omzetdrempels een meer dynamisch karakter te geven, zou dat logisch zijn om algeheel van toepassing te laten zijn in plaats van op enkel dit instrument. </w:t>
      </w:r>
    </w:p>
    <w:p w:rsidRPr="004A7AD4" w:rsidR="001D6448" w:rsidP="00A320C1" w:rsidRDefault="001D6448" w14:paraId="1093B0FB" w14:textId="77777777">
      <w:pPr>
        <w:spacing w:line="240" w:lineRule="auto"/>
        <w:jc w:val="both"/>
        <w:rPr>
          <w:rFonts w:ascii="Times New Roman" w:hAnsi="Times New Roman"/>
          <w:i/>
          <w:iCs/>
          <w:sz w:val="24"/>
        </w:rPr>
      </w:pPr>
    </w:p>
    <w:p w:rsidRPr="004A7AD4" w:rsidR="001D6448" w:rsidP="00A320C1" w:rsidRDefault="001D6448" w14:paraId="0CF93460" w14:textId="77777777">
      <w:pPr>
        <w:spacing w:line="240" w:lineRule="auto"/>
        <w:jc w:val="both"/>
        <w:rPr>
          <w:rFonts w:ascii="Times New Roman" w:hAnsi="Times New Roman"/>
          <w:bCs/>
          <w:i/>
          <w:iCs/>
          <w:sz w:val="24"/>
        </w:rPr>
      </w:pPr>
      <w:r w:rsidRPr="004A7AD4">
        <w:rPr>
          <w:rFonts w:ascii="Times New Roman" w:hAnsi="Times New Roman"/>
          <w:bCs/>
          <w:i/>
          <w:iCs/>
          <w:sz w:val="24"/>
        </w:rPr>
        <w:t>Asymmetrische omzetdrempel en reikwijdte</w:t>
      </w:r>
    </w:p>
    <w:p w:rsidR="00810F73" w:rsidP="00A320C1" w:rsidRDefault="00810F73" w14:paraId="3D8F055E" w14:textId="6E422895">
      <w:pPr>
        <w:spacing w:line="240" w:lineRule="auto"/>
        <w:jc w:val="both"/>
        <w:rPr>
          <w:rFonts w:ascii="Times New Roman" w:hAnsi="Times New Roman"/>
          <w:i/>
          <w:iCs/>
          <w:sz w:val="24"/>
        </w:rPr>
      </w:pPr>
      <w:r w:rsidRPr="004A7AD4">
        <w:rPr>
          <w:rFonts w:ascii="Times New Roman" w:hAnsi="Times New Roman"/>
          <w:i/>
          <w:iCs/>
          <w:sz w:val="24"/>
        </w:rPr>
        <w:t xml:space="preserve">De leden van de D66-fractie constateren dat de initiatiefnemer het voorstel naar aanleiding van de internetconsultatie heeft aangepast, zodat ten minste één van de betrokken ondernemingen een omzet in Nederland van ten minste € 30 miljoen moet behalen voordat de inroepbevoegdheid kan worden toegepast. Deze leden begrijpen dat hiermee wordt voorkomen dat zeer kleine transacties onder de bevoegdheid vallen, en dat dit rechtszekerheid voor het </w:t>
      </w:r>
      <w:r w:rsidRPr="004A7AD4" w:rsidR="003937B7">
        <w:rPr>
          <w:rFonts w:ascii="Times New Roman" w:hAnsi="Times New Roman"/>
          <w:i/>
          <w:iCs/>
          <w:sz w:val="24"/>
        </w:rPr>
        <w:t>midden- en kleinbedrijf (</w:t>
      </w:r>
      <w:r w:rsidRPr="004A7AD4">
        <w:rPr>
          <w:rFonts w:ascii="Times New Roman" w:hAnsi="Times New Roman"/>
          <w:i/>
          <w:iCs/>
          <w:sz w:val="24"/>
        </w:rPr>
        <w:t>mkb</w:t>
      </w:r>
      <w:r w:rsidRPr="004A7AD4" w:rsidR="003937B7">
        <w:rPr>
          <w:rFonts w:ascii="Times New Roman" w:hAnsi="Times New Roman"/>
          <w:i/>
          <w:iCs/>
          <w:sz w:val="24"/>
        </w:rPr>
        <w:t>)</w:t>
      </w:r>
      <w:r w:rsidRPr="004A7AD4">
        <w:rPr>
          <w:rFonts w:ascii="Times New Roman" w:hAnsi="Times New Roman"/>
          <w:i/>
          <w:iCs/>
          <w:sz w:val="24"/>
        </w:rPr>
        <w:t xml:space="preserve"> biedt. Tegelijkertijd vragen deze leden aandacht voor het type concentraties dat juist de aanleiding voor dit voorstel vormt. Bij kralenrijgen bouwt een partij regionale of lokale marktmacht op via een reeks op zichzelf kleine overnames, waarbij ook de verwervende partij — bijvoorbeeld een opkomende keten of een investeringsvehikel — aanvankelijk een beperkte omzet kan hebben. De</w:t>
      </w:r>
      <w:r w:rsidRPr="004A7AD4" w:rsidR="003937B7">
        <w:rPr>
          <w:rFonts w:ascii="Times New Roman" w:hAnsi="Times New Roman"/>
          <w:i/>
          <w:iCs/>
          <w:sz w:val="24"/>
        </w:rPr>
        <w:t>ze</w:t>
      </w:r>
      <w:r w:rsidRPr="004A7AD4">
        <w:rPr>
          <w:rFonts w:ascii="Times New Roman" w:hAnsi="Times New Roman"/>
          <w:i/>
          <w:iCs/>
          <w:sz w:val="24"/>
        </w:rPr>
        <w:t xml:space="preserve"> leden vragen de initiatiefnemer in hoeverre de asymmetrische drempel van € 30 miljoen voldoende ruimte laat om deze </w:t>
      </w:r>
      <w:proofErr w:type="spellStart"/>
      <w:r w:rsidRPr="004A7AD4">
        <w:rPr>
          <w:rFonts w:ascii="Times New Roman" w:hAnsi="Times New Roman"/>
          <w:i/>
          <w:iCs/>
          <w:sz w:val="24"/>
        </w:rPr>
        <w:t>kralenrijgstrategieën</w:t>
      </w:r>
      <w:proofErr w:type="spellEnd"/>
      <w:r w:rsidRPr="004A7AD4">
        <w:rPr>
          <w:rFonts w:ascii="Times New Roman" w:hAnsi="Times New Roman"/>
          <w:i/>
          <w:iCs/>
          <w:sz w:val="24"/>
        </w:rPr>
        <w:t xml:space="preserve"> te kunnen inroepen. Bestaat het risico dat problematische </w:t>
      </w:r>
      <w:proofErr w:type="spellStart"/>
      <w:r w:rsidRPr="004A7AD4">
        <w:rPr>
          <w:rFonts w:ascii="Times New Roman" w:hAnsi="Times New Roman"/>
          <w:i/>
          <w:iCs/>
          <w:sz w:val="24"/>
        </w:rPr>
        <w:t>roll</w:t>
      </w:r>
      <w:proofErr w:type="spellEnd"/>
      <w:r w:rsidRPr="004A7AD4">
        <w:rPr>
          <w:rFonts w:ascii="Times New Roman" w:hAnsi="Times New Roman"/>
          <w:i/>
          <w:iCs/>
          <w:sz w:val="24"/>
        </w:rPr>
        <w:t>-ups in lokale of nichemarkten, waarbij in een vroege fase geen van de betrokken partijen de € 30 miljoen haalt, alsnog buiten bereik van de bevoegdheid blijven?</w:t>
      </w:r>
    </w:p>
    <w:p w:rsidR="00D17564" w:rsidP="00A320C1" w:rsidRDefault="00D17564" w14:paraId="3C961211" w14:textId="77777777">
      <w:pPr>
        <w:spacing w:line="240" w:lineRule="auto"/>
        <w:jc w:val="both"/>
        <w:rPr>
          <w:rFonts w:ascii="Times New Roman" w:hAnsi="Times New Roman"/>
          <w:i/>
          <w:iCs/>
          <w:sz w:val="24"/>
        </w:rPr>
      </w:pPr>
    </w:p>
    <w:p w:rsidR="00D17564" w:rsidP="00D77374" w:rsidRDefault="00D17564" w14:paraId="05772927" w14:textId="1F7D548F">
      <w:pPr>
        <w:spacing w:line="240" w:lineRule="auto"/>
        <w:jc w:val="both"/>
        <w:rPr>
          <w:rFonts w:ascii="Times New Roman" w:hAnsi="Times New Roman"/>
          <w:sz w:val="24"/>
        </w:rPr>
      </w:pPr>
      <w:r>
        <w:rPr>
          <w:rFonts w:ascii="Times New Roman" w:hAnsi="Times New Roman"/>
          <w:sz w:val="24"/>
        </w:rPr>
        <w:t>De initiatiefnemer had om de reden</w:t>
      </w:r>
      <w:r w:rsidR="0011683E">
        <w:rPr>
          <w:rFonts w:ascii="Times New Roman" w:hAnsi="Times New Roman"/>
          <w:sz w:val="24"/>
        </w:rPr>
        <w:t>en</w:t>
      </w:r>
      <w:r>
        <w:rPr>
          <w:rFonts w:ascii="Times New Roman" w:hAnsi="Times New Roman"/>
          <w:sz w:val="24"/>
        </w:rPr>
        <w:t xml:space="preserve"> die de leden van de D66-fractie noemen </w:t>
      </w:r>
      <w:r w:rsidR="00C134B1">
        <w:rPr>
          <w:rFonts w:ascii="Times New Roman" w:hAnsi="Times New Roman"/>
          <w:sz w:val="24"/>
        </w:rPr>
        <w:t xml:space="preserve">in het voorstel zoals dat ter internetconsultatie is aangeboden geen omzetdrempels voor de inroepbevoegdheid opgenomen. </w:t>
      </w:r>
      <w:r w:rsidR="00A96E5B">
        <w:rPr>
          <w:rFonts w:ascii="Times New Roman" w:hAnsi="Times New Roman"/>
          <w:sz w:val="24"/>
        </w:rPr>
        <w:t xml:space="preserve">Namelijk om te voorkomen dat er </w:t>
      </w:r>
      <w:r w:rsidRPr="003B080D" w:rsidR="003B080D">
        <w:rPr>
          <w:rFonts w:ascii="Times New Roman" w:hAnsi="Times New Roman"/>
          <w:sz w:val="24"/>
        </w:rPr>
        <w:t xml:space="preserve">in lokale of nichemarkten problematische </w:t>
      </w:r>
      <w:proofErr w:type="spellStart"/>
      <w:r w:rsidRPr="003B080D" w:rsidR="003B080D">
        <w:rPr>
          <w:rFonts w:ascii="Times New Roman" w:hAnsi="Times New Roman"/>
          <w:sz w:val="24"/>
        </w:rPr>
        <w:t>roll</w:t>
      </w:r>
      <w:proofErr w:type="spellEnd"/>
      <w:r w:rsidRPr="003B080D" w:rsidR="003B080D">
        <w:rPr>
          <w:rFonts w:ascii="Times New Roman" w:hAnsi="Times New Roman"/>
          <w:sz w:val="24"/>
        </w:rPr>
        <w:t>-ups</w:t>
      </w:r>
      <w:r w:rsidR="003B080D">
        <w:rPr>
          <w:rFonts w:ascii="Times New Roman" w:hAnsi="Times New Roman"/>
          <w:sz w:val="24"/>
        </w:rPr>
        <w:t xml:space="preserve"> zouden komen waar met een drempel geen greep op mogelijk zou zijn. Echter vanwege de in de consultatieronde veelvuldig genoemde bezwaren</w:t>
      </w:r>
      <w:r w:rsidR="00A33D0D">
        <w:rPr>
          <w:rFonts w:ascii="Times New Roman" w:hAnsi="Times New Roman"/>
          <w:sz w:val="24"/>
        </w:rPr>
        <w:t xml:space="preserve"> tegen het ontbreken van enige drempel en de daarmee gepaarde rechtsonzeker</w:t>
      </w:r>
      <w:r w:rsidR="004E4AB9">
        <w:rPr>
          <w:rFonts w:ascii="Times New Roman" w:hAnsi="Times New Roman"/>
          <w:sz w:val="24"/>
        </w:rPr>
        <w:t xml:space="preserve">heid </w:t>
      </w:r>
      <w:r w:rsidR="00A862B9">
        <w:rPr>
          <w:rFonts w:ascii="Times New Roman" w:hAnsi="Times New Roman"/>
          <w:sz w:val="24"/>
        </w:rPr>
        <w:t xml:space="preserve">is er toch voor gekozen om wel een omzetdrempel op te nemen. </w:t>
      </w:r>
      <w:r w:rsidR="00D77374">
        <w:rPr>
          <w:rFonts w:ascii="Times New Roman" w:hAnsi="Times New Roman"/>
          <w:sz w:val="24"/>
        </w:rPr>
        <w:t xml:space="preserve">Zoals de leden van de D66-fractie </w:t>
      </w:r>
      <w:r w:rsidR="00EB279A">
        <w:rPr>
          <w:rFonts w:ascii="Times New Roman" w:hAnsi="Times New Roman"/>
          <w:sz w:val="24"/>
        </w:rPr>
        <w:t xml:space="preserve">ook noemen wordt met een omzetdrempel </w:t>
      </w:r>
      <w:r w:rsidRPr="00D77374" w:rsidR="00D77374">
        <w:rPr>
          <w:rFonts w:ascii="Times New Roman" w:hAnsi="Times New Roman"/>
          <w:sz w:val="24"/>
        </w:rPr>
        <w:t xml:space="preserve">voorkomen dat zeer kleine transacties onder de </w:t>
      </w:r>
      <w:r w:rsidR="00EB279A">
        <w:rPr>
          <w:rFonts w:ascii="Times New Roman" w:hAnsi="Times New Roman"/>
          <w:sz w:val="24"/>
        </w:rPr>
        <w:t>inroep</w:t>
      </w:r>
      <w:r w:rsidRPr="00D77374" w:rsidR="00D77374">
        <w:rPr>
          <w:rFonts w:ascii="Times New Roman" w:hAnsi="Times New Roman"/>
          <w:sz w:val="24"/>
        </w:rPr>
        <w:t xml:space="preserve">bevoegdheid </w:t>
      </w:r>
      <w:r w:rsidR="00EB279A">
        <w:rPr>
          <w:rFonts w:ascii="Times New Roman" w:hAnsi="Times New Roman"/>
          <w:sz w:val="24"/>
        </w:rPr>
        <w:t xml:space="preserve">komen te </w:t>
      </w:r>
      <w:r w:rsidRPr="00D77374" w:rsidR="00D77374">
        <w:rPr>
          <w:rFonts w:ascii="Times New Roman" w:hAnsi="Times New Roman"/>
          <w:sz w:val="24"/>
        </w:rPr>
        <w:t xml:space="preserve">vallen en </w:t>
      </w:r>
      <w:r w:rsidR="00EB279A">
        <w:rPr>
          <w:rFonts w:ascii="Times New Roman" w:hAnsi="Times New Roman"/>
          <w:sz w:val="24"/>
        </w:rPr>
        <w:t xml:space="preserve">biedt het </w:t>
      </w:r>
      <w:r w:rsidRPr="00D77374" w:rsidR="00D77374">
        <w:rPr>
          <w:rFonts w:ascii="Times New Roman" w:hAnsi="Times New Roman"/>
          <w:sz w:val="24"/>
        </w:rPr>
        <w:t>rechtszekerheid voor het midden- en kleinbedrijf (mkb).</w:t>
      </w:r>
      <w:r w:rsidR="004E4AB9">
        <w:rPr>
          <w:rFonts w:ascii="Times New Roman" w:hAnsi="Times New Roman"/>
          <w:sz w:val="24"/>
        </w:rPr>
        <w:t xml:space="preserve"> </w:t>
      </w:r>
    </w:p>
    <w:p w:rsidR="00D77374" w:rsidP="00D77374" w:rsidRDefault="00D77374" w14:paraId="4568CAB3" w14:textId="77777777">
      <w:pPr>
        <w:spacing w:line="240" w:lineRule="auto"/>
        <w:jc w:val="both"/>
        <w:rPr>
          <w:rFonts w:ascii="Times New Roman" w:hAnsi="Times New Roman"/>
          <w:sz w:val="24"/>
        </w:rPr>
      </w:pPr>
    </w:p>
    <w:p w:rsidRPr="004A7AD4" w:rsidR="00810F73" w:rsidP="00A320C1" w:rsidRDefault="00810F73" w14:paraId="18ED6D0B" w14:textId="77777777">
      <w:pPr>
        <w:spacing w:line="240" w:lineRule="auto"/>
        <w:jc w:val="both"/>
        <w:rPr>
          <w:rFonts w:ascii="Times New Roman" w:hAnsi="Times New Roman"/>
          <w:bCs/>
          <w:i/>
          <w:iCs/>
          <w:sz w:val="24"/>
        </w:rPr>
      </w:pPr>
      <w:r w:rsidRPr="004A7AD4">
        <w:rPr>
          <w:rFonts w:ascii="Times New Roman" w:hAnsi="Times New Roman"/>
          <w:bCs/>
          <w:i/>
          <w:iCs/>
          <w:sz w:val="24"/>
        </w:rPr>
        <w:t>Rechtszekerheid</w:t>
      </w:r>
    </w:p>
    <w:p w:rsidR="00810F73" w:rsidP="00A320C1" w:rsidRDefault="00810F73" w14:paraId="42405D2B" w14:textId="77777777">
      <w:pPr>
        <w:spacing w:line="240" w:lineRule="auto"/>
        <w:jc w:val="both"/>
        <w:rPr>
          <w:rFonts w:ascii="Times New Roman" w:hAnsi="Times New Roman"/>
          <w:i/>
          <w:iCs/>
          <w:sz w:val="24"/>
        </w:rPr>
      </w:pPr>
      <w:r w:rsidRPr="004A7AD4">
        <w:rPr>
          <w:rFonts w:ascii="Times New Roman" w:hAnsi="Times New Roman"/>
          <w:i/>
          <w:iCs/>
          <w:sz w:val="24"/>
        </w:rPr>
        <w:t>De leden van de D66-fractie hechten aan voorspelbaar en proportioneel toezicht. De Afdeling advisering van de Raad van State heeft kanttekeningen geplaatst bij de breedte van de bevoegdheid en bij de rechtszekerheid voor ondernemingen. Deze leden vragen de initiatiefnemer nader toe te lichten hoe de voorspelbaarheid voor ondernemers wordt geborgd, onder meer via het detectieproces van de ACM en de gehanteerde termijnen.</w:t>
      </w:r>
    </w:p>
    <w:p w:rsidR="004E4AB9" w:rsidP="00A320C1" w:rsidRDefault="004E4AB9" w14:paraId="2A7E7823" w14:textId="77777777">
      <w:pPr>
        <w:spacing w:line="240" w:lineRule="auto"/>
        <w:jc w:val="both"/>
        <w:rPr>
          <w:rFonts w:ascii="Times New Roman" w:hAnsi="Times New Roman"/>
          <w:i/>
          <w:iCs/>
          <w:sz w:val="24"/>
        </w:rPr>
      </w:pPr>
    </w:p>
    <w:p w:rsidRPr="00326E9A" w:rsidR="00CA4960" w:rsidP="00326E9A" w:rsidRDefault="00102841" w14:paraId="10094498" w14:textId="4CF930EB">
      <w:pPr>
        <w:spacing w:line="240" w:lineRule="auto"/>
        <w:jc w:val="both"/>
        <w:rPr>
          <w:rFonts w:ascii="Times New Roman" w:hAnsi="Times New Roman"/>
          <w:sz w:val="24"/>
        </w:rPr>
      </w:pPr>
      <w:r>
        <w:rPr>
          <w:rFonts w:ascii="Times New Roman" w:hAnsi="Times New Roman"/>
          <w:sz w:val="24"/>
        </w:rPr>
        <w:t>In antwoord op deze vraag van de leden van de D66-</w:t>
      </w:r>
      <w:r w:rsidR="006E6B9A">
        <w:rPr>
          <w:rFonts w:ascii="Times New Roman" w:hAnsi="Times New Roman"/>
          <w:sz w:val="24"/>
        </w:rPr>
        <w:t xml:space="preserve">fractie </w:t>
      </w:r>
      <w:r w:rsidR="00CA4960">
        <w:rPr>
          <w:rFonts w:ascii="Times New Roman" w:hAnsi="Times New Roman"/>
          <w:sz w:val="24"/>
        </w:rPr>
        <w:t xml:space="preserve">over de rechtszekerheid voor ondernemingen zou de initiatiefnemer graag als volgt </w:t>
      </w:r>
      <w:r w:rsidR="00CA4960">
        <w:rPr>
          <w:rFonts w:ascii="Times New Roman" w:hAnsi="Times New Roman"/>
          <w:sz w:val="24"/>
        </w:rPr>
        <w:lastRenderedPageBreak/>
        <w:t xml:space="preserve">ingaan. </w:t>
      </w:r>
      <w:r w:rsidR="00CD628C">
        <w:rPr>
          <w:rFonts w:ascii="Times New Roman" w:hAnsi="Times New Roman"/>
          <w:sz w:val="24"/>
        </w:rPr>
        <w:t xml:space="preserve">Deze rechtszekerheid wordt op verschillende manieren gewaarborgd. Om te beginnen verwijst de initiatiefnemer naar de hierboven al genoemde </w:t>
      </w:r>
      <w:r w:rsidR="00644A62">
        <w:rPr>
          <w:rFonts w:ascii="Times New Roman" w:hAnsi="Times New Roman"/>
          <w:sz w:val="24"/>
        </w:rPr>
        <w:t>in de wet opgenomen omzetdrempel. Die brengt een voor bedrijven heldere afbakening van de inroepbevoegdheid met zich</w:t>
      </w:r>
      <w:r w:rsidR="001C7F00">
        <w:rPr>
          <w:rFonts w:ascii="Times New Roman" w:hAnsi="Times New Roman"/>
          <w:sz w:val="24"/>
        </w:rPr>
        <w:t xml:space="preserve"> mee</w:t>
      </w:r>
      <w:r w:rsidR="00644A62">
        <w:rPr>
          <w:rFonts w:ascii="Times New Roman" w:hAnsi="Times New Roman"/>
          <w:sz w:val="24"/>
        </w:rPr>
        <w:t>. Deze drempel</w:t>
      </w:r>
      <w:r w:rsidR="00EF53D7">
        <w:rPr>
          <w:rFonts w:ascii="Times New Roman" w:hAnsi="Times New Roman"/>
          <w:sz w:val="24"/>
        </w:rPr>
        <w:t xml:space="preserve"> is al</w:t>
      </w:r>
      <w:r w:rsidR="00DB56C9">
        <w:rPr>
          <w:rFonts w:ascii="Times New Roman" w:hAnsi="Times New Roman"/>
          <w:sz w:val="24"/>
        </w:rPr>
        <w:t>s</w:t>
      </w:r>
      <w:r w:rsidR="00EF53D7">
        <w:rPr>
          <w:rFonts w:ascii="Times New Roman" w:hAnsi="Times New Roman"/>
          <w:sz w:val="24"/>
        </w:rPr>
        <w:t xml:space="preserve"> zodanig al in de Mededingingswet opgenomen</w:t>
      </w:r>
      <w:r w:rsidR="00343DCC">
        <w:rPr>
          <w:rFonts w:ascii="Times New Roman" w:hAnsi="Times New Roman"/>
          <w:sz w:val="24"/>
        </w:rPr>
        <w:t xml:space="preserve"> en heeft </w:t>
      </w:r>
      <w:r w:rsidRPr="004C5C40" w:rsidR="004C5C40">
        <w:rPr>
          <w:rFonts w:ascii="Times New Roman" w:hAnsi="Times New Roman"/>
          <w:sz w:val="24"/>
        </w:rPr>
        <w:t xml:space="preserve">bewezen een in de praktijk goed hanteerbare maatstaf </w:t>
      </w:r>
      <w:r w:rsidR="00343DCC">
        <w:rPr>
          <w:rFonts w:ascii="Times New Roman" w:hAnsi="Times New Roman"/>
          <w:sz w:val="24"/>
        </w:rPr>
        <w:t xml:space="preserve">voor het concentratietoezicht </w:t>
      </w:r>
      <w:r w:rsidRPr="004C5C40" w:rsidR="004C5C40">
        <w:rPr>
          <w:rFonts w:ascii="Times New Roman" w:hAnsi="Times New Roman"/>
          <w:sz w:val="24"/>
        </w:rPr>
        <w:t>te zijn</w:t>
      </w:r>
      <w:r w:rsidR="004C5C40">
        <w:rPr>
          <w:rFonts w:ascii="Times New Roman" w:hAnsi="Times New Roman"/>
          <w:sz w:val="24"/>
        </w:rPr>
        <w:t>. Daarbij komt dat de grond waarop de ACM een concentratie kan inroepen</w:t>
      </w:r>
      <w:r w:rsidR="0000025D">
        <w:rPr>
          <w:rFonts w:ascii="Times New Roman" w:hAnsi="Times New Roman"/>
          <w:sz w:val="24"/>
        </w:rPr>
        <w:t xml:space="preserve">, namelijk </w:t>
      </w:r>
      <w:r w:rsidRPr="0000025D" w:rsidR="0000025D">
        <w:rPr>
          <w:rFonts w:ascii="Times New Roman" w:hAnsi="Times New Roman"/>
          <w:sz w:val="24"/>
        </w:rPr>
        <w:t>het criterium of een concentratie de mededinging “op significante wijze zou kunnen belemmeren”</w:t>
      </w:r>
      <w:r w:rsidR="0000025D">
        <w:rPr>
          <w:rFonts w:ascii="Times New Roman" w:hAnsi="Times New Roman"/>
          <w:sz w:val="24"/>
        </w:rPr>
        <w:t>,</w:t>
      </w:r>
      <w:r w:rsidRPr="0000025D" w:rsidR="0000025D">
        <w:rPr>
          <w:rFonts w:ascii="Times New Roman" w:hAnsi="Times New Roman"/>
          <w:sz w:val="24"/>
        </w:rPr>
        <w:t xml:space="preserve"> </w:t>
      </w:r>
      <w:r w:rsidR="004C5C40">
        <w:rPr>
          <w:rFonts w:ascii="Times New Roman" w:hAnsi="Times New Roman"/>
          <w:sz w:val="24"/>
        </w:rPr>
        <w:t xml:space="preserve">eveneens </w:t>
      </w:r>
      <w:r w:rsidR="00146ECF">
        <w:rPr>
          <w:rFonts w:ascii="Times New Roman" w:hAnsi="Times New Roman"/>
          <w:sz w:val="24"/>
        </w:rPr>
        <w:t xml:space="preserve">al </w:t>
      </w:r>
      <w:r w:rsidR="0000025D">
        <w:rPr>
          <w:rFonts w:ascii="Times New Roman" w:hAnsi="Times New Roman"/>
          <w:sz w:val="24"/>
        </w:rPr>
        <w:t xml:space="preserve">lang in de Mededingingswet is opgenomen </w:t>
      </w:r>
      <w:r w:rsidR="005F52D9">
        <w:rPr>
          <w:rFonts w:ascii="Times New Roman" w:hAnsi="Times New Roman"/>
          <w:sz w:val="24"/>
        </w:rPr>
        <w:t xml:space="preserve">en </w:t>
      </w:r>
      <w:r w:rsidR="00EC2280">
        <w:rPr>
          <w:rFonts w:ascii="Times New Roman" w:hAnsi="Times New Roman"/>
          <w:sz w:val="24"/>
        </w:rPr>
        <w:t xml:space="preserve">zich bewezen heeft als een werkbaar criterium. </w:t>
      </w:r>
      <w:r w:rsidRPr="001B4891" w:rsidR="00547B18">
        <w:rPr>
          <w:rFonts w:ascii="Times New Roman" w:hAnsi="Times New Roman"/>
          <w:sz w:val="24"/>
        </w:rPr>
        <w:t xml:space="preserve">Daarnaast zal de </w:t>
      </w:r>
      <w:r w:rsidRPr="001B4891" w:rsidR="00CA4960">
        <w:rPr>
          <w:rFonts w:ascii="Times New Roman" w:hAnsi="Times New Roman"/>
          <w:sz w:val="24"/>
        </w:rPr>
        <w:t xml:space="preserve">ACM om de rechtszekerheid verder te bevorderen in een leidraad verduidelijken welke factoren van invloed kunnen zijn op het inroepen van concentraties. </w:t>
      </w:r>
      <w:r w:rsidR="00D003D3">
        <w:rPr>
          <w:rFonts w:ascii="Times New Roman" w:hAnsi="Times New Roman"/>
          <w:sz w:val="24"/>
        </w:rPr>
        <w:t xml:space="preserve">Bovendien krijgen ondernemingen die </w:t>
      </w:r>
      <w:r w:rsidR="00894162">
        <w:rPr>
          <w:rFonts w:ascii="Times New Roman" w:hAnsi="Times New Roman"/>
          <w:sz w:val="24"/>
        </w:rPr>
        <w:t xml:space="preserve">snel duidelijkheid willen </w:t>
      </w:r>
      <w:r w:rsidR="00DA5F8D">
        <w:rPr>
          <w:rFonts w:ascii="Times New Roman" w:hAnsi="Times New Roman"/>
          <w:sz w:val="24"/>
        </w:rPr>
        <w:t xml:space="preserve">hebben </w:t>
      </w:r>
      <w:r w:rsidR="00894162">
        <w:rPr>
          <w:rFonts w:ascii="Times New Roman" w:hAnsi="Times New Roman"/>
          <w:sz w:val="24"/>
        </w:rPr>
        <w:t xml:space="preserve">over een voorgenomen </w:t>
      </w:r>
      <w:r w:rsidRPr="00326E9A" w:rsidR="00894162">
        <w:rPr>
          <w:rFonts w:ascii="Times New Roman" w:hAnsi="Times New Roman"/>
          <w:sz w:val="24"/>
        </w:rPr>
        <w:t xml:space="preserve">concentratie </w:t>
      </w:r>
      <w:r w:rsidRPr="00326E9A" w:rsidR="00D003D3">
        <w:rPr>
          <w:rFonts w:ascii="Times New Roman" w:hAnsi="Times New Roman"/>
          <w:sz w:val="24"/>
        </w:rPr>
        <w:t xml:space="preserve">de mogelijkheid om </w:t>
      </w:r>
      <w:r w:rsidRPr="00326E9A" w:rsidR="00494FAC">
        <w:rPr>
          <w:rFonts w:ascii="Times New Roman" w:hAnsi="Times New Roman"/>
          <w:sz w:val="24"/>
        </w:rPr>
        <w:t xml:space="preserve">dat </w:t>
      </w:r>
      <w:r w:rsidRPr="00326E9A" w:rsidR="00D003D3">
        <w:rPr>
          <w:rFonts w:ascii="Times New Roman" w:hAnsi="Times New Roman"/>
          <w:sz w:val="24"/>
        </w:rPr>
        <w:t>o</w:t>
      </w:r>
      <w:r w:rsidRPr="00326E9A" w:rsidR="00894162">
        <w:rPr>
          <w:rFonts w:ascii="Times New Roman" w:hAnsi="Times New Roman"/>
          <w:sz w:val="24"/>
        </w:rPr>
        <w:t xml:space="preserve">p laagdrempelige </w:t>
      </w:r>
      <w:r w:rsidRPr="00326E9A" w:rsidR="00494FAC">
        <w:rPr>
          <w:rFonts w:ascii="Times New Roman" w:hAnsi="Times New Roman"/>
          <w:sz w:val="24"/>
        </w:rPr>
        <w:t xml:space="preserve">informele </w:t>
      </w:r>
      <w:r w:rsidRPr="00326E9A" w:rsidR="00894162">
        <w:rPr>
          <w:rFonts w:ascii="Times New Roman" w:hAnsi="Times New Roman"/>
          <w:sz w:val="24"/>
        </w:rPr>
        <w:t xml:space="preserve">wijze </w:t>
      </w:r>
      <w:r w:rsidRPr="00326E9A" w:rsidR="00494FAC">
        <w:rPr>
          <w:rFonts w:ascii="Times New Roman" w:hAnsi="Times New Roman"/>
          <w:sz w:val="24"/>
        </w:rPr>
        <w:t xml:space="preserve">aan de ACM voor te leggen. </w:t>
      </w:r>
      <w:r w:rsidR="00DA5F8D">
        <w:rPr>
          <w:rFonts w:ascii="Times New Roman" w:hAnsi="Times New Roman"/>
          <w:sz w:val="24"/>
        </w:rPr>
        <w:t>Tenslotte: m</w:t>
      </w:r>
      <w:r w:rsidRPr="00326E9A" w:rsidR="00C1080C">
        <w:rPr>
          <w:rFonts w:ascii="Times New Roman" w:hAnsi="Times New Roman"/>
          <w:sz w:val="24"/>
        </w:rPr>
        <w:t xml:space="preserve">ocht de ACM een concentratie </w:t>
      </w:r>
      <w:r w:rsidR="00F4765D">
        <w:rPr>
          <w:rFonts w:ascii="Times New Roman" w:hAnsi="Times New Roman"/>
          <w:sz w:val="24"/>
        </w:rPr>
        <w:t xml:space="preserve">willen </w:t>
      </w:r>
      <w:r w:rsidRPr="00326E9A" w:rsidR="00C1080C">
        <w:rPr>
          <w:rFonts w:ascii="Times New Roman" w:hAnsi="Times New Roman"/>
          <w:sz w:val="24"/>
        </w:rPr>
        <w:t xml:space="preserve">inroepen dan </w:t>
      </w:r>
      <w:r w:rsidRPr="00326E9A" w:rsidR="00326E9A">
        <w:rPr>
          <w:rFonts w:ascii="Times New Roman" w:hAnsi="Times New Roman"/>
          <w:sz w:val="24"/>
        </w:rPr>
        <w:t xml:space="preserve">is die </w:t>
      </w:r>
      <w:r w:rsidR="00F4765D">
        <w:rPr>
          <w:rFonts w:ascii="Times New Roman" w:hAnsi="Times New Roman"/>
          <w:sz w:val="24"/>
        </w:rPr>
        <w:t xml:space="preserve">mogelijkheid </w:t>
      </w:r>
      <w:r w:rsidRPr="00326E9A" w:rsidR="00CA4960">
        <w:rPr>
          <w:rFonts w:ascii="Times New Roman" w:hAnsi="Times New Roman"/>
          <w:sz w:val="24"/>
        </w:rPr>
        <w:t xml:space="preserve">in </w:t>
      </w:r>
      <w:r w:rsidRPr="00326E9A" w:rsidR="00326E9A">
        <w:rPr>
          <w:rFonts w:ascii="Times New Roman" w:hAnsi="Times New Roman"/>
          <w:sz w:val="24"/>
        </w:rPr>
        <w:t xml:space="preserve">de </w:t>
      </w:r>
      <w:r w:rsidRPr="00326E9A" w:rsidR="00CA4960">
        <w:rPr>
          <w:rFonts w:ascii="Times New Roman" w:hAnsi="Times New Roman"/>
          <w:sz w:val="24"/>
        </w:rPr>
        <w:t xml:space="preserve">tijd beperkt tot zeven maanden na de totstandbrenging van een concentratie. </w:t>
      </w:r>
    </w:p>
    <w:p w:rsidRPr="00326E9A" w:rsidR="00CA4960" w:rsidP="00CA4960" w:rsidRDefault="00CA4960" w14:paraId="4E993463" w14:textId="77777777">
      <w:pPr>
        <w:rPr>
          <w:sz w:val="24"/>
        </w:rPr>
      </w:pPr>
    </w:p>
    <w:p w:rsidR="00CA4147" w:rsidP="00A320C1" w:rsidRDefault="00CA4147" w14:paraId="5C72BE5C" w14:textId="12F040CB">
      <w:pPr>
        <w:spacing w:line="240" w:lineRule="auto"/>
        <w:jc w:val="both"/>
        <w:rPr>
          <w:rFonts w:ascii="Times New Roman" w:hAnsi="Times New Roman"/>
          <w:i/>
          <w:iCs/>
          <w:sz w:val="24"/>
        </w:rPr>
      </w:pPr>
      <w:r w:rsidRPr="004A7AD4">
        <w:rPr>
          <w:rFonts w:ascii="Times New Roman" w:hAnsi="Times New Roman"/>
          <w:i/>
          <w:iCs/>
          <w:sz w:val="24"/>
        </w:rPr>
        <w:t xml:space="preserve">De leden van de VVD-fractie lezen dat met het wetsvoorstel wordt voorgesteld om in de Mededingingswet een bepaling op te nemen dat de ACM </w:t>
      </w:r>
      <w:r w:rsidRPr="004A7AD4" w:rsidR="00F23BCA">
        <w:rPr>
          <w:rFonts w:ascii="Times New Roman" w:hAnsi="Times New Roman"/>
          <w:i/>
          <w:iCs/>
          <w:sz w:val="24"/>
        </w:rPr>
        <w:t xml:space="preserve">als </w:t>
      </w:r>
      <w:r w:rsidRPr="004A7AD4">
        <w:rPr>
          <w:rFonts w:ascii="Times New Roman" w:hAnsi="Times New Roman"/>
          <w:i/>
          <w:iCs/>
          <w:sz w:val="24"/>
        </w:rPr>
        <w:t>uitzondering op de geldende omzetdrempels in de huidige wet, de bevoegdheid krijgt om melding van een concentratie te eisen waarvan de ACM reden heeft om aan te nemen dat die concentratie de daadwerkelijke mededinging op de Nederlandse markt of een deel daarvan op significante wijze zou kunnen belemmeren. Die bevoegdheid kan worden ingeroepen als daarnaast één van de bij de concentratie betrokken ondernemingen voldoet aan de omzetdrempel van €30 m</w:t>
      </w:r>
      <w:r w:rsidRPr="004A7AD4" w:rsidR="003660A3">
        <w:rPr>
          <w:rFonts w:ascii="Times New Roman" w:hAnsi="Times New Roman"/>
          <w:i/>
          <w:iCs/>
          <w:sz w:val="24"/>
        </w:rPr>
        <w:t xml:space="preserve">iljoen </w:t>
      </w:r>
      <w:r w:rsidRPr="004A7AD4">
        <w:rPr>
          <w:rFonts w:ascii="Times New Roman" w:hAnsi="Times New Roman"/>
          <w:i/>
          <w:iCs/>
          <w:sz w:val="24"/>
        </w:rPr>
        <w:t>in Nederland. De</w:t>
      </w:r>
      <w:r w:rsidRPr="004A7AD4" w:rsidR="003937B7">
        <w:rPr>
          <w:rFonts w:ascii="Times New Roman" w:hAnsi="Times New Roman"/>
          <w:i/>
          <w:iCs/>
          <w:sz w:val="24"/>
        </w:rPr>
        <w:t>ze</w:t>
      </w:r>
      <w:r w:rsidRPr="004A7AD4">
        <w:rPr>
          <w:rFonts w:ascii="Times New Roman" w:hAnsi="Times New Roman"/>
          <w:i/>
          <w:iCs/>
          <w:sz w:val="24"/>
        </w:rPr>
        <w:t xml:space="preserve"> leden lezen daarnaast dat de ACM zou hebben aangegeven dat </w:t>
      </w:r>
      <w:r w:rsidRPr="004A7AD4" w:rsidR="00B94A0C">
        <w:rPr>
          <w:rFonts w:ascii="Times New Roman" w:hAnsi="Times New Roman"/>
          <w:i/>
          <w:iCs/>
          <w:sz w:val="24"/>
        </w:rPr>
        <w:t xml:space="preserve">indien </w:t>
      </w:r>
      <w:r w:rsidRPr="004A7AD4">
        <w:rPr>
          <w:rFonts w:ascii="Times New Roman" w:hAnsi="Times New Roman"/>
          <w:i/>
          <w:iCs/>
          <w:sz w:val="24"/>
        </w:rPr>
        <w:t xml:space="preserve">de inroepbevoegdheid in de Mededingingswet wordt opgenomen, zij op dit punt </w:t>
      </w:r>
      <w:proofErr w:type="spellStart"/>
      <w:r w:rsidRPr="004A7AD4">
        <w:rPr>
          <w:rFonts w:ascii="Times New Roman" w:hAnsi="Times New Roman"/>
          <w:i/>
          <w:iCs/>
          <w:sz w:val="24"/>
        </w:rPr>
        <w:t>guidance</w:t>
      </w:r>
      <w:proofErr w:type="spellEnd"/>
      <w:r w:rsidRPr="004A7AD4">
        <w:rPr>
          <w:rFonts w:ascii="Times New Roman" w:hAnsi="Times New Roman"/>
          <w:i/>
          <w:iCs/>
          <w:sz w:val="24"/>
        </w:rPr>
        <w:t xml:space="preserve"> zal geven door via een leidraad vooraf duidelijk te maken waar zij op let bij het mogelijk inroepen van concentraties. Deze leden vragen de indiener toe te lichten of de Kamer nog een rol speelt in deze </w:t>
      </w:r>
      <w:proofErr w:type="spellStart"/>
      <w:r w:rsidRPr="004A7AD4">
        <w:rPr>
          <w:rFonts w:ascii="Times New Roman" w:hAnsi="Times New Roman"/>
          <w:i/>
          <w:iCs/>
          <w:sz w:val="24"/>
        </w:rPr>
        <w:t>guidance</w:t>
      </w:r>
      <w:proofErr w:type="spellEnd"/>
      <w:r w:rsidRPr="004A7AD4">
        <w:rPr>
          <w:rFonts w:ascii="Times New Roman" w:hAnsi="Times New Roman"/>
          <w:i/>
          <w:iCs/>
          <w:sz w:val="24"/>
        </w:rPr>
        <w:t xml:space="preserve"> en zo nee, waarom niet. </w:t>
      </w:r>
    </w:p>
    <w:p w:rsidR="00326E9A" w:rsidP="00A320C1" w:rsidRDefault="00326E9A" w14:paraId="0D79C771" w14:textId="77777777">
      <w:pPr>
        <w:spacing w:line="240" w:lineRule="auto"/>
        <w:jc w:val="both"/>
        <w:rPr>
          <w:rFonts w:ascii="Times New Roman" w:hAnsi="Times New Roman"/>
          <w:i/>
          <w:iCs/>
          <w:sz w:val="24"/>
        </w:rPr>
      </w:pPr>
    </w:p>
    <w:p w:rsidRPr="00326E9A" w:rsidR="00326E9A" w:rsidP="00A320C1" w:rsidRDefault="00326E9A" w14:paraId="4FCCAD79" w14:textId="1C8695D9">
      <w:pPr>
        <w:spacing w:line="240" w:lineRule="auto"/>
        <w:jc w:val="both"/>
        <w:rPr>
          <w:rFonts w:ascii="Times New Roman" w:hAnsi="Times New Roman"/>
          <w:sz w:val="24"/>
        </w:rPr>
      </w:pPr>
      <w:r>
        <w:rPr>
          <w:rFonts w:ascii="Times New Roman" w:hAnsi="Times New Roman"/>
          <w:sz w:val="24"/>
        </w:rPr>
        <w:t xml:space="preserve">De ACM is een onafhankelijke toezichthouder </w:t>
      </w:r>
      <w:r w:rsidR="00A06757">
        <w:rPr>
          <w:rFonts w:ascii="Times New Roman" w:hAnsi="Times New Roman"/>
          <w:sz w:val="24"/>
        </w:rPr>
        <w:t xml:space="preserve">die bij het uitoefenen van het </w:t>
      </w:r>
      <w:r w:rsidR="001A196D">
        <w:rPr>
          <w:rFonts w:ascii="Times New Roman" w:hAnsi="Times New Roman"/>
          <w:sz w:val="24"/>
        </w:rPr>
        <w:t>concentratie</w:t>
      </w:r>
      <w:r w:rsidR="00A06757">
        <w:rPr>
          <w:rFonts w:ascii="Times New Roman" w:hAnsi="Times New Roman"/>
          <w:sz w:val="24"/>
        </w:rPr>
        <w:t xml:space="preserve">toezicht gebonden is aan </w:t>
      </w:r>
      <w:r w:rsidR="00E9220A">
        <w:rPr>
          <w:rFonts w:ascii="Times New Roman" w:hAnsi="Times New Roman"/>
          <w:sz w:val="24"/>
        </w:rPr>
        <w:t xml:space="preserve">met name </w:t>
      </w:r>
      <w:r w:rsidR="00A06757">
        <w:rPr>
          <w:rFonts w:ascii="Times New Roman" w:hAnsi="Times New Roman"/>
          <w:sz w:val="24"/>
        </w:rPr>
        <w:t xml:space="preserve">de Mededingingswet. </w:t>
      </w:r>
      <w:r w:rsidR="00E9220A">
        <w:rPr>
          <w:rFonts w:ascii="Times New Roman" w:hAnsi="Times New Roman"/>
          <w:sz w:val="24"/>
        </w:rPr>
        <w:t xml:space="preserve">Om </w:t>
      </w:r>
      <w:r w:rsidR="00F36E8E">
        <w:rPr>
          <w:rFonts w:ascii="Times New Roman" w:hAnsi="Times New Roman"/>
          <w:sz w:val="24"/>
        </w:rPr>
        <w:t xml:space="preserve">richting te geven aan hoe de </w:t>
      </w:r>
      <w:r w:rsidR="004F4C25">
        <w:rPr>
          <w:rFonts w:ascii="Times New Roman" w:hAnsi="Times New Roman"/>
          <w:sz w:val="24"/>
        </w:rPr>
        <w:t>ACM</w:t>
      </w:r>
      <w:r w:rsidR="00F36E8E">
        <w:rPr>
          <w:rFonts w:ascii="Times New Roman" w:hAnsi="Times New Roman"/>
          <w:sz w:val="24"/>
        </w:rPr>
        <w:t xml:space="preserve"> dat toezicht invult worden </w:t>
      </w:r>
      <w:r w:rsidR="000A0115">
        <w:rPr>
          <w:rFonts w:ascii="Times New Roman" w:hAnsi="Times New Roman"/>
          <w:sz w:val="24"/>
        </w:rPr>
        <w:t xml:space="preserve">beleidsregels, richtlijnen en </w:t>
      </w:r>
      <w:r w:rsidR="00EE16B7">
        <w:rPr>
          <w:rFonts w:ascii="Times New Roman" w:hAnsi="Times New Roman"/>
          <w:sz w:val="24"/>
        </w:rPr>
        <w:t xml:space="preserve">leidraden opgesteld. Daarbij heeft de Kamer geen directe rol. </w:t>
      </w:r>
      <w:r w:rsidR="009E7AF9">
        <w:rPr>
          <w:rFonts w:ascii="Times New Roman" w:hAnsi="Times New Roman"/>
          <w:sz w:val="24"/>
        </w:rPr>
        <w:t>De bestaande b</w:t>
      </w:r>
      <w:r w:rsidRPr="009E7AF9" w:rsidR="009E7AF9">
        <w:rPr>
          <w:rFonts w:ascii="Times New Roman" w:hAnsi="Times New Roman"/>
          <w:sz w:val="24"/>
        </w:rPr>
        <w:t xml:space="preserve">eleidsregels en overige documenten </w:t>
      </w:r>
      <w:r w:rsidR="009E7AF9">
        <w:rPr>
          <w:rFonts w:ascii="Times New Roman" w:hAnsi="Times New Roman"/>
          <w:sz w:val="24"/>
        </w:rPr>
        <w:t xml:space="preserve">die </w:t>
      </w:r>
      <w:r w:rsidRPr="009E7AF9" w:rsidR="009E7AF9">
        <w:rPr>
          <w:rFonts w:ascii="Times New Roman" w:hAnsi="Times New Roman"/>
          <w:sz w:val="24"/>
        </w:rPr>
        <w:t xml:space="preserve">de ACM voor </w:t>
      </w:r>
      <w:r w:rsidR="009E7AF9">
        <w:rPr>
          <w:rFonts w:ascii="Times New Roman" w:hAnsi="Times New Roman"/>
          <w:sz w:val="24"/>
        </w:rPr>
        <w:t xml:space="preserve">het toezicht op </w:t>
      </w:r>
      <w:r w:rsidRPr="009E7AF9" w:rsidR="009E7AF9">
        <w:rPr>
          <w:rFonts w:ascii="Times New Roman" w:hAnsi="Times New Roman"/>
          <w:sz w:val="24"/>
        </w:rPr>
        <w:t>concurrentie</w:t>
      </w:r>
      <w:r w:rsidR="009E7AF9">
        <w:rPr>
          <w:rFonts w:ascii="Times New Roman" w:hAnsi="Times New Roman"/>
          <w:sz w:val="24"/>
        </w:rPr>
        <w:t xml:space="preserve"> en </w:t>
      </w:r>
      <w:r w:rsidRPr="009E7AF9" w:rsidR="009E7AF9">
        <w:rPr>
          <w:rFonts w:ascii="Times New Roman" w:hAnsi="Times New Roman"/>
          <w:sz w:val="24"/>
        </w:rPr>
        <w:t>marktwerking</w:t>
      </w:r>
      <w:r w:rsidR="009E7AF9">
        <w:rPr>
          <w:rFonts w:ascii="Times New Roman" w:hAnsi="Times New Roman"/>
          <w:sz w:val="24"/>
        </w:rPr>
        <w:t xml:space="preserve"> </w:t>
      </w:r>
      <w:r w:rsidR="00B344DE">
        <w:rPr>
          <w:rFonts w:ascii="Times New Roman" w:hAnsi="Times New Roman"/>
          <w:sz w:val="24"/>
        </w:rPr>
        <w:t>zijn niet in formele wet- of onderliggende regelgeving vastgelegd.</w:t>
      </w:r>
      <w:r w:rsidR="00B344DE">
        <w:rPr>
          <w:rStyle w:val="Voetnootmarkering"/>
          <w:rFonts w:ascii="Times New Roman" w:hAnsi="Times New Roman"/>
          <w:sz w:val="24"/>
        </w:rPr>
        <w:footnoteReference w:id="2"/>
      </w:r>
      <w:r w:rsidR="00C93394">
        <w:rPr>
          <w:rFonts w:ascii="Times New Roman" w:hAnsi="Times New Roman"/>
          <w:sz w:val="24"/>
        </w:rPr>
        <w:t xml:space="preserve"> </w:t>
      </w:r>
      <w:r w:rsidR="006C2AD9">
        <w:rPr>
          <w:rFonts w:ascii="Times New Roman" w:hAnsi="Times New Roman"/>
          <w:sz w:val="24"/>
        </w:rPr>
        <w:t xml:space="preserve">De initiatiefnemer heeft begrepen dat de ACM in de genoemde </w:t>
      </w:r>
      <w:proofErr w:type="spellStart"/>
      <w:r w:rsidR="006C2AD9">
        <w:rPr>
          <w:rFonts w:ascii="Times New Roman" w:hAnsi="Times New Roman"/>
          <w:sz w:val="24"/>
        </w:rPr>
        <w:t>guidance</w:t>
      </w:r>
      <w:proofErr w:type="spellEnd"/>
      <w:r w:rsidR="006C2AD9">
        <w:rPr>
          <w:rFonts w:ascii="Times New Roman" w:hAnsi="Times New Roman"/>
          <w:sz w:val="24"/>
        </w:rPr>
        <w:t xml:space="preserve"> </w:t>
      </w:r>
      <w:r w:rsidR="004F4C25">
        <w:rPr>
          <w:rFonts w:ascii="Times New Roman" w:hAnsi="Times New Roman"/>
          <w:sz w:val="24"/>
        </w:rPr>
        <w:t xml:space="preserve">gaat </w:t>
      </w:r>
      <w:r w:rsidRPr="0008221B" w:rsidR="0008221B">
        <w:rPr>
          <w:rFonts w:ascii="Times New Roman" w:hAnsi="Times New Roman"/>
          <w:sz w:val="24"/>
        </w:rPr>
        <w:t>verduidelijken welke factoren van invloed kunnen zijn op het inroepen van concentraties</w:t>
      </w:r>
      <w:r w:rsidR="0008221B">
        <w:rPr>
          <w:rFonts w:ascii="Times New Roman" w:hAnsi="Times New Roman"/>
          <w:sz w:val="24"/>
        </w:rPr>
        <w:t>.</w:t>
      </w:r>
      <w:r w:rsidRPr="0008221B" w:rsidR="0008221B">
        <w:rPr>
          <w:rFonts w:ascii="Times New Roman" w:hAnsi="Times New Roman"/>
          <w:sz w:val="24"/>
        </w:rPr>
        <w:t xml:space="preserve"> </w:t>
      </w:r>
      <w:r w:rsidRPr="006C2AD9" w:rsidR="006C2AD9">
        <w:rPr>
          <w:rFonts w:ascii="Times New Roman" w:hAnsi="Times New Roman"/>
          <w:sz w:val="24"/>
        </w:rPr>
        <w:t xml:space="preserve">Dat zullen factoren zijn die reeds in de praktijk van de ACM en de Europese Commissie worden gebruikt om concentraties te toetsen, waaronder, marktaandelen van de overnemende partij, </w:t>
      </w:r>
      <w:r w:rsidRPr="006C2AD9" w:rsidR="006C2AD9">
        <w:rPr>
          <w:rFonts w:ascii="Times New Roman" w:hAnsi="Times New Roman"/>
          <w:sz w:val="24"/>
        </w:rPr>
        <w:lastRenderedPageBreak/>
        <w:t>de concentratie van de markt, eerdere overnames of signalen van consumenten, ondernemingen of andere belanghebbenden.</w:t>
      </w:r>
      <w:r w:rsidR="0008221B">
        <w:rPr>
          <w:rFonts w:ascii="Times New Roman" w:hAnsi="Times New Roman"/>
          <w:sz w:val="24"/>
        </w:rPr>
        <w:t xml:space="preserve"> </w:t>
      </w:r>
    </w:p>
    <w:p w:rsidRPr="004A7AD4" w:rsidR="002B64AD" w:rsidP="00A320C1" w:rsidRDefault="002B64AD" w14:paraId="62690B17" w14:textId="77777777">
      <w:pPr>
        <w:spacing w:line="240" w:lineRule="auto"/>
        <w:jc w:val="both"/>
        <w:rPr>
          <w:rFonts w:ascii="Times New Roman" w:hAnsi="Times New Roman"/>
          <w:i/>
          <w:iCs/>
          <w:sz w:val="24"/>
        </w:rPr>
      </w:pPr>
    </w:p>
    <w:p w:rsidRPr="004A7AD4" w:rsidR="002B64AD" w:rsidP="00A320C1" w:rsidRDefault="00FD1430" w14:paraId="56C75456" w14:textId="49172BFA">
      <w:pPr>
        <w:spacing w:line="240" w:lineRule="auto"/>
        <w:jc w:val="both"/>
        <w:rPr>
          <w:rFonts w:ascii="Times New Roman" w:hAnsi="Times New Roman"/>
          <w:i/>
          <w:iCs/>
          <w:sz w:val="24"/>
        </w:rPr>
      </w:pPr>
      <w:r w:rsidRPr="004A7AD4">
        <w:rPr>
          <w:rFonts w:ascii="Times New Roman" w:hAnsi="Times New Roman"/>
          <w:i/>
          <w:iCs/>
          <w:sz w:val="24"/>
        </w:rPr>
        <w:t>2</w:t>
      </w:r>
      <w:r w:rsidRPr="004A7AD4" w:rsidR="002B64AD">
        <w:rPr>
          <w:rFonts w:ascii="Times New Roman" w:hAnsi="Times New Roman"/>
          <w:i/>
          <w:iCs/>
          <w:sz w:val="24"/>
        </w:rPr>
        <w:t>.1 Enkele oplossingsrichtingen</w:t>
      </w:r>
    </w:p>
    <w:p w:rsidR="001A435D" w:rsidP="00A320C1" w:rsidRDefault="001A435D" w14:paraId="5430112C" w14:textId="59AA8C3F">
      <w:pPr>
        <w:spacing w:line="240" w:lineRule="auto"/>
        <w:jc w:val="both"/>
        <w:rPr>
          <w:rFonts w:ascii="Times New Roman" w:hAnsi="Times New Roman"/>
          <w:i/>
          <w:iCs/>
          <w:sz w:val="24"/>
        </w:rPr>
      </w:pPr>
      <w:r w:rsidRPr="004A7AD4">
        <w:rPr>
          <w:rFonts w:ascii="Times New Roman" w:hAnsi="Times New Roman"/>
          <w:i/>
          <w:iCs/>
          <w:sz w:val="24"/>
        </w:rPr>
        <w:t>De leden van de CDA-fractie constateren dat de initiatiefnemer verschillende alternatieven bespreekt, waaronder lagere omzetdrempels, sectorspecifieke drempels en marktaandeeldrempels. Deze leden begrijpen de door de initiatiefnemer genoemde bezwaren tegen deze alternatieven, maar missen een nadere onderbouwing waarom de voorgestelde asymmetrische omzetdrempel uiteindelijk de meest proportionele en effectieve oplossing vormt. Kan de initiatiefnemer toelichten waarom is gekozen voor een omzetdrempel van €30 miljoen bij slechts één van de betrokken ondernemingen? Welke alternatieve drempels zijn overwogen en op basis van welke criteria is deze keuze gemaakt? </w:t>
      </w:r>
    </w:p>
    <w:p w:rsidR="002B3646" w:rsidP="00A320C1" w:rsidRDefault="002B3646" w14:paraId="05C6CAB0" w14:textId="77777777">
      <w:pPr>
        <w:spacing w:line="240" w:lineRule="auto"/>
        <w:jc w:val="both"/>
        <w:rPr>
          <w:rFonts w:ascii="Times New Roman" w:hAnsi="Times New Roman"/>
          <w:i/>
          <w:iCs/>
          <w:sz w:val="24"/>
        </w:rPr>
      </w:pPr>
    </w:p>
    <w:p w:rsidRPr="002B3646" w:rsidR="002B3646" w:rsidP="00A320C1" w:rsidRDefault="00235691" w14:paraId="45042FF3" w14:textId="439FC907">
      <w:pPr>
        <w:spacing w:line="240" w:lineRule="auto"/>
        <w:jc w:val="both"/>
        <w:rPr>
          <w:rFonts w:ascii="Times New Roman" w:hAnsi="Times New Roman"/>
          <w:sz w:val="24"/>
        </w:rPr>
      </w:pPr>
      <w:r>
        <w:rPr>
          <w:rFonts w:ascii="Times New Roman" w:hAnsi="Times New Roman"/>
          <w:sz w:val="24"/>
        </w:rPr>
        <w:t xml:space="preserve">De initiatiefnemer heeft geen alternatieve drempel overwogen omdat hij van mening is dat het voor ondernemingen </w:t>
      </w:r>
      <w:r w:rsidR="00CB1BED">
        <w:rPr>
          <w:rFonts w:ascii="Times New Roman" w:hAnsi="Times New Roman"/>
          <w:sz w:val="24"/>
        </w:rPr>
        <w:t xml:space="preserve">en de praktijk van het toezicht het meeste houvast geeft om aan te sluiten bij de bekende </w:t>
      </w:r>
      <w:r w:rsidR="007452AE">
        <w:rPr>
          <w:rFonts w:ascii="Times New Roman" w:hAnsi="Times New Roman"/>
          <w:sz w:val="24"/>
        </w:rPr>
        <w:t>omzet</w:t>
      </w:r>
      <w:r w:rsidR="00CB1BED">
        <w:rPr>
          <w:rFonts w:ascii="Times New Roman" w:hAnsi="Times New Roman"/>
          <w:sz w:val="24"/>
        </w:rPr>
        <w:t xml:space="preserve">drempel van </w:t>
      </w:r>
      <w:r w:rsidRPr="00CB1BED" w:rsidR="00CB1BED">
        <w:rPr>
          <w:rFonts w:ascii="Times New Roman" w:hAnsi="Times New Roman"/>
          <w:sz w:val="24"/>
        </w:rPr>
        <w:t>€30 miljoen</w:t>
      </w:r>
      <w:r w:rsidR="00B05629">
        <w:rPr>
          <w:rFonts w:ascii="Times New Roman" w:hAnsi="Times New Roman"/>
          <w:sz w:val="24"/>
        </w:rPr>
        <w:t xml:space="preserve"> en </w:t>
      </w:r>
      <w:r w:rsidR="00954DEB">
        <w:rPr>
          <w:rFonts w:ascii="Times New Roman" w:hAnsi="Times New Roman"/>
          <w:sz w:val="24"/>
        </w:rPr>
        <w:t xml:space="preserve">het </w:t>
      </w:r>
      <w:r w:rsidR="00B05629">
        <w:rPr>
          <w:rFonts w:ascii="Times New Roman" w:hAnsi="Times New Roman"/>
          <w:sz w:val="24"/>
        </w:rPr>
        <w:t xml:space="preserve">daaraan verbonden </w:t>
      </w:r>
      <w:r w:rsidR="00954DEB">
        <w:rPr>
          <w:rFonts w:ascii="Times New Roman" w:hAnsi="Times New Roman"/>
          <w:sz w:val="24"/>
        </w:rPr>
        <w:t xml:space="preserve">criterium </w:t>
      </w:r>
      <w:r w:rsidRPr="00954DEB" w:rsidR="00954DEB">
        <w:rPr>
          <w:rFonts w:ascii="Times New Roman" w:hAnsi="Times New Roman"/>
          <w:sz w:val="24"/>
        </w:rPr>
        <w:t xml:space="preserve">of een concentratie </w:t>
      </w:r>
      <w:r w:rsidR="00954DEB">
        <w:rPr>
          <w:rFonts w:ascii="Times New Roman" w:hAnsi="Times New Roman"/>
          <w:sz w:val="24"/>
        </w:rPr>
        <w:t xml:space="preserve">boven die drempel </w:t>
      </w:r>
      <w:r w:rsidRPr="00954DEB" w:rsidR="00954DEB">
        <w:rPr>
          <w:rFonts w:ascii="Times New Roman" w:hAnsi="Times New Roman"/>
          <w:sz w:val="24"/>
        </w:rPr>
        <w:t>de mededinging op significante wijze zou kunnen belemmeren</w:t>
      </w:r>
      <w:r w:rsidR="00954DEB">
        <w:rPr>
          <w:rFonts w:ascii="Times New Roman" w:hAnsi="Times New Roman"/>
          <w:sz w:val="24"/>
        </w:rPr>
        <w:t>.</w:t>
      </w:r>
      <w:r w:rsidR="00321CA7">
        <w:rPr>
          <w:rFonts w:ascii="Times New Roman" w:hAnsi="Times New Roman"/>
          <w:sz w:val="24"/>
        </w:rPr>
        <w:t xml:space="preserve"> Daarnaast, zo heeft de initiatiefnemer op een eerdere vraag van de leden van de D66-fractie </w:t>
      </w:r>
      <w:r w:rsidR="00775FB8">
        <w:rPr>
          <w:rFonts w:ascii="Times New Roman" w:hAnsi="Times New Roman"/>
          <w:sz w:val="24"/>
        </w:rPr>
        <w:t xml:space="preserve">geantwoord, zou </w:t>
      </w:r>
      <w:r w:rsidR="007452AE">
        <w:rPr>
          <w:rFonts w:ascii="Times New Roman" w:hAnsi="Times New Roman"/>
          <w:sz w:val="24"/>
        </w:rPr>
        <w:t>zonder enige</w:t>
      </w:r>
      <w:r w:rsidR="00775FB8">
        <w:rPr>
          <w:rFonts w:ascii="Times New Roman" w:hAnsi="Times New Roman"/>
          <w:sz w:val="24"/>
        </w:rPr>
        <w:t xml:space="preserve"> drempel de rechtsonzekerheid voor ondernemingen vergro</w:t>
      </w:r>
      <w:r w:rsidR="007452AE">
        <w:rPr>
          <w:rFonts w:ascii="Times New Roman" w:hAnsi="Times New Roman"/>
          <w:sz w:val="24"/>
        </w:rPr>
        <w:t>ot worden</w:t>
      </w:r>
      <w:r w:rsidR="00775FB8">
        <w:rPr>
          <w:rFonts w:ascii="Times New Roman" w:hAnsi="Times New Roman"/>
          <w:sz w:val="24"/>
        </w:rPr>
        <w:t xml:space="preserve">. </w:t>
      </w:r>
      <w:r w:rsidR="004521B9">
        <w:rPr>
          <w:rFonts w:ascii="Times New Roman" w:hAnsi="Times New Roman"/>
          <w:sz w:val="24"/>
        </w:rPr>
        <w:t xml:space="preserve">Een </w:t>
      </w:r>
      <w:r w:rsidR="009B2B4D">
        <w:rPr>
          <w:rFonts w:ascii="Times New Roman" w:hAnsi="Times New Roman"/>
          <w:sz w:val="24"/>
        </w:rPr>
        <w:t xml:space="preserve">(veel) </w:t>
      </w:r>
      <w:r w:rsidR="004521B9">
        <w:rPr>
          <w:rFonts w:ascii="Times New Roman" w:hAnsi="Times New Roman"/>
          <w:sz w:val="24"/>
        </w:rPr>
        <w:t xml:space="preserve">hogere omzetdrempel zou behalve dat </w:t>
      </w:r>
      <w:r w:rsidR="00BC4EB2">
        <w:rPr>
          <w:rFonts w:ascii="Times New Roman" w:hAnsi="Times New Roman"/>
          <w:sz w:val="24"/>
        </w:rPr>
        <w:t xml:space="preserve">die zou afwijken van wat in het bekende concentratietoezicht </w:t>
      </w:r>
      <w:r w:rsidR="009B2B4D">
        <w:rPr>
          <w:rFonts w:ascii="Times New Roman" w:hAnsi="Times New Roman"/>
          <w:sz w:val="24"/>
        </w:rPr>
        <w:t xml:space="preserve">gebruikelijk is, ook </w:t>
      </w:r>
      <w:r w:rsidR="001C265A">
        <w:rPr>
          <w:rFonts w:ascii="Times New Roman" w:hAnsi="Times New Roman"/>
          <w:sz w:val="24"/>
        </w:rPr>
        <w:t xml:space="preserve">het toepassen van </w:t>
      </w:r>
      <w:r w:rsidR="00D90B02">
        <w:rPr>
          <w:rFonts w:ascii="Times New Roman" w:hAnsi="Times New Roman"/>
          <w:sz w:val="24"/>
        </w:rPr>
        <w:t>de inroepbevoegdheid</w:t>
      </w:r>
      <w:r w:rsidR="001C265A">
        <w:rPr>
          <w:rFonts w:ascii="Times New Roman" w:hAnsi="Times New Roman"/>
          <w:sz w:val="24"/>
        </w:rPr>
        <w:t xml:space="preserve"> belemmeren</w:t>
      </w:r>
      <w:r w:rsidR="00C27F96">
        <w:rPr>
          <w:rFonts w:ascii="Times New Roman" w:hAnsi="Times New Roman"/>
          <w:sz w:val="24"/>
        </w:rPr>
        <w:t xml:space="preserve"> en daarmee het risico op ongewenste concurrentieverhoudingen vergroten.</w:t>
      </w:r>
    </w:p>
    <w:p w:rsidRPr="004A7AD4" w:rsidR="003937B7" w:rsidP="00A320C1" w:rsidRDefault="003937B7" w14:paraId="0810E1C2" w14:textId="77777777">
      <w:pPr>
        <w:spacing w:line="240" w:lineRule="auto"/>
        <w:jc w:val="both"/>
        <w:rPr>
          <w:rFonts w:ascii="Times New Roman" w:hAnsi="Times New Roman"/>
          <w:i/>
          <w:iCs/>
          <w:sz w:val="24"/>
        </w:rPr>
      </w:pPr>
    </w:p>
    <w:p w:rsidR="007A4F9A" w:rsidP="00A320C1" w:rsidRDefault="001A435D" w14:paraId="695919F7" w14:textId="06F8E6DE">
      <w:pPr>
        <w:spacing w:line="240" w:lineRule="auto"/>
        <w:jc w:val="both"/>
        <w:rPr>
          <w:rFonts w:ascii="Times New Roman" w:hAnsi="Times New Roman"/>
          <w:i/>
          <w:iCs/>
          <w:sz w:val="24"/>
        </w:rPr>
      </w:pPr>
      <w:r w:rsidRPr="004A7AD4">
        <w:rPr>
          <w:rFonts w:ascii="Times New Roman" w:hAnsi="Times New Roman"/>
          <w:i/>
          <w:iCs/>
          <w:sz w:val="24"/>
        </w:rPr>
        <w:t>De leden van de CDA-fractie vragen daarnaast of de initiatiefnemer, gelet op de mogelijke gevolgen van de voorgestelde inroepbevoegdheid voor ondernemingen, investeringen en overnametrajecten, heeft overwogen de bevoegdheid in eerste instantie slechts van toepassing te laten zijn op één of enkele specifieke sectoren waarin de geschetste problematiek zich het meest nadrukkelijk voordoet.</w:t>
      </w:r>
      <w:r w:rsidR="00C42241">
        <w:rPr>
          <w:rFonts w:ascii="Times New Roman" w:hAnsi="Times New Roman"/>
          <w:i/>
          <w:iCs/>
          <w:sz w:val="24"/>
        </w:rPr>
        <w:t xml:space="preserve"> </w:t>
      </w:r>
      <w:r w:rsidRPr="004A7AD4">
        <w:rPr>
          <w:rFonts w:ascii="Times New Roman" w:hAnsi="Times New Roman"/>
          <w:i/>
          <w:iCs/>
          <w:sz w:val="24"/>
        </w:rPr>
        <w:t>De leden van de CDA</w:t>
      </w:r>
      <w:r w:rsidRPr="004A7AD4" w:rsidR="003937B7">
        <w:rPr>
          <w:rFonts w:ascii="Times New Roman" w:hAnsi="Times New Roman"/>
          <w:i/>
          <w:iCs/>
          <w:sz w:val="24"/>
        </w:rPr>
        <w:t>-f</w:t>
      </w:r>
      <w:r w:rsidRPr="004A7AD4">
        <w:rPr>
          <w:rFonts w:ascii="Times New Roman" w:hAnsi="Times New Roman"/>
          <w:i/>
          <w:iCs/>
          <w:sz w:val="24"/>
        </w:rPr>
        <w:t xml:space="preserve">ractie vragen of de initiatiefnemer kan toelichten waarom niet is gekozen voor een meer </w:t>
      </w:r>
      <w:r w:rsidRPr="00351A90">
        <w:rPr>
          <w:rFonts w:ascii="Times New Roman" w:hAnsi="Times New Roman"/>
          <w:i/>
          <w:iCs/>
          <w:sz w:val="24"/>
        </w:rPr>
        <w:t>gefaseerde</w:t>
      </w:r>
      <w:r w:rsidRPr="004A7AD4">
        <w:rPr>
          <w:rFonts w:ascii="Times New Roman" w:hAnsi="Times New Roman"/>
          <w:i/>
          <w:iCs/>
          <w:sz w:val="24"/>
        </w:rPr>
        <w:t xml:space="preserve"> of sectorspecifieke invoering, zodat eerst ervaring kan worden opgedaan met de praktische uitvoering, de effecten op de markt en de gevolgen voor de rechtszekerheid van ondernemingen</w:t>
      </w:r>
      <w:r w:rsidRPr="004A7AD4" w:rsidR="003937B7">
        <w:rPr>
          <w:rFonts w:ascii="Times New Roman" w:hAnsi="Times New Roman"/>
          <w:i/>
          <w:iCs/>
          <w:sz w:val="24"/>
        </w:rPr>
        <w:t>.</w:t>
      </w:r>
      <w:r w:rsidR="00C42241">
        <w:rPr>
          <w:rFonts w:ascii="Times New Roman" w:hAnsi="Times New Roman"/>
          <w:i/>
          <w:iCs/>
          <w:sz w:val="24"/>
        </w:rPr>
        <w:t xml:space="preserve"> </w:t>
      </w:r>
      <w:r w:rsidRPr="004A7AD4" w:rsidR="003937B7">
        <w:rPr>
          <w:rFonts w:ascii="Times New Roman" w:hAnsi="Times New Roman"/>
          <w:i/>
          <w:iCs/>
          <w:sz w:val="24"/>
        </w:rPr>
        <w:t>De</w:t>
      </w:r>
      <w:r w:rsidRPr="004A7AD4">
        <w:rPr>
          <w:rFonts w:ascii="Times New Roman" w:hAnsi="Times New Roman"/>
          <w:i/>
          <w:iCs/>
          <w:sz w:val="24"/>
        </w:rPr>
        <w:t xml:space="preserve"> leden van CDA</w:t>
      </w:r>
      <w:r w:rsidRPr="004A7AD4" w:rsidR="003937B7">
        <w:rPr>
          <w:rFonts w:ascii="Times New Roman" w:hAnsi="Times New Roman"/>
          <w:i/>
          <w:iCs/>
          <w:sz w:val="24"/>
        </w:rPr>
        <w:t>-f</w:t>
      </w:r>
      <w:r w:rsidRPr="004A7AD4">
        <w:rPr>
          <w:rFonts w:ascii="Times New Roman" w:hAnsi="Times New Roman"/>
          <w:i/>
          <w:iCs/>
          <w:sz w:val="24"/>
        </w:rPr>
        <w:t>ractie </w:t>
      </w:r>
      <w:r w:rsidRPr="004A7AD4" w:rsidR="003937B7">
        <w:rPr>
          <w:rFonts w:ascii="Times New Roman" w:hAnsi="Times New Roman"/>
          <w:i/>
          <w:iCs/>
          <w:sz w:val="24"/>
        </w:rPr>
        <w:t xml:space="preserve">vragen </w:t>
      </w:r>
      <w:r w:rsidRPr="004A7AD4">
        <w:rPr>
          <w:rFonts w:ascii="Times New Roman" w:hAnsi="Times New Roman"/>
          <w:i/>
          <w:iCs/>
          <w:sz w:val="24"/>
        </w:rPr>
        <w:t xml:space="preserve">de initiatiefnemer uiteen te zetten waarom het voorgestelde model volgens hem beter scoort op rechtszekerheid, uitvoerbaarheid, administratieve lasten en effectiviteit dan de besproken alternatieven. Kan de initiatiefnemer deze vergelijking schematisch weergeven, bijvoorbeeld in tabelvorm, waarbij het voorgestelde model wordt afgezet tegen alternatieven zoals lagere omzetdrempels, andere transactiewaarde drempels, sectorspecifieke drempels, marktaandeeldrempels en invoering voor specifieke sectoren </w:t>
      </w:r>
      <w:r w:rsidRPr="004A7AD4" w:rsidR="002D7729">
        <w:rPr>
          <w:rFonts w:ascii="Times New Roman" w:hAnsi="Times New Roman"/>
          <w:i/>
          <w:iCs/>
          <w:sz w:val="24"/>
        </w:rPr>
        <w:t>in plaats van</w:t>
      </w:r>
      <w:r w:rsidRPr="004A7AD4">
        <w:rPr>
          <w:rFonts w:ascii="Times New Roman" w:hAnsi="Times New Roman"/>
          <w:i/>
          <w:iCs/>
          <w:sz w:val="24"/>
        </w:rPr>
        <w:t xml:space="preserve"> generiek?</w:t>
      </w:r>
      <w:r w:rsidRPr="004A7AD4" w:rsidR="002D7729">
        <w:rPr>
          <w:rFonts w:ascii="Times New Roman" w:hAnsi="Times New Roman"/>
          <w:i/>
          <w:iCs/>
          <w:sz w:val="24"/>
        </w:rPr>
        <w:t xml:space="preserve"> </w:t>
      </w:r>
    </w:p>
    <w:p w:rsidR="007A4F9A" w:rsidP="00A320C1" w:rsidRDefault="007A4F9A" w14:paraId="0C3D7143" w14:textId="77777777">
      <w:pPr>
        <w:spacing w:line="240" w:lineRule="auto"/>
        <w:jc w:val="both"/>
        <w:rPr>
          <w:rFonts w:ascii="Times New Roman" w:hAnsi="Times New Roman"/>
          <w:i/>
          <w:iCs/>
          <w:sz w:val="24"/>
        </w:rPr>
      </w:pPr>
    </w:p>
    <w:p w:rsidR="007A4F9A" w:rsidP="007B65E4" w:rsidRDefault="0052703D" w14:paraId="05B48EBD" w14:textId="2B716299">
      <w:pPr>
        <w:tabs>
          <w:tab w:val="left" w:pos="284"/>
          <w:tab w:val="left" w:pos="567"/>
          <w:tab w:val="left" w:pos="851"/>
        </w:tabs>
        <w:ind w:right="-2"/>
        <w:rPr>
          <w:rFonts w:ascii="Times New Roman" w:hAnsi="Times New Roman"/>
          <w:sz w:val="24"/>
        </w:rPr>
      </w:pPr>
      <w:r>
        <w:rPr>
          <w:rFonts w:ascii="Times New Roman" w:hAnsi="Times New Roman"/>
          <w:sz w:val="24"/>
        </w:rPr>
        <w:t xml:space="preserve">De initiatiefnemer </w:t>
      </w:r>
      <w:r w:rsidR="00FF56E6">
        <w:rPr>
          <w:rFonts w:ascii="Times New Roman" w:hAnsi="Times New Roman"/>
          <w:sz w:val="24"/>
        </w:rPr>
        <w:t xml:space="preserve">heeft alternatieven voor een generieke inroepbevoegdheid </w:t>
      </w:r>
      <w:r w:rsidR="00802B55">
        <w:rPr>
          <w:rFonts w:ascii="Times New Roman" w:hAnsi="Times New Roman"/>
          <w:sz w:val="24"/>
        </w:rPr>
        <w:t xml:space="preserve">met een </w:t>
      </w:r>
      <w:r w:rsidR="0062084B">
        <w:rPr>
          <w:rFonts w:ascii="Times New Roman" w:hAnsi="Times New Roman"/>
          <w:sz w:val="24"/>
        </w:rPr>
        <w:t xml:space="preserve">asymmetrische </w:t>
      </w:r>
      <w:r w:rsidR="00802B55">
        <w:rPr>
          <w:rFonts w:ascii="Times New Roman" w:hAnsi="Times New Roman"/>
          <w:sz w:val="24"/>
        </w:rPr>
        <w:t>drempel overwogen maar zag bij elk va</w:t>
      </w:r>
      <w:r w:rsidR="0049370C">
        <w:rPr>
          <w:rFonts w:ascii="Times New Roman" w:hAnsi="Times New Roman"/>
          <w:sz w:val="24"/>
        </w:rPr>
        <w:t xml:space="preserve">n die </w:t>
      </w:r>
      <w:r w:rsidR="0049370C">
        <w:rPr>
          <w:rFonts w:ascii="Times New Roman" w:hAnsi="Times New Roman"/>
          <w:sz w:val="24"/>
        </w:rPr>
        <w:lastRenderedPageBreak/>
        <w:t xml:space="preserve">alternatieven onoverkomelijke bezwaren. </w:t>
      </w:r>
      <w:r w:rsidRPr="0062084B" w:rsidR="0049370C">
        <w:rPr>
          <w:rFonts w:ascii="Times New Roman" w:hAnsi="Times New Roman"/>
          <w:sz w:val="24"/>
        </w:rPr>
        <w:t xml:space="preserve">Hij zou de leden van de CDA-fractie kortheidshalve willen verwijzen naar de memorie van toelichting </w:t>
      </w:r>
      <w:r w:rsidRPr="0062084B" w:rsidR="0062084B">
        <w:rPr>
          <w:rFonts w:ascii="Times New Roman" w:hAnsi="Times New Roman"/>
          <w:sz w:val="24"/>
        </w:rPr>
        <w:t xml:space="preserve">waarin hij enkele </w:t>
      </w:r>
      <w:r w:rsidR="007B65E4">
        <w:rPr>
          <w:rFonts w:ascii="Times New Roman" w:hAnsi="Times New Roman"/>
          <w:sz w:val="24"/>
        </w:rPr>
        <w:t xml:space="preserve">alternatieve </w:t>
      </w:r>
      <w:r w:rsidRPr="0062084B" w:rsidR="0062084B">
        <w:rPr>
          <w:rFonts w:ascii="Times New Roman" w:hAnsi="Times New Roman"/>
          <w:sz w:val="24"/>
          <w:szCs w:val="20"/>
        </w:rPr>
        <w:t>oplossingsrichtingen aan de orde stelt (paragraaf 4.1)</w:t>
      </w:r>
      <w:r w:rsidR="0062084B">
        <w:rPr>
          <w:rFonts w:ascii="Times New Roman" w:hAnsi="Times New Roman"/>
          <w:sz w:val="24"/>
          <w:szCs w:val="20"/>
        </w:rPr>
        <w:t xml:space="preserve">. </w:t>
      </w:r>
      <w:r w:rsidR="001C0198">
        <w:rPr>
          <w:rFonts w:ascii="Times New Roman" w:hAnsi="Times New Roman"/>
          <w:sz w:val="24"/>
          <w:szCs w:val="20"/>
        </w:rPr>
        <w:t xml:space="preserve">De keuze voor het in het wetsvoorstel opgenomen model is overigens mede ingegeven door </w:t>
      </w:r>
      <w:r w:rsidR="003E70C0">
        <w:rPr>
          <w:rFonts w:ascii="Times New Roman" w:hAnsi="Times New Roman"/>
          <w:sz w:val="24"/>
          <w:szCs w:val="20"/>
        </w:rPr>
        <w:t xml:space="preserve">het feit dat </w:t>
      </w:r>
      <w:r w:rsidRPr="001E5BAA" w:rsidR="003E70C0">
        <w:rPr>
          <w:rFonts w:ascii="Times New Roman" w:hAnsi="Times New Roman"/>
          <w:sz w:val="24"/>
          <w:szCs w:val="20"/>
        </w:rPr>
        <w:t xml:space="preserve">in </w:t>
      </w:r>
      <w:r w:rsidR="003E70C0">
        <w:rPr>
          <w:rFonts w:ascii="Times New Roman" w:hAnsi="Times New Roman"/>
          <w:sz w:val="24"/>
          <w:szCs w:val="20"/>
        </w:rPr>
        <w:t>een groeiend aantal E</w:t>
      </w:r>
      <w:r w:rsidR="00951F28">
        <w:rPr>
          <w:rFonts w:ascii="Times New Roman" w:hAnsi="Times New Roman"/>
          <w:sz w:val="24"/>
          <w:szCs w:val="20"/>
        </w:rPr>
        <w:t>U-lidstaten e</w:t>
      </w:r>
      <w:r w:rsidR="00A500BF">
        <w:rPr>
          <w:rFonts w:ascii="Times New Roman" w:hAnsi="Times New Roman"/>
          <w:sz w:val="24"/>
          <w:szCs w:val="20"/>
        </w:rPr>
        <w:t>en gelijkaardige generieke</w:t>
      </w:r>
      <w:r w:rsidR="00951F28">
        <w:rPr>
          <w:rFonts w:ascii="Times New Roman" w:hAnsi="Times New Roman"/>
          <w:sz w:val="24"/>
          <w:szCs w:val="20"/>
        </w:rPr>
        <w:t xml:space="preserve"> inroepbevoegdheid in hun mededingingswetgeving is of wordt opgenomen. </w:t>
      </w:r>
      <w:r w:rsidR="00802B55">
        <w:rPr>
          <w:rFonts w:ascii="Times New Roman" w:hAnsi="Times New Roman"/>
          <w:sz w:val="24"/>
        </w:rPr>
        <w:t xml:space="preserve"> </w:t>
      </w:r>
    </w:p>
    <w:p w:rsidR="007A4F9A" w:rsidP="00A320C1" w:rsidRDefault="007A4F9A" w14:paraId="198C4C95" w14:textId="77777777">
      <w:pPr>
        <w:spacing w:line="240" w:lineRule="auto"/>
        <w:jc w:val="both"/>
        <w:rPr>
          <w:rFonts w:ascii="Times New Roman" w:hAnsi="Times New Roman"/>
          <w:i/>
          <w:iCs/>
          <w:sz w:val="24"/>
        </w:rPr>
      </w:pPr>
    </w:p>
    <w:p w:rsidRPr="004A7AD4" w:rsidR="001A435D" w:rsidP="00A320C1" w:rsidRDefault="001A435D" w14:paraId="4309D172" w14:textId="2C2EC6C5">
      <w:pPr>
        <w:spacing w:line="240" w:lineRule="auto"/>
        <w:jc w:val="both"/>
        <w:rPr>
          <w:rFonts w:ascii="Times New Roman" w:hAnsi="Times New Roman"/>
          <w:i/>
          <w:iCs/>
          <w:sz w:val="24"/>
        </w:rPr>
      </w:pPr>
      <w:r w:rsidRPr="004A7AD4">
        <w:rPr>
          <w:rFonts w:ascii="Times New Roman" w:hAnsi="Times New Roman"/>
          <w:i/>
          <w:iCs/>
          <w:sz w:val="24"/>
        </w:rPr>
        <w:t>Daarnaast merken deze leden op dat de ACM eerder heeft voorgesteld de huidige omzetdrempel van €30 miljoen te verhogen naar €50 miljoen, juist om de toezichtcapaciteit gerichter in te kunnen zetten op concentraties waarbij de grootste risico’s voor de mededinging bestaan</w:t>
      </w:r>
      <w:r w:rsidRPr="004A7AD4">
        <w:rPr>
          <w:rFonts w:ascii="Times New Roman" w:hAnsi="Times New Roman"/>
          <w:i/>
          <w:iCs/>
          <w:sz w:val="24"/>
          <w:vertAlign w:val="superscript"/>
        </w:rPr>
        <w:footnoteReference w:id="3"/>
      </w:r>
      <w:r w:rsidRPr="004A7AD4">
        <w:rPr>
          <w:rFonts w:ascii="Times New Roman" w:hAnsi="Times New Roman"/>
          <w:i/>
          <w:iCs/>
          <w:sz w:val="24"/>
        </w:rPr>
        <w:t>. Hoe verhoudt de keuze van de initiatiefnemer om dezelfde omzetdrempel van €30 miljoen als aanknopingspunt voor de inroepbevoegdheid te hanteren zich tot deze eerdere aanbeveling van de ACM? Heeft de initiatiefnemer overwogen aan te sluiten bij een hogere omzetdrempel en zo ja, waarom is daarvan afgezien? </w:t>
      </w:r>
    </w:p>
    <w:p w:rsidRPr="004A7AD4" w:rsidR="001A435D" w:rsidP="00A320C1" w:rsidRDefault="001A435D" w14:paraId="6AB4DB34" w14:textId="2B1BD3E9">
      <w:pPr>
        <w:spacing w:line="240" w:lineRule="auto"/>
        <w:jc w:val="both"/>
        <w:rPr>
          <w:rFonts w:ascii="Times New Roman" w:hAnsi="Times New Roman"/>
          <w:i/>
          <w:iCs/>
          <w:sz w:val="24"/>
        </w:rPr>
      </w:pPr>
      <w:r w:rsidRPr="004A7AD4">
        <w:rPr>
          <w:rFonts w:ascii="Times New Roman" w:hAnsi="Times New Roman"/>
          <w:i/>
          <w:iCs/>
          <w:sz w:val="24"/>
        </w:rPr>
        <w:t>Tot slot vragen de leden van de CDA-fractie hoe de voorgestelde omzetdrempel zich verhoudt tot eventuele toekomstige wijzigingen van de reguliere omzetdrempels in het concentratietoezicht. Indien de generieke omzetdrempels worden verhoogd, stijgt de drempel voor de inroepbevoegdheid dan automatisch mee? Is sprake van een dynamische koppeling of van een zelfstandig in de wet vastgelegde drempel?  </w:t>
      </w:r>
    </w:p>
    <w:p w:rsidR="002B64AD" w:rsidP="00A320C1" w:rsidRDefault="002B64AD" w14:paraId="650B2A5D" w14:textId="77777777">
      <w:pPr>
        <w:spacing w:line="240" w:lineRule="auto"/>
        <w:jc w:val="both"/>
        <w:rPr>
          <w:rFonts w:ascii="Times New Roman" w:hAnsi="Times New Roman"/>
          <w:i/>
          <w:iCs/>
          <w:sz w:val="24"/>
        </w:rPr>
      </w:pPr>
    </w:p>
    <w:p w:rsidRPr="00956DD0" w:rsidR="00956DD0" w:rsidP="00A320C1" w:rsidRDefault="00144AB4" w14:paraId="0CFDA551" w14:textId="0AEAE6A9">
      <w:pPr>
        <w:spacing w:line="240" w:lineRule="auto"/>
        <w:jc w:val="both"/>
        <w:rPr>
          <w:rFonts w:ascii="Times New Roman" w:hAnsi="Times New Roman"/>
          <w:sz w:val="24"/>
        </w:rPr>
      </w:pPr>
      <w:r>
        <w:rPr>
          <w:rFonts w:ascii="Times New Roman" w:hAnsi="Times New Roman"/>
          <w:sz w:val="24"/>
        </w:rPr>
        <w:t xml:space="preserve">De initiatiefnemer heeft niet gekozen voor een verhoging van de omzetdrempel </w:t>
      </w:r>
      <w:r w:rsidRPr="004C6742" w:rsidR="004C6742">
        <w:rPr>
          <w:rFonts w:ascii="Times New Roman" w:hAnsi="Times New Roman"/>
          <w:sz w:val="24"/>
        </w:rPr>
        <w:t xml:space="preserve">van €30 miljoen naar €50 miljoen </w:t>
      </w:r>
      <w:r>
        <w:rPr>
          <w:rFonts w:ascii="Times New Roman" w:hAnsi="Times New Roman"/>
          <w:sz w:val="24"/>
        </w:rPr>
        <w:t xml:space="preserve">omdat </w:t>
      </w:r>
      <w:r w:rsidR="004C6742">
        <w:rPr>
          <w:rFonts w:ascii="Times New Roman" w:hAnsi="Times New Roman"/>
          <w:sz w:val="24"/>
        </w:rPr>
        <w:t xml:space="preserve">naar zijn mening daarmee een te hoge drempel voor het inroepen van concentraties zou worden gecreëerd. </w:t>
      </w:r>
      <w:r w:rsidR="00BA67D2">
        <w:rPr>
          <w:rFonts w:ascii="Times New Roman" w:hAnsi="Times New Roman"/>
          <w:sz w:val="24"/>
        </w:rPr>
        <w:t>De relatief beperkte extra capaciteit die voor de inroepbevoegdheid nodig zal zijn, kan wat betreft de initiatiefnemer gefinancierd worden door het verhogen van het bud</w:t>
      </w:r>
      <w:r w:rsidR="00AB025E">
        <w:rPr>
          <w:rFonts w:ascii="Times New Roman" w:hAnsi="Times New Roman"/>
          <w:sz w:val="24"/>
        </w:rPr>
        <w:t xml:space="preserve">get voor de ACM. Wel is de initiatiefnemer van mening dat als </w:t>
      </w:r>
      <w:r w:rsidR="00CE7580">
        <w:rPr>
          <w:rFonts w:ascii="Times New Roman" w:hAnsi="Times New Roman"/>
          <w:sz w:val="24"/>
        </w:rPr>
        <w:t xml:space="preserve">de algemeen geldende omzetdrempel van </w:t>
      </w:r>
      <w:r w:rsidRPr="00CE7580" w:rsidR="00CE7580">
        <w:rPr>
          <w:rFonts w:ascii="Times New Roman" w:hAnsi="Times New Roman"/>
          <w:sz w:val="24"/>
        </w:rPr>
        <w:t>€30 miljoen naar €50 miljoen</w:t>
      </w:r>
      <w:r w:rsidR="00CE7580">
        <w:rPr>
          <w:rFonts w:ascii="Times New Roman" w:hAnsi="Times New Roman"/>
          <w:sz w:val="24"/>
        </w:rPr>
        <w:t xml:space="preserve"> verhoogd zou worden, dat</w:t>
      </w:r>
      <w:r w:rsidR="00DF0359">
        <w:rPr>
          <w:rFonts w:ascii="Times New Roman" w:hAnsi="Times New Roman"/>
          <w:sz w:val="24"/>
        </w:rPr>
        <w:t xml:space="preserve"> vanwege de eenduidigheid binnen het concentratietoezicht en de rechtszekerheid voor ondernemingen</w:t>
      </w:r>
      <w:r w:rsidR="00CE7580">
        <w:rPr>
          <w:rFonts w:ascii="Times New Roman" w:hAnsi="Times New Roman"/>
          <w:sz w:val="24"/>
        </w:rPr>
        <w:t xml:space="preserve"> da</w:t>
      </w:r>
      <w:r w:rsidR="00DF0359">
        <w:rPr>
          <w:rFonts w:ascii="Times New Roman" w:hAnsi="Times New Roman"/>
          <w:sz w:val="24"/>
        </w:rPr>
        <w:t xml:space="preserve">n </w:t>
      </w:r>
      <w:r w:rsidR="00A72931">
        <w:rPr>
          <w:rFonts w:ascii="Times New Roman" w:hAnsi="Times New Roman"/>
          <w:sz w:val="24"/>
        </w:rPr>
        <w:t xml:space="preserve">ook de in dit wetsvoorstel voorziene drempel </w:t>
      </w:r>
      <w:r w:rsidR="00DF0359">
        <w:rPr>
          <w:rFonts w:ascii="Times New Roman" w:hAnsi="Times New Roman"/>
          <w:sz w:val="24"/>
        </w:rPr>
        <w:t xml:space="preserve">verhoogd zou kunnen worden. </w:t>
      </w:r>
      <w:r w:rsidR="00533E8A">
        <w:rPr>
          <w:rFonts w:ascii="Times New Roman" w:hAnsi="Times New Roman"/>
          <w:sz w:val="24"/>
        </w:rPr>
        <w:t>Een d</w:t>
      </w:r>
      <w:r w:rsidR="00804BCA">
        <w:rPr>
          <w:rFonts w:ascii="Times New Roman" w:hAnsi="Times New Roman"/>
          <w:sz w:val="24"/>
        </w:rPr>
        <w:t>irecte wettelijke koppeling tussen beide drempels kent het wetsvoorstel echter niet</w:t>
      </w:r>
      <w:r w:rsidR="0036340E">
        <w:rPr>
          <w:rFonts w:ascii="Times New Roman" w:hAnsi="Times New Roman"/>
          <w:sz w:val="24"/>
        </w:rPr>
        <w:t>.</w:t>
      </w:r>
      <w:r w:rsidR="006B0234">
        <w:rPr>
          <w:rFonts w:ascii="Times New Roman" w:hAnsi="Times New Roman"/>
          <w:sz w:val="24"/>
        </w:rPr>
        <w:t xml:space="preserve"> </w:t>
      </w:r>
    </w:p>
    <w:p w:rsidRPr="004A7AD4" w:rsidR="00956DD0" w:rsidP="00A320C1" w:rsidRDefault="00956DD0" w14:paraId="3546CB33" w14:textId="77777777">
      <w:pPr>
        <w:spacing w:line="240" w:lineRule="auto"/>
        <w:jc w:val="both"/>
        <w:rPr>
          <w:rFonts w:ascii="Times New Roman" w:hAnsi="Times New Roman"/>
          <w:i/>
          <w:iCs/>
          <w:sz w:val="24"/>
        </w:rPr>
      </w:pPr>
    </w:p>
    <w:p w:rsidRPr="004A7AD4" w:rsidR="003C0D1D" w:rsidP="00A320C1" w:rsidRDefault="00FD1430" w14:paraId="276AB2AF" w14:textId="0720395D">
      <w:pPr>
        <w:spacing w:line="240" w:lineRule="auto"/>
        <w:jc w:val="both"/>
        <w:rPr>
          <w:rFonts w:ascii="Times New Roman" w:hAnsi="Times New Roman"/>
          <w:i/>
          <w:iCs/>
          <w:sz w:val="24"/>
        </w:rPr>
      </w:pPr>
      <w:r w:rsidRPr="004A7AD4">
        <w:rPr>
          <w:rFonts w:ascii="Times New Roman" w:hAnsi="Times New Roman"/>
          <w:i/>
          <w:iCs/>
          <w:sz w:val="24"/>
        </w:rPr>
        <w:t>2</w:t>
      </w:r>
      <w:r w:rsidRPr="004A7AD4" w:rsidR="003C0D1D">
        <w:rPr>
          <w:rFonts w:ascii="Times New Roman" w:hAnsi="Times New Roman"/>
          <w:i/>
          <w:iCs/>
          <w:sz w:val="24"/>
        </w:rPr>
        <w:t>.2 </w:t>
      </w:r>
      <w:r w:rsidRPr="004A7AD4" w:rsidR="009F2BAD">
        <w:rPr>
          <w:rFonts w:ascii="Times New Roman" w:hAnsi="Times New Roman"/>
          <w:i/>
          <w:iCs/>
          <w:sz w:val="24"/>
        </w:rPr>
        <w:t>Voorstellen op hoofdlijnen</w:t>
      </w:r>
    </w:p>
    <w:p w:rsidRPr="004A7AD4" w:rsidR="009F2BAD" w:rsidP="00A320C1" w:rsidRDefault="009F2BAD" w14:paraId="145F1341" w14:textId="77777777">
      <w:pPr>
        <w:spacing w:line="240" w:lineRule="auto"/>
        <w:jc w:val="both"/>
        <w:rPr>
          <w:rFonts w:ascii="Times New Roman" w:hAnsi="Times New Roman"/>
          <w:i/>
          <w:iCs/>
          <w:sz w:val="24"/>
        </w:rPr>
      </w:pPr>
    </w:p>
    <w:p w:rsidRPr="004A7AD4" w:rsidR="003C0D1D" w:rsidP="00A320C1" w:rsidRDefault="003C0D1D" w14:paraId="43559E3E" w14:textId="63782CE4">
      <w:pPr>
        <w:spacing w:line="240" w:lineRule="auto"/>
        <w:jc w:val="both"/>
        <w:rPr>
          <w:rFonts w:ascii="Times New Roman" w:hAnsi="Times New Roman"/>
          <w:i/>
          <w:iCs/>
          <w:sz w:val="24"/>
        </w:rPr>
      </w:pPr>
      <w:r w:rsidRPr="004A7AD4">
        <w:rPr>
          <w:rFonts w:ascii="Times New Roman" w:hAnsi="Times New Roman"/>
          <w:i/>
          <w:iCs/>
          <w:sz w:val="24"/>
        </w:rPr>
        <w:t>Open norm en rechtszekerheid </w:t>
      </w:r>
    </w:p>
    <w:p w:rsidR="00CE2BE2" w:rsidP="00A320C1" w:rsidRDefault="003C0D1D" w14:paraId="656F5FF7" w14:textId="2C42EDFC">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lezen dat het uitgangspunt voor toepassing van de nieuwe bevoegdheid is dat sprake moet zijn van het risico dat door een concentratie de mededinging op de Nederlandse markt, of een deel daarvan, op significante wijze zou kunnen worden belemmerd. De initiatiefnemer merkt daarbij zelf op dat het niet mogelijk is om vooraf volledig duidelijk te maken wanneer van een dergelijk risico sprake zal zijn. Deze leden constateren dat </w:t>
      </w:r>
      <w:r w:rsidRPr="004A7AD4">
        <w:rPr>
          <w:rFonts w:ascii="Times New Roman" w:hAnsi="Times New Roman"/>
          <w:i/>
          <w:iCs/>
          <w:sz w:val="24"/>
        </w:rPr>
        <w:lastRenderedPageBreak/>
        <w:t>hier sprake is van een open norm die de ACM aanzienlijke beoordelingsruimte laat. De leden van de CDA-</w:t>
      </w:r>
      <w:r w:rsidRPr="004A7AD4" w:rsidR="00CE2BE2">
        <w:rPr>
          <w:rFonts w:ascii="Times New Roman" w:hAnsi="Times New Roman"/>
          <w:i/>
          <w:iCs/>
          <w:sz w:val="24"/>
        </w:rPr>
        <w:t>f</w:t>
      </w:r>
      <w:r w:rsidRPr="004A7AD4">
        <w:rPr>
          <w:rFonts w:ascii="Times New Roman" w:hAnsi="Times New Roman"/>
          <w:i/>
          <w:iCs/>
          <w:sz w:val="24"/>
        </w:rPr>
        <w:t xml:space="preserve">ractie begrijpen dat de ACM voornemens is hierover </w:t>
      </w:r>
      <w:proofErr w:type="spellStart"/>
      <w:r w:rsidRPr="004A7AD4">
        <w:rPr>
          <w:rFonts w:ascii="Times New Roman" w:hAnsi="Times New Roman"/>
          <w:i/>
          <w:iCs/>
          <w:sz w:val="24"/>
        </w:rPr>
        <w:t>guidance</w:t>
      </w:r>
      <w:proofErr w:type="spellEnd"/>
      <w:r w:rsidRPr="004A7AD4">
        <w:rPr>
          <w:rFonts w:ascii="Times New Roman" w:hAnsi="Times New Roman"/>
          <w:i/>
          <w:iCs/>
          <w:sz w:val="24"/>
        </w:rPr>
        <w:t xml:space="preserve"> te geven via een leidraad en achten dat op zichzelf verstandig. Zij vragen de initiatiefnemer echter in hoeverre een dergelijke leidraad voldoende waarborgen biedt voor rechtszekerheid. Hoe beoordeelt de initiatiefnemer het risico dat ondernemingen hierdoor terughoudender/</w:t>
      </w:r>
      <w:proofErr w:type="spellStart"/>
      <w:r w:rsidRPr="004A7AD4">
        <w:rPr>
          <w:rFonts w:ascii="Times New Roman" w:hAnsi="Times New Roman"/>
          <w:i/>
          <w:iCs/>
          <w:sz w:val="24"/>
        </w:rPr>
        <w:t>risicomijdender</w:t>
      </w:r>
      <w:proofErr w:type="spellEnd"/>
      <w:r w:rsidRPr="004A7AD4">
        <w:rPr>
          <w:rFonts w:ascii="Times New Roman" w:hAnsi="Times New Roman"/>
          <w:i/>
          <w:iCs/>
          <w:sz w:val="24"/>
        </w:rPr>
        <w:t> worden met investeringen, bedrijfsgroei of reguliere overnames? Heeft de initiatiefnemer de mogelijke omvang van deze effecten op het vestigingsklimaat en de algemene marktdynamiek onderzocht en inzichtelijk gemaakt en wat is zijn weging hiervan?</w:t>
      </w:r>
    </w:p>
    <w:p w:rsidR="0098687D" w:rsidP="00A320C1" w:rsidRDefault="0098687D" w14:paraId="77A31B90" w14:textId="77777777">
      <w:pPr>
        <w:spacing w:line="240" w:lineRule="auto"/>
        <w:jc w:val="both"/>
        <w:rPr>
          <w:rFonts w:ascii="Times New Roman" w:hAnsi="Times New Roman"/>
          <w:i/>
          <w:iCs/>
          <w:sz w:val="24"/>
        </w:rPr>
      </w:pPr>
    </w:p>
    <w:p w:rsidRPr="00482230" w:rsidR="0098687D" w:rsidP="00A320C1" w:rsidRDefault="00712086" w14:paraId="16687EFC" w14:textId="5CA55D48">
      <w:pPr>
        <w:spacing w:line="240" w:lineRule="auto"/>
        <w:jc w:val="both"/>
        <w:rPr>
          <w:rFonts w:ascii="Times New Roman" w:hAnsi="Times New Roman"/>
          <w:sz w:val="24"/>
        </w:rPr>
      </w:pPr>
      <w:r>
        <w:rPr>
          <w:rFonts w:ascii="Times New Roman" w:hAnsi="Times New Roman"/>
          <w:sz w:val="24"/>
        </w:rPr>
        <w:t>De initiatiefnemer meent, in antwoord op deze vraag van de leden van de CDA-fractie</w:t>
      </w:r>
      <w:r w:rsidR="00351A6B">
        <w:rPr>
          <w:rFonts w:ascii="Times New Roman" w:hAnsi="Times New Roman"/>
          <w:sz w:val="24"/>
        </w:rPr>
        <w:t xml:space="preserve"> en </w:t>
      </w:r>
      <w:r w:rsidR="006004EB">
        <w:rPr>
          <w:rFonts w:ascii="Times New Roman" w:hAnsi="Times New Roman"/>
          <w:sz w:val="24"/>
        </w:rPr>
        <w:t>onder verwijzing naar het antwoord</w:t>
      </w:r>
      <w:r w:rsidR="00351A6B">
        <w:rPr>
          <w:rFonts w:ascii="Times New Roman" w:hAnsi="Times New Roman"/>
          <w:sz w:val="24"/>
        </w:rPr>
        <w:t xml:space="preserve"> op een </w:t>
      </w:r>
      <w:r w:rsidR="006004EB">
        <w:rPr>
          <w:rFonts w:ascii="Times New Roman" w:hAnsi="Times New Roman"/>
          <w:sz w:val="24"/>
        </w:rPr>
        <w:t>eerdere vraag van de leden van de VVD-fractie</w:t>
      </w:r>
      <w:r>
        <w:rPr>
          <w:rFonts w:ascii="Times New Roman" w:hAnsi="Times New Roman"/>
          <w:sz w:val="24"/>
        </w:rPr>
        <w:t>,</w:t>
      </w:r>
      <w:r w:rsidR="00351A6B">
        <w:rPr>
          <w:rFonts w:ascii="Times New Roman" w:hAnsi="Times New Roman"/>
          <w:sz w:val="24"/>
        </w:rPr>
        <w:t xml:space="preserve"> </w:t>
      </w:r>
      <w:r>
        <w:rPr>
          <w:rFonts w:ascii="Times New Roman" w:hAnsi="Times New Roman"/>
          <w:sz w:val="24"/>
        </w:rPr>
        <w:t>niet</w:t>
      </w:r>
      <w:r w:rsidR="00FD2D47">
        <w:rPr>
          <w:rFonts w:ascii="Times New Roman" w:hAnsi="Times New Roman"/>
          <w:sz w:val="24"/>
        </w:rPr>
        <w:t xml:space="preserve"> </w:t>
      </w:r>
      <w:r>
        <w:rPr>
          <w:rFonts w:ascii="Times New Roman" w:hAnsi="Times New Roman"/>
          <w:sz w:val="24"/>
        </w:rPr>
        <w:t xml:space="preserve">dat ondernemingen terughoudender zullen worden om investeringen te doen. </w:t>
      </w:r>
      <w:r w:rsidR="00971620">
        <w:rPr>
          <w:rFonts w:ascii="Times New Roman" w:hAnsi="Times New Roman"/>
          <w:sz w:val="24"/>
        </w:rPr>
        <w:t xml:space="preserve">De inroepbevoegdheid is niet van toepassing op intrinsieke groei van een onderneming. Bij grotere overnames </w:t>
      </w:r>
      <w:r w:rsidR="00BD06B0">
        <w:rPr>
          <w:rFonts w:ascii="Times New Roman" w:hAnsi="Times New Roman"/>
          <w:sz w:val="24"/>
        </w:rPr>
        <w:t xml:space="preserve">gelden de reeds in de wet opgenomen twee omzetdrempels. </w:t>
      </w:r>
      <w:r>
        <w:rPr>
          <w:rFonts w:ascii="Times New Roman" w:hAnsi="Times New Roman"/>
          <w:sz w:val="24"/>
        </w:rPr>
        <w:t xml:space="preserve">Daar waar </w:t>
      </w:r>
      <w:r w:rsidR="00BD06B0">
        <w:rPr>
          <w:rFonts w:ascii="Times New Roman" w:hAnsi="Times New Roman"/>
          <w:sz w:val="24"/>
        </w:rPr>
        <w:t xml:space="preserve">ondernemingen </w:t>
      </w:r>
      <w:r w:rsidR="003F5B44">
        <w:rPr>
          <w:rFonts w:ascii="Times New Roman" w:hAnsi="Times New Roman"/>
          <w:sz w:val="24"/>
        </w:rPr>
        <w:t>naar eigen inzicht</w:t>
      </w:r>
      <w:r w:rsidR="00FD2D47">
        <w:rPr>
          <w:rFonts w:ascii="Times New Roman" w:hAnsi="Times New Roman"/>
          <w:sz w:val="24"/>
        </w:rPr>
        <w:t>, eventueel</w:t>
      </w:r>
      <w:r w:rsidR="003F5B44">
        <w:rPr>
          <w:rFonts w:ascii="Times New Roman" w:hAnsi="Times New Roman"/>
          <w:sz w:val="24"/>
        </w:rPr>
        <w:t xml:space="preserve"> daarbij geholpen door de </w:t>
      </w:r>
      <w:proofErr w:type="spellStart"/>
      <w:r w:rsidR="003F5B44">
        <w:rPr>
          <w:rFonts w:ascii="Times New Roman" w:hAnsi="Times New Roman"/>
          <w:sz w:val="24"/>
        </w:rPr>
        <w:t>guidance</w:t>
      </w:r>
      <w:proofErr w:type="spellEnd"/>
      <w:r w:rsidR="003F5B44">
        <w:rPr>
          <w:rFonts w:ascii="Times New Roman" w:hAnsi="Times New Roman"/>
          <w:sz w:val="24"/>
        </w:rPr>
        <w:t xml:space="preserve"> van de ACM</w:t>
      </w:r>
      <w:r w:rsidR="006F44C3">
        <w:rPr>
          <w:rFonts w:ascii="Times New Roman" w:hAnsi="Times New Roman"/>
          <w:sz w:val="24"/>
        </w:rPr>
        <w:t xml:space="preserve"> of </w:t>
      </w:r>
      <w:r w:rsidR="003F5B44">
        <w:rPr>
          <w:rFonts w:ascii="Times New Roman" w:hAnsi="Times New Roman"/>
          <w:sz w:val="24"/>
        </w:rPr>
        <w:t>de informele toets</w:t>
      </w:r>
      <w:r w:rsidR="00FD2D47">
        <w:rPr>
          <w:rFonts w:ascii="Times New Roman" w:hAnsi="Times New Roman"/>
          <w:sz w:val="24"/>
        </w:rPr>
        <w:t>,</w:t>
      </w:r>
      <w:r w:rsidR="003F5B44">
        <w:rPr>
          <w:rFonts w:ascii="Times New Roman" w:hAnsi="Times New Roman"/>
          <w:sz w:val="24"/>
        </w:rPr>
        <w:t xml:space="preserve"> </w:t>
      </w:r>
      <w:r w:rsidR="006F44C3">
        <w:rPr>
          <w:rFonts w:ascii="Times New Roman" w:hAnsi="Times New Roman"/>
          <w:sz w:val="24"/>
        </w:rPr>
        <w:t>van een concentratie afzien</w:t>
      </w:r>
      <w:r w:rsidR="004804D8">
        <w:rPr>
          <w:rFonts w:ascii="Times New Roman" w:hAnsi="Times New Roman"/>
          <w:sz w:val="24"/>
        </w:rPr>
        <w:t xml:space="preserve">, </w:t>
      </w:r>
      <w:r w:rsidR="00273165">
        <w:rPr>
          <w:rFonts w:ascii="Times New Roman" w:hAnsi="Times New Roman"/>
          <w:sz w:val="24"/>
        </w:rPr>
        <w:t>is dat een beoogd effect van dit wetsvoorstel.</w:t>
      </w:r>
      <w:r w:rsidR="00AA45D0">
        <w:rPr>
          <w:rFonts w:ascii="Times New Roman" w:hAnsi="Times New Roman"/>
          <w:sz w:val="24"/>
        </w:rPr>
        <w:t xml:space="preserve"> Dat geldt ook voor de gevallen de ACM na het gebruik maken van de inroepbevoegdheid </w:t>
      </w:r>
      <w:r w:rsidR="00505C3E">
        <w:rPr>
          <w:rFonts w:ascii="Times New Roman" w:hAnsi="Times New Roman"/>
          <w:sz w:val="24"/>
        </w:rPr>
        <w:t xml:space="preserve">een concentratie </w:t>
      </w:r>
      <w:r w:rsidR="006004EB">
        <w:rPr>
          <w:rFonts w:ascii="Times New Roman" w:hAnsi="Times New Roman"/>
          <w:sz w:val="24"/>
        </w:rPr>
        <w:t>blokkeert</w:t>
      </w:r>
      <w:r w:rsidR="00505C3E">
        <w:rPr>
          <w:rFonts w:ascii="Times New Roman" w:hAnsi="Times New Roman"/>
          <w:sz w:val="24"/>
        </w:rPr>
        <w:t>.</w:t>
      </w:r>
      <w:r w:rsidR="00273165">
        <w:rPr>
          <w:rFonts w:ascii="Times New Roman" w:hAnsi="Times New Roman"/>
          <w:sz w:val="24"/>
        </w:rPr>
        <w:t xml:space="preserve"> </w:t>
      </w:r>
      <w:r w:rsidR="00505C3E">
        <w:rPr>
          <w:rFonts w:ascii="Times New Roman" w:hAnsi="Times New Roman"/>
          <w:sz w:val="24"/>
        </w:rPr>
        <w:t xml:space="preserve">In beide gevallen </w:t>
      </w:r>
      <w:r w:rsidR="009C3EB0">
        <w:rPr>
          <w:rFonts w:ascii="Times New Roman" w:hAnsi="Times New Roman"/>
          <w:sz w:val="24"/>
        </w:rPr>
        <w:t xml:space="preserve">draagt het niet doorgaan van een concentratie </w:t>
      </w:r>
      <w:r w:rsidR="00273165">
        <w:rPr>
          <w:rFonts w:ascii="Times New Roman" w:hAnsi="Times New Roman"/>
          <w:sz w:val="24"/>
        </w:rPr>
        <w:t>bij</w:t>
      </w:r>
      <w:r w:rsidR="009C3EB0">
        <w:rPr>
          <w:rFonts w:ascii="Times New Roman" w:hAnsi="Times New Roman"/>
          <w:sz w:val="24"/>
        </w:rPr>
        <w:t xml:space="preserve"> </w:t>
      </w:r>
      <w:r w:rsidR="00273165">
        <w:rPr>
          <w:rFonts w:ascii="Times New Roman" w:hAnsi="Times New Roman"/>
          <w:sz w:val="24"/>
        </w:rPr>
        <w:t>aan het voorkomen van voor consumenten of concurre</w:t>
      </w:r>
      <w:r w:rsidR="00AC1DFB">
        <w:rPr>
          <w:rFonts w:ascii="Times New Roman" w:hAnsi="Times New Roman"/>
          <w:sz w:val="24"/>
        </w:rPr>
        <w:t>re</w:t>
      </w:r>
      <w:r w:rsidR="00273165">
        <w:rPr>
          <w:rFonts w:ascii="Times New Roman" w:hAnsi="Times New Roman"/>
          <w:sz w:val="24"/>
        </w:rPr>
        <w:t xml:space="preserve">nde </w:t>
      </w:r>
      <w:r w:rsidRPr="00482230" w:rsidR="00273165">
        <w:rPr>
          <w:rFonts w:ascii="Times New Roman" w:hAnsi="Times New Roman"/>
          <w:sz w:val="24"/>
        </w:rPr>
        <w:t xml:space="preserve">ondernemingen onwenselijke marktverstoring. </w:t>
      </w:r>
      <w:r w:rsidRPr="00482230" w:rsidR="0036279E">
        <w:rPr>
          <w:rFonts w:ascii="Times New Roman" w:hAnsi="Times New Roman"/>
          <w:sz w:val="24"/>
        </w:rPr>
        <w:t xml:space="preserve">De initiatiefnemer acht het derhalve niet nodig om vooraf </w:t>
      </w:r>
      <w:r w:rsidRPr="00482230" w:rsidR="00482230">
        <w:rPr>
          <w:rFonts w:ascii="Times New Roman" w:hAnsi="Times New Roman"/>
          <w:sz w:val="24"/>
        </w:rPr>
        <w:t>de effecten op het vestigingsklimaat en de algemene marktdynamiek te onderzoeken.</w:t>
      </w:r>
      <w:r w:rsidR="00482230">
        <w:rPr>
          <w:rFonts w:ascii="Times New Roman" w:hAnsi="Times New Roman"/>
          <w:i/>
          <w:iCs/>
          <w:sz w:val="24"/>
        </w:rPr>
        <w:t xml:space="preserve"> </w:t>
      </w:r>
      <w:r w:rsidR="00482230">
        <w:rPr>
          <w:rFonts w:ascii="Times New Roman" w:hAnsi="Times New Roman"/>
          <w:sz w:val="24"/>
        </w:rPr>
        <w:t xml:space="preserve">Een invoeringstoets een jaar na de inwerkingtreding van </w:t>
      </w:r>
      <w:r w:rsidR="0018360E">
        <w:rPr>
          <w:rFonts w:ascii="Times New Roman" w:hAnsi="Times New Roman"/>
          <w:sz w:val="24"/>
        </w:rPr>
        <w:t xml:space="preserve">de inroepbevoegdheid </w:t>
      </w:r>
      <w:r w:rsidR="00B721FE">
        <w:rPr>
          <w:rFonts w:ascii="Times New Roman" w:hAnsi="Times New Roman"/>
          <w:sz w:val="24"/>
        </w:rPr>
        <w:t>en</w:t>
      </w:r>
      <w:r w:rsidR="0018360E">
        <w:rPr>
          <w:rFonts w:ascii="Times New Roman" w:hAnsi="Times New Roman"/>
          <w:sz w:val="24"/>
        </w:rPr>
        <w:t xml:space="preserve"> een wetsevaluatie </w:t>
      </w:r>
      <w:r w:rsidR="00E237F8">
        <w:rPr>
          <w:rFonts w:ascii="Times New Roman" w:hAnsi="Times New Roman"/>
          <w:sz w:val="24"/>
        </w:rPr>
        <w:t>na vijf jaar</w:t>
      </w:r>
      <w:r w:rsidR="0018360E">
        <w:rPr>
          <w:rFonts w:ascii="Times New Roman" w:hAnsi="Times New Roman"/>
          <w:sz w:val="24"/>
        </w:rPr>
        <w:t xml:space="preserve"> kan meer inzicht hierin verschaffen</w:t>
      </w:r>
      <w:r w:rsidR="00181C5C">
        <w:rPr>
          <w:rFonts w:ascii="Times New Roman" w:hAnsi="Times New Roman"/>
          <w:sz w:val="24"/>
        </w:rPr>
        <w:t xml:space="preserve">. </w:t>
      </w:r>
      <w:r w:rsidR="00B721FE">
        <w:rPr>
          <w:rFonts w:ascii="Times New Roman" w:hAnsi="Times New Roman"/>
          <w:sz w:val="24"/>
        </w:rPr>
        <w:t>Op de evaluatie wordt verderop in deze nota teruggekomen.</w:t>
      </w:r>
    </w:p>
    <w:p w:rsidRPr="004A7AD4" w:rsidR="003C0D1D" w:rsidP="00A320C1" w:rsidRDefault="003C0D1D" w14:paraId="32A77496" w14:textId="29DEDA74">
      <w:pPr>
        <w:spacing w:line="240" w:lineRule="auto"/>
        <w:jc w:val="both"/>
        <w:rPr>
          <w:rFonts w:ascii="Times New Roman" w:hAnsi="Times New Roman"/>
          <w:i/>
          <w:iCs/>
          <w:sz w:val="24"/>
        </w:rPr>
      </w:pPr>
      <w:r w:rsidRPr="004A7AD4">
        <w:rPr>
          <w:rFonts w:ascii="Times New Roman" w:hAnsi="Times New Roman"/>
          <w:i/>
          <w:iCs/>
          <w:sz w:val="24"/>
        </w:rPr>
        <w:t xml:space="preserve">  </w:t>
      </w:r>
    </w:p>
    <w:p w:rsidR="003C0D1D" w:rsidP="00A320C1" w:rsidRDefault="003C0D1D" w14:paraId="5D306A51" w14:textId="627FC342">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merken op dat begrippen als ‘kralenrijgen’ en ‘killer </w:t>
      </w:r>
      <w:r w:rsidRPr="004A7AD4" w:rsidR="00CA7374">
        <w:rPr>
          <w:rFonts w:ascii="Times New Roman" w:hAnsi="Times New Roman"/>
          <w:i/>
          <w:iCs/>
          <w:sz w:val="24"/>
        </w:rPr>
        <w:t>acquisities</w:t>
      </w:r>
      <w:r w:rsidRPr="004A7AD4">
        <w:rPr>
          <w:rFonts w:ascii="Times New Roman" w:hAnsi="Times New Roman"/>
          <w:i/>
          <w:iCs/>
          <w:sz w:val="24"/>
        </w:rPr>
        <w:t>’ een belangrijke rol spelen in de onderbouwing van het wetsvoorstel, maar geen juridische begrippen zijn die in de wet worden gedefinieerd. Hoe wordt voorkomen dat hierover in de praktijk onduidelijkheid ontstaat? Is de initiatiefnemer van mening dat de ACM deze begrippen in haar leidraad nader dient af te bakenen aan de hand van concrete en objectief toetsbare criteria, zodat voor ondernemingen vooraf beter voorspelbaar is wanneer een concentratie mogelijk onder de reikwijdte van de inroepbevoegdheid valt? </w:t>
      </w:r>
    </w:p>
    <w:p w:rsidR="00434255" w:rsidP="00A320C1" w:rsidRDefault="00434255" w14:paraId="1D7EC927" w14:textId="77777777">
      <w:pPr>
        <w:spacing w:line="240" w:lineRule="auto"/>
        <w:jc w:val="both"/>
        <w:rPr>
          <w:rFonts w:ascii="Times New Roman" w:hAnsi="Times New Roman"/>
          <w:i/>
          <w:iCs/>
          <w:sz w:val="24"/>
        </w:rPr>
      </w:pPr>
    </w:p>
    <w:p w:rsidRPr="00326E9A" w:rsidR="00BD7C6D" w:rsidP="00BD7C6D" w:rsidRDefault="00D31BB8" w14:paraId="26121F6C" w14:textId="59F0FD80">
      <w:pPr>
        <w:spacing w:line="240" w:lineRule="auto"/>
        <w:jc w:val="both"/>
        <w:rPr>
          <w:rFonts w:ascii="Times New Roman" w:hAnsi="Times New Roman"/>
          <w:sz w:val="24"/>
        </w:rPr>
      </w:pPr>
      <w:r>
        <w:rPr>
          <w:rFonts w:ascii="Times New Roman" w:hAnsi="Times New Roman"/>
          <w:sz w:val="24"/>
        </w:rPr>
        <w:t xml:space="preserve">De reden waarom een concentratie door de ACM kan worden ingeroepen is </w:t>
      </w:r>
      <w:r w:rsidR="00167A9E">
        <w:rPr>
          <w:rFonts w:ascii="Times New Roman" w:hAnsi="Times New Roman"/>
          <w:sz w:val="24"/>
        </w:rPr>
        <w:t>als een concentratie</w:t>
      </w:r>
      <w:r w:rsidRPr="00911273" w:rsidR="00167A9E">
        <w:t xml:space="preserve"> </w:t>
      </w:r>
      <w:r w:rsidRPr="00911273" w:rsidR="00167A9E">
        <w:rPr>
          <w:rFonts w:ascii="Times New Roman" w:hAnsi="Times New Roman"/>
          <w:sz w:val="24"/>
        </w:rPr>
        <w:t>de daadwerkelijke mededinging op de Nederlandse markt of een deel daarvan op significante wijze zou kunnen belemmer</w:t>
      </w:r>
      <w:r w:rsidR="00167A9E">
        <w:rPr>
          <w:rFonts w:ascii="Times New Roman" w:hAnsi="Times New Roman"/>
          <w:sz w:val="24"/>
        </w:rPr>
        <w:t xml:space="preserve">en. </w:t>
      </w:r>
      <w:r w:rsidR="00BA49E7">
        <w:rPr>
          <w:rFonts w:ascii="Times New Roman" w:hAnsi="Times New Roman"/>
          <w:sz w:val="24"/>
        </w:rPr>
        <w:t xml:space="preserve">Dat geldt voor het bestaand concentratietoezicht als ook voor de uitbreiding daarvan met de inroepbevoegdheid. </w:t>
      </w:r>
      <w:r w:rsidR="00795BD2">
        <w:rPr>
          <w:rFonts w:ascii="Times New Roman" w:hAnsi="Times New Roman"/>
          <w:sz w:val="24"/>
        </w:rPr>
        <w:t xml:space="preserve">Dat kunnen </w:t>
      </w:r>
      <w:r w:rsidR="004C5F3E">
        <w:rPr>
          <w:rFonts w:ascii="Times New Roman" w:hAnsi="Times New Roman"/>
          <w:sz w:val="24"/>
        </w:rPr>
        <w:t>overnames</w:t>
      </w:r>
      <w:r w:rsidR="0005199B">
        <w:rPr>
          <w:rFonts w:ascii="Times New Roman" w:hAnsi="Times New Roman"/>
          <w:sz w:val="24"/>
        </w:rPr>
        <w:t xml:space="preserve"> zijn met de intentie van “kralenrijgen” of  een “killer </w:t>
      </w:r>
      <w:proofErr w:type="spellStart"/>
      <w:r w:rsidR="0005199B">
        <w:rPr>
          <w:rFonts w:ascii="Times New Roman" w:hAnsi="Times New Roman"/>
          <w:sz w:val="24"/>
        </w:rPr>
        <w:t>acquisition</w:t>
      </w:r>
      <w:proofErr w:type="spellEnd"/>
      <w:r w:rsidR="0005199B">
        <w:rPr>
          <w:rFonts w:ascii="Times New Roman" w:hAnsi="Times New Roman"/>
          <w:sz w:val="24"/>
        </w:rPr>
        <w:t>” zijn</w:t>
      </w:r>
      <w:r w:rsidR="002855A0">
        <w:rPr>
          <w:rFonts w:ascii="Times New Roman" w:hAnsi="Times New Roman"/>
          <w:sz w:val="24"/>
        </w:rPr>
        <w:t xml:space="preserve">. </w:t>
      </w:r>
      <w:r w:rsidR="004C5F3E">
        <w:rPr>
          <w:rFonts w:ascii="Times New Roman" w:hAnsi="Times New Roman"/>
          <w:sz w:val="24"/>
        </w:rPr>
        <w:t xml:space="preserve">Dergelijke overnames kunnen zich ook voordoen in het geval het een concentratie betreft die boven de twee in de Mededingingswet genoemde omzetdrempels uitkomen. </w:t>
      </w:r>
      <w:r w:rsidR="00795E44">
        <w:rPr>
          <w:rFonts w:ascii="Times New Roman" w:hAnsi="Times New Roman"/>
          <w:sz w:val="24"/>
        </w:rPr>
        <w:t xml:space="preserve">Dat neemt niet </w:t>
      </w:r>
      <w:r w:rsidR="00795E44">
        <w:rPr>
          <w:rFonts w:ascii="Times New Roman" w:hAnsi="Times New Roman"/>
          <w:sz w:val="24"/>
        </w:rPr>
        <w:lastRenderedPageBreak/>
        <w:t xml:space="preserve">weg dat het juist de relatief </w:t>
      </w:r>
      <w:r w:rsidR="00D124DC">
        <w:rPr>
          <w:rFonts w:ascii="Times New Roman" w:hAnsi="Times New Roman"/>
          <w:sz w:val="24"/>
        </w:rPr>
        <w:t xml:space="preserve">kleine </w:t>
      </w:r>
      <w:r w:rsidR="006340D3">
        <w:rPr>
          <w:rFonts w:ascii="Times New Roman" w:hAnsi="Times New Roman"/>
          <w:sz w:val="24"/>
        </w:rPr>
        <w:t>concentraties</w:t>
      </w:r>
      <w:r w:rsidR="00D124DC">
        <w:rPr>
          <w:rFonts w:ascii="Times New Roman" w:hAnsi="Times New Roman"/>
          <w:sz w:val="24"/>
        </w:rPr>
        <w:t xml:space="preserve"> zijn</w:t>
      </w:r>
      <w:r w:rsidR="00795BD2">
        <w:rPr>
          <w:rFonts w:ascii="Times New Roman" w:hAnsi="Times New Roman"/>
          <w:sz w:val="24"/>
        </w:rPr>
        <w:t xml:space="preserve">, </w:t>
      </w:r>
      <w:r w:rsidR="00D124DC">
        <w:rPr>
          <w:rFonts w:ascii="Times New Roman" w:hAnsi="Times New Roman"/>
          <w:sz w:val="24"/>
        </w:rPr>
        <w:t xml:space="preserve">die onder de radar van het mededingingstoezicht </w:t>
      </w:r>
      <w:r w:rsidR="004A646A">
        <w:rPr>
          <w:rFonts w:ascii="Times New Roman" w:hAnsi="Times New Roman"/>
          <w:sz w:val="24"/>
        </w:rPr>
        <w:t xml:space="preserve">dreigen te </w:t>
      </w:r>
      <w:r w:rsidR="00D124DC">
        <w:rPr>
          <w:rFonts w:ascii="Times New Roman" w:hAnsi="Times New Roman"/>
          <w:sz w:val="24"/>
        </w:rPr>
        <w:t>blijven.</w:t>
      </w:r>
      <w:r w:rsidR="00BD7C6D">
        <w:rPr>
          <w:rFonts w:ascii="Times New Roman" w:hAnsi="Times New Roman"/>
          <w:sz w:val="24"/>
        </w:rPr>
        <w:t xml:space="preserve"> In de </w:t>
      </w:r>
      <w:proofErr w:type="spellStart"/>
      <w:r w:rsidR="00BD7C6D">
        <w:rPr>
          <w:rFonts w:ascii="Times New Roman" w:hAnsi="Times New Roman"/>
          <w:sz w:val="24"/>
        </w:rPr>
        <w:t>guidance</w:t>
      </w:r>
      <w:proofErr w:type="spellEnd"/>
      <w:r w:rsidR="00BD7C6D">
        <w:rPr>
          <w:rFonts w:ascii="Times New Roman" w:hAnsi="Times New Roman"/>
          <w:sz w:val="24"/>
        </w:rPr>
        <w:t xml:space="preserve"> </w:t>
      </w:r>
      <w:r w:rsidR="00723938">
        <w:rPr>
          <w:rFonts w:ascii="Times New Roman" w:hAnsi="Times New Roman"/>
          <w:sz w:val="24"/>
        </w:rPr>
        <w:t xml:space="preserve">zal de ACM </w:t>
      </w:r>
      <w:r w:rsidRPr="0008221B" w:rsidR="00BD7C6D">
        <w:rPr>
          <w:rFonts w:ascii="Times New Roman" w:hAnsi="Times New Roman"/>
          <w:sz w:val="24"/>
        </w:rPr>
        <w:t xml:space="preserve">verduidelijken welke factoren van invloed kunnen zijn op het inroepen van </w:t>
      </w:r>
      <w:r w:rsidR="004A646A">
        <w:rPr>
          <w:rFonts w:ascii="Times New Roman" w:hAnsi="Times New Roman"/>
          <w:sz w:val="24"/>
        </w:rPr>
        <w:t xml:space="preserve">deze </w:t>
      </w:r>
      <w:r w:rsidRPr="0008221B" w:rsidR="00BD7C6D">
        <w:rPr>
          <w:rFonts w:ascii="Times New Roman" w:hAnsi="Times New Roman"/>
          <w:sz w:val="24"/>
        </w:rPr>
        <w:t>concentraties</w:t>
      </w:r>
      <w:r w:rsidR="00BD7C6D">
        <w:rPr>
          <w:rFonts w:ascii="Times New Roman" w:hAnsi="Times New Roman"/>
          <w:sz w:val="24"/>
        </w:rPr>
        <w:t>.</w:t>
      </w:r>
      <w:r w:rsidRPr="0008221B" w:rsidR="00BD7C6D">
        <w:rPr>
          <w:rFonts w:ascii="Times New Roman" w:hAnsi="Times New Roman"/>
          <w:sz w:val="24"/>
        </w:rPr>
        <w:t xml:space="preserve"> </w:t>
      </w:r>
      <w:r w:rsidRPr="006C2AD9" w:rsidR="00BD7C6D">
        <w:rPr>
          <w:rFonts w:ascii="Times New Roman" w:hAnsi="Times New Roman"/>
          <w:sz w:val="24"/>
        </w:rPr>
        <w:t>Dat zullen factoren zijn die reeds in de praktijk van de ACM en de Europese Commissie worden gebruikt om concentraties te toetsen, waaronder, marktaandelen van de overnemende partij, de concentratie van de markt, eerdere overnames of signalen van consumenten, ondernemingen of andere belanghebbenden.</w:t>
      </w:r>
      <w:r w:rsidR="00BD7C6D">
        <w:rPr>
          <w:rFonts w:ascii="Times New Roman" w:hAnsi="Times New Roman"/>
          <w:sz w:val="24"/>
        </w:rPr>
        <w:t xml:space="preserve"> </w:t>
      </w:r>
      <w:r w:rsidR="00C7558C">
        <w:rPr>
          <w:rFonts w:ascii="Times New Roman" w:hAnsi="Times New Roman"/>
          <w:sz w:val="24"/>
        </w:rPr>
        <w:t>Daar</w:t>
      </w:r>
      <w:r w:rsidR="009A3D28">
        <w:rPr>
          <w:rFonts w:ascii="Times New Roman" w:hAnsi="Times New Roman"/>
          <w:sz w:val="24"/>
        </w:rPr>
        <w:t xml:space="preserve">bij </w:t>
      </w:r>
      <w:r w:rsidR="00C7558C">
        <w:rPr>
          <w:rFonts w:ascii="Times New Roman" w:hAnsi="Times New Roman"/>
          <w:sz w:val="24"/>
        </w:rPr>
        <w:t xml:space="preserve">kunnen begrippen zoals “killer </w:t>
      </w:r>
      <w:proofErr w:type="spellStart"/>
      <w:r w:rsidR="00C7558C">
        <w:rPr>
          <w:rFonts w:ascii="Times New Roman" w:hAnsi="Times New Roman"/>
          <w:sz w:val="24"/>
        </w:rPr>
        <w:t>acquisition</w:t>
      </w:r>
      <w:proofErr w:type="spellEnd"/>
      <w:r w:rsidR="00C7558C">
        <w:rPr>
          <w:rFonts w:ascii="Times New Roman" w:hAnsi="Times New Roman"/>
          <w:sz w:val="24"/>
        </w:rPr>
        <w:t xml:space="preserve">” of “kralenrijgen” </w:t>
      </w:r>
      <w:r w:rsidR="009A3D28">
        <w:rPr>
          <w:rFonts w:ascii="Times New Roman" w:hAnsi="Times New Roman"/>
          <w:sz w:val="24"/>
        </w:rPr>
        <w:t xml:space="preserve">nader </w:t>
      </w:r>
      <w:r w:rsidR="00C7558C">
        <w:rPr>
          <w:rFonts w:ascii="Times New Roman" w:hAnsi="Times New Roman"/>
          <w:sz w:val="24"/>
        </w:rPr>
        <w:t>ingevuld worden.</w:t>
      </w:r>
    </w:p>
    <w:p w:rsidRPr="00434255" w:rsidR="00BD7C6D" w:rsidP="00A320C1" w:rsidRDefault="00BD7C6D" w14:paraId="174DFDE6" w14:textId="77777777">
      <w:pPr>
        <w:spacing w:line="240" w:lineRule="auto"/>
        <w:jc w:val="both"/>
        <w:rPr>
          <w:rFonts w:ascii="Times New Roman" w:hAnsi="Times New Roman"/>
          <w:sz w:val="24"/>
        </w:rPr>
      </w:pPr>
    </w:p>
    <w:p w:rsidRPr="004A7AD4" w:rsidR="00FD1430" w:rsidP="00A320C1" w:rsidRDefault="00FD1430" w14:paraId="51B3CFDF" w14:textId="77777777">
      <w:pPr>
        <w:spacing w:line="240" w:lineRule="auto"/>
        <w:jc w:val="both"/>
        <w:rPr>
          <w:rFonts w:ascii="Times New Roman" w:hAnsi="Times New Roman"/>
          <w:i/>
          <w:iCs/>
          <w:sz w:val="24"/>
        </w:rPr>
      </w:pPr>
    </w:p>
    <w:p w:rsidRPr="004A7AD4" w:rsidR="003C0D1D" w:rsidP="00A320C1" w:rsidRDefault="003C0D1D" w14:paraId="256B9EBD" w14:textId="7A455AA8">
      <w:pPr>
        <w:spacing w:line="240" w:lineRule="auto"/>
        <w:jc w:val="both"/>
        <w:rPr>
          <w:rFonts w:ascii="Times New Roman" w:hAnsi="Times New Roman"/>
          <w:i/>
          <w:iCs/>
          <w:sz w:val="24"/>
        </w:rPr>
      </w:pPr>
      <w:r w:rsidRPr="004A7AD4">
        <w:rPr>
          <w:rFonts w:ascii="Times New Roman" w:hAnsi="Times New Roman"/>
          <w:i/>
          <w:iCs/>
          <w:sz w:val="24"/>
        </w:rPr>
        <w:t>Informele zienswijze </w:t>
      </w:r>
    </w:p>
    <w:p w:rsidR="003C0D1D" w:rsidP="00A320C1" w:rsidRDefault="003C0D1D" w14:paraId="0AF36D18" w14:textId="6D412258">
      <w:pPr>
        <w:spacing w:line="240" w:lineRule="auto"/>
        <w:jc w:val="both"/>
        <w:rPr>
          <w:rFonts w:ascii="Times New Roman" w:hAnsi="Times New Roman"/>
          <w:i/>
          <w:iCs/>
          <w:sz w:val="24"/>
        </w:rPr>
      </w:pPr>
      <w:r w:rsidRPr="004A7AD4">
        <w:rPr>
          <w:rFonts w:ascii="Times New Roman" w:hAnsi="Times New Roman"/>
          <w:i/>
          <w:iCs/>
          <w:sz w:val="24"/>
        </w:rPr>
        <w:t>De leden van de CDA-fractie achten het positief dat ondernemingen vooraf een informele zienswijze van de ACM kunnen vragen om meer duidelijkheid te verkrijgen over de mogelijke toepassing van de inroepbevoegdheid. Deze leden merken daarbij op dat snelheid, voorspelbaarheid en kwaliteit van dergelijke zienswijzen cruciaal zijn voor ondernemingen die zich in een overnametraject bevinden. De leden van de CDA-fractie vragen de initiatiefnemer in hoeverre hij verwacht dat ondernemingen juist vanwege de open norm en de beoordelingsruimte van de ACM in grotere aantallen gebruik zullen maken van deze mogelijkheid. Op welke gegevens of ervaringen is de verwachting gebaseerd dat dit aantal beperkt zal blijven? Tevens vragen deze leden hoe wordt voorkomen dat de ACM door een groot aantal verzoeken om informele zienswijzen overbelast raakt. Hoe wordt voorkomen dat hierdoor de doorlooptijden oplopen of dat de kwaliteit en daarmee de praktische waarde van deze zienswijzen onder druk komt te staan? Is bij de raming van de uitvoeringskosten expliciet rekening gehouden met een substantiële toename van dergelijke verzoeken? </w:t>
      </w:r>
    </w:p>
    <w:p w:rsidR="00A245C3" w:rsidP="00A320C1" w:rsidRDefault="00A245C3" w14:paraId="12A9CF19" w14:textId="77777777">
      <w:pPr>
        <w:spacing w:line="240" w:lineRule="auto"/>
        <w:jc w:val="both"/>
        <w:rPr>
          <w:rFonts w:ascii="Times New Roman" w:hAnsi="Times New Roman"/>
          <w:i/>
          <w:iCs/>
          <w:sz w:val="24"/>
        </w:rPr>
      </w:pPr>
    </w:p>
    <w:p w:rsidR="00884FF9" w:rsidP="00136C51" w:rsidRDefault="0092591C" w14:paraId="26BB6E99" w14:textId="2E01FEC9">
      <w:pPr>
        <w:rPr>
          <w:rFonts w:ascii="Times New Roman" w:hAnsi="Times New Roman"/>
          <w:sz w:val="24"/>
        </w:rPr>
      </w:pPr>
      <w:r w:rsidRPr="0092591C">
        <w:rPr>
          <w:rFonts w:ascii="Times New Roman" w:hAnsi="Times New Roman"/>
          <w:sz w:val="24"/>
        </w:rPr>
        <w:t xml:space="preserve">Het primaire doel van </w:t>
      </w:r>
      <w:r w:rsidR="00F47615">
        <w:rPr>
          <w:rFonts w:ascii="Times New Roman" w:hAnsi="Times New Roman"/>
          <w:sz w:val="24"/>
        </w:rPr>
        <w:t xml:space="preserve">de informele zienswijze </w:t>
      </w:r>
      <w:r w:rsidRPr="0092591C">
        <w:rPr>
          <w:rFonts w:ascii="Times New Roman" w:hAnsi="Times New Roman"/>
          <w:sz w:val="24"/>
        </w:rPr>
        <w:t>is dat de ACM hiermee kennis verkrijgt van de overname</w:t>
      </w:r>
      <w:r w:rsidR="00F47615">
        <w:rPr>
          <w:rFonts w:ascii="Times New Roman" w:hAnsi="Times New Roman"/>
          <w:sz w:val="24"/>
        </w:rPr>
        <w:t xml:space="preserve">. Omdat het </w:t>
      </w:r>
      <w:r w:rsidRPr="0092591C">
        <w:rPr>
          <w:rFonts w:ascii="Times New Roman" w:hAnsi="Times New Roman"/>
          <w:sz w:val="24"/>
        </w:rPr>
        <w:t>inhoudelijke beoordelingscriterium voor het gebruik maken van de inroepbevoegdheid</w:t>
      </w:r>
      <w:r w:rsidR="00F47615">
        <w:rPr>
          <w:rFonts w:ascii="Times New Roman" w:hAnsi="Times New Roman"/>
          <w:sz w:val="24"/>
        </w:rPr>
        <w:t xml:space="preserve"> gelijk </w:t>
      </w:r>
      <w:r w:rsidRPr="0092591C">
        <w:rPr>
          <w:rFonts w:ascii="Times New Roman" w:hAnsi="Times New Roman"/>
          <w:sz w:val="24"/>
        </w:rPr>
        <w:t>is aan het</w:t>
      </w:r>
      <w:r w:rsidR="008F66FA">
        <w:rPr>
          <w:rFonts w:ascii="Times New Roman" w:hAnsi="Times New Roman"/>
          <w:sz w:val="24"/>
        </w:rPr>
        <w:t xml:space="preserve"> </w:t>
      </w:r>
      <w:r w:rsidRPr="0092591C">
        <w:rPr>
          <w:rFonts w:ascii="Times New Roman" w:hAnsi="Times New Roman"/>
          <w:sz w:val="24"/>
        </w:rPr>
        <w:t>reeds bestaande beoordelingscriterium voor het bestaande concentratietoezicht</w:t>
      </w:r>
      <w:r w:rsidR="00F47615">
        <w:rPr>
          <w:rFonts w:ascii="Times New Roman" w:hAnsi="Times New Roman"/>
          <w:sz w:val="24"/>
        </w:rPr>
        <w:t xml:space="preserve"> </w:t>
      </w:r>
      <w:r w:rsidR="008D2501">
        <w:rPr>
          <w:rFonts w:ascii="Times New Roman" w:hAnsi="Times New Roman"/>
          <w:sz w:val="24"/>
        </w:rPr>
        <w:t xml:space="preserve">is het de verwachting </w:t>
      </w:r>
      <w:r w:rsidRPr="008D2501" w:rsidR="008D2501">
        <w:rPr>
          <w:rFonts w:ascii="Times New Roman" w:hAnsi="Times New Roman"/>
          <w:sz w:val="24"/>
        </w:rPr>
        <w:t xml:space="preserve">dat het aantal </w:t>
      </w:r>
      <w:r w:rsidR="008D2501">
        <w:rPr>
          <w:rFonts w:ascii="Times New Roman" w:hAnsi="Times New Roman"/>
          <w:sz w:val="24"/>
        </w:rPr>
        <w:t>informele zienswijzen</w:t>
      </w:r>
      <w:r w:rsidRPr="008D2501" w:rsidR="008D2501">
        <w:rPr>
          <w:rFonts w:ascii="Times New Roman" w:hAnsi="Times New Roman"/>
          <w:sz w:val="24"/>
        </w:rPr>
        <w:t xml:space="preserve"> beperkt zal blijven</w:t>
      </w:r>
      <w:r w:rsidR="008D2501">
        <w:rPr>
          <w:rFonts w:ascii="Times New Roman" w:hAnsi="Times New Roman"/>
          <w:sz w:val="24"/>
        </w:rPr>
        <w:t xml:space="preserve">. </w:t>
      </w:r>
      <w:r w:rsidRPr="0092591C">
        <w:rPr>
          <w:rFonts w:ascii="Times New Roman" w:hAnsi="Times New Roman"/>
          <w:sz w:val="24"/>
        </w:rPr>
        <w:t xml:space="preserve"> Ondernemingen en hun adviseurs kunnen </w:t>
      </w:r>
      <w:r w:rsidR="0091746C">
        <w:rPr>
          <w:rFonts w:ascii="Times New Roman" w:hAnsi="Times New Roman"/>
          <w:sz w:val="24"/>
        </w:rPr>
        <w:t xml:space="preserve">immers eerst zelf </w:t>
      </w:r>
      <w:r w:rsidRPr="0092591C">
        <w:rPr>
          <w:rFonts w:ascii="Times New Roman" w:hAnsi="Times New Roman"/>
          <w:sz w:val="24"/>
        </w:rPr>
        <w:t>een eigen inschatting</w:t>
      </w:r>
      <w:r w:rsidR="00650AF4">
        <w:rPr>
          <w:rFonts w:ascii="Times New Roman" w:hAnsi="Times New Roman"/>
          <w:sz w:val="24"/>
        </w:rPr>
        <w:t xml:space="preserve"> (</w:t>
      </w:r>
      <w:proofErr w:type="spellStart"/>
      <w:r w:rsidR="00650AF4">
        <w:rPr>
          <w:rFonts w:ascii="Times New Roman" w:hAnsi="Times New Roman"/>
          <w:sz w:val="24"/>
        </w:rPr>
        <w:t>self</w:t>
      </w:r>
      <w:proofErr w:type="spellEnd"/>
      <w:r w:rsidR="00650AF4">
        <w:rPr>
          <w:rFonts w:ascii="Times New Roman" w:hAnsi="Times New Roman"/>
          <w:sz w:val="24"/>
        </w:rPr>
        <w:t xml:space="preserve"> assessment)</w:t>
      </w:r>
      <w:r w:rsidRPr="0092591C">
        <w:rPr>
          <w:rFonts w:ascii="Times New Roman" w:hAnsi="Times New Roman"/>
          <w:sz w:val="24"/>
        </w:rPr>
        <w:t xml:space="preserve"> maken</w:t>
      </w:r>
      <w:r w:rsidR="00F569AC">
        <w:rPr>
          <w:rFonts w:ascii="Times New Roman" w:hAnsi="Times New Roman"/>
          <w:sz w:val="24"/>
        </w:rPr>
        <w:t xml:space="preserve"> net zoals zij dat ook nu al </w:t>
      </w:r>
      <w:r w:rsidRPr="00F569AC" w:rsidR="00F569AC">
        <w:rPr>
          <w:rFonts w:ascii="Times New Roman" w:hAnsi="Times New Roman"/>
          <w:sz w:val="22"/>
          <w:szCs w:val="22"/>
        </w:rPr>
        <w:t xml:space="preserve">doen. </w:t>
      </w:r>
      <w:r w:rsidRPr="00D65909" w:rsidR="00F569AC">
        <w:rPr>
          <w:rFonts w:ascii="Times New Roman" w:hAnsi="Times New Roman"/>
          <w:sz w:val="24"/>
        </w:rPr>
        <w:t xml:space="preserve">Als gevolg van het wetsvoorstel zal in een beperkt aantal zaken die </w:t>
      </w:r>
      <w:proofErr w:type="spellStart"/>
      <w:r w:rsidRPr="00D65909" w:rsidR="00F569AC">
        <w:rPr>
          <w:rFonts w:ascii="Times New Roman" w:hAnsi="Times New Roman"/>
          <w:sz w:val="24"/>
        </w:rPr>
        <w:t>self</w:t>
      </w:r>
      <w:proofErr w:type="spellEnd"/>
      <w:r w:rsidRPr="00D65909" w:rsidR="00F569AC">
        <w:rPr>
          <w:rFonts w:ascii="Times New Roman" w:hAnsi="Times New Roman"/>
          <w:sz w:val="24"/>
        </w:rPr>
        <w:t xml:space="preserve"> assessment niet eerst alleen moeten gaan over de vraag of de omzetdrempels gehaald zijn, maar meteen ook over de vraag of er risico’s voor de mededinging zijn. </w:t>
      </w:r>
      <w:r w:rsidRPr="00D65909" w:rsidR="00BC3698">
        <w:rPr>
          <w:rFonts w:ascii="Times New Roman" w:hAnsi="Times New Roman"/>
          <w:sz w:val="24"/>
        </w:rPr>
        <w:t xml:space="preserve">In gevallen </w:t>
      </w:r>
      <w:r w:rsidRPr="00D65909" w:rsidR="00136C51">
        <w:rPr>
          <w:rFonts w:ascii="Times New Roman" w:hAnsi="Times New Roman"/>
          <w:sz w:val="24"/>
        </w:rPr>
        <w:t xml:space="preserve">waar </w:t>
      </w:r>
      <w:r w:rsidRPr="00C975F7">
        <w:rPr>
          <w:rFonts w:ascii="Times New Roman" w:hAnsi="Times New Roman"/>
          <w:sz w:val="24"/>
        </w:rPr>
        <w:t xml:space="preserve">duidelijke mededingingsrisico’s of grensgevallen </w:t>
      </w:r>
      <w:r w:rsidRPr="00C975F7" w:rsidR="00136C51">
        <w:rPr>
          <w:rFonts w:ascii="Times New Roman" w:hAnsi="Times New Roman"/>
          <w:sz w:val="24"/>
        </w:rPr>
        <w:t>worden verwacht ligt het voor de hand de A</w:t>
      </w:r>
      <w:r w:rsidRPr="00C975F7" w:rsidR="00CA3DE6">
        <w:rPr>
          <w:rFonts w:ascii="Times New Roman" w:hAnsi="Times New Roman"/>
          <w:sz w:val="24"/>
        </w:rPr>
        <w:t xml:space="preserve">CM om een </w:t>
      </w:r>
      <w:r w:rsidRPr="00C975F7">
        <w:rPr>
          <w:rFonts w:ascii="Times New Roman" w:hAnsi="Times New Roman"/>
          <w:sz w:val="24"/>
        </w:rPr>
        <w:t xml:space="preserve">zienswijze </w:t>
      </w:r>
      <w:r w:rsidRPr="00C975F7" w:rsidR="00CA3DE6">
        <w:rPr>
          <w:rFonts w:ascii="Times New Roman" w:hAnsi="Times New Roman"/>
          <w:sz w:val="24"/>
        </w:rPr>
        <w:t xml:space="preserve">te </w:t>
      </w:r>
      <w:r w:rsidRPr="00C975F7">
        <w:rPr>
          <w:rFonts w:ascii="Times New Roman" w:hAnsi="Times New Roman"/>
          <w:sz w:val="24"/>
        </w:rPr>
        <w:t xml:space="preserve">vragen. </w:t>
      </w:r>
      <w:r w:rsidRPr="00C975F7" w:rsidR="00650AF4">
        <w:rPr>
          <w:rFonts w:ascii="Times New Roman" w:hAnsi="Times New Roman"/>
          <w:sz w:val="24"/>
        </w:rPr>
        <w:t xml:space="preserve"> </w:t>
      </w:r>
    </w:p>
    <w:p w:rsidRPr="00C975F7" w:rsidR="00884FF9" w:rsidP="00136C51" w:rsidRDefault="00884FF9" w14:paraId="0FD3A815" w14:textId="77777777">
      <w:pPr>
        <w:rPr>
          <w:rFonts w:ascii="Times New Roman" w:hAnsi="Times New Roman"/>
          <w:sz w:val="24"/>
        </w:rPr>
      </w:pPr>
    </w:p>
    <w:p w:rsidRPr="0092591C" w:rsidR="00ED6934" w:rsidP="00D65909" w:rsidRDefault="00650AF4" w14:paraId="3AA73DC7" w14:textId="6072178E">
      <w:pPr>
        <w:rPr>
          <w:rFonts w:ascii="Times New Roman" w:hAnsi="Times New Roman"/>
          <w:sz w:val="24"/>
        </w:rPr>
      </w:pPr>
      <w:r>
        <w:rPr>
          <w:rFonts w:ascii="Times New Roman" w:hAnsi="Times New Roman"/>
          <w:sz w:val="24"/>
        </w:rPr>
        <w:t xml:space="preserve">Mocht de ACM besluiten </w:t>
      </w:r>
      <w:r w:rsidRPr="00650AF4">
        <w:rPr>
          <w:rFonts w:ascii="Times New Roman" w:hAnsi="Times New Roman"/>
          <w:sz w:val="24"/>
        </w:rPr>
        <w:t xml:space="preserve">om een concentratie binnen te roepen zal de ACM hierover een besluit publiceren. Een dergelijke toelichting zal waardevol zijn omdat dit inzichtelijk maakt hoe het beleid van de ACM in de praktijk werkt, wat weer behulpzaam is voor </w:t>
      </w:r>
      <w:proofErr w:type="spellStart"/>
      <w:r w:rsidRPr="00650AF4">
        <w:rPr>
          <w:rFonts w:ascii="Times New Roman" w:hAnsi="Times New Roman"/>
          <w:sz w:val="24"/>
        </w:rPr>
        <w:t>self</w:t>
      </w:r>
      <w:proofErr w:type="spellEnd"/>
      <w:r w:rsidRPr="00650AF4">
        <w:rPr>
          <w:rFonts w:ascii="Times New Roman" w:hAnsi="Times New Roman"/>
          <w:sz w:val="24"/>
        </w:rPr>
        <w:t xml:space="preserve"> assessments die daarna worden uitgevoerd. </w:t>
      </w:r>
      <w:r w:rsidRPr="00650AF4">
        <w:rPr>
          <w:rFonts w:ascii="Times New Roman" w:hAnsi="Times New Roman"/>
          <w:sz w:val="24"/>
        </w:rPr>
        <w:lastRenderedPageBreak/>
        <w:t xml:space="preserve">Dat geldt met name in de eerste jaren nadat de inroepbevoegdheid is geïntroduceerd. </w:t>
      </w:r>
    </w:p>
    <w:p w:rsidRPr="0092591C" w:rsidR="0092591C" w:rsidP="00A320C1" w:rsidRDefault="0092591C" w14:paraId="2A175C89" w14:textId="77777777">
      <w:pPr>
        <w:spacing w:line="240" w:lineRule="auto"/>
        <w:jc w:val="both"/>
        <w:rPr>
          <w:rFonts w:ascii="Times New Roman" w:hAnsi="Times New Roman"/>
          <w:sz w:val="24"/>
        </w:rPr>
      </w:pPr>
    </w:p>
    <w:p w:rsidR="0092591C" w:rsidP="00A320C1" w:rsidRDefault="0092591C" w14:paraId="59E22BDC" w14:textId="77777777">
      <w:pPr>
        <w:spacing w:line="240" w:lineRule="auto"/>
        <w:jc w:val="both"/>
        <w:rPr>
          <w:rFonts w:ascii="Times New Roman" w:hAnsi="Times New Roman"/>
          <w:b/>
          <w:bCs/>
          <w:i/>
          <w:iCs/>
          <w:sz w:val="24"/>
        </w:rPr>
      </w:pPr>
    </w:p>
    <w:p w:rsidRPr="004A7AD4" w:rsidR="0092591C" w:rsidP="00A320C1" w:rsidRDefault="0092591C" w14:paraId="6B8EDED5" w14:textId="77777777">
      <w:pPr>
        <w:spacing w:line="240" w:lineRule="auto"/>
        <w:jc w:val="both"/>
        <w:rPr>
          <w:rFonts w:ascii="Times New Roman" w:hAnsi="Times New Roman"/>
          <w:b/>
          <w:bCs/>
          <w:i/>
          <w:iCs/>
          <w:sz w:val="24"/>
        </w:rPr>
      </w:pPr>
    </w:p>
    <w:p w:rsidRPr="004A7AD4" w:rsidR="00697514" w:rsidP="00F414BE" w:rsidRDefault="00697514" w14:paraId="64F1D370" w14:textId="37A89BD2">
      <w:pPr>
        <w:pStyle w:val="Lijstalinea"/>
        <w:numPr>
          <w:ilvl w:val="0"/>
          <w:numId w:val="11"/>
        </w:numPr>
        <w:spacing w:line="240" w:lineRule="auto"/>
        <w:jc w:val="both"/>
        <w:rPr>
          <w:rFonts w:ascii="Times New Roman" w:hAnsi="Times New Roman"/>
          <w:b/>
          <w:bCs/>
          <w:i/>
          <w:iCs/>
          <w:sz w:val="24"/>
        </w:rPr>
      </w:pPr>
      <w:r w:rsidRPr="004A7AD4">
        <w:rPr>
          <w:rFonts w:ascii="Times New Roman" w:hAnsi="Times New Roman"/>
          <w:b/>
          <w:bCs/>
          <w:i/>
          <w:iCs/>
          <w:sz w:val="24"/>
        </w:rPr>
        <w:t>Consultatie</w:t>
      </w:r>
    </w:p>
    <w:p w:rsidRPr="004A7AD4" w:rsidR="00774D9A" w:rsidP="00A320C1" w:rsidRDefault="00774D9A" w14:paraId="4DAE9301" w14:textId="77777777">
      <w:pPr>
        <w:spacing w:line="240" w:lineRule="auto"/>
        <w:jc w:val="both"/>
        <w:rPr>
          <w:rFonts w:ascii="Times New Roman" w:hAnsi="Times New Roman"/>
          <w:b/>
          <w:bCs/>
          <w:i/>
          <w:iCs/>
          <w:sz w:val="24"/>
        </w:rPr>
      </w:pPr>
    </w:p>
    <w:p w:rsidR="00B61316" w:rsidP="00A320C1" w:rsidRDefault="00B61316" w14:paraId="35E85822" w14:textId="23EC34C8">
      <w:pPr>
        <w:spacing w:line="240" w:lineRule="auto"/>
        <w:jc w:val="both"/>
        <w:rPr>
          <w:rFonts w:ascii="Times New Roman" w:hAnsi="Times New Roman"/>
          <w:i/>
          <w:iCs/>
          <w:sz w:val="24"/>
        </w:rPr>
      </w:pPr>
      <w:r w:rsidRPr="004A7AD4">
        <w:rPr>
          <w:rFonts w:ascii="Times New Roman" w:hAnsi="Times New Roman"/>
          <w:i/>
          <w:iCs/>
          <w:sz w:val="24"/>
        </w:rPr>
        <w:t xml:space="preserve">De leden van de </w:t>
      </w:r>
      <w:r w:rsidRPr="004A7AD4" w:rsidR="00A313DB">
        <w:rPr>
          <w:rFonts w:ascii="Times New Roman" w:hAnsi="Times New Roman"/>
          <w:i/>
          <w:iCs/>
          <w:sz w:val="24"/>
        </w:rPr>
        <w:t>VVD-</w:t>
      </w:r>
      <w:r w:rsidRPr="004A7AD4">
        <w:rPr>
          <w:rFonts w:ascii="Times New Roman" w:hAnsi="Times New Roman"/>
          <w:i/>
          <w:iCs/>
          <w:sz w:val="24"/>
        </w:rPr>
        <w:t>fractie lezen dat een aantal organisaties tijdens de internetconsultatie heeft aangedrongen op een verhoging van de omzetdrempels. Deze leden constateren dat de indiener ervoor heeft gekozen de inroepbevoegdheid mogelijk te willen maken als één bedrijf bij een overname, fusie of joint venture een omzet heeft die groter is dan €30 m</w:t>
      </w:r>
      <w:r w:rsidRPr="004A7AD4" w:rsidR="006A0A00">
        <w:rPr>
          <w:rFonts w:ascii="Times New Roman" w:hAnsi="Times New Roman"/>
          <w:i/>
          <w:iCs/>
          <w:sz w:val="24"/>
        </w:rPr>
        <w:t xml:space="preserve">iljoen. </w:t>
      </w:r>
      <w:r w:rsidRPr="004A7AD4">
        <w:rPr>
          <w:rFonts w:ascii="Times New Roman" w:hAnsi="Times New Roman"/>
          <w:i/>
          <w:iCs/>
          <w:sz w:val="24"/>
        </w:rPr>
        <w:t xml:space="preserve">Waarom heeft de indiener er niet voor gekozen </w:t>
      </w:r>
      <w:r w:rsidRPr="004A7AD4" w:rsidR="00396901">
        <w:rPr>
          <w:rFonts w:ascii="Times New Roman" w:hAnsi="Times New Roman"/>
          <w:i/>
          <w:iCs/>
          <w:sz w:val="24"/>
        </w:rPr>
        <w:t xml:space="preserve">om aan de kant van de partij die wordt overgenomen eveneens </w:t>
      </w:r>
      <w:r w:rsidRPr="004A7AD4">
        <w:rPr>
          <w:rFonts w:ascii="Times New Roman" w:hAnsi="Times New Roman"/>
          <w:i/>
          <w:iCs/>
          <w:sz w:val="24"/>
        </w:rPr>
        <w:t>met een omzetdrempel te werken</w:t>
      </w:r>
      <w:r w:rsidRPr="004A7AD4" w:rsidR="00650BAA">
        <w:rPr>
          <w:rFonts w:ascii="Times New Roman" w:hAnsi="Times New Roman"/>
          <w:i/>
          <w:iCs/>
          <w:sz w:val="24"/>
        </w:rPr>
        <w:t>?</w:t>
      </w:r>
      <w:r w:rsidRPr="004A7AD4">
        <w:rPr>
          <w:rFonts w:ascii="Times New Roman" w:hAnsi="Times New Roman"/>
          <w:i/>
          <w:iCs/>
          <w:sz w:val="24"/>
        </w:rPr>
        <w:t xml:space="preserve"> </w:t>
      </w:r>
    </w:p>
    <w:p w:rsidR="00A245C3" w:rsidP="00A320C1" w:rsidRDefault="00A245C3" w14:paraId="68709576" w14:textId="77777777">
      <w:pPr>
        <w:spacing w:line="240" w:lineRule="auto"/>
        <w:jc w:val="both"/>
        <w:rPr>
          <w:rFonts w:ascii="Times New Roman" w:hAnsi="Times New Roman"/>
          <w:i/>
          <w:iCs/>
          <w:sz w:val="24"/>
        </w:rPr>
      </w:pPr>
    </w:p>
    <w:p w:rsidRPr="00A245C3" w:rsidR="00A245C3" w:rsidP="00A320C1" w:rsidRDefault="00A245C3" w14:paraId="49FFF1F5" w14:textId="3F8C1F5F">
      <w:pPr>
        <w:spacing w:line="240" w:lineRule="auto"/>
        <w:jc w:val="both"/>
        <w:rPr>
          <w:rFonts w:ascii="Times New Roman" w:hAnsi="Times New Roman"/>
          <w:sz w:val="24"/>
        </w:rPr>
      </w:pPr>
      <w:r>
        <w:rPr>
          <w:rFonts w:ascii="Times New Roman" w:hAnsi="Times New Roman"/>
          <w:sz w:val="24"/>
        </w:rPr>
        <w:t xml:space="preserve">De initiatiefnemer zou de leden van de VVD-fractie willen verwijzen naar </w:t>
      </w:r>
      <w:r w:rsidR="00466652">
        <w:rPr>
          <w:rFonts w:ascii="Times New Roman" w:hAnsi="Times New Roman"/>
          <w:sz w:val="24"/>
        </w:rPr>
        <w:t xml:space="preserve">het </w:t>
      </w:r>
      <w:r>
        <w:rPr>
          <w:rFonts w:ascii="Times New Roman" w:hAnsi="Times New Roman"/>
          <w:sz w:val="24"/>
        </w:rPr>
        <w:t>bovenstaand</w:t>
      </w:r>
      <w:r w:rsidR="00466652">
        <w:rPr>
          <w:rFonts w:ascii="Times New Roman" w:hAnsi="Times New Roman"/>
          <w:sz w:val="24"/>
        </w:rPr>
        <w:t>e</w:t>
      </w:r>
      <w:r>
        <w:rPr>
          <w:rFonts w:ascii="Times New Roman" w:hAnsi="Times New Roman"/>
          <w:sz w:val="24"/>
        </w:rPr>
        <w:t xml:space="preserve"> antwoord op een gelijkaardige vraag van de leden van de CDA-fractie.</w:t>
      </w:r>
    </w:p>
    <w:p w:rsidRPr="004A7AD4" w:rsidR="00650BAA" w:rsidP="00A320C1" w:rsidRDefault="00650BAA" w14:paraId="586C9092" w14:textId="77777777">
      <w:pPr>
        <w:spacing w:line="240" w:lineRule="auto"/>
        <w:jc w:val="both"/>
        <w:rPr>
          <w:rFonts w:ascii="Times New Roman" w:hAnsi="Times New Roman"/>
          <w:i/>
          <w:iCs/>
          <w:sz w:val="24"/>
          <w:highlight w:val="yellow"/>
        </w:rPr>
      </w:pPr>
    </w:p>
    <w:p w:rsidR="00074D01" w:rsidP="00A320C1" w:rsidRDefault="00074D01" w14:paraId="2C881850" w14:textId="46E62110">
      <w:pPr>
        <w:spacing w:line="240" w:lineRule="auto"/>
        <w:jc w:val="both"/>
        <w:rPr>
          <w:rFonts w:ascii="Times New Roman" w:hAnsi="Times New Roman"/>
          <w:i/>
          <w:iCs/>
          <w:sz w:val="24"/>
        </w:rPr>
      </w:pPr>
      <w:r w:rsidRPr="004A7AD4">
        <w:rPr>
          <w:rFonts w:ascii="Times New Roman" w:hAnsi="Times New Roman"/>
          <w:i/>
          <w:iCs/>
          <w:sz w:val="24"/>
        </w:rPr>
        <w:t>De leden van de CDA-fractie staan positief tegenover de mogelijkheid voor ondernemingen om een voorgenomen fusie of overname vrijwillig via een eenvoudig (online) formulier aan de ACM voor te leggen. Deze leden achten het van belang dat ondernemingen op een laagdrempelige wijze vooraf duidelijkheid kunnen verkrijgen. Deze leden vragen de initiatiefnemer echter nader toe te lichten wat de juridische status en rechtsgevolgen zijn van een dergelijke informele zienswijze van de ACM. In hoeverre kunnen ondernemingen hier daadwerkelijk op vertrouwen? Bestaat het risico dat ondernemingen op basis van een informele beoordeling menen voldoende zekerheid te hebben verkregen, terwijl de ACM op een later moment alsnog besluit de concentratie in te roepen of nader onderzoek te starten? </w:t>
      </w:r>
    </w:p>
    <w:p w:rsidR="00101D5B" w:rsidP="00A320C1" w:rsidRDefault="00101D5B" w14:paraId="1D1DF412" w14:textId="77777777">
      <w:pPr>
        <w:spacing w:line="240" w:lineRule="auto"/>
        <w:jc w:val="both"/>
        <w:rPr>
          <w:rFonts w:ascii="Times New Roman" w:hAnsi="Times New Roman"/>
          <w:i/>
          <w:iCs/>
          <w:sz w:val="24"/>
        </w:rPr>
      </w:pPr>
    </w:p>
    <w:p w:rsidR="00890EE8" w:rsidP="00A320C1" w:rsidRDefault="00890EE8" w14:paraId="1808CFCB" w14:textId="0057A785">
      <w:pPr>
        <w:spacing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Alhoewel het om een informele </w:t>
      </w:r>
      <w:r w:rsidR="00FC5196">
        <w:rPr>
          <w:rFonts w:ascii="Times New Roman" w:hAnsi="Times New Roman"/>
          <w:color w:val="000000" w:themeColor="text1"/>
          <w:sz w:val="24"/>
        </w:rPr>
        <w:t xml:space="preserve">beoordeling gaat heeft de initiatiefnemer geen reden om aan te nemen dat de ACM daar in een later stadium op zal terugkomen. </w:t>
      </w:r>
      <w:r w:rsidR="002D3FA8">
        <w:rPr>
          <w:rFonts w:ascii="Times New Roman" w:hAnsi="Times New Roman"/>
          <w:color w:val="000000" w:themeColor="text1"/>
          <w:sz w:val="24"/>
        </w:rPr>
        <w:t>Mocht de informele beoordeling daar aanleiding toe geven zal d</w:t>
      </w:r>
      <w:r w:rsidR="003C5C2B">
        <w:rPr>
          <w:rFonts w:ascii="Times New Roman" w:hAnsi="Times New Roman"/>
          <w:color w:val="000000" w:themeColor="text1"/>
          <w:sz w:val="24"/>
        </w:rPr>
        <w:t>e inroep</w:t>
      </w:r>
      <w:r w:rsidR="00B54095">
        <w:rPr>
          <w:rFonts w:ascii="Times New Roman" w:hAnsi="Times New Roman"/>
          <w:color w:val="000000" w:themeColor="text1"/>
          <w:sz w:val="24"/>
        </w:rPr>
        <w:t>p</w:t>
      </w:r>
      <w:r w:rsidR="003C5C2B">
        <w:rPr>
          <w:rFonts w:ascii="Times New Roman" w:hAnsi="Times New Roman"/>
          <w:color w:val="000000" w:themeColor="text1"/>
          <w:sz w:val="24"/>
        </w:rPr>
        <w:t>rocedure in gang worden gezet. Zo niet, mag aangenomen worden da</w:t>
      </w:r>
      <w:r w:rsidR="00B54095">
        <w:rPr>
          <w:rFonts w:ascii="Times New Roman" w:hAnsi="Times New Roman"/>
          <w:color w:val="000000" w:themeColor="text1"/>
          <w:sz w:val="24"/>
        </w:rPr>
        <w:t>t</w:t>
      </w:r>
      <w:r w:rsidR="003C5C2B">
        <w:rPr>
          <w:rFonts w:ascii="Times New Roman" w:hAnsi="Times New Roman"/>
          <w:color w:val="000000" w:themeColor="text1"/>
          <w:sz w:val="24"/>
        </w:rPr>
        <w:t xml:space="preserve"> de ACM geen aanleiding ziet om de concentratie nader te onderzoeken. </w:t>
      </w:r>
      <w:r w:rsidR="00FC5196">
        <w:rPr>
          <w:rFonts w:ascii="Times New Roman" w:hAnsi="Times New Roman"/>
          <w:color w:val="000000" w:themeColor="text1"/>
          <w:sz w:val="24"/>
        </w:rPr>
        <w:t xml:space="preserve">Een voorwaarde daarvoor is uiteraard wel dat de betrokken ondernemingen </w:t>
      </w:r>
      <w:r w:rsidR="005A343A">
        <w:rPr>
          <w:rFonts w:ascii="Times New Roman" w:hAnsi="Times New Roman"/>
          <w:color w:val="000000" w:themeColor="text1"/>
          <w:sz w:val="24"/>
        </w:rPr>
        <w:t xml:space="preserve">een waarheidsgetrouw beeld geven over de voorgenomen concentratie. </w:t>
      </w:r>
      <w:r w:rsidR="00490E08">
        <w:rPr>
          <w:rFonts w:ascii="Times New Roman" w:hAnsi="Times New Roman"/>
          <w:color w:val="000000" w:themeColor="text1"/>
          <w:sz w:val="24"/>
        </w:rPr>
        <w:t xml:space="preserve">Mocht dat achteraf niet het geval blijken te zijn, </w:t>
      </w:r>
      <w:r w:rsidR="00F242E6">
        <w:rPr>
          <w:rFonts w:ascii="Times New Roman" w:hAnsi="Times New Roman"/>
          <w:color w:val="000000" w:themeColor="text1"/>
          <w:sz w:val="24"/>
        </w:rPr>
        <w:t xml:space="preserve">blijft de mogelijkheid </w:t>
      </w:r>
      <w:r w:rsidR="004D503D">
        <w:rPr>
          <w:rFonts w:ascii="Times New Roman" w:hAnsi="Times New Roman"/>
          <w:color w:val="000000" w:themeColor="text1"/>
          <w:sz w:val="24"/>
        </w:rPr>
        <w:t xml:space="preserve">bestaan </w:t>
      </w:r>
      <w:r w:rsidR="00F242E6">
        <w:rPr>
          <w:rFonts w:ascii="Times New Roman" w:hAnsi="Times New Roman"/>
          <w:color w:val="000000" w:themeColor="text1"/>
          <w:sz w:val="24"/>
        </w:rPr>
        <w:t>dat de concentrati</w:t>
      </w:r>
      <w:r w:rsidR="004D503D">
        <w:rPr>
          <w:rFonts w:ascii="Times New Roman" w:hAnsi="Times New Roman"/>
          <w:color w:val="000000" w:themeColor="text1"/>
          <w:sz w:val="24"/>
        </w:rPr>
        <w:t>e</w:t>
      </w:r>
      <w:r w:rsidR="00B54095">
        <w:rPr>
          <w:rFonts w:ascii="Times New Roman" w:hAnsi="Times New Roman"/>
          <w:color w:val="000000" w:themeColor="text1"/>
          <w:sz w:val="24"/>
        </w:rPr>
        <w:t xml:space="preserve"> </w:t>
      </w:r>
      <w:r w:rsidR="00F242E6">
        <w:rPr>
          <w:rFonts w:ascii="Times New Roman" w:hAnsi="Times New Roman"/>
          <w:color w:val="000000" w:themeColor="text1"/>
          <w:sz w:val="24"/>
        </w:rPr>
        <w:t xml:space="preserve">alsnog </w:t>
      </w:r>
      <w:r w:rsidR="00DD4310">
        <w:rPr>
          <w:rFonts w:ascii="Times New Roman" w:hAnsi="Times New Roman"/>
          <w:color w:val="000000" w:themeColor="text1"/>
          <w:sz w:val="24"/>
        </w:rPr>
        <w:t xml:space="preserve">binnen de wettelijke periode </w:t>
      </w:r>
      <w:r w:rsidR="00F242E6">
        <w:rPr>
          <w:rFonts w:ascii="Times New Roman" w:hAnsi="Times New Roman"/>
          <w:color w:val="000000" w:themeColor="text1"/>
          <w:sz w:val="24"/>
        </w:rPr>
        <w:t>ingeroepen gaat worden.</w:t>
      </w:r>
    </w:p>
    <w:p w:rsidRPr="004A7AD4" w:rsidR="00101D5B" w:rsidP="00A320C1" w:rsidRDefault="00101D5B" w14:paraId="3FED7C0E" w14:textId="77777777">
      <w:pPr>
        <w:spacing w:line="240" w:lineRule="auto"/>
        <w:jc w:val="both"/>
        <w:rPr>
          <w:rFonts w:ascii="Times New Roman" w:hAnsi="Times New Roman"/>
          <w:i/>
          <w:iCs/>
          <w:sz w:val="24"/>
        </w:rPr>
      </w:pPr>
    </w:p>
    <w:p w:rsidR="00852D58" w:rsidP="00A320C1" w:rsidRDefault="00074D01" w14:paraId="102575A3" w14:textId="2CF0D4A8">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lezen dat het voorliggende wetsvoorstel niets verandert aan de bestaande rolverdeling tussen de </w:t>
      </w:r>
      <w:r w:rsidRPr="004A7AD4" w:rsidR="006F6AA3">
        <w:rPr>
          <w:rFonts w:ascii="Times New Roman" w:hAnsi="Times New Roman"/>
          <w:i/>
          <w:iCs/>
          <w:sz w:val="24"/>
        </w:rPr>
        <w:t xml:space="preserve">Nederlandse Zorgautoriteit </w:t>
      </w:r>
      <w:r w:rsidRPr="004A7AD4" w:rsidR="00C13E67">
        <w:rPr>
          <w:rFonts w:ascii="Times New Roman" w:hAnsi="Times New Roman"/>
          <w:i/>
          <w:iCs/>
          <w:sz w:val="24"/>
        </w:rPr>
        <w:t>(</w:t>
      </w:r>
      <w:proofErr w:type="spellStart"/>
      <w:r w:rsidRPr="004A7AD4">
        <w:rPr>
          <w:rFonts w:ascii="Times New Roman" w:hAnsi="Times New Roman"/>
          <w:i/>
          <w:iCs/>
          <w:sz w:val="24"/>
        </w:rPr>
        <w:t>NZa</w:t>
      </w:r>
      <w:proofErr w:type="spellEnd"/>
      <w:r w:rsidRPr="004A7AD4" w:rsidR="00C13E67">
        <w:rPr>
          <w:rFonts w:ascii="Times New Roman" w:hAnsi="Times New Roman"/>
          <w:i/>
          <w:iCs/>
          <w:sz w:val="24"/>
        </w:rPr>
        <w:t>)</w:t>
      </w:r>
      <w:r w:rsidRPr="004A7AD4">
        <w:rPr>
          <w:rFonts w:ascii="Times New Roman" w:hAnsi="Times New Roman"/>
          <w:i/>
          <w:iCs/>
          <w:sz w:val="24"/>
        </w:rPr>
        <w:t xml:space="preserve"> en de ACM. Deze leden vragen de initiatiefnemer nader toe te lichten in hoeverre wordt voorkomen dat zorgaanbieders in de praktijk met dubbel toezicht of dubbele toetsing worden geconfronteerd. Hoe verhouden de sectorspecifieke concentratietoets van de </w:t>
      </w:r>
      <w:proofErr w:type="spellStart"/>
      <w:r w:rsidRPr="004A7AD4">
        <w:rPr>
          <w:rFonts w:ascii="Times New Roman" w:hAnsi="Times New Roman"/>
          <w:i/>
          <w:iCs/>
          <w:sz w:val="24"/>
        </w:rPr>
        <w:t>NZa</w:t>
      </w:r>
      <w:proofErr w:type="spellEnd"/>
      <w:r w:rsidRPr="004A7AD4">
        <w:rPr>
          <w:rFonts w:ascii="Times New Roman" w:hAnsi="Times New Roman"/>
          <w:i/>
          <w:iCs/>
          <w:sz w:val="24"/>
        </w:rPr>
        <w:t xml:space="preserve"> en de voorgestelde </w:t>
      </w:r>
      <w:r w:rsidRPr="004A7AD4">
        <w:rPr>
          <w:rFonts w:ascii="Times New Roman" w:hAnsi="Times New Roman"/>
          <w:i/>
          <w:iCs/>
          <w:sz w:val="24"/>
        </w:rPr>
        <w:lastRenderedPageBreak/>
        <w:t xml:space="preserve">inroepbevoegdheid van de ACM zich concreet tot elkaar? Bestaat het risico dat een concentratie eerst door de </w:t>
      </w:r>
      <w:proofErr w:type="spellStart"/>
      <w:r w:rsidRPr="004A7AD4">
        <w:rPr>
          <w:rFonts w:ascii="Times New Roman" w:hAnsi="Times New Roman"/>
          <w:i/>
          <w:iCs/>
          <w:sz w:val="24"/>
        </w:rPr>
        <w:t>NZa</w:t>
      </w:r>
      <w:proofErr w:type="spellEnd"/>
      <w:r w:rsidRPr="004A7AD4">
        <w:rPr>
          <w:rFonts w:ascii="Times New Roman" w:hAnsi="Times New Roman"/>
          <w:i/>
          <w:iCs/>
          <w:sz w:val="24"/>
        </w:rPr>
        <w:t xml:space="preserve"> wordt beoordeeld en vervolgens alsnog door de ACM wordt ingeroepen? Tevens vragen deze leden hoe wordt voorkomen dat dit leidt tot extra administratieve lasten, langere doorlooptijden en meer onzekerheid voor betrokken zorgaanbieders.</w:t>
      </w:r>
    </w:p>
    <w:p w:rsidR="00610162" w:rsidP="00A320C1" w:rsidRDefault="00610162" w14:paraId="01E284EA" w14:textId="77777777">
      <w:pPr>
        <w:spacing w:line="240" w:lineRule="auto"/>
        <w:jc w:val="both"/>
        <w:rPr>
          <w:rFonts w:ascii="Times New Roman" w:hAnsi="Times New Roman"/>
          <w:i/>
          <w:iCs/>
          <w:sz w:val="24"/>
        </w:rPr>
      </w:pPr>
    </w:p>
    <w:p w:rsidR="00E00C43" w:rsidP="00A320C1" w:rsidRDefault="00F4171B" w14:paraId="5CC74A84" w14:textId="13D2266C">
      <w:pPr>
        <w:spacing w:line="240" w:lineRule="auto"/>
        <w:jc w:val="both"/>
        <w:rPr>
          <w:rFonts w:ascii="Times New Roman" w:hAnsi="Times New Roman"/>
          <w:sz w:val="24"/>
        </w:rPr>
      </w:pPr>
      <w:r>
        <w:rPr>
          <w:rFonts w:ascii="Times New Roman" w:hAnsi="Times New Roman"/>
          <w:sz w:val="24"/>
        </w:rPr>
        <w:t>D</w:t>
      </w:r>
      <w:r w:rsidR="000E1EBB">
        <w:rPr>
          <w:rFonts w:ascii="Times New Roman" w:hAnsi="Times New Roman"/>
          <w:sz w:val="24"/>
        </w:rPr>
        <w:t xml:space="preserve">e </w:t>
      </w:r>
      <w:r w:rsidRPr="000E1EBB" w:rsidR="000E1EBB">
        <w:rPr>
          <w:rFonts w:ascii="Times New Roman" w:hAnsi="Times New Roman"/>
          <w:sz w:val="24"/>
        </w:rPr>
        <w:t xml:space="preserve">sectorspecifieke concentratietoets van de </w:t>
      </w:r>
      <w:proofErr w:type="spellStart"/>
      <w:r w:rsidRPr="000E1EBB" w:rsidR="000E1EBB">
        <w:rPr>
          <w:rFonts w:ascii="Times New Roman" w:hAnsi="Times New Roman"/>
          <w:sz w:val="24"/>
        </w:rPr>
        <w:t>NZa</w:t>
      </w:r>
      <w:proofErr w:type="spellEnd"/>
      <w:r w:rsidR="000E1EBB">
        <w:rPr>
          <w:rFonts w:ascii="Times New Roman" w:hAnsi="Times New Roman"/>
          <w:sz w:val="24"/>
        </w:rPr>
        <w:t xml:space="preserve"> </w:t>
      </w:r>
      <w:r w:rsidR="00A76345">
        <w:rPr>
          <w:rFonts w:ascii="Times New Roman" w:hAnsi="Times New Roman"/>
          <w:sz w:val="24"/>
        </w:rPr>
        <w:t xml:space="preserve">ziet </w:t>
      </w:r>
      <w:r w:rsidR="00156787">
        <w:rPr>
          <w:rFonts w:ascii="Times New Roman" w:hAnsi="Times New Roman"/>
          <w:sz w:val="24"/>
        </w:rPr>
        <w:t>met name</w:t>
      </w:r>
      <w:r w:rsidR="00A76345">
        <w:rPr>
          <w:rFonts w:ascii="Times New Roman" w:hAnsi="Times New Roman"/>
          <w:sz w:val="24"/>
        </w:rPr>
        <w:t xml:space="preserve"> </w:t>
      </w:r>
      <w:r w:rsidR="00412286">
        <w:rPr>
          <w:rFonts w:ascii="Times New Roman" w:hAnsi="Times New Roman"/>
          <w:sz w:val="24"/>
        </w:rPr>
        <w:t xml:space="preserve">op zorgvuldigheid </w:t>
      </w:r>
      <w:r w:rsidR="0047090A">
        <w:rPr>
          <w:rFonts w:ascii="Times New Roman" w:hAnsi="Times New Roman"/>
          <w:sz w:val="24"/>
        </w:rPr>
        <w:t xml:space="preserve">van het besluitvormingsproces om tot een concentratie te komen, onder andere door </w:t>
      </w:r>
      <w:r w:rsidR="008A317D">
        <w:rPr>
          <w:rFonts w:ascii="Times New Roman" w:hAnsi="Times New Roman"/>
          <w:sz w:val="24"/>
        </w:rPr>
        <w:t>de betrokken organisaties en stakeholders daarbij te betrekke</w:t>
      </w:r>
      <w:r w:rsidR="00156787">
        <w:rPr>
          <w:rFonts w:ascii="Times New Roman" w:hAnsi="Times New Roman"/>
          <w:sz w:val="24"/>
        </w:rPr>
        <w:t>n en</w:t>
      </w:r>
      <w:r w:rsidR="008A317D">
        <w:rPr>
          <w:rFonts w:ascii="Times New Roman" w:hAnsi="Times New Roman"/>
          <w:sz w:val="24"/>
        </w:rPr>
        <w:t xml:space="preserve"> op </w:t>
      </w:r>
      <w:r w:rsidR="00243B29">
        <w:rPr>
          <w:rFonts w:ascii="Times New Roman" w:hAnsi="Times New Roman"/>
          <w:sz w:val="24"/>
        </w:rPr>
        <w:t>de gevolgen voor de continuïteit van de zorg</w:t>
      </w:r>
      <w:r w:rsidR="00393447">
        <w:rPr>
          <w:rFonts w:ascii="Times New Roman" w:hAnsi="Times New Roman"/>
          <w:sz w:val="24"/>
        </w:rPr>
        <w:t xml:space="preserve">. Dat wil zeggen dat de </w:t>
      </w:r>
      <w:proofErr w:type="spellStart"/>
      <w:r w:rsidR="00393447">
        <w:rPr>
          <w:rFonts w:ascii="Times New Roman" w:hAnsi="Times New Roman"/>
          <w:sz w:val="24"/>
        </w:rPr>
        <w:t>NZa</w:t>
      </w:r>
      <w:proofErr w:type="spellEnd"/>
      <w:r w:rsidR="00393447">
        <w:rPr>
          <w:rFonts w:ascii="Times New Roman" w:hAnsi="Times New Roman"/>
          <w:sz w:val="24"/>
        </w:rPr>
        <w:t xml:space="preserve"> toestemming voor een concentratie kan weigeren in het geval </w:t>
      </w:r>
      <w:r w:rsidR="00B43DC2">
        <w:rPr>
          <w:rFonts w:ascii="Times New Roman" w:hAnsi="Times New Roman"/>
          <w:sz w:val="24"/>
        </w:rPr>
        <w:t>er onzorgvuldig is omgegaan met de belangen van het personeel of patiënten</w:t>
      </w:r>
      <w:r w:rsidR="00C52515">
        <w:rPr>
          <w:rFonts w:ascii="Times New Roman" w:hAnsi="Times New Roman"/>
          <w:sz w:val="24"/>
        </w:rPr>
        <w:t xml:space="preserve"> of </w:t>
      </w:r>
      <w:r w:rsidR="00156787">
        <w:rPr>
          <w:rFonts w:ascii="Times New Roman" w:hAnsi="Times New Roman"/>
          <w:sz w:val="24"/>
        </w:rPr>
        <w:t xml:space="preserve">als </w:t>
      </w:r>
      <w:r w:rsidR="00C52515">
        <w:rPr>
          <w:rFonts w:ascii="Times New Roman" w:hAnsi="Times New Roman"/>
          <w:sz w:val="24"/>
        </w:rPr>
        <w:t>de beschikbaarheid van bepaalde vormen van cruciale zorg in het geding is.</w:t>
      </w:r>
      <w:r w:rsidR="00E6715E">
        <w:rPr>
          <w:rFonts w:ascii="Times New Roman" w:hAnsi="Times New Roman"/>
          <w:sz w:val="24"/>
        </w:rPr>
        <w:t xml:space="preserve"> Het toetsingskader van de ACM is een andere namelijk het toetsen of een concentratie </w:t>
      </w:r>
      <w:r w:rsidR="00244508">
        <w:rPr>
          <w:rFonts w:ascii="Times New Roman" w:hAnsi="Times New Roman"/>
          <w:sz w:val="24"/>
        </w:rPr>
        <w:t xml:space="preserve">leidt tot </w:t>
      </w:r>
      <w:r w:rsidR="00BA74BC">
        <w:rPr>
          <w:rFonts w:ascii="Times New Roman" w:hAnsi="Times New Roman"/>
          <w:sz w:val="24"/>
        </w:rPr>
        <w:t xml:space="preserve">ongewenste </w:t>
      </w:r>
      <w:r w:rsidR="00244508">
        <w:rPr>
          <w:rFonts w:ascii="Times New Roman" w:hAnsi="Times New Roman"/>
          <w:sz w:val="24"/>
        </w:rPr>
        <w:t xml:space="preserve">beperking van de mededinging. Hoewel formeel beide toetsen los van elkaar staan, is enige overlap niet te vermijden. </w:t>
      </w:r>
      <w:r w:rsidR="00C01D29">
        <w:rPr>
          <w:rFonts w:ascii="Times New Roman" w:hAnsi="Times New Roman"/>
          <w:sz w:val="24"/>
        </w:rPr>
        <w:t xml:space="preserve">Het voorliggend wetsvoorstel verandert daar </w:t>
      </w:r>
      <w:r w:rsidR="00E00C43">
        <w:rPr>
          <w:rFonts w:ascii="Times New Roman" w:hAnsi="Times New Roman"/>
          <w:sz w:val="24"/>
        </w:rPr>
        <w:t xml:space="preserve">echter </w:t>
      </w:r>
      <w:r w:rsidR="00C01D29">
        <w:rPr>
          <w:rFonts w:ascii="Times New Roman" w:hAnsi="Times New Roman"/>
          <w:sz w:val="24"/>
        </w:rPr>
        <w:t xml:space="preserve">niets aan. </w:t>
      </w:r>
      <w:r w:rsidR="0067000E">
        <w:rPr>
          <w:rFonts w:ascii="Times New Roman" w:hAnsi="Times New Roman"/>
          <w:sz w:val="24"/>
        </w:rPr>
        <w:t xml:space="preserve">Naar de initiatiefnemer heeft begrepen </w:t>
      </w:r>
      <w:r w:rsidR="00DA3919">
        <w:rPr>
          <w:rFonts w:ascii="Times New Roman" w:hAnsi="Times New Roman"/>
          <w:sz w:val="24"/>
        </w:rPr>
        <w:t xml:space="preserve">is er een wetsvoorstel in consultatie gebracht op grond waarvan de </w:t>
      </w:r>
      <w:proofErr w:type="spellStart"/>
      <w:r w:rsidR="00E817A4">
        <w:rPr>
          <w:rFonts w:ascii="Times New Roman" w:hAnsi="Times New Roman"/>
          <w:sz w:val="24"/>
        </w:rPr>
        <w:t>NZa</w:t>
      </w:r>
      <w:proofErr w:type="spellEnd"/>
      <w:r w:rsidR="00E817A4">
        <w:rPr>
          <w:rFonts w:ascii="Times New Roman" w:hAnsi="Times New Roman"/>
          <w:sz w:val="24"/>
        </w:rPr>
        <w:t xml:space="preserve"> meer</w:t>
      </w:r>
      <w:r w:rsidR="00BA74BC">
        <w:rPr>
          <w:rFonts w:ascii="Times New Roman" w:hAnsi="Times New Roman"/>
          <w:sz w:val="24"/>
        </w:rPr>
        <w:t xml:space="preserve"> </w:t>
      </w:r>
      <w:r w:rsidR="00E817A4">
        <w:rPr>
          <w:rFonts w:ascii="Times New Roman" w:hAnsi="Times New Roman"/>
          <w:sz w:val="24"/>
        </w:rPr>
        <w:t>ruimte krijgt om een concentratie op zorginhoudelijke gronden te toetsen.</w:t>
      </w:r>
      <w:r w:rsidR="00AE13FF">
        <w:rPr>
          <w:rFonts w:ascii="Times New Roman" w:hAnsi="Times New Roman"/>
          <w:sz w:val="24"/>
        </w:rPr>
        <w:t xml:space="preserve"> Mogelijk kan bij die gelegenheid </w:t>
      </w:r>
      <w:r w:rsidR="00E00C43">
        <w:rPr>
          <w:rFonts w:ascii="Times New Roman" w:hAnsi="Times New Roman"/>
          <w:sz w:val="24"/>
        </w:rPr>
        <w:t xml:space="preserve">ingegaan worden op de genoemde overlap. </w:t>
      </w:r>
    </w:p>
    <w:p w:rsidR="00610162" w:rsidP="00A320C1" w:rsidRDefault="00D34E09" w14:paraId="45D67399" w14:textId="157FA41B">
      <w:pPr>
        <w:spacing w:line="240" w:lineRule="auto"/>
        <w:jc w:val="both"/>
        <w:rPr>
          <w:rFonts w:ascii="Times New Roman" w:hAnsi="Times New Roman"/>
          <w:sz w:val="24"/>
        </w:rPr>
      </w:pPr>
      <w:r>
        <w:rPr>
          <w:rFonts w:ascii="Times New Roman" w:hAnsi="Times New Roman"/>
          <w:sz w:val="24"/>
        </w:rPr>
        <w:t xml:space="preserve">Wellicht ten overvloede zou de initiatiefnemer er voorts op willen wijzen dat de </w:t>
      </w:r>
      <w:r w:rsidR="00FF7D79">
        <w:rPr>
          <w:rFonts w:ascii="Times New Roman" w:hAnsi="Times New Roman"/>
          <w:sz w:val="24"/>
        </w:rPr>
        <w:t xml:space="preserve">specifiek voor de zorgsector </w:t>
      </w:r>
      <w:r w:rsidR="00807570">
        <w:rPr>
          <w:rFonts w:ascii="Times New Roman" w:hAnsi="Times New Roman"/>
          <w:sz w:val="24"/>
        </w:rPr>
        <w:t xml:space="preserve">geldende </w:t>
      </w:r>
      <w:r w:rsidR="00FF7D79">
        <w:rPr>
          <w:rFonts w:ascii="Times New Roman" w:hAnsi="Times New Roman"/>
          <w:sz w:val="24"/>
        </w:rPr>
        <w:t xml:space="preserve">verlaagde omzetdrempels met betrekking tot het concentratietoezicht </w:t>
      </w:r>
      <w:r w:rsidR="0067000E">
        <w:rPr>
          <w:rFonts w:ascii="Times New Roman" w:hAnsi="Times New Roman"/>
          <w:sz w:val="24"/>
        </w:rPr>
        <w:t xml:space="preserve">door </w:t>
      </w:r>
      <w:r w:rsidR="00C41F1B">
        <w:rPr>
          <w:rFonts w:ascii="Times New Roman" w:hAnsi="Times New Roman"/>
          <w:sz w:val="24"/>
        </w:rPr>
        <w:t xml:space="preserve">de ACM drie jaar geleden zijn losgelaten. Sinds die tijd gelden ook voor de zorgsector de algemeen geldende omzetdrempels uit de Mededingingswet. Daardoor </w:t>
      </w:r>
      <w:r w:rsidR="00633FCE">
        <w:rPr>
          <w:rFonts w:ascii="Times New Roman" w:hAnsi="Times New Roman"/>
          <w:sz w:val="24"/>
        </w:rPr>
        <w:t xml:space="preserve">vallen aanzienlijk minder concentraties binnen de zorgsector onder het toezicht van de ACM en zijn de administratieve lasten </w:t>
      </w:r>
      <w:r w:rsidR="00807570">
        <w:rPr>
          <w:rFonts w:ascii="Times New Roman" w:hAnsi="Times New Roman"/>
          <w:sz w:val="24"/>
        </w:rPr>
        <w:t xml:space="preserve">voor die ondernemingen verminderd. </w:t>
      </w:r>
    </w:p>
    <w:p w:rsidRPr="001C0202" w:rsidR="00F4171B" w:rsidP="00A320C1" w:rsidRDefault="00F4171B" w14:paraId="3D3BAA31" w14:textId="2B6DB26D">
      <w:pPr>
        <w:spacing w:line="240" w:lineRule="auto"/>
        <w:jc w:val="both"/>
        <w:rPr>
          <w:rFonts w:ascii="Times New Roman" w:hAnsi="Times New Roman"/>
          <w:sz w:val="24"/>
        </w:rPr>
      </w:pPr>
    </w:p>
    <w:p w:rsidRPr="004A7AD4" w:rsidR="00697514" w:rsidP="00A320C1" w:rsidRDefault="00697514" w14:paraId="2C4957D7" w14:textId="77777777">
      <w:pPr>
        <w:spacing w:line="240" w:lineRule="auto"/>
        <w:jc w:val="both"/>
        <w:rPr>
          <w:rFonts w:ascii="Times New Roman" w:hAnsi="Times New Roman"/>
          <w:i/>
          <w:iCs/>
          <w:sz w:val="24"/>
        </w:rPr>
      </w:pPr>
    </w:p>
    <w:p w:rsidRPr="004A7AD4" w:rsidR="00697514" w:rsidP="00B05F74" w:rsidRDefault="00697514" w14:paraId="14BB9904" w14:textId="32C2A209">
      <w:pPr>
        <w:pStyle w:val="Lijstalinea"/>
        <w:numPr>
          <w:ilvl w:val="0"/>
          <w:numId w:val="11"/>
        </w:numPr>
        <w:spacing w:line="240" w:lineRule="auto"/>
        <w:jc w:val="both"/>
        <w:rPr>
          <w:rFonts w:ascii="Times New Roman" w:hAnsi="Times New Roman"/>
          <w:b/>
          <w:bCs/>
          <w:i/>
          <w:iCs/>
          <w:sz w:val="24"/>
        </w:rPr>
      </w:pPr>
      <w:r w:rsidRPr="004A7AD4">
        <w:rPr>
          <w:rFonts w:ascii="Times New Roman" w:hAnsi="Times New Roman"/>
          <w:b/>
          <w:bCs/>
          <w:i/>
          <w:iCs/>
          <w:sz w:val="24"/>
        </w:rPr>
        <w:t>Financiële paragraaf</w:t>
      </w:r>
    </w:p>
    <w:p w:rsidRPr="004A7AD4" w:rsidR="00337FC7" w:rsidP="00A320C1" w:rsidRDefault="00337FC7" w14:paraId="0560849F" w14:textId="77777777">
      <w:pPr>
        <w:spacing w:line="240" w:lineRule="auto"/>
        <w:jc w:val="both"/>
        <w:rPr>
          <w:rFonts w:ascii="Times New Roman" w:hAnsi="Times New Roman"/>
          <w:b/>
          <w:bCs/>
          <w:i/>
          <w:iCs/>
          <w:sz w:val="24"/>
        </w:rPr>
      </w:pPr>
    </w:p>
    <w:p w:rsidR="00293746" w:rsidP="00A320C1" w:rsidRDefault="00293746" w14:paraId="13E7F147" w14:textId="0675BCCE">
      <w:pPr>
        <w:spacing w:line="240" w:lineRule="auto"/>
        <w:jc w:val="both"/>
        <w:rPr>
          <w:rFonts w:ascii="Times New Roman" w:hAnsi="Times New Roman"/>
          <w:i/>
          <w:iCs/>
          <w:sz w:val="24"/>
        </w:rPr>
      </w:pPr>
      <w:r w:rsidRPr="004A7AD4">
        <w:rPr>
          <w:rFonts w:ascii="Times New Roman" w:hAnsi="Times New Roman"/>
          <w:i/>
          <w:iCs/>
          <w:sz w:val="24"/>
        </w:rPr>
        <w:t xml:space="preserve">De leden van de </w:t>
      </w:r>
      <w:r w:rsidRPr="004A7AD4" w:rsidR="008F15F4">
        <w:rPr>
          <w:rFonts w:ascii="Times New Roman" w:hAnsi="Times New Roman"/>
          <w:i/>
          <w:iCs/>
          <w:sz w:val="24"/>
        </w:rPr>
        <w:t>VVD-</w:t>
      </w:r>
      <w:r w:rsidRPr="004A7AD4" w:rsidR="00461F39">
        <w:rPr>
          <w:rFonts w:ascii="Times New Roman" w:hAnsi="Times New Roman"/>
          <w:i/>
          <w:iCs/>
          <w:sz w:val="24"/>
        </w:rPr>
        <w:t>f</w:t>
      </w:r>
      <w:r w:rsidRPr="004A7AD4">
        <w:rPr>
          <w:rFonts w:ascii="Times New Roman" w:hAnsi="Times New Roman"/>
          <w:i/>
          <w:iCs/>
          <w:sz w:val="24"/>
        </w:rPr>
        <w:t xml:space="preserve">ractie lezen dat </w:t>
      </w:r>
      <w:r w:rsidRPr="004A7AD4" w:rsidR="008F15F4">
        <w:rPr>
          <w:rFonts w:ascii="Times New Roman" w:hAnsi="Times New Roman"/>
          <w:i/>
          <w:iCs/>
          <w:sz w:val="24"/>
        </w:rPr>
        <w:t xml:space="preserve">volgens de </w:t>
      </w:r>
      <w:r w:rsidRPr="004A7AD4">
        <w:rPr>
          <w:rFonts w:ascii="Times New Roman" w:hAnsi="Times New Roman"/>
          <w:i/>
          <w:iCs/>
          <w:sz w:val="24"/>
        </w:rPr>
        <w:t xml:space="preserve">indiener de ACM verwacht dat </w:t>
      </w:r>
      <w:r w:rsidRPr="004A7AD4" w:rsidR="00993570">
        <w:rPr>
          <w:rFonts w:ascii="Times New Roman" w:hAnsi="Times New Roman"/>
          <w:i/>
          <w:iCs/>
          <w:sz w:val="24"/>
        </w:rPr>
        <w:t xml:space="preserve">het wetsvoorstel </w:t>
      </w:r>
      <w:r w:rsidRPr="004A7AD4">
        <w:rPr>
          <w:rFonts w:ascii="Times New Roman" w:hAnsi="Times New Roman"/>
          <w:i/>
          <w:iCs/>
          <w:sz w:val="24"/>
        </w:rPr>
        <w:t xml:space="preserve">niet zal leiden tot extra benodigde middelen bij de toezichthouder. In de </w:t>
      </w:r>
      <w:r w:rsidRPr="004A7AD4" w:rsidR="00993570">
        <w:rPr>
          <w:rFonts w:ascii="Times New Roman" w:hAnsi="Times New Roman"/>
          <w:i/>
          <w:iCs/>
          <w:sz w:val="24"/>
        </w:rPr>
        <w:t xml:space="preserve">toelichting </w:t>
      </w:r>
      <w:r w:rsidRPr="004A7AD4">
        <w:rPr>
          <w:rFonts w:ascii="Times New Roman" w:hAnsi="Times New Roman"/>
          <w:i/>
          <w:iCs/>
          <w:sz w:val="24"/>
        </w:rPr>
        <w:t>wordt daarbij verwezen naar de verwachting dat het aantal overnames, fusies of joint ventures d</w:t>
      </w:r>
      <w:r w:rsidRPr="004A7AD4" w:rsidR="000F54DA">
        <w:rPr>
          <w:rFonts w:ascii="Times New Roman" w:hAnsi="Times New Roman"/>
          <w:i/>
          <w:iCs/>
          <w:sz w:val="24"/>
        </w:rPr>
        <w:t xml:space="preserve">at </w:t>
      </w:r>
      <w:r w:rsidRPr="004A7AD4">
        <w:rPr>
          <w:rFonts w:ascii="Times New Roman" w:hAnsi="Times New Roman"/>
          <w:i/>
          <w:iCs/>
          <w:sz w:val="24"/>
        </w:rPr>
        <w:t>daadwerkelijk ‘ingeroepen’ z</w:t>
      </w:r>
      <w:r w:rsidRPr="004A7AD4" w:rsidR="000F54DA">
        <w:rPr>
          <w:rFonts w:ascii="Times New Roman" w:hAnsi="Times New Roman"/>
          <w:i/>
          <w:iCs/>
          <w:sz w:val="24"/>
        </w:rPr>
        <w:t xml:space="preserve">al </w:t>
      </w:r>
      <w:r w:rsidRPr="004A7AD4">
        <w:rPr>
          <w:rFonts w:ascii="Times New Roman" w:hAnsi="Times New Roman"/>
          <w:i/>
          <w:iCs/>
          <w:sz w:val="24"/>
        </w:rPr>
        <w:t>worden</w:t>
      </w:r>
      <w:r w:rsidRPr="004A7AD4" w:rsidR="000F54DA">
        <w:rPr>
          <w:rFonts w:ascii="Times New Roman" w:hAnsi="Times New Roman"/>
          <w:i/>
          <w:iCs/>
          <w:sz w:val="24"/>
        </w:rPr>
        <w:t>,</w:t>
      </w:r>
      <w:r w:rsidRPr="004A7AD4">
        <w:rPr>
          <w:rFonts w:ascii="Times New Roman" w:hAnsi="Times New Roman"/>
          <w:i/>
          <w:iCs/>
          <w:sz w:val="24"/>
        </w:rPr>
        <w:t xml:space="preserve"> zeer beperkt zijn. D</w:t>
      </w:r>
      <w:r w:rsidRPr="004A7AD4" w:rsidR="000F54DA">
        <w:rPr>
          <w:rFonts w:ascii="Times New Roman" w:hAnsi="Times New Roman"/>
          <w:i/>
          <w:iCs/>
          <w:sz w:val="24"/>
        </w:rPr>
        <w:t>at</w:t>
      </w:r>
      <w:r w:rsidRPr="004A7AD4">
        <w:rPr>
          <w:rFonts w:ascii="Times New Roman" w:hAnsi="Times New Roman"/>
          <w:i/>
          <w:iCs/>
          <w:sz w:val="24"/>
        </w:rPr>
        <w:t xml:space="preserve"> laat onverlet dat de ACM veel meer zaken moet behandelen om te kijken of er mogelijk sprake is van een overname, fusie of joint venture waarbij het de inroepbevoegdheid zou willen toepassen. De leden van de </w:t>
      </w:r>
      <w:r w:rsidRPr="004A7AD4" w:rsidR="00276FC9">
        <w:rPr>
          <w:rFonts w:ascii="Times New Roman" w:hAnsi="Times New Roman"/>
          <w:i/>
          <w:iCs/>
          <w:sz w:val="24"/>
        </w:rPr>
        <w:t>VVD-</w:t>
      </w:r>
      <w:r w:rsidRPr="004A7AD4">
        <w:rPr>
          <w:rFonts w:ascii="Times New Roman" w:hAnsi="Times New Roman"/>
          <w:i/>
          <w:iCs/>
          <w:sz w:val="24"/>
        </w:rPr>
        <w:t xml:space="preserve">fractie vragen in dit licht </w:t>
      </w:r>
      <w:r w:rsidRPr="004A7AD4" w:rsidR="00276FC9">
        <w:rPr>
          <w:rFonts w:ascii="Times New Roman" w:hAnsi="Times New Roman"/>
          <w:i/>
          <w:iCs/>
          <w:sz w:val="24"/>
        </w:rPr>
        <w:t xml:space="preserve">om een toelichting op </w:t>
      </w:r>
      <w:r w:rsidRPr="004A7AD4">
        <w:rPr>
          <w:rFonts w:ascii="Times New Roman" w:hAnsi="Times New Roman"/>
          <w:i/>
          <w:iCs/>
          <w:sz w:val="24"/>
        </w:rPr>
        <w:t xml:space="preserve">de stelling dat </w:t>
      </w:r>
      <w:r w:rsidRPr="004A7AD4" w:rsidR="00276FC9">
        <w:rPr>
          <w:rFonts w:ascii="Times New Roman" w:hAnsi="Times New Roman"/>
          <w:i/>
          <w:iCs/>
          <w:sz w:val="24"/>
        </w:rPr>
        <w:t xml:space="preserve">het wetsvoorstel </w:t>
      </w:r>
      <w:r w:rsidRPr="004A7AD4">
        <w:rPr>
          <w:rFonts w:ascii="Times New Roman" w:hAnsi="Times New Roman"/>
          <w:i/>
          <w:iCs/>
          <w:sz w:val="24"/>
        </w:rPr>
        <w:t>niet tot extra benodigde middelen bij de ACM zal leiden</w:t>
      </w:r>
      <w:r w:rsidRPr="004A7AD4" w:rsidR="00276FC9">
        <w:rPr>
          <w:rFonts w:ascii="Times New Roman" w:hAnsi="Times New Roman"/>
          <w:i/>
          <w:iCs/>
          <w:sz w:val="24"/>
        </w:rPr>
        <w:t xml:space="preserve">. </w:t>
      </w:r>
      <w:r w:rsidRPr="004A7AD4">
        <w:rPr>
          <w:rFonts w:ascii="Times New Roman" w:hAnsi="Times New Roman"/>
          <w:i/>
          <w:iCs/>
          <w:sz w:val="24"/>
        </w:rPr>
        <w:t xml:space="preserve"> </w:t>
      </w:r>
    </w:p>
    <w:p w:rsidR="003B4172" w:rsidP="00A320C1" w:rsidRDefault="003B4172" w14:paraId="41036695" w14:textId="77777777">
      <w:pPr>
        <w:spacing w:line="240" w:lineRule="auto"/>
        <w:jc w:val="both"/>
        <w:rPr>
          <w:rFonts w:ascii="Times New Roman" w:hAnsi="Times New Roman"/>
          <w:i/>
          <w:iCs/>
          <w:sz w:val="24"/>
        </w:rPr>
      </w:pPr>
    </w:p>
    <w:p w:rsidRPr="00781217" w:rsidR="00311E99" w:rsidP="00A320C1" w:rsidRDefault="00781217" w14:paraId="7FC065BD" w14:textId="0DBDC1D6">
      <w:pPr>
        <w:spacing w:line="240" w:lineRule="auto"/>
        <w:jc w:val="both"/>
        <w:rPr>
          <w:rFonts w:ascii="Times New Roman" w:hAnsi="Times New Roman"/>
          <w:sz w:val="24"/>
        </w:rPr>
      </w:pPr>
      <w:r>
        <w:rPr>
          <w:rFonts w:ascii="Times New Roman" w:hAnsi="Times New Roman"/>
          <w:sz w:val="24"/>
        </w:rPr>
        <w:t xml:space="preserve">Zoals hierboven reeds in </w:t>
      </w:r>
      <w:r w:rsidR="00E82777">
        <w:rPr>
          <w:rFonts w:ascii="Times New Roman" w:hAnsi="Times New Roman"/>
          <w:sz w:val="24"/>
        </w:rPr>
        <w:t xml:space="preserve">betoogd is het niet de verwachting dat er heel veel zaken ingeroepen zullen moeten worden. Aangezien het toetsingscriterium om te beoordelen voor de inroepbevoegdheid gelijk is aan </w:t>
      </w:r>
      <w:r w:rsidR="00CD25E3">
        <w:rPr>
          <w:rFonts w:ascii="Times New Roman" w:hAnsi="Times New Roman"/>
          <w:sz w:val="24"/>
        </w:rPr>
        <w:t>die voor het bestaande concentratietoezicht zullen ondernemingen die een concentratie willen aangaan</w:t>
      </w:r>
      <w:r w:rsidR="00E46B21">
        <w:rPr>
          <w:rFonts w:ascii="Times New Roman" w:hAnsi="Times New Roman"/>
          <w:sz w:val="24"/>
        </w:rPr>
        <w:t xml:space="preserve"> </w:t>
      </w:r>
      <w:r w:rsidR="00E46B21">
        <w:rPr>
          <w:rFonts w:ascii="Times New Roman" w:hAnsi="Times New Roman"/>
          <w:sz w:val="24"/>
        </w:rPr>
        <w:lastRenderedPageBreak/>
        <w:t xml:space="preserve">aan de hand van een </w:t>
      </w:r>
      <w:proofErr w:type="spellStart"/>
      <w:r w:rsidR="00E46B21">
        <w:rPr>
          <w:rFonts w:ascii="Times New Roman" w:hAnsi="Times New Roman"/>
          <w:sz w:val="24"/>
        </w:rPr>
        <w:t>self</w:t>
      </w:r>
      <w:proofErr w:type="spellEnd"/>
      <w:r w:rsidR="00E46B21">
        <w:rPr>
          <w:rFonts w:ascii="Times New Roman" w:hAnsi="Times New Roman"/>
          <w:sz w:val="24"/>
        </w:rPr>
        <w:t>-assessment of eventueel het vragen om een informele zienswijze</w:t>
      </w:r>
      <w:r w:rsidR="00EE5CFE">
        <w:rPr>
          <w:rFonts w:ascii="Times New Roman" w:hAnsi="Times New Roman"/>
          <w:sz w:val="24"/>
        </w:rPr>
        <w:t xml:space="preserve"> kunnen inschatten of een concentratie toegestaan is. </w:t>
      </w:r>
      <w:r w:rsidR="00FD26D0">
        <w:rPr>
          <w:rFonts w:ascii="Times New Roman" w:hAnsi="Times New Roman"/>
          <w:sz w:val="24"/>
        </w:rPr>
        <w:t xml:space="preserve">De </w:t>
      </w:r>
      <w:proofErr w:type="spellStart"/>
      <w:r w:rsidR="00FD26D0">
        <w:rPr>
          <w:rFonts w:ascii="Times New Roman" w:hAnsi="Times New Roman"/>
          <w:sz w:val="24"/>
        </w:rPr>
        <w:t>guidance</w:t>
      </w:r>
      <w:proofErr w:type="spellEnd"/>
      <w:r w:rsidR="00FD26D0">
        <w:rPr>
          <w:rFonts w:ascii="Times New Roman" w:hAnsi="Times New Roman"/>
          <w:sz w:val="24"/>
        </w:rPr>
        <w:t xml:space="preserve"> die de ACM daarbij gaat maken zal hen daarbij behulpzaam zijn.</w:t>
      </w:r>
      <w:r w:rsidR="002F029C">
        <w:rPr>
          <w:rFonts w:ascii="Times New Roman" w:hAnsi="Times New Roman"/>
          <w:sz w:val="24"/>
        </w:rPr>
        <w:t xml:space="preserve"> Derhalve verwacht de initiatiefnemer dat de extra benodigde middelen voor de ACM ook beperkt kunnen blijven. </w:t>
      </w:r>
    </w:p>
    <w:p w:rsidR="00CE2BE2" w:rsidP="00A320C1" w:rsidRDefault="00CE2BE2" w14:paraId="2880033B" w14:textId="77777777">
      <w:pPr>
        <w:spacing w:line="240" w:lineRule="auto"/>
        <w:jc w:val="both"/>
        <w:rPr>
          <w:rFonts w:ascii="Times New Roman" w:hAnsi="Times New Roman"/>
          <w:i/>
          <w:iCs/>
          <w:sz w:val="24"/>
        </w:rPr>
      </w:pPr>
    </w:p>
    <w:p w:rsidR="00293746" w:rsidP="00A320C1" w:rsidRDefault="00293746" w14:paraId="441FE7A4" w14:textId="7BC49EEF">
      <w:pPr>
        <w:spacing w:line="240" w:lineRule="auto"/>
        <w:jc w:val="both"/>
        <w:rPr>
          <w:rFonts w:ascii="Times New Roman" w:hAnsi="Times New Roman"/>
          <w:i/>
          <w:iCs/>
          <w:sz w:val="24"/>
        </w:rPr>
      </w:pPr>
      <w:r w:rsidRPr="004A7AD4">
        <w:rPr>
          <w:rFonts w:ascii="Times New Roman" w:hAnsi="Times New Roman"/>
          <w:i/>
          <w:iCs/>
          <w:sz w:val="24"/>
        </w:rPr>
        <w:t xml:space="preserve">De leden van de </w:t>
      </w:r>
      <w:r w:rsidRPr="004A7AD4" w:rsidR="00276FC9">
        <w:rPr>
          <w:rFonts w:ascii="Times New Roman" w:hAnsi="Times New Roman"/>
          <w:i/>
          <w:iCs/>
          <w:sz w:val="24"/>
        </w:rPr>
        <w:t>VVD-</w:t>
      </w:r>
      <w:r w:rsidRPr="004A7AD4">
        <w:rPr>
          <w:rFonts w:ascii="Times New Roman" w:hAnsi="Times New Roman"/>
          <w:i/>
          <w:iCs/>
          <w:sz w:val="24"/>
        </w:rPr>
        <w:t>fractie le</w:t>
      </w:r>
      <w:r w:rsidRPr="004A7AD4" w:rsidR="00276FC9">
        <w:rPr>
          <w:rFonts w:ascii="Times New Roman" w:hAnsi="Times New Roman"/>
          <w:i/>
          <w:iCs/>
          <w:sz w:val="24"/>
        </w:rPr>
        <w:t xml:space="preserve">zen </w:t>
      </w:r>
      <w:r w:rsidRPr="004A7AD4">
        <w:rPr>
          <w:rFonts w:ascii="Times New Roman" w:hAnsi="Times New Roman"/>
          <w:i/>
          <w:iCs/>
          <w:sz w:val="24"/>
        </w:rPr>
        <w:t xml:space="preserve">daarnaast dat de initiatiefnemer stelt dat er ‘slechts geringe administratieve lasten’ te verwachten zijn als </w:t>
      </w:r>
      <w:r w:rsidRPr="004A7AD4" w:rsidR="00DD5F7A">
        <w:rPr>
          <w:rFonts w:ascii="Times New Roman" w:hAnsi="Times New Roman"/>
          <w:i/>
          <w:iCs/>
          <w:sz w:val="24"/>
        </w:rPr>
        <w:t xml:space="preserve">dit wetsvoorstel </w:t>
      </w:r>
      <w:r w:rsidRPr="004A7AD4">
        <w:rPr>
          <w:rFonts w:ascii="Times New Roman" w:hAnsi="Times New Roman"/>
          <w:i/>
          <w:iCs/>
          <w:sz w:val="24"/>
        </w:rPr>
        <w:t xml:space="preserve">wordt aangenomen. Deze leden vragen de indiener of hij bereid is het wetsvoorstel voor te leggen aan het Adviescollege Toetsing Regeldruk </w:t>
      </w:r>
      <w:r w:rsidRPr="004A7AD4" w:rsidR="00736EFD">
        <w:rPr>
          <w:rFonts w:ascii="Times New Roman" w:hAnsi="Times New Roman"/>
          <w:i/>
          <w:iCs/>
          <w:sz w:val="24"/>
        </w:rPr>
        <w:t xml:space="preserve">(ATR) </w:t>
      </w:r>
      <w:r w:rsidRPr="004A7AD4">
        <w:rPr>
          <w:rFonts w:ascii="Times New Roman" w:hAnsi="Times New Roman"/>
          <w:i/>
          <w:iCs/>
          <w:sz w:val="24"/>
        </w:rPr>
        <w:t xml:space="preserve">en zo niet, waarom niet. </w:t>
      </w:r>
    </w:p>
    <w:p w:rsidR="003B4172" w:rsidP="00A320C1" w:rsidRDefault="003B4172" w14:paraId="6E351592" w14:textId="77777777">
      <w:pPr>
        <w:spacing w:line="240" w:lineRule="auto"/>
        <w:jc w:val="both"/>
        <w:rPr>
          <w:rFonts w:ascii="Times New Roman" w:hAnsi="Times New Roman"/>
          <w:i/>
          <w:iCs/>
          <w:sz w:val="24"/>
        </w:rPr>
      </w:pPr>
    </w:p>
    <w:p w:rsidRPr="00AC36DC" w:rsidR="002120A1" w:rsidP="002120A1" w:rsidRDefault="004568F5" w14:paraId="78891A79" w14:textId="21E65CD4">
      <w:pPr>
        <w:spacing w:line="240" w:lineRule="auto"/>
        <w:jc w:val="both"/>
        <w:rPr>
          <w:rFonts w:ascii="Times New Roman" w:hAnsi="Times New Roman"/>
          <w:sz w:val="24"/>
        </w:rPr>
      </w:pPr>
      <w:r w:rsidRPr="00AC36DC">
        <w:rPr>
          <w:rFonts w:ascii="Times New Roman" w:hAnsi="Times New Roman"/>
          <w:sz w:val="24"/>
        </w:rPr>
        <w:t xml:space="preserve">Onder verwijzing naar het </w:t>
      </w:r>
      <w:r w:rsidRPr="00AC36DC" w:rsidR="00536530">
        <w:rPr>
          <w:rFonts w:ascii="Times New Roman" w:hAnsi="Times New Roman"/>
          <w:sz w:val="24"/>
        </w:rPr>
        <w:t>bovenstaande antwoord op vragen van de VVD-fractie</w:t>
      </w:r>
      <w:r w:rsidRPr="00AC36DC">
        <w:rPr>
          <w:rFonts w:ascii="Times New Roman" w:hAnsi="Times New Roman"/>
          <w:sz w:val="24"/>
        </w:rPr>
        <w:t xml:space="preserve"> verwacht de initiatiefnemer geen </w:t>
      </w:r>
      <w:r w:rsidRPr="00AC36DC" w:rsidR="00AC36DC">
        <w:rPr>
          <w:rFonts w:ascii="Times New Roman" w:hAnsi="Times New Roman"/>
          <w:sz w:val="24"/>
        </w:rPr>
        <w:t>grote toename van de administratieve lasten. Gevoegd bij het feit dat een jaar na inwerkingtreding van de wet een invoeringstoets is voorzien, meent de in</w:t>
      </w:r>
      <w:r w:rsidR="00AC36DC">
        <w:rPr>
          <w:rFonts w:ascii="Times New Roman" w:hAnsi="Times New Roman"/>
          <w:sz w:val="24"/>
        </w:rPr>
        <w:t>i</w:t>
      </w:r>
      <w:r w:rsidRPr="00AC36DC" w:rsidR="00AC36DC">
        <w:rPr>
          <w:rFonts w:ascii="Times New Roman" w:hAnsi="Times New Roman"/>
          <w:sz w:val="24"/>
        </w:rPr>
        <w:t>tiatiefnemer dat het niet nodig is om het wetsvoorstel voor te leggen aan het Adviescollege Toetsing Regeldruk.</w:t>
      </w:r>
    </w:p>
    <w:p w:rsidR="002120A1" w:rsidP="002120A1" w:rsidRDefault="002120A1" w14:paraId="528560C5" w14:textId="77777777">
      <w:pPr>
        <w:spacing w:line="240" w:lineRule="auto"/>
        <w:jc w:val="both"/>
        <w:rPr>
          <w:rFonts w:ascii="Times New Roman" w:hAnsi="Times New Roman"/>
          <w:color w:val="FF0000"/>
          <w:sz w:val="24"/>
        </w:rPr>
      </w:pPr>
    </w:p>
    <w:p w:rsidRPr="003B4172" w:rsidR="003B4172" w:rsidP="00A320C1" w:rsidRDefault="003B4172" w14:paraId="05200FD4" w14:textId="77777777">
      <w:pPr>
        <w:spacing w:line="240" w:lineRule="auto"/>
        <w:jc w:val="both"/>
        <w:rPr>
          <w:rFonts w:ascii="Times New Roman" w:hAnsi="Times New Roman"/>
          <w:sz w:val="24"/>
        </w:rPr>
      </w:pPr>
    </w:p>
    <w:p w:rsidR="002120A1" w:rsidP="00A320C1" w:rsidRDefault="006746D2" w14:paraId="32C033D3" w14:textId="77777777">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lezen dat de </w:t>
      </w:r>
      <w:proofErr w:type="spellStart"/>
      <w:r w:rsidRPr="004A7AD4">
        <w:rPr>
          <w:rFonts w:ascii="Times New Roman" w:hAnsi="Times New Roman"/>
          <w:i/>
          <w:iCs/>
          <w:sz w:val="24"/>
        </w:rPr>
        <w:t>toezichtskosten</w:t>
      </w:r>
      <w:proofErr w:type="spellEnd"/>
      <w:r w:rsidRPr="004A7AD4">
        <w:rPr>
          <w:rFonts w:ascii="Times New Roman" w:hAnsi="Times New Roman"/>
          <w:i/>
          <w:iCs/>
          <w:sz w:val="24"/>
        </w:rPr>
        <w:t xml:space="preserve"> voor de ACM volgens de toelichting slechts beperkt zouden toenemen en dat wordt uitgegaan van ongeveer 500 uur extra capaciteit per jaar voor het behandelen van informele meldingen en zienswijzen. Deze leden vragen in hoeverre deze inschatting realistisch is, gelet op de potentieel brede reikwijdte van de voorgestelde inroepbevoegdheid en de mogelijke toestroom van verzoeken om informele zienswijzen van ondernemingen die vooraf zekerheid wensen te verkrijgen. </w:t>
      </w:r>
    </w:p>
    <w:p w:rsidR="002120A1" w:rsidP="00A320C1" w:rsidRDefault="002120A1" w14:paraId="606CAD85" w14:textId="77777777">
      <w:pPr>
        <w:spacing w:line="240" w:lineRule="auto"/>
        <w:jc w:val="both"/>
        <w:rPr>
          <w:rFonts w:ascii="Times New Roman" w:hAnsi="Times New Roman"/>
          <w:i/>
          <w:iCs/>
          <w:sz w:val="24"/>
        </w:rPr>
      </w:pPr>
    </w:p>
    <w:p w:rsidRPr="004A7AD4" w:rsidR="006746D2" w:rsidP="00A320C1" w:rsidRDefault="006746D2" w14:paraId="48A75A93" w14:textId="129104AA">
      <w:pPr>
        <w:spacing w:line="240" w:lineRule="auto"/>
        <w:jc w:val="both"/>
        <w:rPr>
          <w:rFonts w:ascii="Times New Roman" w:hAnsi="Times New Roman"/>
          <w:i/>
          <w:iCs/>
          <w:sz w:val="24"/>
        </w:rPr>
      </w:pPr>
      <w:r w:rsidRPr="004A7AD4">
        <w:rPr>
          <w:rFonts w:ascii="Times New Roman" w:hAnsi="Times New Roman"/>
          <w:i/>
          <w:iCs/>
          <w:sz w:val="24"/>
        </w:rPr>
        <w:t>De leden van de CDA</w:t>
      </w:r>
      <w:r w:rsidRPr="004A7AD4" w:rsidR="006B2772">
        <w:rPr>
          <w:rFonts w:ascii="Times New Roman" w:hAnsi="Times New Roman"/>
          <w:i/>
          <w:iCs/>
          <w:sz w:val="24"/>
        </w:rPr>
        <w:t xml:space="preserve">-fractie </w:t>
      </w:r>
      <w:r w:rsidRPr="004A7AD4">
        <w:rPr>
          <w:rFonts w:ascii="Times New Roman" w:hAnsi="Times New Roman"/>
          <w:i/>
          <w:iCs/>
          <w:sz w:val="24"/>
        </w:rPr>
        <w:t xml:space="preserve">vragen de initiatiefnemer </w:t>
      </w:r>
      <w:r w:rsidRPr="004A7AD4" w:rsidR="006B2772">
        <w:rPr>
          <w:rFonts w:ascii="Times New Roman" w:hAnsi="Times New Roman"/>
          <w:i/>
          <w:iCs/>
          <w:sz w:val="24"/>
        </w:rPr>
        <w:t xml:space="preserve">om </w:t>
      </w:r>
      <w:r w:rsidRPr="004A7AD4">
        <w:rPr>
          <w:rFonts w:ascii="Times New Roman" w:hAnsi="Times New Roman"/>
          <w:i/>
          <w:iCs/>
          <w:sz w:val="24"/>
        </w:rPr>
        <w:t xml:space="preserve">nader toe te lichten welke aannames aan deze capaciteitsinschatting ten grondslag liggen. Is bij deze berekening rekening gehouden met het risico dat </w:t>
      </w:r>
      <w:r w:rsidRPr="004A7AD4" w:rsidR="00C63AEB">
        <w:rPr>
          <w:rFonts w:ascii="Times New Roman" w:hAnsi="Times New Roman"/>
          <w:i/>
          <w:iCs/>
          <w:sz w:val="24"/>
        </w:rPr>
        <w:t xml:space="preserve">grotere aantallen </w:t>
      </w:r>
      <w:r w:rsidRPr="004A7AD4">
        <w:rPr>
          <w:rFonts w:ascii="Times New Roman" w:hAnsi="Times New Roman"/>
          <w:i/>
          <w:iCs/>
          <w:sz w:val="24"/>
        </w:rPr>
        <w:t>ondernemingen uit voorzorg contact zullen opnemen met de ACM? </w:t>
      </w:r>
    </w:p>
    <w:p w:rsidR="006746D2" w:rsidP="00A320C1" w:rsidRDefault="006746D2" w14:paraId="574A8215" w14:textId="13521285">
      <w:pPr>
        <w:spacing w:line="240" w:lineRule="auto"/>
        <w:jc w:val="both"/>
        <w:rPr>
          <w:rFonts w:ascii="Times New Roman" w:hAnsi="Times New Roman"/>
          <w:i/>
          <w:iCs/>
          <w:sz w:val="24"/>
        </w:rPr>
      </w:pPr>
      <w:r w:rsidRPr="004A7AD4">
        <w:rPr>
          <w:rFonts w:ascii="Times New Roman" w:hAnsi="Times New Roman"/>
          <w:i/>
          <w:iCs/>
          <w:sz w:val="24"/>
        </w:rPr>
        <w:t>Tevens vragen de leden van de CDA</w:t>
      </w:r>
      <w:r w:rsidRPr="004A7AD4" w:rsidR="00B64CE1">
        <w:rPr>
          <w:rFonts w:ascii="Times New Roman" w:hAnsi="Times New Roman"/>
          <w:i/>
          <w:iCs/>
          <w:sz w:val="24"/>
        </w:rPr>
        <w:t>-f</w:t>
      </w:r>
      <w:r w:rsidRPr="004A7AD4">
        <w:rPr>
          <w:rFonts w:ascii="Times New Roman" w:hAnsi="Times New Roman"/>
          <w:i/>
          <w:iCs/>
          <w:sz w:val="24"/>
        </w:rPr>
        <w:t>ractie hoe wordt voorkomen dat de ACM bij een grotere toestroom van verzoeken onvoldoende capaciteit heeft om tijdig en zorgvuldig op dergelijke verzoeken te reageren. Zijn er volgens de initiatiefnemer voldoende waarborgen om te voorkomen dat ondernemingen gedurende langere tijd in onzekerheid verkeren over een voorgenomen concentratie? </w:t>
      </w:r>
    </w:p>
    <w:p w:rsidR="00AD7257" w:rsidP="00A320C1" w:rsidRDefault="00AD7257" w14:paraId="087C566A" w14:textId="77777777">
      <w:pPr>
        <w:spacing w:line="240" w:lineRule="auto"/>
        <w:jc w:val="both"/>
        <w:rPr>
          <w:rFonts w:ascii="Times New Roman" w:hAnsi="Times New Roman"/>
          <w:i/>
          <w:iCs/>
          <w:sz w:val="24"/>
        </w:rPr>
      </w:pPr>
    </w:p>
    <w:p w:rsidRPr="00AD7257" w:rsidR="00CE2BE2" w:rsidP="00A320C1" w:rsidRDefault="00AD7257" w14:paraId="575A501A" w14:textId="48A61CEF">
      <w:pPr>
        <w:spacing w:line="240" w:lineRule="auto"/>
        <w:jc w:val="both"/>
        <w:rPr>
          <w:rFonts w:ascii="Times New Roman" w:hAnsi="Times New Roman"/>
          <w:sz w:val="24"/>
        </w:rPr>
      </w:pPr>
      <w:r w:rsidRPr="00AD7257">
        <w:rPr>
          <w:rFonts w:ascii="Times New Roman" w:hAnsi="Times New Roman"/>
          <w:sz w:val="24"/>
        </w:rPr>
        <w:t>De initiatiefnemer zou de leden van de CDA-fractie graag verwijzen naar het bovenstaande antwoord van dezelfde leden met betrekking tot de informele zienswijze.</w:t>
      </w:r>
      <w:r w:rsidR="00F0583D">
        <w:rPr>
          <w:rFonts w:ascii="Times New Roman" w:hAnsi="Times New Roman"/>
          <w:sz w:val="24"/>
        </w:rPr>
        <w:t xml:space="preserve"> </w:t>
      </w:r>
      <w:r w:rsidR="00ED415A">
        <w:rPr>
          <w:rFonts w:ascii="Times New Roman" w:hAnsi="Times New Roman"/>
          <w:sz w:val="24"/>
        </w:rPr>
        <w:t xml:space="preserve">En het antwoord op bovenstaande vragen van leden van de VVD-fractie. </w:t>
      </w:r>
    </w:p>
    <w:p w:rsidR="00AD7257" w:rsidP="00A320C1" w:rsidRDefault="00AD7257" w14:paraId="01320B9B" w14:textId="77777777">
      <w:pPr>
        <w:spacing w:line="240" w:lineRule="auto"/>
        <w:jc w:val="both"/>
        <w:rPr>
          <w:rFonts w:ascii="Times New Roman" w:hAnsi="Times New Roman"/>
          <w:i/>
          <w:iCs/>
          <w:sz w:val="24"/>
        </w:rPr>
      </w:pPr>
    </w:p>
    <w:p w:rsidR="006746D2" w:rsidP="00A320C1" w:rsidRDefault="006746D2" w14:paraId="606D40CF" w14:textId="77777777">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vragen daarnaast hoe de prioritering binnen de ACM vorm zal krijgen bij zowel de behandeling van verzoeken om een informele zienswijze als het gebruik van de voorgestelde inroepbevoegdheid. </w:t>
      </w:r>
      <w:r w:rsidRPr="004A7AD4">
        <w:rPr>
          <w:rFonts w:ascii="Times New Roman" w:hAnsi="Times New Roman"/>
          <w:i/>
          <w:iCs/>
          <w:sz w:val="24"/>
        </w:rPr>
        <w:lastRenderedPageBreak/>
        <w:t>Wie bepaalt welke zaken voorrang krijgen en op basis van welke criteria wordt die afweging gemaakt? </w:t>
      </w:r>
    </w:p>
    <w:p w:rsidR="006746D2" w:rsidP="00A320C1" w:rsidRDefault="006746D2" w14:paraId="5A5C3597" w14:textId="77777777">
      <w:pPr>
        <w:spacing w:line="240" w:lineRule="auto"/>
        <w:jc w:val="both"/>
        <w:rPr>
          <w:rFonts w:ascii="Times New Roman" w:hAnsi="Times New Roman"/>
          <w:i/>
          <w:iCs/>
          <w:sz w:val="24"/>
        </w:rPr>
      </w:pPr>
      <w:r w:rsidRPr="004A7AD4">
        <w:rPr>
          <w:rFonts w:ascii="Times New Roman" w:hAnsi="Times New Roman"/>
          <w:i/>
          <w:iCs/>
          <w:sz w:val="24"/>
        </w:rPr>
        <w:t>Daarnaast vragen de leden van de CDA-fractie hoe wordt voorkomen dat de behandeling van informele zienswijzen gaat concurreren met de inzet van capaciteit voor formele onderzoeken en handhaving. Acht de initiatiefnemer het risico aanwezig dat de ACM door prioriteringskeuzes minder capaciteit beschikbaar heeft voor andere mededingingsvraagstukken? </w:t>
      </w:r>
    </w:p>
    <w:p w:rsidR="00ED415A" w:rsidP="00A320C1" w:rsidRDefault="00ED415A" w14:paraId="45C92DB3" w14:textId="77777777">
      <w:pPr>
        <w:spacing w:line="240" w:lineRule="auto"/>
        <w:jc w:val="both"/>
        <w:rPr>
          <w:rFonts w:ascii="Times New Roman" w:hAnsi="Times New Roman"/>
          <w:i/>
          <w:iCs/>
          <w:sz w:val="24"/>
        </w:rPr>
      </w:pPr>
    </w:p>
    <w:p w:rsidR="00444B48" w:rsidP="00444B48" w:rsidRDefault="00444B48" w14:paraId="51586016" w14:textId="03CA39CE">
      <w:pPr>
        <w:spacing w:line="240" w:lineRule="auto"/>
        <w:jc w:val="both"/>
        <w:rPr>
          <w:rFonts w:ascii="Times New Roman" w:hAnsi="Times New Roman"/>
          <w:sz w:val="24"/>
        </w:rPr>
      </w:pPr>
      <w:r>
        <w:rPr>
          <w:rFonts w:ascii="Times New Roman" w:hAnsi="Times New Roman"/>
          <w:sz w:val="24"/>
        </w:rPr>
        <w:t xml:space="preserve">De ACM zal aan de hand van de aard en ernst van de te verwachten verstoring van de belemmering van de mededinging prioriteren. Het </w:t>
      </w:r>
      <w:r w:rsidR="005D7788">
        <w:rPr>
          <w:rFonts w:ascii="Times New Roman" w:hAnsi="Times New Roman"/>
          <w:sz w:val="24"/>
        </w:rPr>
        <w:t xml:space="preserve">is </w:t>
      </w:r>
      <w:r>
        <w:rPr>
          <w:rFonts w:ascii="Times New Roman" w:hAnsi="Times New Roman"/>
          <w:sz w:val="24"/>
        </w:rPr>
        <w:t>aan de toezichthouder</w:t>
      </w:r>
      <w:r w:rsidR="008E249E">
        <w:rPr>
          <w:rFonts w:ascii="Times New Roman" w:hAnsi="Times New Roman"/>
          <w:sz w:val="24"/>
        </w:rPr>
        <w:t xml:space="preserve"> </w:t>
      </w:r>
      <w:r>
        <w:rPr>
          <w:rFonts w:ascii="Times New Roman" w:hAnsi="Times New Roman"/>
          <w:sz w:val="24"/>
        </w:rPr>
        <w:t>zelf om dat in concrete gevallen nader in te vullen. Aangezien het niet de verwachting is dat het om grote aantallen informele verzoeken zal gaan en de initiatiefnemer van mening is dat de capaciteit van de ACM voor de inroepbevoegdheid zal moeten worden uitgebreid, is het niet</w:t>
      </w:r>
      <w:r w:rsidR="00272E16">
        <w:rPr>
          <w:rFonts w:ascii="Times New Roman" w:hAnsi="Times New Roman"/>
          <w:sz w:val="24"/>
        </w:rPr>
        <w:t xml:space="preserve"> aannemelijk dat er sprake zal zijn van te weinig capaciteit voor andere mededingingsvraagstukken.</w:t>
      </w:r>
      <w:r>
        <w:rPr>
          <w:rFonts w:ascii="Times New Roman" w:hAnsi="Times New Roman"/>
          <w:sz w:val="24"/>
        </w:rPr>
        <w:t xml:space="preserve"> </w:t>
      </w:r>
    </w:p>
    <w:p w:rsidRPr="00444B48" w:rsidR="00444B48" w:rsidP="00A320C1" w:rsidRDefault="00444B48" w14:paraId="5969F7E8" w14:textId="77777777">
      <w:pPr>
        <w:spacing w:line="240" w:lineRule="auto"/>
        <w:jc w:val="both"/>
        <w:rPr>
          <w:rFonts w:ascii="Times New Roman" w:hAnsi="Times New Roman"/>
          <w:sz w:val="24"/>
        </w:rPr>
      </w:pPr>
    </w:p>
    <w:p w:rsidR="006530E3" w:rsidP="00A320C1" w:rsidRDefault="006530E3" w14:paraId="4B29F747" w14:textId="77777777">
      <w:pPr>
        <w:spacing w:line="240" w:lineRule="auto"/>
        <w:jc w:val="both"/>
        <w:rPr>
          <w:rFonts w:ascii="Times New Roman" w:hAnsi="Times New Roman"/>
          <w:i/>
          <w:iCs/>
          <w:sz w:val="24"/>
        </w:rPr>
      </w:pPr>
    </w:p>
    <w:p w:rsidRPr="00444B48" w:rsidR="00444B48" w:rsidP="00A320C1" w:rsidRDefault="00444B48" w14:paraId="1D68126D" w14:textId="77777777">
      <w:pPr>
        <w:spacing w:line="240" w:lineRule="auto"/>
        <w:jc w:val="both"/>
        <w:rPr>
          <w:rFonts w:ascii="Times New Roman" w:hAnsi="Times New Roman"/>
          <w:sz w:val="24"/>
        </w:rPr>
      </w:pPr>
    </w:p>
    <w:p w:rsidRPr="004A7AD4" w:rsidR="00337FC7" w:rsidP="00C77B4B" w:rsidRDefault="005E1805" w14:paraId="5C1068C4" w14:textId="4214D0E9">
      <w:pPr>
        <w:pStyle w:val="Lijstalinea"/>
        <w:numPr>
          <w:ilvl w:val="0"/>
          <w:numId w:val="11"/>
        </w:numPr>
        <w:spacing w:line="240" w:lineRule="auto"/>
        <w:jc w:val="both"/>
        <w:rPr>
          <w:rFonts w:ascii="Times New Roman" w:hAnsi="Times New Roman"/>
          <w:b/>
          <w:bCs/>
          <w:i/>
          <w:iCs/>
          <w:sz w:val="24"/>
        </w:rPr>
      </w:pPr>
      <w:r w:rsidRPr="004A7AD4">
        <w:rPr>
          <w:rFonts w:ascii="Times New Roman" w:hAnsi="Times New Roman"/>
          <w:b/>
          <w:bCs/>
          <w:i/>
          <w:iCs/>
          <w:sz w:val="24"/>
        </w:rPr>
        <w:t>Overig</w:t>
      </w:r>
    </w:p>
    <w:p w:rsidRPr="004A7AD4" w:rsidR="005E1805" w:rsidP="00A320C1" w:rsidRDefault="005E1805" w14:paraId="25FE126C" w14:textId="77777777">
      <w:pPr>
        <w:spacing w:line="240" w:lineRule="auto"/>
        <w:jc w:val="both"/>
        <w:rPr>
          <w:rFonts w:ascii="Times New Roman" w:hAnsi="Times New Roman"/>
          <w:b/>
          <w:bCs/>
          <w:i/>
          <w:iCs/>
          <w:sz w:val="24"/>
        </w:rPr>
      </w:pPr>
    </w:p>
    <w:p w:rsidRPr="004A7AD4" w:rsidR="0081222D" w:rsidP="00A320C1" w:rsidRDefault="0081222D" w14:paraId="2496EA06" w14:textId="77777777">
      <w:pPr>
        <w:spacing w:line="240" w:lineRule="auto"/>
        <w:jc w:val="both"/>
        <w:rPr>
          <w:rFonts w:ascii="Times New Roman" w:hAnsi="Times New Roman"/>
          <w:i/>
          <w:iCs/>
          <w:sz w:val="24"/>
        </w:rPr>
      </w:pPr>
      <w:r w:rsidRPr="004A7AD4">
        <w:rPr>
          <w:rFonts w:ascii="Times New Roman" w:hAnsi="Times New Roman"/>
          <w:i/>
          <w:iCs/>
          <w:sz w:val="24"/>
        </w:rPr>
        <w:t>Evaluatie</w:t>
      </w:r>
    </w:p>
    <w:p w:rsidRPr="004A7AD4" w:rsidR="0081222D" w:rsidP="00A320C1" w:rsidRDefault="0081222D" w14:paraId="28C6495C" w14:textId="2E03CB1C">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merken op dat het wetsvoorstel geen evaluatiebepaling bevat los van de invoeringstoets na </w:t>
      </w:r>
      <w:r w:rsidRPr="004A7AD4" w:rsidR="00BD709B">
        <w:rPr>
          <w:rFonts w:ascii="Times New Roman" w:hAnsi="Times New Roman"/>
          <w:i/>
          <w:iCs/>
          <w:sz w:val="24"/>
        </w:rPr>
        <w:t>één</w:t>
      </w:r>
      <w:r w:rsidRPr="004A7AD4">
        <w:rPr>
          <w:rFonts w:ascii="Times New Roman" w:hAnsi="Times New Roman"/>
          <w:i/>
          <w:iCs/>
          <w:sz w:val="24"/>
        </w:rPr>
        <w:t xml:space="preserve"> jaar. Gelet op de ingrijpende aard van de voorgestelde bevoegdheid, de mogelijke gevolgen voor de rechtszekerheid van ondernemingen en de onzekerheid over de uitvoeringslasten voor zowel de ACM als het bedrijfsleven, achten deze leden een evaluatie van groot belang. Deze leden vragen de initiatiefnemer hoe hij de evaluatie van deze wet voor zich ziet. Acht de initiatiefnemer het wenselijk om binnen een vooraf bepaalde termijn na inwerkingtreding de werking van de wet te evalueren? Zo ja, welke termijn acht hij daarvoor passend?</w:t>
      </w:r>
      <w:r w:rsidR="0074782A">
        <w:rPr>
          <w:rFonts w:ascii="Times New Roman" w:hAnsi="Times New Roman"/>
          <w:i/>
          <w:iCs/>
          <w:sz w:val="24"/>
        </w:rPr>
        <w:t xml:space="preserve"> </w:t>
      </w:r>
      <w:r w:rsidRPr="004A7AD4">
        <w:rPr>
          <w:rFonts w:ascii="Times New Roman" w:hAnsi="Times New Roman"/>
          <w:i/>
          <w:iCs/>
          <w:sz w:val="24"/>
        </w:rPr>
        <w:t>Tevens vragen de leden van de CDA</w:t>
      </w:r>
      <w:r w:rsidRPr="004A7AD4" w:rsidR="006F2975">
        <w:rPr>
          <w:rFonts w:ascii="Times New Roman" w:hAnsi="Times New Roman"/>
          <w:i/>
          <w:iCs/>
          <w:sz w:val="24"/>
        </w:rPr>
        <w:t>-f</w:t>
      </w:r>
      <w:r w:rsidRPr="004A7AD4">
        <w:rPr>
          <w:rFonts w:ascii="Times New Roman" w:hAnsi="Times New Roman"/>
          <w:i/>
          <w:iCs/>
          <w:sz w:val="24"/>
        </w:rPr>
        <w:t>ractie of de initiatiefnemer bereid is een evaluatiebepaling in het wetsvoorstel op te nemen. </w:t>
      </w:r>
    </w:p>
    <w:p w:rsidRPr="004A7AD4" w:rsidR="005E1805" w:rsidP="00A320C1" w:rsidRDefault="005E1805" w14:paraId="18EEDAA1" w14:textId="77777777">
      <w:pPr>
        <w:spacing w:line="240" w:lineRule="auto"/>
        <w:jc w:val="both"/>
        <w:rPr>
          <w:rFonts w:ascii="Times New Roman" w:hAnsi="Times New Roman"/>
          <w:b/>
          <w:bCs/>
          <w:i/>
          <w:iCs/>
          <w:sz w:val="24"/>
        </w:rPr>
      </w:pPr>
    </w:p>
    <w:p w:rsidRPr="002120A1" w:rsidR="0074782A" w:rsidP="0074782A" w:rsidRDefault="0074782A" w14:paraId="430E0F03" w14:textId="2D1487DD">
      <w:pPr>
        <w:spacing w:line="240" w:lineRule="auto"/>
        <w:jc w:val="both"/>
        <w:rPr>
          <w:rFonts w:ascii="Times New Roman" w:hAnsi="Times New Roman"/>
          <w:sz w:val="24"/>
        </w:rPr>
      </w:pPr>
      <w:r>
        <w:rPr>
          <w:rFonts w:ascii="Times New Roman" w:hAnsi="Times New Roman"/>
          <w:sz w:val="24"/>
        </w:rPr>
        <w:t xml:space="preserve">Naar aanleiding van deze vraag van de leden van de CDA-fractie heeft de initiatiefnemer gemeend dat het wenselijk is om vijf jaar na inwerkingtreding van de wet </w:t>
      </w:r>
      <w:r w:rsidRPr="000765FF">
        <w:rPr>
          <w:rFonts w:ascii="Times New Roman" w:hAnsi="Times New Roman"/>
          <w:sz w:val="24"/>
        </w:rPr>
        <w:t xml:space="preserve">de doeltreffendheid en effecten </w:t>
      </w:r>
      <w:r w:rsidR="00B62B1D">
        <w:rPr>
          <w:rFonts w:ascii="Times New Roman" w:hAnsi="Times New Roman"/>
          <w:sz w:val="24"/>
        </w:rPr>
        <w:t xml:space="preserve">van de inroepbevoegdheid </w:t>
      </w:r>
      <w:r w:rsidRPr="000765FF">
        <w:rPr>
          <w:rFonts w:ascii="Times New Roman" w:hAnsi="Times New Roman"/>
          <w:sz w:val="24"/>
        </w:rPr>
        <w:t>in de praktijk te evalueren</w:t>
      </w:r>
      <w:r>
        <w:rPr>
          <w:rFonts w:ascii="Times New Roman" w:hAnsi="Times New Roman"/>
          <w:sz w:val="24"/>
        </w:rPr>
        <w:t>. Hij dient daartoe een nota van wijziging in.</w:t>
      </w:r>
    </w:p>
    <w:p w:rsidRPr="004A7AD4" w:rsidR="00697514" w:rsidP="00A320C1" w:rsidRDefault="00697514" w14:paraId="7BE9F3FC" w14:textId="77777777">
      <w:pPr>
        <w:spacing w:line="240" w:lineRule="auto"/>
        <w:jc w:val="both"/>
        <w:rPr>
          <w:rFonts w:ascii="Times New Roman" w:hAnsi="Times New Roman"/>
          <w:i/>
          <w:iCs/>
          <w:sz w:val="24"/>
        </w:rPr>
      </w:pPr>
    </w:p>
    <w:p w:rsidRPr="004A7AD4" w:rsidR="00697514" w:rsidP="00BD4A22" w:rsidRDefault="00697514" w14:paraId="5941F9F7" w14:textId="2AA0F1A6">
      <w:pPr>
        <w:pStyle w:val="Lijstalinea"/>
        <w:numPr>
          <w:ilvl w:val="0"/>
          <w:numId w:val="12"/>
        </w:numPr>
        <w:spacing w:line="240" w:lineRule="auto"/>
        <w:jc w:val="both"/>
        <w:rPr>
          <w:rFonts w:ascii="Times New Roman" w:hAnsi="Times New Roman"/>
          <w:b/>
          <w:bCs/>
          <w:i/>
          <w:iCs/>
          <w:sz w:val="24"/>
        </w:rPr>
      </w:pPr>
      <w:r w:rsidRPr="004A7AD4">
        <w:rPr>
          <w:rFonts w:ascii="Times New Roman" w:hAnsi="Times New Roman"/>
          <w:b/>
          <w:bCs/>
          <w:i/>
          <w:iCs/>
          <w:sz w:val="24"/>
        </w:rPr>
        <w:t>ARTIKELSGEWIJS DEEL</w:t>
      </w:r>
    </w:p>
    <w:p w:rsidRPr="004A7AD4" w:rsidR="00697514" w:rsidP="00A320C1" w:rsidRDefault="00697514" w14:paraId="531F5677" w14:textId="77777777">
      <w:pPr>
        <w:spacing w:line="240" w:lineRule="auto"/>
        <w:jc w:val="both"/>
        <w:rPr>
          <w:rFonts w:ascii="Times New Roman" w:hAnsi="Times New Roman"/>
          <w:i/>
          <w:iCs/>
          <w:sz w:val="24"/>
        </w:rPr>
      </w:pPr>
    </w:p>
    <w:p w:rsidRPr="004A7AD4" w:rsidR="00697514" w:rsidP="00A320C1" w:rsidRDefault="00697514" w14:paraId="7444F5FC" w14:textId="77777777">
      <w:pPr>
        <w:spacing w:line="240" w:lineRule="auto"/>
        <w:jc w:val="both"/>
        <w:rPr>
          <w:rFonts w:ascii="Times New Roman" w:hAnsi="Times New Roman"/>
          <w:b/>
          <w:bCs/>
          <w:i/>
          <w:iCs/>
          <w:sz w:val="24"/>
        </w:rPr>
      </w:pPr>
      <w:r w:rsidRPr="004A7AD4">
        <w:rPr>
          <w:rFonts w:ascii="Times New Roman" w:hAnsi="Times New Roman"/>
          <w:b/>
          <w:bCs/>
          <w:i/>
          <w:iCs/>
          <w:sz w:val="24"/>
        </w:rPr>
        <w:t>Artikel I, onderdeel A</w:t>
      </w:r>
    </w:p>
    <w:p w:rsidRPr="004A7AD4" w:rsidR="00697514" w:rsidP="00A320C1" w:rsidRDefault="00697514" w14:paraId="149DADD3" w14:textId="77777777">
      <w:pPr>
        <w:spacing w:line="240" w:lineRule="auto"/>
        <w:jc w:val="both"/>
        <w:rPr>
          <w:rFonts w:ascii="Times New Roman" w:hAnsi="Times New Roman"/>
          <w:i/>
          <w:iCs/>
          <w:sz w:val="24"/>
        </w:rPr>
      </w:pPr>
    </w:p>
    <w:p w:rsidRPr="004A7AD4" w:rsidR="00697514" w:rsidP="00A320C1" w:rsidRDefault="00697514" w14:paraId="00223313" w14:textId="77777777">
      <w:pPr>
        <w:spacing w:line="240" w:lineRule="auto"/>
        <w:jc w:val="both"/>
        <w:rPr>
          <w:rFonts w:ascii="Times New Roman" w:hAnsi="Times New Roman"/>
          <w:b/>
          <w:bCs/>
          <w:i/>
          <w:iCs/>
          <w:sz w:val="24"/>
        </w:rPr>
      </w:pPr>
      <w:r w:rsidRPr="004A7AD4">
        <w:rPr>
          <w:rFonts w:ascii="Times New Roman" w:hAnsi="Times New Roman"/>
          <w:b/>
          <w:bCs/>
          <w:i/>
          <w:iCs/>
          <w:sz w:val="24"/>
        </w:rPr>
        <w:t>Artikel 49a</w:t>
      </w:r>
    </w:p>
    <w:p w:rsidRPr="004A7AD4" w:rsidR="006D0935" w:rsidP="00A320C1" w:rsidRDefault="006D0935" w14:paraId="678584DC" w14:textId="77777777">
      <w:pPr>
        <w:spacing w:line="240" w:lineRule="auto"/>
        <w:jc w:val="both"/>
        <w:rPr>
          <w:rFonts w:ascii="Times New Roman" w:hAnsi="Times New Roman"/>
          <w:b/>
          <w:bCs/>
          <w:i/>
          <w:iCs/>
          <w:sz w:val="24"/>
        </w:rPr>
      </w:pPr>
    </w:p>
    <w:p w:rsidR="00243C09" w:rsidP="00A320C1" w:rsidRDefault="001F70DE" w14:paraId="16FA071E" w14:textId="4F7D6C05">
      <w:pPr>
        <w:tabs>
          <w:tab w:val="left" w:pos="284"/>
          <w:tab w:val="left" w:pos="567"/>
          <w:tab w:val="left" w:pos="851"/>
        </w:tabs>
        <w:spacing w:line="240" w:lineRule="auto"/>
        <w:ind w:right="-2"/>
        <w:jc w:val="both"/>
        <w:rPr>
          <w:rFonts w:ascii="Times New Roman" w:hAnsi="Times New Roman"/>
          <w:i/>
          <w:iCs/>
          <w:sz w:val="24"/>
          <w:szCs w:val="20"/>
        </w:rPr>
      </w:pPr>
      <w:r w:rsidRPr="004A7AD4">
        <w:rPr>
          <w:rFonts w:ascii="Times New Roman" w:hAnsi="Times New Roman"/>
          <w:i/>
          <w:iCs/>
          <w:sz w:val="24"/>
          <w:szCs w:val="20"/>
        </w:rPr>
        <w:t xml:space="preserve">De leden van de PVV-fractie lezen dat de initiatiefnemer stelt dat problemen rondom concentratievorming zich niet alleen voordoen bij grote overnames, </w:t>
      </w:r>
      <w:r w:rsidRPr="004A7AD4">
        <w:rPr>
          <w:rFonts w:ascii="Times New Roman" w:hAnsi="Times New Roman"/>
          <w:i/>
          <w:iCs/>
          <w:sz w:val="24"/>
          <w:szCs w:val="20"/>
        </w:rPr>
        <w:lastRenderedPageBreak/>
        <w:t xml:space="preserve">maar ook in lokale markten en bij relatief kleine overnames. Deze leden zijn het ermee eens dat dergelijke overnames, zeker wanneer zij onderdeel zijn van een reeks opeenvolgende overnames, kunnen leiden tot ongewenste marktmacht. Zij vragen daarom waarom er desondanks voor is gekozen om als voorwaarde voor de inroepbevoegdheid op te nemen dat ten minste één van de betrokken ondernemingen een omzet van €30 miljoen in Nederland behaalt. </w:t>
      </w:r>
    </w:p>
    <w:p w:rsidR="001F70DE" w:rsidP="00A320C1" w:rsidRDefault="001F70DE" w14:paraId="5F2B0B8D" w14:textId="2E978A90">
      <w:pPr>
        <w:tabs>
          <w:tab w:val="left" w:pos="284"/>
          <w:tab w:val="left" w:pos="567"/>
          <w:tab w:val="left" w:pos="851"/>
        </w:tabs>
        <w:spacing w:line="240" w:lineRule="auto"/>
        <w:ind w:right="-2"/>
        <w:jc w:val="both"/>
        <w:rPr>
          <w:rFonts w:ascii="Times New Roman" w:hAnsi="Times New Roman"/>
          <w:i/>
          <w:iCs/>
          <w:sz w:val="24"/>
          <w:szCs w:val="20"/>
        </w:rPr>
      </w:pPr>
      <w:r w:rsidRPr="004A7AD4">
        <w:rPr>
          <w:rFonts w:ascii="Times New Roman" w:hAnsi="Times New Roman"/>
          <w:i/>
          <w:iCs/>
          <w:sz w:val="24"/>
          <w:szCs w:val="20"/>
        </w:rPr>
        <w:t>Welke potentieel schadelijke concentraties blijven hierdoor alsnog buiten het bereik van de ACM?</w:t>
      </w:r>
      <w:r w:rsidRPr="004A7AD4" w:rsidR="009878BC">
        <w:rPr>
          <w:rFonts w:ascii="Times New Roman" w:hAnsi="Times New Roman"/>
          <w:i/>
          <w:iCs/>
          <w:sz w:val="24"/>
          <w:szCs w:val="20"/>
        </w:rPr>
        <w:t xml:space="preserve"> </w:t>
      </w:r>
      <w:r w:rsidRPr="004A7AD4">
        <w:rPr>
          <w:rFonts w:ascii="Times New Roman" w:hAnsi="Times New Roman"/>
          <w:i/>
          <w:iCs/>
          <w:sz w:val="24"/>
          <w:szCs w:val="20"/>
        </w:rPr>
        <w:t>Wordt met dit initiatiefvoorstel beoogd de ACM de bevoegdheid te geven om ook concentraties die onder de reguliere omzetdrempels van de Mededingingswet blijven, alsnog te onderzoeken en zo nodig tegen te houden?</w:t>
      </w:r>
    </w:p>
    <w:p w:rsidR="00243C09" w:rsidP="00A320C1" w:rsidRDefault="00243C09" w14:paraId="0DA895AD" w14:textId="77777777">
      <w:pPr>
        <w:tabs>
          <w:tab w:val="left" w:pos="284"/>
          <w:tab w:val="left" w:pos="567"/>
          <w:tab w:val="left" w:pos="851"/>
        </w:tabs>
        <w:spacing w:line="240" w:lineRule="auto"/>
        <w:ind w:right="-2"/>
        <w:jc w:val="both"/>
        <w:rPr>
          <w:rFonts w:ascii="Times New Roman" w:hAnsi="Times New Roman"/>
          <w:i/>
          <w:iCs/>
          <w:sz w:val="24"/>
          <w:szCs w:val="20"/>
        </w:rPr>
      </w:pPr>
    </w:p>
    <w:p w:rsidRPr="00243C09" w:rsidR="00243C09" w:rsidP="00A320C1" w:rsidRDefault="00243C09" w14:paraId="0EAF79C9" w14:textId="0475DAC3">
      <w:pPr>
        <w:tabs>
          <w:tab w:val="left" w:pos="284"/>
          <w:tab w:val="left" w:pos="567"/>
          <w:tab w:val="left" w:pos="851"/>
        </w:tabs>
        <w:spacing w:line="240" w:lineRule="auto"/>
        <w:ind w:right="-2"/>
        <w:jc w:val="both"/>
        <w:rPr>
          <w:rFonts w:ascii="Times New Roman" w:hAnsi="Times New Roman"/>
          <w:sz w:val="24"/>
          <w:szCs w:val="20"/>
        </w:rPr>
      </w:pPr>
      <w:r>
        <w:rPr>
          <w:rFonts w:ascii="Times New Roman" w:hAnsi="Times New Roman"/>
          <w:sz w:val="24"/>
          <w:szCs w:val="20"/>
        </w:rPr>
        <w:t>De initiatiefnemer zou de leden van de PVV-fractie graag willen verwijzen naar zijn antwoord hierboven op gelijkaardige vragen van de leden van de D66-fractie.</w:t>
      </w:r>
    </w:p>
    <w:p w:rsidRPr="004A7AD4" w:rsidR="009878BC" w:rsidP="00A320C1" w:rsidRDefault="009878BC" w14:paraId="65606E9C" w14:textId="77777777">
      <w:pPr>
        <w:tabs>
          <w:tab w:val="left" w:pos="284"/>
          <w:tab w:val="left" w:pos="567"/>
          <w:tab w:val="left" w:pos="851"/>
        </w:tabs>
        <w:spacing w:line="240" w:lineRule="auto"/>
        <w:ind w:right="-2"/>
        <w:jc w:val="both"/>
        <w:rPr>
          <w:rFonts w:ascii="Times New Roman" w:hAnsi="Times New Roman"/>
          <w:i/>
          <w:iCs/>
          <w:sz w:val="24"/>
          <w:szCs w:val="20"/>
        </w:rPr>
      </w:pPr>
    </w:p>
    <w:p w:rsidR="001F70DE" w:rsidP="00A320C1" w:rsidRDefault="001F70DE" w14:paraId="36438D1B" w14:textId="77777777">
      <w:pPr>
        <w:tabs>
          <w:tab w:val="left" w:pos="284"/>
          <w:tab w:val="left" w:pos="567"/>
          <w:tab w:val="left" w:pos="851"/>
        </w:tabs>
        <w:spacing w:line="240" w:lineRule="auto"/>
        <w:ind w:right="-2"/>
        <w:jc w:val="both"/>
        <w:rPr>
          <w:rFonts w:ascii="Times New Roman" w:hAnsi="Times New Roman"/>
          <w:i/>
          <w:iCs/>
          <w:sz w:val="24"/>
          <w:szCs w:val="20"/>
        </w:rPr>
      </w:pPr>
      <w:r w:rsidRPr="004A7AD4">
        <w:rPr>
          <w:rFonts w:ascii="Times New Roman" w:hAnsi="Times New Roman"/>
          <w:i/>
          <w:iCs/>
          <w:sz w:val="24"/>
          <w:szCs w:val="20"/>
        </w:rPr>
        <w:t>De leden van de PVV-fractie wijzen erop dat de regering eerder heeft aangekondigd de omzetdrempels voor het reguliere concentratietoezicht te willen verhogen naar €50 miljoen. Deze leden vragen in hoeverre een dergelijke verhoging van invloed is op het voorliggende initiatiefwetsvoorstel. Betekent een eventuele verhoging van de omzetdrempels dat ook de in dit wetsvoorstel opgenomen omzetdrempel van €30 miljoen wordt aangepast naar €50 miljoen, of staat deze drempel daar juridisch los van? Indien beide drempels los van elkaar staan, kan de initiatiefnemer dan toelichten waarom binnen de voorgestelde inroepbevoegdheid is gekozen voor een omzetdrempel van €30 miljoen?</w:t>
      </w:r>
    </w:p>
    <w:p w:rsidR="009D2361" w:rsidP="00A320C1" w:rsidRDefault="009D2361" w14:paraId="185A649B" w14:textId="77777777">
      <w:pPr>
        <w:tabs>
          <w:tab w:val="left" w:pos="284"/>
          <w:tab w:val="left" w:pos="567"/>
          <w:tab w:val="left" w:pos="851"/>
        </w:tabs>
        <w:spacing w:line="240" w:lineRule="auto"/>
        <w:ind w:right="-2"/>
        <w:jc w:val="both"/>
        <w:rPr>
          <w:rFonts w:ascii="Times New Roman" w:hAnsi="Times New Roman"/>
          <w:i/>
          <w:iCs/>
          <w:sz w:val="24"/>
          <w:szCs w:val="20"/>
        </w:rPr>
      </w:pPr>
    </w:p>
    <w:p w:rsidRPr="0006441B" w:rsidR="0006441B" w:rsidP="00A320C1" w:rsidRDefault="0006441B" w14:paraId="7CBD8427" w14:textId="47F036BD">
      <w:pPr>
        <w:tabs>
          <w:tab w:val="left" w:pos="284"/>
          <w:tab w:val="left" w:pos="567"/>
          <w:tab w:val="left" w:pos="851"/>
        </w:tabs>
        <w:spacing w:line="240" w:lineRule="auto"/>
        <w:ind w:right="-2"/>
        <w:jc w:val="both"/>
        <w:rPr>
          <w:rFonts w:ascii="Times New Roman" w:hAnsi="Times New Roman"/>
          <w:sz w:val="24"/>
          <w:szCs w:val="20"/>
        </w:rPr>
      </w:pPr>
      <w:r>
        <w:rPr>
          <w:rFonts w:ascii="Times New Roman" w:hAnsi="Times New Roman"/>
          <w:sz w:val="24"/>
          <w:szCs w:val="20"/>
        </w:rPr>
        <w:t>De initiatiefnemer zou de leden van de PVV-fractie graag willen verwijzen naar zijn antwoorden hierboven op gelijkaardige v</w:t>
      </w:r>
      <w:r w:rsidR="001C1C59">
        <w:rPr>
          <w:rFonts w:ascii="Times New Roman" w:hAnsi="Times New Roman"/>
          <w:sz w:val="24"/>
          <w:szCs w:val="20"/>
        </w:rPr>
        <w:t>r</w:t>
      </w:r>
      <w:r>
        <w:rPr>
          <w:rFonts w:ascii="Times New Roman" w:hAnsi="Times New Roman"/>
          <w:sz w:val="24"/>
          <w:szCs w:val="20"/>
        </w:rPr>
        <w:t xml:space="preserve">agen van de leden van de fracties van </w:t>
      </w:r>
      <w:r w:rsidR="00283C9D">
        <w:rPr>
          <w:rFonts w:ascii="Times New Roman" w:hAnsi="Times New Roman"/>
          <w:sz w:val="24"/>
          <w:szCs w:val="20"/>
        </w:rPr>
        <w:t xml:space="preserve">D66 en </w:t>
      </w:r>
      <w:r>
        <w:rPr>
          <w:rFonts w:ascii="Times New Roman" w:hAnsi="Times New Roman"/>
          <w:sz w:val="24"/>
          <w:szCs w:val="20"/>
        </w:rPr>
        <w:t>CDA</w:t>
      </w:r>
      <w:r w:rsidR="00283C9D">
        <w:rPr>
          <w:rFonts w:ascii="Times New Roman" w:hAnsi="Times New Roman"/>
          <w:sz w:val="24"/>
          <w:szCs w:val="20"/>
        </w:rPr>
        <w:t>.</w:t>
      </w:r>
    </w:p>
    <w:p w:rsidRPr="004A7AD4" w:rsidR="009878BC" w:rsidP="00A320C1" w:rsidRDefault="009878BC" w14:paraId="37F6938B" w14:textId="77777777">
      <w:pPr>
        <w:tabs>
          <w:tab w:val="left" w:pos="284"/>
          <w:tab w:val="left" w:pos="567"/>
          <w:tab w:val="left" w:pos="851"/>
        </w:tabs>
        <w:spacing w:line="240" w:lineRule="auto"/>
        <w:ind w:right="-2"/>
        <w:jc w:val="both"/>
        <w:rPr>
          <w:rFonts w:ascii="Times New Roman" w:hAnsi="Times New Roman"/>
          <w:i/>
          <w:iCs/>
          <w:sz w:val="24"/>
          <w:szCs w:val="20"/>
        </w:rPr>
      </w:pPr>
    </w:p>
    <w:p w:rsidR="001F70DE" w:rsidP="00A320C1" w:rsidRDefault="001F70DE" w14:paraId="1F63D83D" w14:textId="77777777">
      <w:pPr>
        <w:tabs>
          <w:tab w:val="left" w:pos="284"/>
          <w:tab w:val="left" w:pos="567"/>
          <w:tab w:val="left" w:pos="851"/>
        </w:tabs>
        <w:spacing w:line="240" w:lineRule="auto"/>
        <w:ind w:right="-2"/>
        <w:jc w:val="both"/>
        <w:rPr>
          <w:rFonts w:ascii="Times New Roman" w:hAnsi="Times New Roman"/>
          <w:i/>
          <w:iCs/>
          <w:sz w:val="24"/>
          <w:szCs w:val="20"/>
        </w:rPr>
      </w:pPr>
      <w:r w:rsidRPr="004A7AD4">
        <w:rPr>
          <w:rFonts w:ascii="Times New Roman" w:hAnsi="Times New Roman"/>
          <w:i/>
          <w:iCs/>
          <w:sz w:val="24"/>
          <w:szCs w:val="20"/>
        </w:rPr>
        <w:t>De leden van de PVV-fractie begrijpen dat niet altijd op voorhand duidelijk is wanneer sprake is van ongewenste lokale of regionale marktmacht. Deze leden onderschrijven daarom het belang van een inroepbevoegdheid voor de ACM, zodat de toezichthouder kan ingrijpen wanneer zij signalen ziet dat er ongewenste situaties ontstaan. Tegelijkertijd merken deze leden op dat de ACM niet altijd volledig zicht zal hebben op ontwikkelingen in specifieke markten of regio’s. Zou het daarom wenselijk zijn om een meldpunt in te richten waar ondernemers en anderen signalen kunnen melden over mogelijk ongewenste marktmacht of concentratievorming? Kan de initiatiefnemer toelichten of een dergelijk meldpunt volgens hem kan bijdragen aan het tijdig signaleren van situaties waarin gebruik van de inroepbevoegdheid wenselijk is?</w:t>
      </w:r>
    </w:p>
    <w:p w:rsidR="007A07EB" w:rsidP="00A320C1" w:rsidRDefault="007A07EB" w14:paraId="3E1C85F8" w14:textId="77777777">
      <w:pPr>
        <w:tabs>
          <w:tab w:val="left" w:pos="284"/>
          <w:tab w:val="left" w:pos="567"/>
          <w:tab w:val="left" w:pos="851"/>
        </w:tabs>
        <w:spacing w:line="240" w:lineRule="auto"/>
        <w:ind w:right="-2"/>
        <w:jc w:val="both"/>
        <w:rPr>
          <w:rFonts w:ascii="Times New Roman" w:hAnsi="Times New Roman"/>
          <w:i/>
          <w:iCs/>
          <w:sz w:val="24"/>
          <w:szCs w:val="20"/>
        </w:rPr>
      </w:pPr>
    </w:p>
    <w:p w:rsidRPr="003E4A22" w:rsidR="00697514" w:rsidP="003E4A22" w:rsidRDefault="007A07EB" w14:paraId="5B9A1D2A" w14:textId="7B21DDDE">
      <w:pPr>
        <w:tabs>
          <w:tab w:val="left" w:pos="284"/>
          <w:tab w:val="left" w:pos="567"/>
          <w:tab w:val="left" w:pos="851"/>
        </w:tabs>
        <w:spacing w:line="240" w:lineRule="auto"/>
        <w:ind w:right="-2"/>
        <w:jc w:val="both"/>
        <w:rPr>
          <w:rFonts w:ascii="Times New Roman" w:hAnsi="Times New Roman"/>
          <w:sz w:val="24"/>
        </w:rPr>
      </w:pPr>
      <w:r>
        <w:rPr>
          <w:rFonts w:ascii="Times New Roman" w:hAnsi="Times New Roman"/>
          <w:sz w:val="24"/>
          <w:szCs w:val="20"/>
        </w:rPr>
        <w:t xml:space="preserve">De initiatiefnemer is het met de leden van de PVV-fractie eens dat </w:t>
      </w:r>
      <w:r w:rsidR="007625C1">
        <w:rPr>
          <w:rFonts w:ascii="Times New Roman" w:hAnsi="Times New Roman"/>
          <w:sz w:val="24"/>
          <w:szCs w:val="20"/>
        </w:rPr>
        <w:t>ondernemers en anderen signalen moeten kunnen doorgeven o</w:t>
      </w:r>
      <w:r w:rsidR="00556A97">
        <w:rPr>
          <w:rFonts w:ascii="Times New Roman" w:hAnsi="Times New Roman"/>
          <w:sz w:val="24"/>
          <w:szCs w:val="20"/>
        </w:rPr>
        <w:t xml:space="preserve">ver mogelijk ongewenste marktmacht of concentratievorming. De initiatiefnemer is bekend met </w:t>
      </w:r>
      <w:r w:rsidR="003E0B42">
        <w:rPr>
          <w:rFonts w:ascii="Times New Roman" w:hAnsi="Times New Roman"/>
          <w:sz w:val="24"/>
          <w:szCs w:val="20"/>
        </w:rPr>
        <w:t xml:space="preserve">het feit dat ondernemers </w:t>
      </w:r>
      <w:r w:rsidR="00583195">
        <w:rPr>
          <w:rFonts w:ascii="Times New Roman" w:hAnsi="Times New Roman"/>
          <w:sz w:val="24"/>
          <w:szCs w:val="20"/>
        </w:rPr>
        <w:t xml:space="preserve">bij de ACM melding kunnen doen onder andere als </w:t>
      </w:r>
      <w:r w:rsidRPr="00583195" w:rsidR="00583195">
        <w:rPr>
          <w:rFonts w:ascii="Times New Roman" w:hAnsi="Times New Roman"/>
          <w:sz w:val="24"/>
          <w:szCs w:val="20"/>
        </w:rPr>
        <w:t xml:space="preserve">een bedrijf </w:t>
      </w:r>
      <w:r w:rsidRPr="00583195" w:rsidR="00583195">
        <w:rPr>
          <w:rFonts w:ascii="Times New Roman" w:hAnsi="Times New Roman"/>
          <w:sz w:val="24"/>
          <w:szCs w:val="20"/>
        </w:rPr>
        <w:lastRenderedPageBreak/>
        <w:t>zich niet</w:t>
      </w:r>
      <w:r w:rsidR="009D2361">
        <w:rPr>
          <w:rFonts w:ascii="Times New Roman" w:hAnsi="Times New Roman"/>
          <w:sz w:val="24"/>
          <w:szCs w:val="20"/>
        </w:rPr>
        <w:t xml:space="preserve"> houdt</w:t>
      </w:r>
      <w:r w:rsidRPr="00583195" w:rsidR="00583195">
        <w:rPr>
          <w:rFonts w:ascii="Times New Roman" w:hAnsi="Times New Roman"/>
          <w:sz w:val="24"/>
          <w:szCs w:val="20"/>
        </w:rPr>
        <w:t xml:space="preserve"> aan de regels </w:t>
      </w:r>
      <w:r w:rsidR="00583195">
        <w:rPr>
          <w:rFonts w:ascii="Times New Roman" w:hAnsi="Times New Roman"/>
          <w:sz w:val="24"/>
          <w:szCs w:val="20"/>
        </w:rPr>
        <w:t xml:space="preserve">ten aanzien van </w:t>
      </w:r>
      <w:r w:rsidRPr="00583195" w:rsidR="00583195">
        <w:rPr>
          <w:rFonts w:ascii="Times New Roman" w:hAnsi="Times New Roman"/>
          <w:sz w:val="24"/>
          <w:szCs w:val="20"/>
        </w:rPr>
        <w:t>eerlijke concurrentie</w:t>
      </w:r>
      <w:r w:rsidR="008F76F2">
        <w:rPr>
          <w:rStyle w:val="Voetnootmarkering"/>
          <w:rFonts w:ascii="Times New Roman" w:hAnsi="Times New Roman"/>
          <w:sz w:val="24"/>
          <w:szCs w:val="20"/>
        </w:rPr>
        <w:footnoteReference w:id="4"/>
      </w:r>
      <w:r w:rsidR="008F76F2">
        <w:rPr>
          <w:rFonts w:ascii="Times New Roman" w:hAnsi="Times New Roman"/>
          <w:sz w:val="24"/>
          <w:szCs w:val="20"/>
        </w:rPr>
        <w:t>.</w:t>
      </w:r>
      <w:r w:rsidR="00FB629E">
        <w:rPr>
          <w:rFonts w:ascii="Times New Roman" w:hAnsi="Times New Roman"/>
          <w:sz w:val="24"/>
          <w:szCs w:val="20"/>
        </w:rPr>
        <w:t xml:space="preserve"> </w:t>
      </w:r>
      <w:r w:rsidR="008F76F2">
        <w:rPr>
          <w:rFonts w:ascii="Times New Roman" w:hAnsi="Times New Roman"/>
          <w:sz w:val="24"/>
          <w:szCs w:val="20"/>
        </w:rPr>
        <w:t xml:space="preserve">Voor consumenten </w:t>
      </w:r>
      <w:r w:rsidR="00102C20">
        <w:rPr>
          <w:rFonts w:ascii="Times New Roman" w:hAnsi="Times New Roman"/>
          <w:sz w:val="24"/>
          <w:szCs w:val="20"/>
        </w:rPr>
        <w:t xml:space="preserve">bestaat </w:t>
      </w:r>
      <w:r w:rsidR="00FB629E">
        <w:rPr>
          <w:rFonts w:ascii="Times New Roman" w:hAnsi="Times New Roman"/>
          <w:sz w:val="24"/>
          <w:szCs w:val="20"/>
        </w:rPr>
        <w:t xml:space="preserve">bij de ACM </w:t>
      </w:r>
      <w:r w:rsidR="00102C20">
        <w:rPr>
          <w:rFonts w:ascii="Times New Roman" w:hAnsi="Times New Roman"/>
          <w:sz w:val="24"/>
          <w:szCs w:val="20"/>
        </w:rPr>
        <w:t xml:space="preserve">de </w:t>
      </w:r>
      <w:proofErr w:type="spellStart"/>
      <w:r w:rsidRPr="003E4A22" w:rsidR="00102C20">
        <w:rPr>
          <w:rFonts w:ascii="Times New Roman" w:hAnsi="Times New Roman"/>
          <w:sz w:val="24"/>
          <w:szCs w:val="20"/>
        </w:rPr>
        <w:t>Consu</w:t>
      </w:r>
      <w:r w:rsidRPr="003E4A22" w:rsidR="00FB629E">
        <w:rPr>
          <w:rFonts w:ascii="Times New Roman" w:hAnsi="Times New Roman"/>
          <w:sz w:val="24"/>
          <w:szCs w:val="20"/>
        </w:rPr>
        <w:t>W</w:t>
      </w:r>
      <w:r w:rsidRPr="003E4A22" w:rsidR="00102C20">
        <w:rPr>
          <w:rFonts w:ascii="Times New Roman" w:hAnsi="Times New Roman"/>
          <w:sz w:val="24"/>
          <w:szCs w:val="20"/>
        </w:rPr>
        <w:t>ijzer</w:t>
      </w:r>
      <w:proofErr w:type="spellEnd"/>
      <w:r w:rsidRPr="003E4A22" w:rsidR="00FB629E">
        <w:rPr>
          <w:rStyle w:val="Voetnootmarkering"/>
          <w:rFonts w:ascii="Times New Roman" w:hAnsi="Times New Roman"/>
          <w:sz w:val="24"/>
          <w:szCs w:val="20"/>
        </w:rPr>
        <w:footnoteReference w:id="5"/>
      </w:r>
      <w:r w:rsidRPr="003E4A22" w:rsidR="00FB629E">
        <w:rPr>
          <w:rFonts w:ascii="Times New Roman" w:hAnsi="Times New Roman"/>
          <w:sz w:val="24"/>
          <w:szCs w:val="20"/>
        </w:rPr>
        <w:t xml:space="preserve">. Wellicht </w:t>
      </w:r>
      <w:r w:rsidRPr="003E4A22" w:rsidR="003E4A22">
        <w:rPr>
          <w:rFonts w:ascii="Times New Roman" w:hAnsi="Times New Roman"/>
          <w:sz w:val="24"/>
          <w:szCs w:val="20"/>
        </w:rPr>
        <w:t xml:space="preserve">kunnen deze meldpunten ook gebruikt worden om </w:t>
      </w:r>
      <w:r w:rsidRPr="003E4A22" w:rsidR="003E4A22">
        <w:rPr>
          <w:rFonts w:ascii="Times New Roman" w:hAnsi="Times New Roman"/>
          <w:sz w:val="24"/>
        </w:rPr>
        <w:t>tijdig van situaties waarin gebruik van de inroepbevoegdheid wenselijk is te signaleren.</w:t>
      </w:r>
    </w:p>
    <w:p w:rsidRPr="004A7AD4" w:rsidR="00BD4A22" w:rsidP="00A320C1" w:rsidRDefault="00BD4A22" w14:paraId="68065CBE" w14:textId="77777777">
      <w:pPr>
        <w:spacing w:line="240" w:lineRule="auto"/>
        <w:jc w:val="both"/>
        <w:rPr>
          <w:rFonts w:ascii="Times New Roman" w:hAnsi="Times New Roman"/>
          <w:b/>
          <w:bCs/>
          <w:i/>
          <w:iCs/>
          <w:sz w:val="24"/>
        </w:rPr>
      </w:pPr>
    </w:p>
    <w:p w:rsidRPr="004A7AD4" w:rsidR="00BD4A22" w:rsidP="00A320C1" w:rsidRDefault="00BD4A22" w14:paraId="2348FC48" w14:textId="77777777">
      <w:pPr>
        <w:spacing w:line="240" w:lineRule="auto"/>
        <w:jc w:val="both"/>
        <w:rPr>
          <w:rFonts w:ascii="Times New Roman" w:hAnsi="Times New Roman"/>
          <w:b/>
          <w:bCs/>
          <w:i/>
          <w:iCs/>
          <w:sz w:val="24"/>
        </w:rPr>
      </w:pPr>
    </w:p>
    <w:p w:rsidRPr="004A7AD4" w:rsidR="00697514" w:rsidP="00A320C1" w:rsidRDefault="00697514" w14:paraId="425DB717" w14:textId="5720E048">
      <w:pPr>
        <w:spacing w:line="240" w:lineRule="auto"/>
        <w:jc w:val="both"/>
        <w:rPr>
          <w:rFonts w:ascii="Times New Roman" w:hAnsi="Times New Roman"/>
          <w:b/>
          <w:bCs/>
          <w:i/>
          <w:iCs/>
          <w:sz w:val="24"/>
        </w:rPr>
      </w:pPr>
      <w:r w:rsidRPr="004A7AD4">
        <w:rPr>
          <w:rFonts w:ascii="Times New Roman" w:hAnsi="Times New Roman"/>
          <w:b/>
          <w:bCs/>
          <w:i/>
          <w:iCs/>
          <w:sz w:val="24"/>
        </w:rPr>
        <w:t>Artikel III</w:t>
      </w:r>
    </w:p>
    <w:p w:rsidRPr="004A7AD4" w:rsidR="000469EA" w:rsidP="00A320C1" w:rsidRDefault="000469EA" w14:paraId="28F7B47D" w14:textId="77777777">
      <w:pPr>
        <w:spacing w:line="240" w:lineRule="auto"/>
        <w:jc w:val="both"/>
        <w:rPr>
          <w:rFonts w:ascii="Times New Roman" w:hAnsi="Times New Roman"/>
          <w:i/>
          <w:iCs/>
          <w:sz w:val="24"/>
        </w:rPr>
      </w:pPr>
    </w:p>
    <w:p w:rsidRPr="004A7AD4" w:rsidR="004D0F18" w:rsidP="004D0F18" w:rsidRDefault="00794B96" w14:paraId="57338884" w14:textId="77777777">
      <w:pPr>
        <w:spacing w:line="240" w:lineRule="auto"/>
        <w:jc w:val="both"/>
        <w:rPr>
          <w:rFonts w:ascii="Times New Roman" w:hAnsi="Times New Roman"/>
          <w:i/>
          <w:iCs/>
          <w:sz w:val="24"/>
        </w:rPr>
      </w:pPr>
      <w:r w:rsidRPr="004A7AD4">
        <w:rPr>
          <w:rFonts w:ascii="Times New Roman" w:hAnsi="Times New Roman"/>
          <w:i/>
          <w:iCs/>
          <w:sz w:val="24"/>
        </w:rPr>
        <w:t xml:space="preserve">De leden van de CDA-fractie merken op dat het wetsvoorstel geen specifieke termijn bevat voor de inwerkingtreding van de voorgestelde bevoegdheid. Zij vragen de initiatiefnemer welke termijn hij redelijk acht tussen de aanvaarding van het wetsvoorstel en de daadwerkelijke inwerkingtreding daarvan. Daarbij vragen </w:t>
      </w:r>
      <w:r w:rsidRPr="004A7AD4" w:rsidR="009878BC">
        <w:rPr>
          <w:rFonts w:ascii="Times New Roman" w:hAnsi="Times New Roman"/>
          <w:i/>
          <w:iCs/>
          <w:sz w:val="24"/>
        </w:rPr>
        <w:t>deze leden</w:t>
      </w:r>
      <w:r w:rsidRPr="004A7AD4">
        <w:rPr>
          <w:rFonts w:ascii="Times New Roman" w:hAnsi="Times New Roman"/>
          <w:i/>
          <w:iCs/>
          <w:sz w:val="24"/>
        </w:rPr>
        <w:t xml:space="preserve"> in het bijzonder welke voorbereidingstijd volgens de initiatiefnemer noodzakelijk is voor de ACM. De voorgestelde inroepbevoegdheid lijkt immers in belangrijke mate afhankelijk van de ontwikkeling van </w:t>
      </w:r>
      <w:proofErr w:type="spellStart"/>
      <w:r w:rsidRPr="004A7AD4">
        <w:rPr>
          <w:rFonts w:ascii="Times New Roman" w:hAnsi="Times New Roman"/>
          <w:i/>
          <w:iCs/>
          <w:sz w:val="24"/>
        </w:rPr>
        <w:t>guidance</w:t>
      </w:r>
      <w:proofErr w:type="spellEnd"/>
      <w:r w:rsidRPr="004A7AD4">
        <w:rPr>
          <w:rFonts w:ascii="Times New Roman" w:hAnsi="Times New Roman"/>
          <w:i/>
          <w:iCs/>
          <w:sz w:val="24"/>
        </w:rPr>
        <w:t>, een leidraad en de mogelijkheid voor ondernemingen om vooraf een informele zienswijze te verkrijgen. Voorts vragen de leden van de CDA-fractie hoe de initiatiefnemer het risico beoordeelt dat de bevoegdheid formeel in werking treedt voordat deze ondersteunende instrumenten voldoende zijn uitgewerkt. Acht de initiatiefnemer het wenselijk dat de leidraad en de werkwijze rondom informele zienswijzen beschikbaar zijn voordat de bevoegdheid daadwerkelijk van kracht wordt, mede om onzekerheid bij ondernemingen te beperken? </w:t>
      </w:r>
      <w:r w:rsidRPr="004A7AD4" w:rsidR="004D0F18">
        <w:rPr>
          <w:rFonts w:ascii="Times New Roman" w:hAnsi="Times New Roman"/>
          <w:i/>
          <w:iCs/>
          <w:sz w:val="24"/>
        </w:rPr>
        <w:t>Tot slot vragen de leden van de CDA-fractie aan welke voorwaarden volgens de initiatiefnemer moet zijn voldaan voordat de ACM deze nieuwe bevoegdheid op een voorspelbare, uitvoerbare en </w:t>
      </w:r>
      <w:proofErr w:type="spellStart"/>
      <w:r w:rsidRPr="004A7AD4" w:rsidR="004D0F18">
        <w:rPr>
          <w:rFonts w:ascii="Times New Roman" w:hAnsi="Times New Roman"/>
          <w:i/>
          <w:iCs/>
          <w:sz w:val="24"/>
        </w:rPr>
        <w:t>rechtszekere</w:t>
      </w:r>
      <w:proofErr w:type="spellEnd"/>
      <w:r w:rsidRPr="004A7AD4" w:rsidR="004D0F18">
        <w:rPr>
          <w:rFonts w:ascii="Times New Roman" w:hAnsi="Times New Roman"/>
          <w:i/>
          <w:iCs/>
          <w:sz w:val="24"/>
        </w:rPr>
        <w:t> wijze kan toepassen. </w:t>
      </w:r>
    </w:p>
    <w:p w:rsidR="00FA096C" w:rsidP="00A320C1" w:rsidRDefault="00FA096C" w14:paraId="5693BB97" w14:textId="77777777">
      <w:pPr>
        <w:spacing w:line="240" w:lineRule="auto"/>
        <w:jc w:val="both"/>
        <w:rPr>
          <w:rFonts w:ascii="Times New Roman" w:hAnsi="Times New Roman"/>
          <w:i/>
          <w:iCs/>
          <w:sz w:val="24"/>
        </w:rPr>
      </w:pPr>
    </w:p>
    <w:p w:rsidRPr="00FA096C" w:rsidR="00FA096C" w:rsidP="00A320C1" w:rsidRDefault="00FA096C" w14:paraId="4F443485" w14:textId="0127E05F">
      <w:pPr>
        <w:spacing w:line="240" w:lineRule="auto"/>
        <w:jc w:val="both"/>
        <w:rPr>
          <w:rFonts w:ascii="Times New Roman" w:hAnsi="Times New Roman"/>
          <w:sz w:val="24"/>
        </w:rPr>
      </w:pPr>
      <w:r w:rsidRPr="00FA096C">
        <w:rPr>
          <w:rFonts w:ascii="Times New Roman" w:hAnsi="Times New Roman"/>
          <w:sz w:val="24"/>
        </w:rPr>
        <w:t>In antwoord op de</w:t>
      </w:r>
      <w:r w:rsidR="004D0F18">
        <w:rPr>
          <w:rFonts w:ascii="Times New Roman" w:hAnsi="Times New Roman"/>
          <w:sz w:val="24"/>
        </w:rPr>
        <w:t>ze</w:t>
      </w:r>
      <w:r w:rsidRPr="00FA096C">
        <w:rPr>
          <w:rFonts w:ascii="Times New Roman" w:hAnsi="Times New Roman"/>
          <w:sz w:val="24"/>
        </w:rPr>
        <w:t xml:space="preserve"> vrag</w:t>
      </w:r>
      <w:r w:rsidR="004D0F18">
        <w:rPr>
          <w:rFonts w:ascii="Times New Roman" w:hAnsi="Times New Roman"/>
          <w:sz w:val="24"/>
        </w:rPr>
        <w:t>en</w:t>
      </w:r>
      <w:r w:rsidRPr="00FA096C">
        <w:rPr>
          <w:rFonts w:ascii="Times New Roman" w:hAnsi="Times New Roman"/>
          <w:sz w:val="24"/>
        </w:rPr>
        <w:t xml:space="preserve"> van de leden van de CDA-fractie meent de initiatiefnemer dat de wet niet eerder in werking dient te treden dan nadat de leidraad en de mogelijkheid om een informele zienswijze te verkrijgen beiden beschikbaar zijn.</w:t>
      </w:r>
      <w:r>
        <w:rPr>
          <w:rFonts w:ascii="Times New Roman" w:hAnsi="Times New Roman"/>
          <w:sz w:val="24"/>
        </w:rPr>
        <w:t xml:space="preserve"> </w:t>
      </w:r>
      <w:r w:rsidR="007F3418">
        <w:rPr>
          <w:rFonts w:ascii="Times New Roman" w:hAnsi="Times New Roman"/>
          <w:sz w:val="24"/>
        </w:rPr>
        <w:t xml:space="preserve">Bovendien dient de ACM de benodigde capaciteit te hebben om de inroepbevoegdheid te kunnen toepassen. </w:t>
      </w:r>
      <w:r w:rsidR="005B37AB">
        <w:rPr>
          <w:rFonts w:ascii="Times New Roman" w:hAnsi="Times New Roman"/>
          <w:sz w:val="24"/>
        </w:rPr>
        <w:t xml:space="preserve">Het is aan het Koninklijk Besluit ter inwerkingtreding van de wet om hiermee rekening te houden. </w:t>
      </w:r>
      <w:r w:rsidR="00A22601">
        <w:rPr>
          <w:rFonts w:ascii="Times New Roman" w:hAnsi="Times New Roman"/>
          <w:sz w:val="24"/>
        </w:rPr>
        <w:t>Daarmee</w:t>
      </w:r>
      <w:r w:rsidR="007F3418">
        <w:rPr>
          <w:rFonts w:ascii="Times New Roman" w:hAnsi="Times New Roman"/>
          <w:sz w:val="24"/>
        </w:rPr>
        <w:t xml:space="preserve"> kan</w:t>
      </w:r>
      <w:r w:rsidR="00A22601">
        <w:rPr>
          <w:rFonts w:ascii="Times New Roman" w:hAnsi="Times New Roman"/>
          <w:sz w:val="24"/>
        </w:rPr>
        <w:t>, naast het feit dat de inroepbevoegdheid in hoge mate gebaseerd is op het reeds bestaande concentratietoezicht,</w:t>
      </w:r>
      <w:r w:rsidR="007F3418">
        <w:rPr>
          <w:rFonts w:ascii="Times New Roman" w:hAnsi="Times New Roman"/>
          <w:sz w:val="24"/>
        </w:rPr>
        <w:t xml:space="preserve"> de</w:t>
      </w:r>
      <w:r w:rsidR="00D12D3F">
        <w:rPr>
          <w:rFonts w:ascii="Times New Roman" w:hAnsi="Times New Roman"/>
          <w:sz w:val="24"/>
        </w:rPr>
        <w:t xml:space="preserve">ze </w:t>
      </w:r>
      <w:r w:rsidR="007F3418">
        <w:rPr>
          <w:rFonts w:ascii="Times New Roman" w:hAnsi="Times New Roman"/>
          <w:sz w:val="24"/>
        </w:rPr>
        <w:t xml:space="preserve">bevoegdheid op een voorspelbare, uitvoerbare en </w:t>
      </w:r>
      <w:proofErr w:type="spellStart"/>
      <w:r w:rsidR="007F3418">
        <w:rPr>
          <w:rFonts w:ascii="Times New Roman" w:hAnsi="Times New Roman"/>
          <w:sz w:val="24"/>
        </w:rPr>
        <w:t>rechtszekere</w:t>
      </w:r>
      <w:proofErr w:type="spellEnd"/>
      <w:r w:rsidR="007F3418">
        <w:rPr>
          <w:rFonts w:ascii="Times New Roman" w:hAnsi="Times New Roman"/>
          <w:sz w:val="24"/>
        </w:rPr>
        <w:t xml:space="preserve"> wijze worden toegepast. </w:t>
      </w:r>
    </w:p>
    <w:p w:rsidR="009878BC" w:rsidP="00A320C1" w:rsidRDefault="009878BC" w14:paraId="10F95BC4" w14:textId="77777777">
      <w:pPr>
        <w:spacing w:line="240" w:lineRule="auto"/>
        <w:jc w:val="both"/>
        <w:rPr>
          <w:rFonts w:ascii="Times New Roman" w:hAnsi="Times New Roman"/>
          <w:i/>
          <w:iCs/>
          <w:sz w:val="24"/>
        </w:rPr>
      </w:pPr>
    </w:p>
    <w:p w:rsidRPr="007621C7" w:rsidR="007621C7" w:rsidP="00A320C1" w:rsidRDefault="007621C7" w14:paraId="1702A978" w14:textId="1750070E">
      <w:pPr>
        <w:spacing w:line="240" w:lineRule="auto"/>
        <w:jc w:val="both"/>
        <w:rPr>
          <w:rFonts w:ascii="Times New Roman" w:hAnsi="Times New Roman"/>
          <w:sz w:val="24"/>
        </w:rPr>
      </w:pPr>
      <w:r>
        <w:rPr>
          <w:rFonts w:ascii="Times New Roman" w:hAnsi="Times New Roman"/>
          <w:sz w:val="24"/>
        </w:rPr>
        <w:t xml:space="preserve">Bushoff </w:t>
      </w:r>
    </w:p>
    <w:p w:rsidRPr="004A7AD4" w:rsidR="0092495F" w:rsidP="00A320C1" w:rsidRDefault="0092495F" w14:paraId="74E5CB72" w14:textId="77777777">
      <w:pPr>
        <w:spacing w:line="240" w:lineRule="auto"/>
        <w:jc w:val="both"/>
        <w:rPr>
          <w:rFonts w:ascii="Times New Roman" w:hAnsi="Times New Roman"/>
          <w:i/>
          <w:iCs/>
          <w:sz w:val="24"/>
        </w:rPr>
      </w:pPr>
    </w:p>
    <w:p w:rsidRPr="004A7AD4" w:rsidR="0092495F" w:rsidP="00A320C1" w:rsidRDefault="0092495F" w14:paraId="29324E4D" w14:textId="77777777">
      <w:pPr>
        <w:spacing w:line="240" w:lineRule="auto"/>
        <w:jc w:val="both"/>
        <w:rPr>
          <w:rFonts w:ascii="Times New Roman" w:hAnsi="Times New Roman"/>
          <w:i/>
          <w:iCs/>
          <w:sz w:val="24"/>
        </w:rPr>
      </w:pPr>
    </w:p>
    <w:sectPr w:rsidRPr="004A7AD4" w:rsidR="0092495F" w:rsidSect="00DE555F">
      <w:footerReference w:type="defaul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FB6C" w14:textId="77777777" w:rsidR="00EF4083" w:rsidRDefault="00EF4083" w:rsidP="005F3ED6">
      <w:pPr>
        <w:spacing w:line="240" w:lineRule="auto"/>
      </w:pPr>
      <w:r>
        <w:separator/>
      </w:r>
    </w:p>
  </w:endnote>
  <w:endnote w:type="continuationSeparator" w:id="0">
    <w:p w14:paraId="503CD2C1" w14:textId="77777777" w:rsidR="00EF4083" w:rsidRDefault="00EF4083" w:rsidP="005F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altName w:val="Calibri"/>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1C8" w14:textId="2C9A2226" w:rsidR="005A4300" w:rsidRDefault="005A4300">
    <w:pPr>
      <w:pStyle w:val="Voettekst"/>
      <w:jc w:val="right"/>
    </w:pPr>
  </w:p>
  <w:p w14:paraId="0102A0A1" w14:textId="637556EF" w:rsidR="005F3ED6" w:rsidRDefault="005F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46EE" w14:textId="77777777" w:rsidR="00EF4083" w:rsidRDefault="00EF4083" w:rsidP="005F3ED6">
      <w:pPr>
        <w:spacing w:line="240" w:lineRule="auto"/>
      </w:pPr>
      <w:r>
        <w:separator/>
      </w:r>
    </w:p>
  </w:footnote>
  <w:footnote w:type="continuationSeparator" w:id="0">
    <w:p w14:paraId="3FEA5C68" w14:textId="77777777" w:rsidR="00EF4083" w:rsidRDefault="00EF4083" w:rsidP="005F3ED6">
      <w:pPr>
        <w:spacing w:line="240" w:lineRule="auto"/>
      </w:pPr>
      <w:r>
        <w:continuationSeparator/>
      </w:r>
    </w:p>
  </w:footnote>
  <w:footnote w:id="1">
    <w:p w14:paraId="179BEE54" w14:textId="07460D86" w:rsidR="00384181" w:rsidRPr="00E42BCD" w:rsidRDefault="00384181">
      <w:pPr>
        <w:pStyle w:val="Voetnoottekst"/>
      </w:pPr>
      <w:r w:rsidRPr="00E42BCD">
        <w:rPr>
          <w:rStyle w:val="Voetnootmarkering"/>
        </w:rPr>
        <w:footnoteRef/>
      </w:r>
      <w:r w:rsidRPr="00E42BCD">
        <w:t xml:space="preserve"> Kamerstuk 36 495, nr. 7.</w:t>
      </w:r>
    </w:p>
  </w:footnote>
  <w:footnote w:id="2">
    <w:p w14:paraId="2D55D189" w14:textId="75060D37" w:rsidR="00B344DE" w:rsidRPr="00E42BCD" w:rsidRDefault="00B344DE">
      <w:pPr>
        <w:pStyle w:val="Voetnoottekst"/>
      </w:pPr>
      <w:r w:rsidRPr="00E42BCD">
        <w:rPr>
          <w:rStyle w:val="Voetnootmarkering"/>
        </w:rPr>
        <w:footnoteRef/>
      </w:r>
      <w:r w:rsidRPr="00E42BCD">
        <w:t xml:space="preserve"> </w:t>
      </w:r>
      <w:hyperlink r:id="rId1" w:history="1">
        <w:r w:rsidR="00B66A98" w:rsidRPr="00E42BCD">
          <w:rPr>
            <w:rStyle w:val="Hyperlink"/>
          </w:rPr>
          <w:t>https://www.acm.nl/nl/concurrentie-en-marktwerking/overzicht-van-wetten-en-regels-over-concurrentie-en-marktwerking</w:t>
        </w:r>
      </w:hyperlink>
      <w:r w:rsidR="00B66A98" w:rsidRPr="00E42BCD">
        <w:t xml:space="preserve"> </w:t>
      </w:r>
    </w:p>
  </w:footnote>
  <w:footnote w:id="3">
    <w:p w14:paraId="374A3D19" w14:textId="7295BF0E" w:rsidR="001A435D" w:rsidRPr="00E42BCD" w:rsidRDefault="001A435D" w:rsidP="001A435D">
      <w:pPr>
        <w:pStyle w:val="Voetnoottekst"/>
      </w:pPr>
      <w:r w:rsidRPr="00E42BCD">
        <w:rPr>
          <w:rStyle w:val="Voetnootmarkering"/>
        </w:rPr>
        <w:footnoteRef/>
      </w:r>
      <w:r w:rsidRPr="00E42BCD">
        <w:t xml:space="preserve"> </w:t>
      </w:r>
      <w:r w:rsidR="00CE2BE2" w:rsidRPr="00E42BCD">
        <w:t>ACM, 17 maart 2025, ACM/25/193908 ACM Wetgevingsbrief 2025. (</w:t>
      </w:r>
      <w:hyperlink r:id="rId2" w:tgtFrame="_blank" w:history="1">
        <w:r w:rsidR="00CE2BE2" w:rsidRPr="00E42BCD">
          <w:rPr>
            <w:rStyle w:val="Hyperlink"/>
          </w:rPr>
          <w:t>https://www.acm.nl/system/files/documents/2025-acm-wetgevingsbrief.pdf</w:t>
        </w:r>
      </w:hyperlink>
      <w:r w:rsidR="00CE2BE2" w:rsidRPr="00E42BCD">
        <w:t>)</w:t>
      </w:r>
    </w:p>
  </w:footnote>
  <w:footnote w:id="4">
    <w:p w14:paraId="651D9EFD" w14:textId="47E21D62" w:rsidR="008F76F2" w:rsidRPr="00E42BCD" w:rsidRDefault="008F76F2">
      <w:pPr>
        <w:pStyle w:val="Voetnoottekst"/>
      </w:pPr>
      <w:r w:rsidRPr="00E42BCD">
        <w:rPr>
          <w:rStyle w:val="Voetnootmarkering"/>
        </w:rPr>
        <w:footnoteRef/>
      </w:r>
      <w:r w:rsidRPr="00E42BCD">
        <w:t xml:space="preserve"> </w:t>
      </w:r>
      <w:hyperlink r:id="rId3" w:history="1">
        <w:r w:rsidRPr="00E42BCD">
          <w:rPr>
            <w:rStyle w:val="Hyperlink"/>
          </w:rPr>
          <w:t>https://www.acm.nl/nl/contact/tips-en-meldingen/tip-ons</w:t>
        </w:r>
      </w:hyperlink>
      <w:r w:rsidRPr="00E42BCD">
        <w:t xml:space="preserve"> </w:t>
      </w:r>
    </w:p>
  </w:footnote>
  <w:footnote w:id="5">
    <w:p w14:paraId="472C92AF" w14:textId="479A6247" w:rsidR="00FB629E" w:rsidRPr="00E42BCD" w:rsidRDefault="00FB629E">
      <w:pPr>
        <w:pStyle w:val="Voetnoottekst"/>
      </w:pPr>
      <w:r w:rsidRPr="00E42BCD">
        <w:rPr>
          <w:rStyle w:val="Voetnootmarkering"/>
        </w:rPr>
        <w:footnoteRef/>
      </w:r>
      <w:r w:rsidRPr="00E42BCD">
        <w:rPr>
          <w:rStyle w:val="Voetnootmarkering"/>
        </w:rPr>
        <w:footnoteRef/>
      </w:r>
      <w:r w:rsidRPr="00E42BCD">
        <w:t xml:space="preserve"> </w:t>
      </w:r>
      <w:hyperlink r:id="rId4" w:history="1">
        <w:r w:rsidRPr="00E42BCD">
          <w:rPr>
            <w:rStyle w:val="Hyperlink"/>
          </w:rPr>
          <w:t>https://consument.acm.nl/doe-uw-melding-bij-acm-consuwijzer</w:t>
        </w:r>
      </w:hyperlink>
      <w:r w:rsidRPr="00E42BC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7128696">
      <w:start w:val="1"/>
      <w:numFmt w:val="bullet"/>
      <w:pStyle w:val="Lijstopsomteken"/>
      <w:lvlText w:val="•"/>
      <w:lvlJc w:val="left"/>
      <w:pPr>
        <w:tabs>
          <w:tab w:val="num" w:pos="227"/>
        </w:tabs>
        <w:ind w:left="227" w:hanging="227"/>
      </w:pPr>
      <w:rPr>
        <w:rFonts w:ascii="Verdana" w:hAnsi="Verdana" w:hint="default"/>
        <w:sz w:val="18"/>
        <w:szCs w:val="18"/>
      </w:rPr>
    </w:lvl>
    <w:lvl w:ilvl="1" w:tplc="96605FEA" w:tentative="1">
      <w:start w:val="1"/>
      <w:numFmt w:val="bullet"/>
      <w:lvlText w:val="o"/>
      <w:lvlJc w:val="left"/>
      <w:pPr>
        <w:tabs>
          <w:tab w:val="num" w:pos="1440"/>
        </w:tabs>
        <w:ind w:left="1440" w:hanging="360"/>
      </w:pPr>
      <w:rPr>
        <w:rFonts w:ascii="Courier New" w:hAnsi="Courier New" w:cs="Courier New" w:hint="default"/>
      </w:rPr>
    </w:lvl>
    <w:lvl w:ilvl="2" w:tplc="0C822852" w:tentative="1">
      <w:start w:val="1"/>
      <w:numFmt w:val="bullet"/>
      <w:lvlText w:val=""/>
      <w:lvlJc w:val="left"/>
      <w:pPr>
        <w:tabs>
          <w:tab w:val="num" w:pos="2160"/>
        </w:tabs>
        <w:ind w:left="2160" w:hanging="360"/>
      </w:pPr>
      <w:rPr>
        <w:rFonts w:ascii="Wingdings" w:hAnsi="Wingdings" w:hint="default"/>
      </w:rPr>
    </w:lvl>
    <w:lvl w:ilvl="3" w:tplc="56402AE8" w:tentative="1">
      <w:start w:val="1"/>
      <w:numFmt w:val="bullet"/>
      <w:lvlText w:val=""/>
      <w:lvlJc w:val="left"/>
      <w:pPr>
        <w:tabs>
          <w:tab w:val="num" w:pos="2880"/>
        </w:tabs>
        <w:ind w:left="2880" w:hanging="360"/>
      </w:pPr>
      <w:rPr>
        <w:rFonts w:ascii="Symbol" w:hAnsi="Symbol" w:hint="default"/>
      </w:rPr>
    </w:lvl>
    <w:lvl w:ilvl="4" w:tplc="496C1C28" w:tentative="1">
      <w:start w:val="1"/>
      <w:numFmt w:val="bullet"/>
      <w:lvlText w:val="o"/>
      <w:lvlJc w:val="left"/>
      <w:pPr>
        <w:tabs>
          <w:tab w:val="num" w:pos="3600"/>
        </w:tabs>
        <w:ind w:left="3600" w:hanging="360"/>
      </w:pPr>
      <w:rPr>
        <w:rFonts w:ascii="Courier New" w:hAnsi="Courier New" w:cs="Courier New" w:hint="default"/>
      </w:rPr>
    </w:lvl>
    <w:lvl w:ilvl="5" w:tplc="8B469A96" w:tentative="1">
      <w:start w:val="1"/>
      <w:numFmt w:val="bullet"/>
      <w:lvlText w:val=""/>
      <w:lvlJc w:val="left"/>
      <w:pPr>
        <w:tabs>
          <w:tab w:val="num" w:pos="4320"/>
        </w:tabs>
        <w:ind w:left="4320" w:hanging="360"/>
      </w:pPr>
      <w:rPr>
        <w:rFonts w:ascii="Wingdings" w:hAnsi="Wingdings" w:hint="default"/>
      </w:rPr>
    </w:lvl>
    <w:lvl w:ilvl="6" w:tplc="05866704" w:tentative="1">
      <w:start w:val="1"/>
      <w:numFmt w:val="bullet"/>
      <w:lvlText w:val=""/>
      <w:lvlJc w:val="left"/>
      <w:pPr>
        <w:tabs>
          <w:tab w:val="num" w:pos="5040"/>
        </w:tabs>
        <w:ind w:left="5040" w:hanging="360"/>
      </w:pPr>
      <w:rPr>
        <w:rFonts w:ascii="Symbol" w:hAnsi="Symbol" w:hint="default"/>
      </w:rPr>
    </w:lvl>
    <w:lvl w:ilvl="7" w:tplc="7EF60894" w:tentative="1">
      <w:start w:val="1"/>
      <w:numFmt w:val="bullet"/>
      <w:lvlText w:val="o"/>
      <w:lvlJc w:val="left"/>
      <w:pPr>
        <w:tabs>
          <w:tab w:val="num" w:pos="5760"/>
        </w:tabs>
        <w:ind w:left="5760" w:hanging="360"/>
      </w:pPr>
      <w:rPr>
        <w:rFonts w:ascii="Courier New" w:hAnsi="Courier New" w:cs="Courier New" w:hint="default"/>
      </w:rPr>
    </w:lvl>
    <w:lvl w:ilvl="8" w:tplc="8B6299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22C91"/>
    <w:multiLevelType w:val="hybridMultilevel"/>
    <w:tmpl w:val="B04E1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6624EB"/>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55FEF"/>
    <w:multiLevelType w:val="hybridMultilevel"/>
    <w:tmpl w:val="50F0923E"/>
    <w:lvl w:ilvl="0" w:tplc="32CE6F5E">
      <w:start w:val="1"/>
      <w:numFmt w:val="bullet"/>
      <w:pStyle w:val="Lijstopsomteken2"/>
      <w:lvlText w:val="–"/>
      <w:lvlJc w:val="left"/>
      <w:pPr>
        <w:tabs>
          <w:tab w:val="num" w:pos="227"/>
        </w:tabs>
        <w:ind w:left="227" w:firstLine="0"/>
      </w:pPr>
      <w:rPr>
        <w:rFonts w:ascii="Verdana" w:hAnsi="Verdana" w:hint="default"/>
      </w:rPr>
    </w:lvl>
    <w:lvl w:ilvl="1" w:tplc="C458E396" w:tentative="1">
      <w:start w:val="1"/>
      <w:numFmt w:val="bullet"/>
      <w:lvlText w:val="o"/>
      <w:lvlJc w:val="left"/>
      <w:pPr>
        <w:tabs>
          <w:tab w:val="num" w:pos="1440"/>
        </w:tabs>
        <w:ind w:left="1440" w:hanging="360"/>
      </w:pPr>
      <w:rPr>
        <w:rFonts w:ascii="Courier New" w:hAnsi="Courier New" w:cs="Courier New" w:hint="default"/>
      </w:rPr>
    </w:lvl>
    <w:lvl w:ilvl="2" w:tplc="A8B84180" w:tentative="1">
      <w:start w:val="1"/>
      <w:numFmt w:val="bullet"/>
      <w:lvlText w:val=""/>
      <w:lvlJc w:val="left"/>
      <w:pPr>
        <w:tabs>
          <w:tab w:val="num" w:pos="2160"/>
        </w:tabs>
        <w:ind w:left="2160" w:hanging="360"/>
      </w:pPr>
      <w:rPr>
        <w:rFonts w:ascii="Wingdings" w:hAnsi="Wingdings" w:hint="default"/>
      </w:rPr>
    </w:lvl>
    <w:lvl w:ilvl="3" w:tplc="1AF6B5A0" w:tentative="1">
      <w:start w:val="1"/>
      <w:numFmt w:val="bullet"/>
      <w:lvlText w:val=""/>
      <w:lvlJc w:val="left"/>
      <w:pPr>
        <w:tabs>
          <w:tab w:val="num" w:pos="2880"/>
        </w:tabs>
        <w:ind w:left="2880" w:hanging="360"/>
      </w:pPr>
      <w:rPr>
        <w:rFonts w:ascii="Symbol" w:hAnsi="Symbol" w:hint="default"/>
      </w:rPr>
    </w:lvl>
    <w:lvl w:ilvl="4" w:tplc="69F41AB0" w:tentative="1">
      <w:start w:val="1"/>
      <w:numFmt w:val="bullet"/>
      <w:lvlText w:val="o"/>
      <w:lvlJc w:val="left"/>
      <w:pPr>
        <w:tabs>
          <w:tab w:val="num" w:pos="3600"/>
        </w:tabs>
        <w:ind w:left="3600" w:hanging="360"/>
      </w:pPr>
      <w:rPr>
        <w:rFonts w:ascii="Courier New" w:hAnsi="Courier New" w:cs="Courier New" w:hint="default"/>
      </w:rPr>
    </w:lvl>
    <w:lvl w:ilvl="5" w:tplc="11B813CE" w:tentative="1">
      <w:start w:val="1"/>
      <w:numFmt w:val="bullet"/>
      <w:lvlText w:val=""/>
      <w:lvlJc w:val="left"/>
      <w:pPr>
        <w:tabs>
          <w:tab w:val="num" w:pos="4320"/>
        </w:tabs>
        <w:ind w:left="4320" w:hanging="360"/>
      </w:pPr>
      <w:rPr>
        <w:rFonts w:ascii="Wingdings" w:hAnsi="Wingdings" w:hint="default"/>
      </w:rPr>
    </w:lvl>
    <w:lvl w:ilvl="6" w:tplc="26BC884E" w:tentative="1">
      <w:start w:val="1"/>
      <w:numFmt w:val="bullet"/>
      <w:lvlText w:val=""/>
      <w:lvlJc w:val="left"/>
      <w:pPr>
        <w:tabs>
          <w:tab w:val="num" w:pos="5040"/>
        </w:tabs>
        <w:ind w:left="5040" w:hanging="360"/>
      </w:pPr>
      <w:rPr>
        <w:rFonts w:ascii="Symbol" w:hAnsi="Symbol" w:hint="default"/>
      </w:rPr>
    </w:lvl>
    <w:lvl w:ilvl="7" w:tplc="C21E843E" w:tentative="1">
      <w:start w:val="1"/>
      <w:numFmt w:val="bullet"/>
      <w:lvlText w:val="o"/>
      <w:lvlJc w:val="left"/>
      <w:pPr>
        <w:tabs>
          <w:tab w:val="num" w:pos="5760"/>
        </w:tabs>
        <w:ind w:left="5760" w:hanging="360"/>
      </w:pPr>
      <w:rPr>
        <w:rFonts w:ascii="Courier New" w:hAnsi="Courier New" w:cs="Courier New" w:hint="default"/>
      </w:rPr>
    </w:lvl>
    <w:lvl w:ilvl="8" w:tplc="E8466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46E3C"/>
    <w:multiLevelType w:val="multilevel"/>
    <w:tmpl w:val="32C63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4069B"/>
    <w:multiLevelType w:val="hybridMultilevel"/>
    <w:tmpl w:val="CBACF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3B02BF"/>
    <w:multiLevelType w:val="hybridMultilevel"/>
    <w:tmpl w:val="F0ACB2A0"/>
    <w:lvl w:ilvl="0" w:tplc="31C847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E87637"/>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766C0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8E44BD"/>
    <w:multiLevelType w:val="hybridMultilevel"/>
    <w:tmpl w:val="B04E1C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8802231">
    <w:abstractNumId w:val="1"/>
  </w:num>
  <w:num w:numId="2" w16cid:durableId="2128424740">
    <w:abstractNumId w:val="2"/>
  </w:num>
  <w:num w:numId="3" w16cid:durableId="614168207">
    <w:abstractNumId w:val="0"/>
  </w:num>
  <w:num w:numId="4" w16cid:durableId="70591885">
    <w:abstractNumId w:val="5"/>
  </w:num>
  <w:num w:numId="5" w16cid:durableId="1444035953">
    <w:abstractNumId w:val="3"/>
  </w:num>
  <w:num w:numId="6" w16cid:durableId="2006979067">
    <w:abstractNumId w:val="4"/>
  </w:num>
  <w:num w:numId="7" w16cid:durableId="1345086780">
    <w:abstractNumId w:val="11"/>
  </w:num>
  <w:num w:numId="8" w16cid:durableId="1995599282">
    <w:abstractNumId w:val="10"/>
  </w:num>
  <w:num w:numId="9" w16cid:durableId="1925528102">
    <w:abstractNumId w:val="9"/>
  </w:num>
  <w:num w:numId="10" w16cid:durableId="937524266">
    <w:abstractNumId w:val="6"/>
  </w:num>
  <w:num w:numId="11" w16cid:durableId="2126657570">
    <w:abstractNumId w:val="7"/>
  </w:num>
  <w:num w:numId="12" w16cid:durableId="1854494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025D"/>
    <w:rsid w:val="0000136F"/>
    <w:rsid w:val="00001AE0"/>
    <w:rsid w:val="000122BA"/>
    <w:rsid w:val="00014FAF"/>
    <w:rsid w:val="00026376"/>
    <w:rsid w:val="000265F3"/>
    <w:rsid w:val="000271C3"/>
    <w:rsid w:val="00027E7C"/>
    <w:rsid w:val="000301B8"/>
    <w:rsid w:val="00030BCC"/>
    <w:rsid w:val="000319C5"/>
    <w:rsid w:val="00035923"/>
    <w:rsid w:val="00043EE3"/>
    <w:rsid w:val="00044AA3"/>
    <w:rsid w:val="000454D8"/>
    <w:rsid w:val="000469EA"/>
    <w:rsid w:val="0005199B"/>
    <w:rsid w:val="000642F0"/>
    <w:rsid w:val="0006441B"/>
    <w:rsid w:val="00064E53"/>
    <w:rsid w:val="00065053"/>
    <w:rsid w:val="0006645B"/>
    <w:rsid w:val="00070CDC"/>
    <w:rsid w:val="00073809"/>
    <w:rsid w:val="00074D01"/>
    <w:rsid w:val="00074F9D"/>
    <w:rsid w:val="000765FF"/>
    <w:rsid w:val="0008221B"/>
    <w:rsid w:val="00083413"/>
    <w:rsid w:val="0008518F"/>
    <w:rsid w:val="00085977"/>
    <w:rsid w:val="000917E0"/>
    <w:rsid w:val="000A0115"/>
    <w:rsid w:val="000A0AB2"/>
    <w:rsid w:val="000A3CC0"/>
    <w:rsid w:val="000B236D"/>
    <w:rsid w:val="000B24B7"/>
    <w:rsid w:val="000B54F4"/>
    <w:rsid w:val="000C1F70"/>
    <w:rsid w:val="000D120E"/>
    <w:rsid w:val="000D1482"/>
    <w:rsid w:val="000D4FD3"/>
    <w:rsid w:val="000E1EBB"/>
    <w:rsid w:val="000E2C6E"/>
    <w:rsid w:val="000E3D7D"/>
    <w:rsid w:val="000F54DA"/>
    <w:rsid w:val="00101D5B"/>
    <w:rsid w:val="00102841"/>
    <w:rsid w:val="00102C20"/>
    <w:rsid w:val="00106E4E"/>
    <w:rsid w:val="00107650"/>
    <w:rsid w:val="001101CA"/>
    <w:rsid w:val="0011034D"/>
    <w:rsid w:val="0011683E"/>
    <w:rsid w:val="0012011D"/>
    <w:rsid w:val="00125D28"/>
    <w:rsid w:val="00126D02"/>
    <w:rsid w:val="00131BAF"/>
    <w:rsid w:val="001327C3"/>
    <w:rsid w:val="00136C51"/>
    <w:rsid w:val="00142AB3"/>
    <w:rsid w:val="00142FD6"/>
    <w:rsid w:val="00143699"/>
    <w:rsid w:val="00144AB4"/>
    <w:rsid w:val="00146ECF"/>
    <w:rsid w:val="00150F7B"/>
    <w:rsid w:val="00154149"/>
    <w:rsid w:val="00156787"/>
    <w:rsid w:val="001567E0"/>
    <w:rsid w:val="001617B0"/>
    <w:rsid w:val="001617FF"/>
    <w:rsid w:val="00164A0B"/>
    <w:rsid w:val="00166D06"/>
    <w:rsid w:val="00166EC4"/>
    <w:rsid w:val="00167A9E"/>
    <w:rsid w:val="0017064A"/>
    <w:rsid w:val="00172736"/>
    <w:rsid w:val="001741A2"/>
    <w:rsid w:val="001769AD"/>
    <w:rsid w:val="001813F6"/>
    <w:rsid w:val="00181C5C"/>
    <w:rsid w:val="0018360E"/>
    <w:rsid w:val="00184FE0"/>
    <w:rsid w:val="001852C7"/>
    <w:rsid w:val="00186063"/>
    <w:rsid w:val="00191316"/>
    <w:rsid w:val="0019207C"/>
    <w:rsid w:val="00197813"/>
    <w:rsid w:val="001A196D"/>
    <w:rsid w:val="001A329A"/>
    <w:rsid w:val="001A435D"/>
    <w:rsid w:val="001A60B8"/>
    <w:rsid w:val="001A64DC"/>
    <w:rsid w:val="001A6ED7"/>
    <w:rsid w:val="001B0BCE"/>
    <w:rsid w:val="001B4891"/>
    <w:rsid w:val="001B4ECA"/>
    <w:rsid w:val="001B6161"/>
    <w:rsid w:val="001C0083"/>
    <w:rsid w:val="001C0198"/>
    <w:rsid w:val="001C0202"/>
    <w:rsid w:val="001C1C59"/>
    <w:rsid w:val="001C265A"/>
    <w:rsid w:val="001C3D61"/>
    <w:rsid w:val="001C5468"/>
    <w:rsid w:val="001C7F00"/>
    <w:rsid w:val="001D01BD"/>
    <w:rsid w:val="001D5DEB"/>
    <w:rsid w:val="001D6448"/>
    <w:rsid w:val="001E18E3"/>
    <w:rsid w:val="001E2A76"/>
    <w:rsid w:val="001E5C0C"/>
    <w:rsid w:val="001E740F"/>
    <w:rsid w:val="001E79B1"/>
    <w:rsid w:val="001F029E"/>
    <w:rsid w:val="001F08A6"/>
    <w:rsid w:val="001F47AD"/>
    <w:rsid w:val="001F70DE"/>
    <w:rsid w:val="00201D9F"/>
    <w:rsid w:val="002033BD"/>
    <w:rsid w:val="0021074E"/>
    <w:rsid w:val="002120A1"/>
    <w:rsid w:val="00214A53"/>
    <w:rsid w:val="002243CE"/>
    <w:rsid w:val="00226625"/>
    <w:rsid w:val="00234516"/>
    <w:rsid w:val="00235691"/>
    <w:rsid w:val="002404D2"/>
    <w:rsid w:val="00240E26"/>
    <w:rsid w:val="00243B29"/>
    <w:rsid w:val="00243C09"/>
    <w:rsid w:val="00244508"/>
    <w:rsid w:val="002500AF"/>
    <w:rsid w:val="00254518"/>
    <w:rsid w:val="00255BC4"/>
    <w:rsid w:val="00263168"/>
    <w:rsid w:val="002638CA"/>
    <w:rsid w:val="00263DC6"/>
    <w:rsid w:val="00272E16"/>
    <w:rsid w:val="00273165"/>
    <w:rsid w:val="00274E7F"/>
    <w:rsid w:val="00275F53"/>
    <w:rsid w:val="00276FC9"/>
    <w:rsid w:val="002802E1"/>
    <w:rsid w:val="0028236D"/>
    <w:rsid w:val="00283C9D"/>
    <w:rsid w:val="002855A0"/>
    <w:rsid w:val="00287417"/>
    <w:rsid w:val="00293746"/>
    <w:rsid w:val="00293C82"/>
    <w:rsid w:val="002A0BF5"/>
    <w:rsid w:val="002A1C7A"/>
    <w:rsid w:val="002A5352"/>
    <w:rsid w:val="002B3646"/>
    <w:rsid w:val="002B4657"/>
    <w:rsid w:val="002B5218"/>
    <w:rsid w:val="002B64AD"/>
    <w:rsid w:val="002C4C12"/>
    <w:rsid w:val="002D06E5"/>
    <w:rsid w:val="002D3FA8"/>
    <w:rsid w:val="002D46B7"/>
    <w:rsid w:val="002D7729"/>
    <w:rsid w:val="002E0E7E"/>
    <w:rsid w:val="002F029C"/>
    <w:rsid w:val="002F368D"/>
    <w:rsid w:val="00311E99"/>
    <w:rsid w:val="00321CA7"/>
    <w:rsid w:val="0032416E"/>
    <w:rsid w:val="00326E9A"/>
    <w:rsid w:val="00330487"/>
    <w:rsid w:val="00333D6D"/>
    <w:rsid w:val="00337FC7"/>
    <w:rsid w:val="00343DCC"/>
    <w:rsid w:val="00351A6B"/>
    <w:rsid w:val="00351A90"/>
    <w:rsid w:val="00354E1A"/>
    <w:rsid w:val="0036279E"/>
    <w:rsid w:val="0036340E"/>
    <w:rsid w:val="003660A3"/>
    <w:rsid w:val="00371A0E"/>
    <w:rsid w:val="003738D7"/>
    <w:rsid w:val="00375775"/>
    <w:rsid w:val="003824ED"/>
    <w:rsid w:val="00384181"/>
    <w:rsid w:val="00384193"/>
    <w:rsid w:val="00390976"/>
    <w:rsid w:val="0039301B"/>
    <w:rsid w:val="00393447"/>
    <w:rsid w:val="003937B7"/>
    <w:rsid w:val="00396507"/>
    <w:rsid w:val="00396901"/>
    <w:rsid w:val="00397A05"/>
    <w:rsid w:val="003A15CD"/>
    <w:rsid w:val="003A24D0"/>
    <w:rsid w:val="003A3063"/>
    <w:rsid w:val="003A4E52"/>
    <w:rsid w:val="003B080D"/>
    <w:rsid w:val="003B13D6"/>
    <w:rsid w:val="003B1E6C"/>
    <w:rsid w:val="003B3E12"/>
    <w:rsid w:val="003B4172"/>
    <w:rsid w:val="003C0D1D"/>
    <w:rsid w:val="003C5C2B"/>
    <w:rsid w:val="003C6787"/>
    <w:rsid w:val="003C7AA4"/>
    <w:rsid w:val="003E0B42"/>
    <w:rsid w:val="003E15F5"/>
    <w:rsid w:val="003E4A22"/>
    <w:rsid w:val="003E54AE"/>
    <w:rsid w:val="003E5DC2"/>
    <w:rsid w:val="003E608E"/>
    <w:rsid w:val="003E6F74"/>
    <w:rsid w:val="003E70C0"/>
    <w:rsid w:val="003F5B44"/>
    <w:rsid w:val="003F7B91"/>
    <w:rsid w:val="00400A9D"/>
    <w:rsid w:val="0040637F"/>
    <w:rsid w:val="00406566"/>
    <w:rsid w:val="00412286"/>
    <w:rsid w:val="00412CFF"/>
    <w:rsid w:val="00413616"/>
    <w:rsid w:val="004170F4"/>
    <w:rsid w:val="0042604B"/>
    <w:rsid w:val="004301F2"/>
    <w:rsid w:val="00431A81"/>
    <w:rsid w:val="00434255"/>
    <w:rsid w:val="00436557"/>
    <w:rsid w:val="00444B48"/>
    <w:rsid w:val="004521B9"/>
    <w:rsid w:val="004568F5"/>
    <w:rsid w:val="00460409"/>
    <w:rsid w:val="00461F39"/>
    <w:rsid w:val="00466652"/>
    <w:rsid w:val="0047090A"/>
    <w:rsid w:val="00473255"/>
    <w:rsid w:val="0047400F"/>
    <w:rsid w:val="00476A43"/>
    <w:rsid w:val="004804D8"/>
    <w:rsid w:val="00482230"/>
    <w:rsid w:val="004835ED"/>
    <w:rsid w:val="0048541F"/>
    <w:rsid w:val="00486730"/>
    <w:rsid w:val="00487497"/>
    <w:rsid w:val="00490E08"/>
    <w:rsid w:val="0049370C"/>
    <w:rsid w:val="00494FAC"/>
    <w:rsid w:val="004976C0"/>
    <w:rsid w:val="004A646A"/>
    <w:rsid w:val="004A7AD4"/>
    <w:rsid w:val="004B563C"/>
    <w:rsid w:val="004C5C40"/>
    <w:rsid w:val="004C5F3E"/>
    <w:rsid w:val="004C6372"/>
    <w:rsid w:val="004C6742"/>
    <w:rsid w:val="004D0F18"/>
    <w:rsid w:val="004D36CA"/>
    <w:rsid w:val="004D3E0E"/>
    <w:rsid w:val="004D503D"/>
    <w:rsid w:val="004E0A08"/>
    <w:rsid w:val="004E1992"/>
    <w:rsid w:val="004E36F8"/>
    <w:rsid w:val="004E4AB9"/>
    <w:rsid w:val="004E7101"/>
    <w:rsid w:val="004E7971"/>
    <w:rsid w:val="004F3BE7"/>
    <w:rsid w:val="004F47D4"/>
    <w:rsid w:val="004F4C25"/>
    <w:rsid w:val="004F5B24"/>
    <w:rsid w:val="004F6A50"/>
    <w:rsid w:val="00502DF7"/>
    <w:rsid w:val="00505C3E"/>
    <w:rsid w:val="0050711A"/>
    <w:rsid w:val="005153A3"/>
    <w:rsid w:val="0052703D"/>
    <w:rsid w:val="00530FFC"/>
    <w:rsid w:val="00532808"/>
    <w:rsid w:val="00533E8A"/>
    <w:rsid w:val="00536530"/>
    <w:rsid w:val="00541F40"/>
    <w:rsid w:val="0054588D"/>
    <w:rsid w:val="00545D28"/>
    <w:rsid w:val="00547B18"/>
    <w:rsid w:val="00552890"/>
    <w:rsid w:val="0055297C"/>
    <w:rsid w:val="00556A97"/>
    <w:rsid w:val="00567E3B"/>
    <w:rsid w:val="00583195"/>
    <w:rsid w:val="0058507D"/>
    <w:rsid w:val="00586BAF"/>
    <w:rsid w:val="00591A4E"/>
    <w:rsid w:val="00596F4A"/>
    <w:rsid w:val="005A343A"/>
    <w:rsid w:val="005A4300"/>
    <w:rsid w:val="005A549B"/>
    <w:rsid w:val="005A590F"/>
    <w:rsid w:val="005B0EDB"/>
    <w:rsid w:val="005B37AB"/>
    <w:rsid w:val="005B3B49"/>
    <w:rsid w:val="005C5000"/>
    <w:rsid w:val="005D0701"/>
    <w:rsid w:val="005D1098"/>
    <w:rsid w:val="005D3B3A"/>
    <w:rsid w:val="005D7788"/>
    <w:rsid w:val="005D7AF0"/>
    <w:rsid w:val="005E1805"/>
    <w:rsid w:val="005E5269"/>
    <w:rsid w:val="005E5444"/>
    <w:rsid w:val="005F1DAF"/>
    <w:rsid w:val="005F34F1"/>
    <w:rsid w:val="005F3ED6"/>
    <w:rsid w:val="005F52D9"/>
    <w:rsid w:val="005F5368"/>
    <w:rsid w:val="006004EB"/>
    <w:rsid w:val="00610162"/>
    <w:rsid w:val="00612494"/>
    <w:rsid w:val="0062084B"/>
    <w:rsid w:val="006316E5"/>
    <w:rsid w:val="00631BAB"/>
    <w:rsid w:val="00632AB3"/>
    <w:rsid w:val="00633FCE"/>
    <w:rsid w:val="006340D3"/>
    <w:rsid w:val="00644A62"/>
    <w:rsid w:val="00646E85"/>
    <w:rsid w:val="00650AF4"/>
    <w:rsid w:val="00650BAA"/>
    <w:rsid w:val="006530E3"/>
    <w:rsid w:val="0065330D"/>
    <w:rsid w:val="00653606"/>
    <w:rsid w:val="00654725"/>
    <w:rsid w:val="006549FC"/>
    <w:rsid w:val="00656D75"/>
    <w:rsid w:val="0066081A"/>
    <w:rsid w:val="006650A3"/>
    <w:rsid w:val="0067000E"/>
    <w:rsid w:val="006746D2"/>
    <w:rsid w:val="00676426"/>
    <w:rsid w:val="00676B1B"/>
    <w:rsid w:val="00680F02"/>
    <w:rsid w:val="006814EA"/>
    <w:rsid w:val="006961D1"/>
    <w:rsid w:val="00697514"/>
    <w:rsid w:val="006A0A00"/>
    <w:rsid w:val="006A0FB3"/>
    <w:rsid w:val="006A68D5"/>
    <w:rsid w:val="006B0234"/>
    <w:rsid w:val="006B2772"/>
    <w:rsid w:val="006B47DD"/>
    <w:rsid w:val="006C2AD9"/>
    <w:rsid w:val="006C5CA3"/>
    <w:rsid w:val="006D0935"/>
    <w:rsid w:val="006D3139"/>
    <w:rsid w:val="006D3687"/>
    <w:rsid w:val="006D4484"/>
    <w:rsid w:val="006D48E5"/>
    <w:rsid w:val="006D72FB"/>
    <w:rsid w:val="006E4C8A"/>
    <w:rsid w:val="006E6B9A"/>
    <w:rsid w:val="006F2975"/>
    <w:rsid w:val="006F44C3"/>
    <w:rsid w:val="006F6AA3"/>
    <w:rsid w:val="00703D5A"/>
    <w:rsid w:val="00712086"/>
    <w:rsid w:val="007159C2"/>
    <w:rsid w:val="0071692C"/>
    <w:rsid w:val="00721989"/>
    <w:rsid w:val="00723938"/>
    <w:rsid w:val="0072488B"/>
    <w:rsid w:val="00730CDB"/>
    <w:rsid w:val="0073301E"/>
    <w:rsid w:val="007337B2"/>
    <w:rsid w:val="00735602"/>
    <w:rsid w:val="00736EFD"/>
    <w:rsid w:val="007452AE"/>
    <w:rsid w:val="0074782A"/>
    <w:rsid w:val="00752788"/>
    <w:rsid w:val="00753F1D"/>
    <w:rsid w:val="0075597A"/>
    <w:rsid w:val="00757529"/>
    <w:rsid w:val="0076114E"/>
    <w:rsid w:val="0076157A"/>
    <w:rsid w:val="007621C7"/>
    <w:rsid w:val="007625C1"/>
    <w:rsid w:val="0077337B"/>
    <w:rsid w:val="00774D9A"/>
    <w:rsid w:val="00775E1D"/>
    <w:rsid w:val="00775FB8"/>
    <w:rsid w:val="00781217"/>
    <w:rsid w:val="0078202F"/>
    <w:rsid w:val="0078332C"/>
    <w:rsid w:val="00785113"/>
    <w:rsid w:val="0078562E"/>
    <w:rsid w:val="0079166E"/>
    <w:rsid w:val="00794B96"/>
    <w:rsid w:val="00795BD2"/>
    <w:rsid w:val="00795E44"/>
    <w:rsid w:val="00797E19"/>
    <w:rsid w:val="007A07EB"/>
    <w:rsid w:val="007A2679"/>
    <w:rsid w:val="007A4F9A"/>
    <w:rsid w:val="007B1789"/>
    <w:rsid w:val="007B1A26"/>
    <w:rsid w:val="007B65E4"/>
    <w:rsid w:val="007C0B6C"/>
    <w:rsid w:val="007C2B9C"/>
    <w:rsid w:val="007C5989"/>
    <w:rsid w:val="007C5E3B"/>
    <w:rsid w:val="007D3FA4"/>
    <w:rsid w:val="007D76FF"/>
    <w:rsid w:val="007E0232"/>
    <w:rsid w:val="007E61EB"/>
    <w:rsid w:val="007F3418"/>
    <w:rsid w:val="00802B55"/>
    <w:rsid w:val="0080401F"/>
    <w:rsid w:val="00804375"/>
    <w:rsid w:val="00804BCA"/>
    <w:rsid w:val="00804DA3"/>
    <w:rsid w:val="00805477"/>
    <w:rsid w:val="008070FF"/>
    <w:rsid w:val="00807570"/>
    <w:rsid w:val="0080767E"/>
    <w:rsid w:val="00810F73"/>
    <w:rsid w:val="0081222D"/>
    <w:rsid w:val="00826CA3"/>
    <w:rsid w:val="00832C8E"/>
    <w:rsid w:val="00835EAD"/>
    <w:rsid w:val="00836889"/>
    <w:rsid w:val="00840BE3"/>
    <w:rsid w:val="008444DC"/>
    <w:rsid w:val="00845837"/>
    <w:rsid w:val="00847CB4"/>
    <w:rsid w:val="00847F22"/>
    <w:rsid w:val="00852D58"/>
    <w:rsid w:val="008532D2"/>
    <w:rsid w:val="00857937"/>
    <w:rsid w:val="00860F82"/>
    <w:rsid w:val="00862562"/>
    <w:rsid w:val="00866B99"/>
    <w:rsid w:val="00872D42"/>
    <w:rsid w:val="00881DE2"/>
    <w:rsid w:val="00884FF9"/>
    <w:rsid w:val="00886795"/>
    <w:rsid w:val="00886A0F"/>
    <w:rsid w:val="00887065"/>
    <w:rsid w:val="00890EE8"/>
    <w:rsid w:val="00894162"/>
    <w:rsid w:val="00895586"/>
    <w:rsid w:val="0089694D"/>
    <w:rsid w:val="008972B0"/>
    <w:rsid w:val="008A2E44"/>
    <w:rsid w:val="008A317D"/>
    <w:rsid w:val="008B0A7E"/>
    <w:rsid w:val="008B3C59"/>
    <w:rsid w:val="008B6105"/>
    <w:rsid w:val="008B6E2C"/>
    <w:rsid w:val="008C3669"/>
    <w:rsid w:val="008C6A60"/>
    <w:rsid w:val="008D2501"/>
    <w:rsid w:val="008D2902"/>
    <w:rsid w:val="008D358E"/>
    <w:rsid w:val="008D383E"/>
    <w:rsid w:val="008D3B9F"/>
    <w:rsid w:val="008E0D92"/>
    <w:rsid w:val="008E249E"/>
    <w:rsid w:val="008E3894"/>
    <w:rsid w:val="008E405B"/>
    <w:rsid w:val="008F15F4"/>
    <w:rsid w:val="008F66FA"/>
    <w:rsid w:val="008F753B"/>
    <w:rsid w:val="008F76F2"/>
    <w:rsid w:val="00906BF2"/>
    <w:rsid w:val="00911273"/>
    <w:rsid w:val="00913EE3"/>
    <w:rsid w:val="00915215"/>
    <w:rsid w:val="0091746C"/>
    <w:rsid w:val="00920BDA"/>
    <w:rsid w:val="0092495F"/>
    <w:rsid w:val="0092591C"/>
    <w:rsid w:val="00925A81"/>
    <w:rsid w:val="00932A41"/>
    <w:rsid w:val="0093301F"/>
    <w:rsid w:val="00934A59"/>
    <w:rsid w:val="00946141"/>
    <w:rsid w:val="00947CE3"/>
    <w:rsid w:val="00951F28"/>
    <w:rsid w:val="00953818"/>
    <w:rsid w:val="00954DEB"/>
    <w:rsid w:val="0095613E"/>
    <w:rsid w:val="009561F8"/>
    <w:rsid w:val="00956DD0"/>
    <w:rsid w:val="00957151"/>
    <w:rsid w:val="00970607"/>
    <w:rsid w:val="0097136E"/>
    <w:rsid w:val="00971620"/>
    <w:rsid w:val="009717BA"/>
    <w:rsid w:val="0097625C"/>
    <w:rsid w:val="009850EC"/>
    <w:rsid w:val="0098687D"/>
    <w:rsid w:val="009878BC"/>
    <w:rsid w:val="009907C0"/>
    <w:rsid w:val="0099279D"/>
    <w:rsid w:val="00993570"/>
    <w:rsid w:val="00997A42"/>
    <w:rsid w:val="00997CB4"/>
    <w:rsid w:val="009A3D28"/>
    <w:rsid w:val="009A4163"/>
    <w:rsid w:val="009A7421"/>
    <w:rsid w:val="009B2B4D"/>
    <w:rsid w:val="009B4101"/>
    <w:rsid w:val="009B4308"/>
    <w:rsid w:val="009B5210"/>
    <w:rsid w:val="009B72CA"/>
    <w:rsid w:val="009C34DD"/>
    <w:rsid w:val="009C3EB0"/>
    <w:rsid w:val="009D2361"/>
    <w:rsid w:val="009D73DA"/>
    <w:rsid w:val="009E5AE1"/>
    <w:rsid w:val="009E664C"/>
    <w:rsid w:val="009E6A66"/>
    <w:rsid w:val="009E7AF9"/>
    <w:rsid w:val="009F00CA"/>
    <w:rsid w:val="009F2490"/>
    <w:rsid w:val="009F2B3C"/>
    <w:rsid w:val="009F2BAD"/>
    <w:rsid w:val="009F3088"/>
    <w:rsid w:val="00A00935"/>
    <w:rsid w:val="00A032CC"/>
    <w:rsid w:val="00A061E1"/>
    <w:rsid w:val="00A06757"/>
    <w:rsid w:val="00A217D1"/>
    <w:rsid w:val="00A22601"/>
    <w:rsid w:val="00A245C3"/>
    <w:rsid w:val="00A313DB"/>
    <w:rsid w:val="00A320C1"/>
    <w:rsid w:val="00A33D0D"/>
    <w:rsid w:val="00A4592E"/>
    <w:rsid w:val="00A4596B"/>
    <w:rsid w:val="00A500BF"/>
    <w:rsid w:val="00A521EF"/>
    <w:rsid w:val="00A52824"/>
    <w:rsid w:val="00A53061"/>
    <w:rsid w:val="00A56833"/>
    <w:rsid w:val="00A56DDA"/>
    <w:rsid w:val="00A63707"/>
    <w:rsid w:val="00A65DCC"/>
    <w:rsid w:val="00A72931"/>
    <w:rsid w:val="00A76345"/>
    <w:rsid w:val="00A77D60"/>
    <w:rsid w:val="00A80950"/>
    <w:rsid w:val="00A810E7"/>
    <w:rsid w:val="00A81C8C"/>
    <w:rsid w:val="00A826AB"/>
    <w:rsid w:val="00A862B9"/>
    <w:rsid w:val="00A863CD"/>
    <w:rsid w:val="00A91E8C"/>
    <w:rsid w:val="00A96E5B"/>
    <w:rsid w:val="00AA45D0"/>
    <w:rsid w:val="00AB025E"/>
    <w:rsid w:val="00AB37D5"/>
    <w:rsid w:val="00AB5474"/>
    <w:rsid w:val="00AC1DFB"/>
    <w:rsid w:val="00AC36DC"/>
    <w:rsid w:val="00AD10FB"/>
    <w:rsid w:val="00AD44E6"/>
    <w:rsid w:val="00AD45E6"/>
    <w:rsid w:val="00AD6A15"/>
    <w:rsid w:val="00AD7257"/>
    <w:rsid w:val="00AE13FF"/>
    <w:rsid w:val="00AE175F"/>
    <w:rsid w:val="00AE62B9"/>
    <w:rsid w:val="00AF61CD"/>
    <w:rsid w:val="00AF63F6"/>
    <w:rsid w:val="00B0349C"/>
    <w:rsid w:val="00B03C06"/>
    <w:rsid w:val="00B05629"/>
    <w:rsid w:val="00B05F74"/>
    <w:rsid w:val="00B10718"/>
    <w:rsid w:val="00B22F30"/>
    <w:rsid w:val="00B23B30"/>
    <w:rsid w:val="00B24412"/>
    <w:rsid w:val="00B33802"/>
    <w:rsid w:val="00B344DE"/>
    <w:rsid w:val="00B369A0"/>
    <w:rsid w:val="00B43DC2"/>
    <w:rsid w:val="00B54095"/>
    <w:rsid w:val="00B54C31"/>
    <w:rsid w:val="00B606FE"/>
    <w:rsid w:val="00B61316"/>
    <w:rsid w:val="00B62B1D"/>
    <w:rsid w:val="00B64CE1"/>
    <w:rsid w:val="00B66A98"/>
    <w:rsid w:val="00B718D8"/>
    <w:rsid w:val="00B721FE"/>
    <w:rsid w:val="00B8207E"/>
    <w:rsid w:val="00B85990"/>
    <w:rsid w:val="00B92075"/>
    <w:rsid w:val="00B9212A"/>
    <w:rsid w:val="00B94A0C"/>
    <w:rsid w:val="00BA1CAE"/>
    <w:rsid w:val="00BA474E"/>
    <w:rsid w:val="00BA49E7"/>
    <w:rsid w:val="00BA67D2"/>
    <w:rsid w:val="00BA74BC"/>
    <w:rsid w:val="00BB06D4"/>
    <w:rsid w:val="00BB373E"/>
    <w:rsid w:val="00BB4C2F"/>
    <w:rsid w:val="00BB5F33"/>
    <w:rsid w:val="00BC1BD5"/>
    <w:rsid w:val="00BC3698"/>
    <w:rsid w:val="00BC4EB2"/>
    <w:rsid w:val="00BD06B0"/>
    <w:rsid w:val="00BD4A22"/>
    <w:rsid w:val="00BD709B"/>
    <w:rsid w:val="00BD7C6D"/>
    <w:rsid w:val="00BE13C7"/>
    <w:rsid w:val="00BE4CB2"/>
    <w:rsid w:val="00BF3F98"/>
    <w:rsid w:val="00C00EC9"/>
    <w:rsid w:val="00C011AA"/>
    <w:rsid w:val="00C01D29"/>
    <w:rsid w:val="00C039BD"/>
    <w:rsid w:val="00C1080C"/>
    <w:rsid w:val="00C134B1"/>
    <w:rsid w:val="00C13E67"/>
    <w:rsid w:val="00C1513E"/>
    <w:rsid w:val="00C16923"/>
    <w:rsid w:val="00C257BA"/>
    <w:rsid w:val="00C26D87"/>
    <w:rsid w:val="00C27F96"/>
    <w:rsid w:val="00C336B4"/>
    <w:rsid w:val="00C37A7B"/>
    <w:rsid w:val="00C402FA"/>
    <w:rsid w:val="00C41F1B"/>
    <w:rsid w:val="00C42241"/>
    <w:rsid w:val="00C4319B"/>
    <w:rsid w:val="00C47849"/>
    <w:rsid w:val="00C51017"/>
    <w:rsid w:val="00C51A0D"/>
    <w:rsid w:val="00C52393"/>
    <w:rsid w:val="00C52515"/>
    <w:rsid w:val="00C57E70"/>
    <w:rsid w:val="00C62445"/>
    <w:rsid w:val="00C63AEB"/>
    <w:rsid w:val="00C651AD"/>
    <w:rsid w:val="00C67A78"/>
    <w:rsid w:val="00C711EA"/>
    <w:rsid w:val="00C7558C"/>
    <w:rsid w:val="00C77B4B"/>
    <w:rsid w:val="00C845C3"/>
    <w:rsid w:val="00C93394"/>
    <w:rsid w:val="00C96D7B"/>
    <w:rsid w:val="00C975F7"/>
    <w:rsid w:val="00CA19BE"/>
    <w:rsid w:val="00CA27DD"/>
    <w:rsid w:val="00CA376A"/>
    <w:rsid w:val="00CA3DE6"/>
    <w:rsid w:val="00CA4147"/>
    <w:rsid w:val="00CA4960"/>
    <w:rsid w:val="00CA66C8"/>
    <w:rsid w:val="00CA7374"/>
    <w:rsid w:val="00CB1BED"/>
    <w:rsid w:val="00CD070E"/>
    <w:rsid w:val="00CD25E3"/>
    <w:rsid w:val="00CD628C"/>
    <w:rsid w:val="00CD6C43"/>
    <w:rsid w:val="00CE2BE2"/>
    <w:rsid w:val="00CE7580"/>
    <w:rsid w:val="00CF1D78"/>
    <w:rsid w:val="00CF7733"/>
    <w:rsid w:val="00D003D3"/>
    <w:rsid w:val="00D01451"/>
    <w:rsid w:val="00D02EF8"/>
    <w:rsid w:val="00D05B03"/>
    <w:rsid w:val="00D075D0"/>
    <w:rsid w:val="00D124DC"/>
    <w:rsid w:val="00D12D3F"/>
    <w:rsid w:val="00D17564"/>
    <w:rsid w:val="00D225C6"/>
    <w:rsid w:val="00D24135"/>
    <w:rsid w:val="00D25E08"/>
    <w:rsid w:val="00D27B04"/>
    <w:rsid w:val="00D27EFA"/>
    <w:rsid w:val="00D31BB8"/>
    <w:rsid w:val="00D34E09"/>
    <w:rsid w:val="00D358C3"/>
    <w:rsid w:val="00D41451"/>
    <w:rsid w:val="00D47B8D"/>
    <w:rsid w:val="00D54255"/>
    <w:rsid w:val="00D55428"/>
    <w:rsid w:val="00D55450"/>
    <w:rsid w:val="00D6135F"/>
    <w:rsid w:val="00D65909"/>
    <w:rsid w:val="00D66A6C"/>
    <w:rsid w:val="00D7146D"/>
    <w:rsid w:val="00D77374"/>
    <w:rsid w:val="00D80B98"/>
    <w:rsid w:val="00D90B02"/>
    <w:rsid w:val="00D92F62"/>
    <w:rsid w:val="00D9305D"/>
    <w:rsid w:val="00D95F3F"/>
    <w:rsid w:val="00DA3919"/>
    <w:rsid w:val="00DA5F8D"/>
    <w:rsid w:val="00DB2729"/>
    <w:rsid w:val="00DB56C9"/>
    <w:rsid w:val="00DD24EF"/>
    <w:rsid w:val="00DD4310"/>
    <w:rsid w:val="00DD5F7A"/>
    <w:rsid w:val="00DD6675"/>
    <w:rsid w:val="00DE3DA2"/>
    <w:rsid w:val="00DE555F"/>
    <w:rsid w:val="00DE6931"/>
    <w:rsid w:val="00DE6B70"/>
    <w:rsid w:val="00DE6D58"/>
    <w:rsid w:val="00DF0359"/>
    <w:rsid w:val="00DF5073"/>
    <w:rsid w:val="00E00C43"/>
    <w:rsid w:val="00E05958"/>
    <w:rsid w:val="00E07767"/>
    <w:rsid w:val="00E1529A"/>
    <w:rsid w:val="00E157CE"/>
    <w:rsid w:val="00E237F8"/>
    <w:rsid w:val="00E319AC"/>
    <w:rsid w:val="00E33DF5"/>
    <w:rsid w:val="00E41BED"/>
    <w:rsid w:val="00E42BCD"/>
    <w:rsid w:val="00E46B21"/>
    <w:rsid w:val="00E51B38"/>
    <w:rsid w:val="00E51D33"/>
    <w:rsid w:val="00E53C8C"/>
    <w:rsid w:val="00E556CA"/>
    <w:rsid w:val="00E56718"/>
    <w:rsid w:val="00E65A0C"/>
    <w:rsid w:val="00E65A57"/>
    <w:rsid w:val="00E6715E"/>
    <w:rsid w:val="00E7049F"/>
    <w:rsid w:val="00E70C07"/>
    <w:rsid w:val="00E725E0"/>
    <w:rsid w:val="00E73D67"/>
    <w:rsid w:val="00E74A11"/>
    <w:rsid w:val="00E752A6"/>
    <w:rsid w:val="00E7537D"/>
    <w:rsid w:val="00E77016"/>
    <w:rsid w:val="00E77DC4"/>
    <w:rsid w:val="00E817A4"/>
    <w:rsid w:val="00E81D94"/>
    <w:rsid w:val="00E82777"/>
    <w:rsid w:val="00E9220A"/>
    <w:rsid w:val="00E94C27"/>
    <w:rsid w:val="00E97E39"/>
    <w:rsid w:val="00EA1A81"/>
    <w:rsid w:val="00EB279A"/>
    <w:rsid w:val="00EB2DC4"/>
    <w:rsid w:val="00EB40A6"/>
    <w:rsid w:val="00EB64F9"/>
    <w:rsid w:val="00EB6E24"/>
    <w:rsid w:val="00EC0848"/>
    <w:rsid w:val="00EC2280"/>
    <w:rsid w:val="00EC5FA1"/>
    <w:rsid w:val="00EC6D48"/>
    <w:rsid w:val="00ED2668"/>
    <w:rsid w:val="00ED26C0"/>
    <w:rsid w:val="00ED415A"/>
    <w:rsid w:val="00ED4C42"/>
    <w:rsid w:val="00ED6934"/>
    <w:rsid w:val="00EE16B7"/>
    <w:rsid w:val="00EE5CFE"/>
    <w:rsid w:val="00EF089E"/>
    <w:rsid w:val="00EF1820"/>
    <w:rsid w:val="00EF25D0"/>
    <w:rsid w:val="00EF4083"/>
    <w:rsid w:val="00EF53D7"/>
    <w:rsid w:val="00EF577F"/>
    <w:rsid w:val="00F00C3C"/>
    <w:rsid w:val="00F02923"/>
    <w:rsid w:val="00F050D9"/>
    <w:rsid w:val="00F0583D"/>
    <w:rsid w:val="00F14D2B"/>
    <w:rsid w:val="00F23BCA"/>
    <w:rsid w:val="00F242B9"/>
    <w:rsid w:val="00F242E6"/>
    <w:rsid w:val="00F26929"/>
    <w:rsid w:val="00F3196A"/>
    <w:rsid w:val="00F36E8E"/>
    <w:rsid w:val="00F3793E"/>
    <w:rsid w:val="00F414BE"/>
    <w:rsid w:val="00F4171B"/>
    <w:rsid w:val="00F4173D"/>
    <w:rsid w:val="00F41C99"/>
    <w:rsid w:val="00F45659"/>
    <w:rsid w:val="00F47615"/>
    <w:rsid w:val="00F4765D"/>
    <w:rsid w:val="00F511CE"/>
    <w:rsid w:val="00F5607E"/>
    <w:rsid w:val="00F569AC"/>
    <w:rsid w:val="00F60FD8"/>
    <w:rsid w:val="00F806C7"/>
    <w:rsid w:val="00F8158E"/>
    <w:rsid w:val="00F817B9"/>
    <w:rsid w:val="00F851F4"/>
    <w:rsid w:val="00F879BB"/>
    <w:rsid w:val="00F91034"/>
    <w:rsid w:val="00F9256A"/>
    <w:rsid w:val="00F93720"/>
    <w:rsid w:val="00FA096C"/>
    <w:rsid w:val="00FA40A3"/>
    <w:rsid w:val="00FB1C32"/>
    <w:rsid w:val="00FB629E"/>
    <w:rsid w:val="00FB7C71"/>
    <w:rsid w:val="00FC379B"/>
    <w:rsid w:val="00FC4071"/>
    <w:rsid w:val="00FC5196"/>
    <w:rsid w:val="00FC6A87"/>
    <w:rsid w:val="00FD1430"/>
    <w:rsid w:val="00FD26D0"/>
    <w:rsid w:val="00FD2D47"/>
    <w:rsid w:val="00FD6915"/>
    <w:rsid w:val="00FD79C5"/>
    <w:rsid w:val="00FE182A"/>
    <w:rsid w:val="00FE3489"/>
    <w:rsid w:val="00FE4B31"/>
    <w:rsid w:val="00FE6CA9"/>
    <w:rsid w:val="00FF000B"/>
    <w:rsid w:val="00FF10B5"/>
    <w:rsid w:val="00FF42D8"/>
    <w:rsid w:val="00FF56E6"/>
    <w:rsid w:val="00FF7310"/>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013D"/>
  <w15:docId w15:val="{3C2073BF-F19F-4EA6-880D-B8772788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uiPriority w:val="39"/>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Voetnoottekst">
    <w:name w:val="footnote text"/>
    <w:basedOn w:val="Standaard"/>
    <w:link w:val="VoetnoottekstChar"/>
    <w:uiPriority w:val="99"/>
    <w:unhideWhenUsed/>
    <w:rsid w:val="005F3ED6"/>
    <w:pPr>
      <w:spacing w:line="240" w:lineRule="auto"/>
    </w:pPr>
    <w:rPr>
      <w:sz w:val="20"/>
      <w:szCs w:val="20"/>
    </w:rPr>
  </w:style>
  <w:style w:type="character" w:customStyle="1" w:styleId="VoetnoottekstChar">
    <w:name w:val="Voetnoottekst Char"/>
    <w:basedOn w:val="Standaardalinea-lettertype"/>
    <w:link w:val="Voetnoottekst"/>
    <w:uiPriority w:val="99"/>
    <w:rsid w:val="005F3ED6"/>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5F3ED6"/>
    <w:rPr>
      <w:vertAlign w:val="superscript"/>
    </w:rPr>
  </w:style>
  <w:style w:type="character" w:styleId="Verwijzingopmerking">
    <w:name w:val="annotation reference"/>
    <w:basedOn w:val="Standaardalinea-lettertype"/>
    <w:semiHidden/>
    <w:unhideWhenUsed/>
    <w:rsid w:val="00BE4CB2"/>
    <w:rPr>
      <w:sz w:val="16"/>
      <w:szCs w:val="16"/>
    </w:rPr>
  </w:style>
  <w:style w:type="paragraph" w:styleId="Tekstopmerking">
    <w:name w:val="annotation text"/>
    <w:basedOn w:val="Standaard"/>
    <w:link w:val="TekstopmerkingChar"/>
    <w:unhideWhenUsed/>
    <w:rsid w:val="00BE4CB2"/>
    <w:pPr>
      <w:spacing w:line="240" w:lineRule="auto"/>
    </w:pPr>
    <w:rPr>
      <w:sz w:val="20"/>
      <w:szCs w:val="20"/>
    </w:rPr>
  </w:style>
  <w:style w:type="character" w:customStyle="1" w:styleId="TekstopmerkingChar">
    <w:name w:val="Tekst opmerking Char"/>
    <w:basedOn w:val="Standaardalinea-lettertype"/>
    <w:link w:val="Tekstopmerking"/>
    <w:rsid w:val="00BE4CB2"/>
    <w:rPr>
      <w:rFonts w:ascii="Verdana" w:eastAsia="Times New Roman" w:hAnsi="Verdana" w:cs="Times New Roman"/>
      <w:sz w:val="20"/>
      <w:szCs w:val="20"/>
      <w:lang w:val="nl-NL" w:eastAsia="nl-NL"/>
    </w:rPr>
  </w:style>
  <w:style w:type="paragraph" w:styleId="Revisie">
    <w:name w:val="Revision"/>
    <w:hidden/>
    <w:uiPriority w:val="99"/>
    <w:semiHidden/>
    <w:rsid w:val="00BB4C2F"/>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B4C2F"/>
    <w:rPr>
      <w:b/>
      <w:bCs/>
    </w:rPr>
  </w:style>
  <w:style w:type="character" w:customStyle="1" w:styleId="OnderwerpvanopmerkingChar">
    <w:name w:val="Onderwerp van opmerking Char"/>
    <w:basedOn w:val="TekstopmerkingChar"/>
    <w:link w:val="Onderwerpvanopmerking"/>
    <w:uiPriority w:val="99"/>
    <w:semiHidden/>
    <w:rsid w:val="00BB4C2F"/>
    <w:rPr>
      <w:rFonts w:ascii="Verdana" w:eastAsia="Times New Roman" w:hAnsi="Verdana" w:cs="Times New Roman"/>
      <w:b/>
      <w:bCs/>
      <w:sz w:val="20"/>
      <w:szCs w:val="20"/>
      <w:lang w:val="nl-NL" w:eastAsia="nl-NL"/>
    </w:rPr>
  </w:style>
  <w:style w:type="paragraph" w:styleId="Lijstalinea">
    <w:name w:val="List Paragraph"/>
    <w:basedOn w:val="Standaard"/>
    <w:uiPriority w:val="99"/>
    <w:rsid w:val="009850EC"/>
    <w:pPr>
      <w:ind w:left="720"/>
      <w:contextualSpacing/>
    </w:pPr>
  </w:style>
  <w:style w:type="character" w:styleId="Onopgelostemelding">
    <w:name w:val="Unresolved Mention"/>
    <w:basedOn w:val="Standaardalinea-lettertype"/>
    <w:uiPriority w:val="99"/>
    <w:semiHidden/>
    <w:unhideWhenUsed/>
    <w:rsid w:val="00B66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6010">
      <w:bodyDiv w:val="1"/>
      <w:marLeft w:val="0"/>
      <w:marRight w:val="0"/>
      <w:marTop w:val="0"/>
      <w:marBottom w:val="0"/>
      <w:divBdr>
        <w:top w:val="none" w:sz="0" w:space="0" w:color="auto"/>
        <w:left w:val="none" w:sz="0" w:space="0" w:color="auto"/>
        <w:bottom w:val="none" w:sz="0" w:space="0" w:color="auto"/>
        <w:right w:val="none" w:sz="0" w:space="0" w:color="auto"/>
      </w:divBdr>
    </w:div>
    <w:div w:id="879242847">
      <w:bodyDiv w:val="1"/>
      <w:marLeft w:val="0"/>
      <w:marRight w:val="0"/>
      <w:marTop w:val="0"/>
      <w:marBottom w:val="0"/>
      <w:divBdr>
        <w:top w:val="none" w:sz="0" w:space="0" w:color="auto"/>
        <w:left w:val="none" w:sz="0" w:space="0" w:color="auto"/>
        <w:bottom w:val="none" w:sz="0" w:space="0" w:color="auto"/>
        <w:right w:val="none" w:sz="0" w:space="0" w:color="auto"/>
      </w:divBdr>
    </w:div>
    <w:div w:id="1540431253">
      <w:bodyDiv w:val="1"/>
      <w:marLeft w:val="0"/>
      <w:marRight w:val="0"/>
      <w:marTop w:val="0"/>
      <w:marBottom w:val="0"/>
      <w:divBdr>
        <w:top w:val="none" w:sz="0" w:space="0" w:color="auto"/>
        <w:left w:val="none" w:sz="0" w:space="0" w:color="auto"/>
        <w:bottom w:val="none" w:sz="0" w:space="0" w:color="auto"/>
        <w:right w:val="none" w:sz="0" w:space="0" w:color="auto"/>
      </w:divBdr>
    </w:div>
    <w:div w:id="178573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contact/tips-en-meldingen/tip-ons" TargetMode="External"/><Relationship Id="rId2" Type="http://schemas.openxmlformats.org/officeDocument/2006/relationships/hyperlink" Target="https://www.acm.nl/system/files/documents/2025-acm-wetgevingsbrief.pdf" TargetMode="External"/><Relationship Id="rId1" Type="http://schemas.openxmlformats.org/officeDocument/2006/relationships/hyperlink" Target="https://www.acm.nl/nl/concurrentie-en-marktwerking/overzicht-van-wetten-en-regels-over-concurrentie-en-marktwerking" TargetMode="External"/><Relationship Id="rId4" Type="http://schemas.openxmlformats.org/officeDocument/2006/relationships/hyperlink" Target="https://consument.acm.nl/doe-uw-melding-bij-acm-consuwij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18</ap:Pages>
  <ap:Words>7849</ap:Words>
  <ap:Characters>43171</ap:Characters>
  <ap:DocSecurity>4</ap:DocSecurity>
  <ap:Lines>359</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2025-11-18T14:39:00.0000000Z</lastPrinted>
  <dcterms:created xsi:type="dcterms:W3CDTF">2026-06-25T12:13:00.0000000Z</dcterms:created>
  <dcterms:modified xsi:type="dcterms:W3CDTF">2026-06-25T12:13:00.0000000Z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Template">
    <vt:lpwstr>Diverse documenten WJZ EZ</vt:lpwstr>
  </property>
  <property fmtid="{D5CDD505-2E9C-101B-9397-08002B2CF9AE}" pid="4" name="TemplateId">
    <vt:lpwstr>126F9A6A34CE4029BD370FE01BEA28A4</vt:lpwstr>
  </property>
  <property fmtid="{D5CDD505-2E9C-101B-9397-08002B2CF9AE}" pid="5" name="Typist">
    <vt:lpwstr>MosE</vt:lpwstr>
  </property>
  <property fmtid="{D5CDD505-2E9C-101B-9397-08002B2CF9AE}" pid="6" name="ContentTypeId">
    <vt:lpwstr>0x010100BB93CF778AF26044BFEA169266F8E057</vt:lpwstr>
  </property>
  <property fmtid="{D5CDD505-2E9C-101B-9397-08002B2CF9AE}" pid="7" name="_dlc_DocIdItemGuid">
    <vt:lpwstr>3c5ed021-8aef-49d8-90b2-f76d4e33e668</vt:lpwstr>
  </property>
</Properties>
</file>