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763B" w:rsidR="000A2B05" w:rsidP="00F7763B" w:rsidRDefault="009A0954" w14:paraId="704FE3A4" w14:textId="21F212DD">
      <w:r w:rsidRPr="531BFB7E">
        <w:rPr>
          <w:b/>
          <w:bCs/>
        </w:rPr>
        <w:t xml:space="preserve">Regels </w:t>
      </w:r>
      <w:r w:rsidRPr="531BFB7E" w:rsidR="007658B4">
        <w:rPr>
          <w:b/>
          <w:bCs/>
        </w:rPr>
        <w:t xml:space="preserve">in verband met de toepassing van tweerichtingscontracten ter verrekening van verschillen ter </w:t>
      </w:r>
      <w:r w:rsidR="00667462">
        <w:rPr>
          <w:b/>
          <w:bCs/>
        </w:rPr>
        <w:t xml:space="preserve">uitvoering van artikel 19 quinquies </w:t>
      </w:r>
      <w:r w:rsidR="002F5C41">
        <w:rPr>
          <w:b/>
          <w:bCs/>
        </w:rPr>
        <w:t xml:space="preserve">van </w:t>
      </w:r>
      <w:r w:rsidR="00667462">
        <w:rPr>
          <w:b/>
          <w:bCs/>
        </w:rPr>
        <w:t>Verordening (EU)</w:t>
      </w:r>
      <w:r w:rsidRPr="531BFB7E" w:rsidR="007658B4">
        <w:rPr>
          <w:b/>
          <w:bCs/>
        </w:rPr>
        <w:t xml:space="preserve"> </w:t>
      </w:r>
      <w:r w:rsidR="002F5C41">
        <w:rPr>
          <w:b/>
          <w:bCs/>
        </w:rPr>
        <w:t xml:space="preserve">2019/943 </w:t>
      </w:r>
      <w:r w:rsidRPr="531BFB7E" w:rsidR="007658B4">
        <w:rPr>
          <w:b/>
          <w:bCs/>
        </w:rPr>
        <w:t xml:space="preserve">en </w:t>
      </w:r>
      <w:r w:rsidR="002F5C41">
        <w:rPr>
          <w:b/>
          <w:bCs/>
        </w:rPr>
        <w:t xml:space="preserve">ten behoeve </w:t>
      </w:r>
      <w:r w:rsidR="00E42ED5">
        <w:rPr>
          <w:b/>
          <w:bCs/>
        </w:rPr>
        <w:t xml:space="preserve">van </w:t>
      </w:r>
      <w:r w:rsidRPr="531BFB7E" w:rsidR="007658B4">
        <w:rPr>
          <w:b/>
          <w:bCs/>
        </w:rPr>
        <w:t xml:space="preserve">andere </w:t>
      </w:r>
      <w:r w:rsidR="002F5C41">
        <w:rPr>
          <w:b/>
          <w:bCs/>
        </w:rPr>
        <w:t xml:space="preserve">activiteiten </w:t>
      </w:r>
      <w:r w:rsidRPr="531BFB7E" w:rsidR="007658B4">
        <w:rPr>
          <w:b/>
          <w:bCs/>
        </w:rPr>
        <w:t>die bijdrage</w:t>
      </w:r>
      <w:r w:rsidR="004D028B">
        <w:rPr>
          <w:b/>
          <w:bCs/>
        </w:rPr>
        <w:t>n</w:t>
      </w:r>
      <w:r w:rsidRPr="531BFB7E" w:rsidR="007658B4">
        <w:rPr>
          <w:b/>
          <w:bCs/>
        </w:rPr>
        <w:t xml:space="preserve"> aan de vermindering van broeikasgassen (Wet toepassing tweerichtingscontracten ter verrekening van verschillen</w:t>
      </w:r>
      <w:r w:rsidR="00C25969">
        <w:rPr>
          <w:b/>
          <w:bCs/>
        </w:rPr>
        <w:t xml:space="preserve"> voor </w:t>
      </w:r>
      <w:r w:rsidR="009F1052">
        <w:rPr>
          <w:b/>
          <w:bCs/>
        </w:rPr>
        <w:t>klimaat en energie</w:t>
      </w:r>
      <w:r w:rsidRPr="531BFB7E" w:rsidR="007658B4">
        <w:rPr>
          <w:b/>
          <w:bCs/>
        </w:rPr>
        <w:t>)</w:t>
      </w:r>
      <w:r>
        <w:tab/>
      </w:r>
      <w:r w:rsidRPr="531BFB7E" w:rsidR="007658B4">
        <w:rPr>
          <w:b/>
          <w:bCs/>
        </w:rPr>
        <w:t xml:space="preserve"> </w:t>
      </w:r>
      <w:r>
        <w:tab/>
      </w:r>
      <w:r>
        <w:tab/>
      </w:r>
      <w:r>
        <w:tab/>
      </w:r>
    </w:p>
    <w:p w:rsidR="00EF6664" w:rsidP="005A3069" w:rsidRDefault="00EF6664" w14:paraId="43DCEB16" w14:textId="77777777">
      <w:pPr>
        <w:rPr>
          <w:b/>
        </w:rPr>
      </w:pPr>
    </w:p>
    <w:p w:rsidRPr="008734C5" w:rsidR="00A26183" w:rsidP="005A3069" w:rsidRDefault="007658B4" w14:paraId="0D338309" w14:textId="77777777">
      <w:pPr>
        <w:rPr>
          <w:b/>
        </w:rPr>
      </w:pPr>
      <w:r w:rsidRPr="008734C5">
        <w:rPr>
          <w:b/>
        </w:rPr>
        <w:t>VOORSTEL VAN WET</w:t>
      </w:r>
      <w:r>
        <w:rPr>
          <w:b/>
        </w:rPr>
        <w:tab/>
      </w:r>
    </w:p>
    <w:p w:rsidRPr="008734C5" w:rsidR="00A26183" w:rsidP="005A3069" w:rsidRDefault="00A26183" w14:paraId="005CB6E6" w14:textId="77777777"/>
    <w:p w:rsidRPr="008734C5" w:rsidR="00A26183" w:rsidP="005A3069" w:rsidRDefault="007658B4" w14:paraId="7FE142BC" w14:textId="77777777">
      <w:pPr>
        <w:ind w:firstLine="284"/>
      </w:pPr>
      <w:r w:rsidRPr="008734C5">
        <w:t>Wij Willem-Alexander, bij de gratie Gods, Koning der Nederlanden, Prins van Oranje-Nassau, enz. enz. enz.</w:t>
      </w:r>
    </w:p>
    <w:p w:rsidRPr="008734C5" w:rsidR="00A26183" w:rsidP="005A3069" w:rsidRDefault="00A26183" w14:paraId="7FCA1470" w14:textId="77777777"/>
    <w:p w:rsidR="00A26183" w:rsidP="005A3069" w:rsidRDefault="007658B4" w14:paraId="067F1BBB" w14:textId="77777777">
      <w:pPr>
        <w:ind w:firstLine="284"/>
      </w:pPr>
      <w:r>
        <w:t xml:space="preserve">Allen, die deze zullen zien of horen lezen, saluut! </w:t>
      </w:r>
      <w:bookmarkStart w:name="_Int_ce8ceGJi" w:id="0"/>
      <w:r>
        <w:t>doen</w:t>
      </w:r>
      <w:bookmarkEnd w:id="0"/>
      <w:r>
        <w:t xml:space="preserve"> te weten:</w:t>
      </w:r>
    </w:p>
    <w:p w:rsidR="00A26183" w:rsidP="005A3069" w:rsidRDefault="007658B4" w14:paraId="55577EF8" w14:textId="095CD801">
      <w:pPr>
        <w:ind w:firstLine="284"/>
      </w:pPr>
      <w:r>
        <w:t xml:space="preserve">Alzo Wij in overweging genomen hebben, dat het noodzakelijk is regels te stellen ter </w:t>
      </w:r>
      <w:r w:rsidR="00CC3982">
        <w:t>uitvoering</w:t>
      </w:r>
      <w:r>
        <w:t xml:space="preserve"> van artikel 19</w:t>
      </w:r>
      <w:r w:rsidR="00AE5228">
        <w:t xml:space="preserve"> </w:t>
      </w:r>
      <w:r>
        <w:t xml:space="preserve">quinquies </w:t>
      </w:r>
      <w:r w:rsidR="009F37B8">
        <w:t xml:space="preserve">van Verordening 2019/943, </w:t>
      </w:r>
      <w:r w:rsidR="005C3E27">
        <w:t>zoa</w:t>
      </w:r>
      <w:r w:rsidR="007D3692">
        <w:t xml:space="preserve">ls </w:t>
      </w:r>
      <w:r w:rsidR="009F37B8">
        <w:t xml:space="preserve">ingevoegd </w:t>
      </w:r>
      <w:r w:rsidR="007D3692">
        <w:t xml:space="preserve">bij Verordening (EU) 2024/1747 van het Europees Parlement en de Raad van 13 juni 2024 tot wijziging van de Verordeningen (EU) 2019/942 en (EU) 2019/943 wat betreft het verbeteren van de opzet van de elektriciteitsmarkt van de Unie </w:t>
      </w:r>
      <w:r w:rsidR="6B3EBF3F">
        <w:t>en</w:t>
      </w:r>
      <w:r w:rsidR="0063108B">
        <w:t xml:space="preserve"> </w:t>
      </w:r>
      <w:r w:rsidR="00D43007">
        <w:t xml:space="preserve">dat het wenselijk is om tweerichtingscontracten ter verrekening van verschillen </w:t>
      </w:r>
      <w:r w:rsidR="0065128C">
        <w:t>een bredere toepassing te kunnen geven dan op grond de desbetreffende verordening vereist is</w:t>
      </w:r>
      <w:r w:rsidR="005311F9">
        <w:t>;</w:t>
      </w:r>
    </w:p>
    <w:p w:rsidRPr="008734C5" w:rsidR="00A26183" w:rsidP="005A3069" w:rsidRDefault="007658B4" w14:paraId="18AEC61D" w14:textId="77777777">
      <w:pPr>
        <w:ind w:firstLine="284"/>
      </w:pPr>
      <w:r w:rsidRPr="008734C5">
        <w:t>Zo is het, dat Wij, de Afdeling advisering van de Raad van State gehoord</w:t>
      </w:r>
      <w:r>
        <w:t>,</w:t>
      </w:r>
      <w:r w:rsidRPr="008734C5">
        <w:t xml:space="preserve"> en met gemeen overleg der Staten-Generaal, hebben goedgevonden en verstaan, gelijk Wij goedvinden en verstaan bij deze:</w:t>
      </w:r>
    </w:p>
    <w:p w:rsidR="00A26183" w:rsidP="005A3069" w:rsidRDefault="00A26183" w14:paraId="03F30E18" w14:textId="77777777">
      <w:pPr>
        <w:tabs>
          <w:tab w:val="left" w:pos="284"/>
        </w:tabs>
        <w:rPr>
          <w:b/>
        </w:rPr>
      </w:pPr>
    </w:p>
    <w:p w:rsidRPr="00762021" w:rsidR="00A26183" w:rsidP="005A3069" w:rsidRDefault="007658B4" w14:paraId="1E70741B" w14:textId="1A1F2A3D">
      <w:pPr>
        <w:tabs>
          <w:tab w:val="left" w:pos="284"/>
        </w:tabs>
      </w:pPr>
      <w:r w:rsidRPr="006C5E46">
        <w:rPr>
          <w:b/>
        </w:rPr>
        <w:t>Artikel</w:t>
      </w:r>
      <w:r w:rsidR="00CC3982">
        <w:rPr>
          <w:b/>
        </w:rPr>
        <w:t xml:space="preserve"> 1 begripsbepalingen</w:t>
      </w:r>
    </w:p>
    <w:p w:rsidR="00CC3982" w:rsidP="005A3069" w:rsidRDefault="00CC3982" w14:paraId="30B93839" w14:textId="77777777">
      <w:pPr>
        <w:tabs>
          <w:tab w:val="left" w:pos="284"/>
        </w:tabs>
        <w:rPr>
          <w:bCs/>
        </w:rPr>
      </w:pPr>
    </w:p>
    <w:p w:rsidR="00CC3982" w:rsidP="005A3069" w:rsidRDefault="00CC3982" w14:paraId="650009FD" w14:textId="6716F50B">
      <w:pPr>
        <w:tabs>
          <w:tab w:val="left" w:pos="284"/>
        </w:tabs>
        <w:rPr>
          <w:bCs/>
        </w:rPr>
      </w:pPr>
      <w:r>
        <w:rPr>
          <w:bCs/>
        </w:rPr>
        <w:tab/>
      </w:r>
      <w:r w:rsidRPr="00CC3982">
        <w:rPr>
          <w:bCs/>
        </w:rPr>
        <w:t>In deze wet en de daarop berustende bepalingen wordt verstaan onder:</w:t>
      </w:r>
    </w:p>
    <w:p w:rsidR="00CC3982" w:rsidP="005A3069" w:rsidRDefault="00CC3982" w14:paraId="4A5F87CB" w14:textId="77777777">
      <w:pPr>
        <w:tabs>
          <w:tab w:val="left" w:pos="284"/>
        </w:tabs>
        <w:rPr>
          <w:bCs/>
        </w:rPr>
      </w:pPr>
    </w:p>
    <w:p w:rsidRPr="00DE7F9C" w:rsidR="00DE7F9C" w:rsidP="00972CE9" w:rsidRDefault="00B3019A" w14:paraId="7D08F9CB" w14:textId="7A441A5D">
      <w:pPr>
        <w:tabs>
          <w:tab w:val="left" w:pos="284"/>
        </w:tabs>
        <w:rPr>
          <w:bCs/>
        </w:rPr>
      </w:pPr>
      <w:r>
        <w:rPr>
          <w:bCs/>
          <w:i/>
          <w:iCs/>
        </w:rPr>
        <w:tab/>
      </w:r>
      <w:r w:rsidR="00923CEB">
        <w:rPr>
          <w:bCs/>
          <w:i/>
          <w:iCs/>
        </w:rPr>
        <w:t>broeikasga</w:t>
      </w:r>
      <w:r w:rsidR="004A2CF6">
        <w:rPr>
          <w:bCs/>
          <w:i/>
          <w:iCs/>
        </w:rPr>
        <w:t>s</w:t>
      </w:r>
      <w:r w:rsidR="00923CEB">
        <w:rPr>
          <w:bCs/>
          <w:i/>
          <w:iCs/>
        </w:rPr>
        <w:t>s</w:t>
      </w:r>
      <w:r w:rsidR="004D2C0C">
        <w:rPr>
          <w:bCs/>
          <w:i/>
          <w:iCs/>
        </w:rPr>
        <w:t>en</w:t>
      </w:r>
      <w:r w:rsidR="00923CEB">
        <w:rPr>
          <w:bCs/>
        </w:rPr>
        <w:t>:</w:t>
      </w:r>
      <w:r w:rsidRPr="007B3049" w:rsidR="007B3049">
        <w:t xml:space="preserve"> </w:t>
      </w:r>
      <w:r w:rsidRPr="007B3049" w:rsidR="007B3049">
        <w:rPr>
          <w:bCs/>
        </w:rPr>
        <w:t>gassen genoemd in bijlage V, deel 2</w:t>
      </w:r>
      <w:r w:rsidR="007B3049">
        <w:rPr>
          <w:bCs/>
        </w:rPr>
        <w:t xml:space="preserve">, van Verordening (EU) 2018/1999 </w:t>
      </w:r>
      <w:r w:rsidRPr="007B3049" w:rsidR="007B3049">
        <w:rPr>
          <w:bCs/>
        </w:rPr>
        <w:t xml:space="preserve">van het Europees Parlement en de Raad van 11 december 2018 inzake de </w:t>
      </w:r>
      <w:proofErr w:type="spellStart"/>
      <w:r w:rsidRPr="007B3049" w:rsidR="007B3049">
        <w:rPr>
          <w:bCs/>
        </w:rPr>
        <w:t>governance</w:t>
      </w:r>
      <w:proofErr w:type="spellEnd"/>
      <w:r w:rsidRPr="007B3049" w:rsidR="007B3049">
        <w:rPr>
          <w:bCs/>
        </w:rPr>
        <w:t xml:space="preserve"> van de energie-unie en van de klimaatactie,</w:t>
      </w:r>
      <w:r w:rsidR="00923CEB">
        <w:rPr>
          <w:bCs/>
        </w:rPr>
        <w:t xml:space="preserve"> </w:t>
      </w:r>
      <w:r w:rsidRPr="004A2CF6" w:rsidR="004A2CF6">
        <w:rPr>
          <w:bCs/>
        </w:rPr>
        <w:t xml:space="preserve">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w:t>
      </w:r>
      <w:r w:rsidRPr="007B3049" w:rsidR="007B3049">
        <w:rPr>
          <w:bCs/>
        </w:rPr>
        <w:t>(</w:t>
      </w:r>
      <w:proofErr w:type="spellStart"/>
      <w:r w:rsidRPr="007B3049" w:rsidR="007B3049">
        <w:rPr>
          <w:bCs/>
        </w:rPr>
        <w:t>PbEU</w:t>
      </w:r>
      <w:proofErr w:type="spellEnd"/>
      <w:r w:rsidRPr="007B3049" w:rsidR="007B3049">
        <w:rPr>
          <w:bCs/>
        </w:rPr>
        <w:t xml:space="preserve"> 2018, L328)</w:t>
      </w:r>
      <w:r w:rsidDel="00972CE9" w:rsidR="00DE7F9C">
        <w:rPr>
          <w:bCs/>
        </w:rPr>
        <w:t>;</w:t>
      </w:r>
    </w:p>
    <w:p w:rsidRPr="00F92455" w:rsidR="000537B2" w:rsidP="000537B2" w:rsidRDefault="0057746F" w14:paraId="167C4487" w14:textId="77777777">
      <w:pPr>
        <w:tabs>
          <w:tab w:val="left" w:pos="284"/>
        </w:tabs>
        <w:rPr>
          <w:bCs/>
        </w:rPr>
      </w:pPr>
      <w:r>
        <w:rPr>
          <w:bCs/>
        </w:rPr>
        <w:tab/>
      </w:r>
      <w:r w:rsidR="000537B2">
        <w:rPr>
          <w:bCs/>
          <w:i/>
          <w:iCs/>
        </w:rPr>
        <w:t>Onze Minister</w:t>
      </w:r>
      <w:r w:rsidR="000537B2">
        <w:rPr>
          <w:bCs/>
        </w:rPr>
        <w:t>: Onze Minister van Klimaat en Groene Groei;</w:t>
      </w:r>
    </w:p>
    <w:p w:rsidR="000537B2" w:rsidDel="00E5535E" w:rsidP="000537B2" w:rsidRDefault="000537B2" w14:paraId="385DB9BF" w14:textId="7FB5ADF6">
      <w:pPr>
        <w:tabs>
          <w:tab w:val="left" w:pos="284"/>
        </w:tabs>
      </w:pPr>
      <w:r w:rsidDel="00E5535E">
        <w:rPr>
          <w:bCs/>
        </w:rPr>
        <w:tab/>
      </w:r>
      <w:r w:rsidRPr="00C82E66" w:rsidR="000C5BFD">
        <w:rPr>
          <w:bCs/>
          <w:i/>
          <w:iCs/>
        </w:rPr>
        <w:t>tweerichtings</w:t>
      </w:r>
      <w:r w:rsidRPr="00C82E66" w:rsidR="001B798C">
        <w:rPr>
          <w:bCs/>
          <w:i/>
          <w:iCs/>
        </w:rPr>
        <w:t>contract</w:t>
      </w:r>
      <w:r w:rsidDel="00E5535E">
        <w:rPr>
          <w:bCs/>
        </w:rPr>
        <w:t>: tweerichtingscontract ter verrekening van verschillen</w:t>
      </w:r>
      <w:r w:rsidR="001B798C">
        <w:rPr>
          <w:bCs/>
        </w:rPr>
        <w:t xml:space="preserve"> </w:t>
      </w:r>
      <w:r w:rsidDel="00E5535E">
        <w:rPr>
          <w:bCs/>
        </w:rPr>
        <w:t xml:space="preserve">als bedoeld in artikel </w:t>
      </w:r>
      <w:r w:rsidR="00715486">
        <w:rPr>
          <w:bCs/>
        </w:rPr>
        <w:t>19 quinquies</w:t>
      </w:r>
      <w:r>
        <w:rPr>
          <w:bCs/>
        </w:rPr>
        <w:t xml:space="preserve">, </w:t>
      </w:r>
      <w:r w:rsidR="00EA4B72">
        <w:rPr>
          <w:bCs/>
        </w:rPr>
        <w:t>eerste lid</w:t>
      </w:r>
      <w:r>
        <w:rPr>
          <w:bCs/>
        </w:rPr>
        <w:t xml:space="preserve">, </w:t>
      </w:r>
      <w:r w:rsidDel="00E5535E">
        <w:rPr>
          <w:bCs/>
        </w:rPr>
        <w:t xml:space="preserve">van </w:t>
      </w:r>
      <w:r w:rsidR="001B798C">
        <w:rPr>
          <w:bCs/>
        </w:rPr>
        <w:t>de verordening</w:t>
      </w:r>
      <w:r w:rsidR="00A20CF2">
        <w:rPr>
          <w:bCs/>
        </w:rPr>
        <w:t>;</w:t>
      </w:r>
      <w:r w:rsidR="00654CF4">
        <w:rPr>
          <w:bCs/>
        </w:rPr>
        <w:t xml:space="preserve"> </w:t>
      </w:r>
    </w:p>
    <w:p w:rsidR="0057746F" w:rsidDel="00E5535E" w:rsidP="000537B2" w:rsidRDefault="000537B2" w14:paraId="0D0D92BB" w14:textId="0D333BCC">
      <w:pPr>
        <w:tabs>
          <w:tab w:val="left" w:pos="284"/>
        </w:tabs>
      </w:pPr>
      <w:r>
        <w:rPr>
          <w:bCs/>
        </w:rPr>
        <w:tab/>
      </w:r>
      <w:r w:rsidRPr="76976473" w:rsidR="00236E91">
        <w:rPr>
          <w:i/>
          <w:iCs/>
        </w:rPr>
        <w:t>producen</w:t>
      </w:r>
      <w:r w:rsidRPr="76976473" w:rsidR="0057746F">
        <w:rPr>
          <w:i/>
          <w:iCs/>
        </w:rPr>
        <w:t>t</w:t>
      </w:r>
      <w:r w:rsidR="0057746F">
        <w:rPr>
          <w:bCs/>
        </w:rPr>
        <w:t>:</w:t>
      </w:r>
      <w:r w:rsidR="009670CA">
        <w:rPr>
          <w:bCs/>
        </w:rPr>
        <w:t xml:space="preserve"> </w:t>
      </w:r>
      <w:r w:rsidR="00004586">
        <w:rPr>
          <w:bCs/>
        </w:rPr>
        <w:t xml:space="preserve">marktdeelnemer als bedoeld in artikel </w:t>
      </w:r>
      <w:r w:rsidR="00A035E8">
        <w:rPr>
          <w:bCs/>
        </w:rPr>
        <w:t>19</w:t>
      </w:r>
      <w:r w:rsidR="00711086">
        <w:rPr>
          <w:bCs/>
        </w:rPr>
        <w:t xml:space="preserve"> quinquies,</w:t>
      </w:r>
      <w:r w:rsidR="00A36E3A">
        <w:rPr>
          <w:bCs/>
        </w:rPr>
        <w:t xml:space="preserve"> eerste lid, van de verordening</w:t>
      </w:r>
      <w:r w:rsidRPr="47B5A876">
        <w:t>;</w:t>
      </w:r>
    </w:p>
    <w:p w:rsidRPr="002561C7" w:rsidR="002561C7" w:rsidDel="00E5535E" w:rsidP="000537B2" w:rsidRDefault="007D0405" w14:paraId="15B007AB" w14:textId="3492C518">
      <w:pPr>
        <w:tabs>
          <w:tab w:val="left" w:pos="284"/>
        </w:tabs>
        <w:rPr>
          <w:bCs/>
        </w:rPr>
      </w:pPr>
      <w:r>
        <w:rPr>
          <w:bCs/>
        </w:rPr>
        <w:tab/>
      </w:r>
      <w:r w:rsidRPr="006E6D93" w:rsidR="006E6D93">
        <w:rPr>
          <w:bCs/>
          <w:i/>
          <w:iCs/>
        </w:rPr>
        <w:t>productie-installatie</w:t>
      </w:r>
      <w:r w:rsidRPr="307F9011" w:rsidDel="00E5535E">
        <w:t xml:space="preserve">: </w:t>
      </w:r>
      <w:r w:rsidR="00027686">
        <w:t>elektriciteits</w:t>
      </w:r>
      <w:r w:rsidR="00A36175">
        <w:t>productie-installatie als bedoeld in artikel 19 quinquies, eerste lid, van de verordening</w:t>
      </w:r>
      <w:r w:rsidRPr="307F9011" w:rsidDel="00E5535E">
        <w:t>;</w:t>
      </w:r>
    </w:p>
    <w:p w:rsidRPr="000537B2" w:rsidR="00A26183" w:rsidP="76976473" w:rsidRDefault="00F92455" w14:paraId="5B22EAED" w14:textId="74F85330">
      <w:pPr>
        <w:tabs>
          <w:tab w:val="left" w:pos="284"/>
        </w:tabs>
        <w:rPr>
          <w:i/>
          <w:iCs/>
        </w:rPr>
      </w:pPr>
      <w:r>
        <w:rPr>
          <w:bCs/>
        </w:rPr>
        <w:tab/>
      </w:r>
      <w:r w:rsidRPr="76976473" w:rsidR="00071DDF">
        <w:rPr>
          <w:i/>
          <w:iCs/>
        </w:rPr>
        <w:t>verordening</w:t>
      </w:r>
      <w:r w:rsidR="00071DDF">
        <w:rPr>
          <w:bCs/>
        </w:rPr>
        <w:t xml:space="preserve">: </w:t>
      </w:r>
      <w:r w:rsidRPr="76976473" w:rsidR="00071DDF">
        <w:t xml:space="preserve">Verordening (EU) 2019/943 </w:t>
      </w:r>
      <w:r w:rsidRPr="76976473" w:rsidR="004D1DD3">
        <w:t>van</w:t>
      </w:r>
      <w:r w:rsidRPr="76976473" w:rsidR="00071DDF">
        <w:t xml:space="preserve"> het Europees Parlement en de Raad van 5 juni 2019 betreffende de interne markt voor elektriciteit</w:t>
      </w:r>
      <w:r w:rsidR="00E92004">
        <w:rPr>
          <w:bCs/>
        </w:rPr>
        <w:t>.</w:t>
      </w:r>
    </w:p>
    <w:p w:rsidR="005B5F31" w:rsidP="004D1DD3" w:rsidRDefault="005B5F31" w14:paraId="785655B7" w14:textId="77777777">
      <w:pPr>
        <w:tabs>
          <w:tab w:val="left" w:pos="284"/>
        </w:tabs>
        <w:rPr>
          <w:b/>
        </w:rPr>
      </w:pPr>
    </w:p>
    <w:p w:rsidR="004D1DD3" w:rsidP="004D1DD3" w:rsidRDefault="004D1DD3" w14:paraId="3F467863" w14:textId="09AF1CF1">
      <w:pPr>
        <w:tabs>
          <w:tab w:val="left" w:pos="284"/>
        </w:tabs>
        <w:rPr>
          <w:b/>
        </w:rPr>
      </w:pPr>
      <w:r>
        <w:rPr>
          <w:b/>
        </w:rPr>
        <w:t xml:space="preserve">Artikel 2 </w:t>
      </w:r>
      <w:r w:rsidR="00BB5367">
        <w:rPr>
          <w:b/>
        </w:rPr>
        <w:t xml:space="preserve">uitsluiten </w:t>
      </w:r>
      <w:r w:rsidR="00D875F0">
        <w:rPr>
          <w:b/>
        </w:rPr>
        <w:t>subsidiever</w:t>
      </w:r>
      <w:r w:rsidR="00BB5367">
        <w:rPr>
          <w:b/>
        </w:rPr>
        <w:t>lening</w:t>
      </w:r>
    </w:p>
    <w:p w:rsidR="004D1DD3" w:rsidP="004D1DD3" w:rsidRDefault="004D1DD3" w14:paraId="4B90ED7C" w14:textId="77777777">
      <w:pPr>
        <w:tabs>
          <w:tab w:val="left" w:pos="284"/>
        </w:tabs>
        <w:rPr>
          <w:bCs/>
        </w:rPr>
      </w:pPr>
    </w:p>
    <w:p w:rsidR="005D7EED" w:rsidP="004D1DD3" w:rsidRDefault="005D7EED" w14:paraId="72D1969F" w14:textId="129904B8">
      <w:pPr>
        <w:tabs>
          <w:tab w:val="left" w:pos="284"/>
        </w:tabs>
      </w:pPr>
      <w:r>
        <w:rPr>
          <w:bCs/>
        </w:rPr>
        <w:tab/>
      </w:r>
      <w:r w:rsidRPr="47B5A876">
        <w:t>1. Geen</w:t>
      </w:r>
      <w:r w:rsidRPr="47B5A876" w:rsidR="00F92455">
        <w:t xml:space="preserve"> subsidie</w:t>
      </w:r>
      <w:r>
        <w:rPr>
          <w:bCs/>
        </w:rPr>
        <w:t xml:space="preserve"> </w:t>
      </w:r>
      <w:r w:rsidRPr="47B5A876" w:rsidR="00203E3C">
        <w:t xml:space="preserve">wordt </w:t>
      </w:r>
      <w:r w:rsidRPr="47B5A876" w:rsidR="00F92455">
        <w:t xml:space="preserve">verleend </w:t>
      </w:r>
      <w:r w:rsidR="00966795">
        <w:t>in de vorm van</w:t>
      </w:r>
      <w:r w:rsidR="00860E9B">
        <w:t xml:space="preserve"> een </w:t>
      </w:r>
      <w:r w:rsidR="00966795">
        <w:t>directe prijssteun</w:t>
      </w:r>
      <w:r w:rsidR="00860E9B">
        <w:t>regeling</w:t>
      </w:r>
      <w:r w:rsidR="00966795">
        <w:t xml:space="preserve"> </w:t>
      </w:r>
      <w:r w:rsidRPr="47B5A876" w:rsidR="000F2B37">
        <w:t xml:space="preserve">voor investeringen </w:t>
      </w:r>
      <w:r w:rsidR="00E43340">
        <w:t>als bedoeld in artikel 19 quinquies,</w:t>
      </w:r>
      <w:r w:rsidRPr="47B5A876" w:rsidR="00E43340">
        <w:t xml:space="preserve"> </w:t>
      </w:r>
      <w:r w:rsidR="00E43340">
        <w:t xml:space="preserve">eerste lid, van </w:t>
      </w:r>
      <w:r w:rsidR="0057733B">
        <w:t xml:space="preserve">de </w:t>
      </w:r>
      <w:r w:rsidRPr="003D704C" w:rsidR="00E43340">
        <w:t>verordening</w:t>
      </w:r>
      <w:r w:rsidR="000F2B37">
        <w:t>.</w:t>
      </w:r>
    </w:p>
    <w:p w:rsidR="00F10D28" w:rsidP="004D1DD3" w:rsidRDefault="000F2B37" w14:paraId="676D1A00" w14:textId="1F808D60">
      <w:pPr>
        <w:tabs>
          <w:tab w:val="left" w:pos="284"/>
        </w:tabs>
      </w:pPr>
      <w:r>
        <w:rPr>
          <w:bCs/>
        </w:rPr>
        <w:tab/>
      </w:r>
      <w:r w:rsidRPr="47B5A876">
        <w:t xml:space="preserve">2. </w:t>
      </w:r>
      <w:r w:rsidR="002B259B">
        <w:t>Het</w:t>
      </w:r>
      <w:r w:rsidRPr="47B5A876">
        <w:t xml:space="preserve"> eerste lid </w:t>
      </w:r>
      <w:r w:rsidR="00364F66">
        <w:t xml:space="preserve">is niet van toepassing op </w:t>
      </w:r>
      <w:r w:rsidRPr="47B5A876" w:rsidR="006B57A7">
        <w:t>kleinschalige productie-installaties en demonstratieprojecten</w:t>
      </w:r>
      <w:r w:rsidRPr="47B5A876" w:rsidR="00F10D28">
        <w:t xml:space="preserve"> als bedoeld in artikel 19</w:t>
      </w:r>
      <w:r w:rsidR="006C50CA">
        <w:t xml:space="preserve"> </w:t>
      </w:r>
      <w:r w:rsidRPr="47B5A876" w:rsidR="00F10D28">
        <w:t xml:space="preserve">quinquies, zesde lid, van </w:t>
      </w:r>
      <w:r w:rsidR="00265D3F">
        <w:t>de</w:t>
      </w:r>
      <w:r w:rsidRPr="47B5A876" w:rsidR="00F10D28">
        <w:t xml:space="preserve"> verordening.</w:t>
      </w:r>
    </w:p>
    <w:p w:rsidR="00F10D28" w:rsidP="004D1DD3" w:rsidRDefault="00F10D28" w14:paraId="66038AC3" w14:textId="77777777">
      <w:pPr>
        <w:tabs>
          <w:tab w:val="left" w:pos="284"/>
        </w:tabs>
        <w:rPr>
          <w:bCs/>
        </w:rPr>
      </w:pPr>
    </w:p>
    <w:p w:rsidRPr="0087644A" w:rsidR="00F10D28" w:rsidP="004D1DD3" w:rsidRDefault="0087644A" w14:paraId="68931187" w14:textId="03E42598">
      <w:pPr>
        <w:tabs>
          <w:tab w:val="left" w:pos="284"/>
        </w:tabs>
        <w:rPr>
          <w:b/>
        </w:rPr>
      </w:pPr>
      <w:r>
        <w:rPr>
          <w:b/>
        </w:rPr>
        <w:t xml:space="preserve">Artikel 3 </w:t>
      </w:r>
      <w:r w:rsidR="00D875F0">
        <w:rPr>
          <w:b/>
        </w:rPr>
        <w:t>tweerichtingscontracten ter verrekening van verschillen</w:t>
      </w:r>
    </w:p>
    <w:p w:rsidR="005D7EED" w:rsidP="004D1DD3" w:rsidRDefault="005D7EED" w14:paraId="7985F973" w14:textId="63344AEE">
      <w:pPr>
        <w:tabs>
          <w:tab w:val="left" w:pos="284"/>
        </w:tabs>
        <w:rPr>
          <w:bCs/>
        </w:rPr>
      </w:pPr>
    </w:p>
    <w:p w:rsidR="00DA0707" w:rsidP="004D1DD3" w:rsidRDefault="0057746F" w14:paraId="0265F1F7" w14:textId="16949236">
      <w:pPr>
        <w:tabs>
          <w:tab w:val="left" w:pos="284"/>
        </w:tabs>
      </w:pPr>
      <w:r>
        <w:rPr>
          <w:bCs/>
        </w:rPr>
        <w:tab/>
      </w:r>
      <w:r w:rsidRPr="531BFB7E" w:rsidR="005B287B">
        <w:t xml:space="preserve">1. </w:t>
      </w:r>
      <w:r w:rsidRPr="531BFB7E">
        <w:t xml:space="preserve">Onze Minister kan, namens de Staat der Nederlanden, een </w:t>
      </w:r>
      <w:r w:rsidR="00CB389D">
        <w:t>tweerichtingscontract</w:t>
      </w:r>
      <w:r w:rsidRPr="531BFB7E">
        <w:t xml:space="preserve"> als bedoeld in artikel </w:t>
      </w:r>
      <w:r w:rsidR="00CE0C05">
        <w:t>19 quinquies</w:t>
      </w:r>
      <w:r w:rsidR="005B287B">
        <w:rPr>
          <w:bCs/>
        </w:rPr>
        <w:t xml:space="preserve">, </w:t>
      </w:r>
      <w:r w:rsidR="00F371A1">
        <w:t xml:space="preserve">eerste </w:t>
      </w:r>
      <w:r w:rsidRPr="531BFB7E" w:rsidR="005B287B">
        <w:t>lid</w:t>
      </w:r>
      <w:r w:rsidR="00CE0C05">
        <w:t xml:space="preserve">, van </w:t>
      </w:r>
      <w:r w:rsidR="00F371A1">
        <w:t xml:space="preserve">de </w:t>
      </w:r>
      <w:r w:rsidRPr="000F1A6D" w:rsidR="00CE0C05">
        <w:t xml:space="preserve">verordening </w:t>
      </w:r>
      <w:r w:rsidR="003A7BBC">
        <w:t>sluiten</w:t>
      </w:r>
      <w:r w:rsidR="005B287B">
        <w:rPr>
          <w:bCs/>
        </w:rPr>
        <w:t>.</w:t>
      </w:r>
      <w:r>
        <w:rPr>
          <w:bCs/>
        </w:rPr>
        <w:t xml:space="preserve"> </w:t>
      </w:r>
    </w:p>
    <w:p w:rsidR="00FE628C" w:rsidP="47B5A876" w:rsidRDefault="002561C7" w14:paraId="44B6BAC6" w14:textId="0189C466">
      <w:pPr>
        <w:tabs>
          <w:tab w:val="left" w:pos="284"/>
        </w:tabs>
      </w:pPr>
      <w:r>
        <w:rPr>
          <w:bCs/>
        </w:rPr>
        <w:tab/>
      </w:r>
      <w:r w:rsidRPr="47B5A876">
        <w:t xml:space="preserve">2. </w:t>
      </w:r>
      <w:r w:rsidRPr="0002492C" w:rsidR="0002492C">
        <w:t xml:space="preserve">Op een contract </w:t>
      </w:r>
      <w:r w:rsidR="00140CBD">
        <w:t>en</w:t>
      </w:r>
      <w:r w:rsidRPr="0002492C" w:rsidR="0002492C">
        <w:t xml:space="preserve"> de totstandkoming </w:t>
      </w:r>
      <w:r w:rsidRPr="0002492C" w:rsidR="00140CBD">
        <w:t>ervan</w:t>
      </w:r>
      <w:r w:rsidR="00656C73">
        <w:t>,</w:t>
      </w:r>
      <w:r w:rsidRPr="0002492C" w:rsidR="00140CBD">
        <w:t xml:space="preserve"> </w:t>
      </w:r>
      <w:r w:rsidRPr="0002492C" w:rsidR="0002492C">
        <w:t>waar</w:t>
      </w:r>
      <w:r w:rsidR="0002492C">
        <w:t>bij</w:t>
      </w:r>
      <w:r w:rsidRPr="0002492C" w:rsidR="0002492C">
        <w:t xml:space="preserve"> zowel een minimumvergoeding als een limiet voor een te hoge vergoeding wordt geboden voor activiteiten die bijdragen aan de vermindering van broeikas</w:t>
      </w:r>
      <w:r w:rsidRPr="000D708B" w:rsidR="00AA3DAD">
        <w:t>gas</w:t>
      </w:r>
      <w:r w:rsidRPr="000D708B" w:rsidR="004D2C0C">
        <w:t>sen</w:t>
      </w:r>
      <w:r w:rsidRPr="0002492C" w:rsidR="0002492C">
        <w:t xml:space="preserve"> in de atmosfeer, anders dan de investeringen</w:t>
      </w:r>
      <w:r w:rsidR="005C3E27">
        <w:t>,</w:t>
      </w:r>
      <w:r w:rsidRPr="0002492C" w:rsidR="0002492C">
        <w:t xml:space="preserve"> bedoeld in artikel 19 quinquies, eerste lid, van de verordening, is deze wet van overeenkomstige toepassing.</w:t>
      </w:r>
    </w:p>
    <w:p w:rsidR="00DA0707" w:rsidP="00DA0707" w:rsidRDefault="00DA0707" w14:paraId="1C005538" w14:textId="785E6F2E">
      <w:pPr>
        <w:tabs>
          <w:tab w:val="left" w:pos="284"/>
        </w:tabs>
        <w:rPr>
          <w:bCs/>
        </w:rPr>
      </w:pPr>
      <w:r>
        <w:rPr>
          <w:bCs/>
        </w:rPr>
        <w:lastRenderedPageBreak/>
        <w:tab/>
      </w:r>
      <w:r w:rsidR="00946846">
        <w:rPr>
          <w:bCs/>
        </w:rPr>
        <w:t>3</w:t>
      </w:r>
      <w:r w:rsidR="00FE628C">
        <w:rPr>
          <w:bCs/>
        </w:rPr>
        <w:t>.</w:t>
      </w:r>
      <w:r>
        <w:rPr>
          <w:bCs/>
        </w:rPr>
        <w:t xml:space="preserve"> </w:t>
      </w:r>
      <w:r w:rsidRPr="001316FF" w:rsidR="00B3019A">
        <w:rPr>
          <w:bCs/>
        </w:rPr>
        <w:t xml:space="preserve">Een </w:t>
      </w:r>
      <w:r w:rsidR="00B22D91">
        <w:rPr>
          <w:bCs/>
        </w:rPr>
        <w:t>tweerichtingscontract</w:t>
      </w:r>
      <w:r w:rsidRPr="001316FF" w:rsidR="00B22D91">
        <w:rPr>
          <w:bCs/>
        </w:rPr>
        <w:t xml:space="preserve"> </w:t>
      </w:r>
      <w:r w:rsidRPr="001316FF" w:rsidR="00B3019A">
        <w:rPr>
          <w:bCs/>
        </w:rPr>
        <w:t xml:space="preserve">komt slechts tot stand indien </w:t>
      </w:r>
      <w:r w:rsidRPr="000D708B" w:rsidR="00AA3DAD">
        <w:rPr>
          <w:bCs/>
        </w:rPr>
        <w:t>het</w:t>
      </w:r>
      <w:r w:rsidRPr="001316FF" w:rsidR="00B3019A">
        <w:rPr>
          <w:bCs/>
        </w:rPr>
        <w:t xml:space="preserve"> beantwoordt aan de bij of krachtens deze wet gestelde eisen</w:t>
      </w:r>
      <w:r w:rsidR="00B3019A">
        <w:rPr>
          <w:bCs/>
        </w:rPr>
        <w:t xml:space="preserve">. </w:t>
      </w:r>
    </w:p>
    <w:p w:rsidR="00CC0AB0" w:rsidP="004D1DD3" w:rsidRDefault="00DA0707" w14:paraId="77A7310A" w14:textId="4DC360D5">
      <w:pPr>
        <w:tabs>
          <w:tab w:val="left" w:pos="284"/>
        </w:tabs>
        <w:rPr>
          <w:bCs/>
        </w:rPr>
      </w:pPr>
      <w:r>
        <w:rPr>
          <w:bCs/>
        </w:rPr>
        <w:tab/>
      </w:r>
      <w:r w:rsidR="00574BC5">
        <w:rPr>
          <w:bCs/>
        </w:rPr>
        <w:t>4</w:t>
      </w:r>
      <w:r>
        <w:rPr>
          <w:bCs/>
        </w:rPr>
        <w:t xml:space="preserve">. Op een </w:t>
      </w:r>
      <w:r w:rsidR="005B1A8E">
        <w:rPr>
          <w:bCs/>
        </w:rPr>
        <w:t>tweerichtingscontract</w:t>
      </w:r>
      <w:r>
        <w:rPr>
          <w:bCs/>
        </w:rPr>
        <w:t xml:space="preserve"> is titel 4.2 van de Algemene wet bestuursrecht niet van toepassing.</w:t>
      </w:r>
    </w:p>
    <w:p w:rsidR="00B04BFB" w:rsidP="004D1DD3" w:rsidRDefault="00B04BFB" w14:paraId="031DAC6B" w14:textId="77777777">
      <w:pPr>
        <w:tabs>
          <w:tab w:val="left" w:pos="284"/>
        </w:tabs>
        <w:rPr>
          <w:bCs/>
        </w:rPr>
      </w:pPr>
    </w:p>
    <w:p w:rsidR="00B04BFB" w:rsidP="004D1DD3" w:rsidRDefault="00B04BFB" w14:paraId="66DFDE53" w14:textId="53EF1975">
      <w:pPr>
        <w:tabs>
          <w:tab w:val="left" w:pos="284"/>
        </w:tabs>
        <w:rPr>
          <w:bCs/>
        </w:rPr>
      </w:pPr>
      <w:r>
        <w:rPr>
          <w:b/>
        </w:rPr>
        <w:t xml:space="preserve">Artikel </w:t>
      </w:r>
      <w:r w:rsidR="004F7AB4">
        <w:rPr>
          <w:b/>
        </w:rPr>
        <w:t>4</w:t>
      </w:r>
      <w:r w:rsidR="00212DC8">
        <w:rPr>
          <w:b/>
        </w:rPr>
        <w:t xml:space="preserve"> </w:t>
      </w:r>
      <w:r w:rsidR="000721D1">
        <w:rPr>
          <w:b/>
        </w:rPr>
        <w:t>eisen aan tweerichtingscontracten</w:t>
      </w:r>
    </w:p>
    <w:p w:rsidR="00B04BFB" w:rsidP="004D1DD3" w:rsidRDefault="00B04BFB" w14:paraId="63809A4A" w14:textId="77777777">
      <w:pPr>
        <w:tabs>
          <w:tab w:val="left" w:pos="284"/>
        </w:tabs>
        <w:rPr>
          <w:bCs/>
        </w:rPr>
      </w:pPr>
    </w:p>
    <w:p w:rsidR="001316FF" w:rsidP="00B04BFB" w:rsidRDefault="00B04BFB" w14:paraId="72DC4897" w14:textId="20A0B8FD">
      <w:pPr>
        <w:tabs>
          <w:tab w:val="left" w:pos="284"/>
        </w:tabs>
      </w:pPr>
      <w:r>
        <w:rPr>
          <w:bCs/>
        </w:rPr>
        <w:tab/>
      </w:r>
      <w:r w:rsidRPr="47B5A876" w:rsidR="001316FF">
        <w:t xml:space="preserve">1. </w:t>
      </w:r>
      <w:r w:rsidRPr="531BFB7E" w:rsidR="470EE900">
        <w:t xml:space="preserve">In het geval </w:t>
      </w:r>
      <w:r w:rsidR="00D3730E">
        <w:t>het</w:t>
      </w:r>
      <w:r w:rsidR="00AE60CB">
        <w:t xml:space="preserve"> </w:t>
      </w:r>
      <w:r w:rsidR="005B1A8E">
        <w:t>tweerichtingscontract</w:t>
      </w:r>
      <w:r w:rsidRPr="531BFB7E" w:rsidR="470EE900">
        <w:t xml:space="preserve"> </w:t>
      </w:r>
      <w:r w:rsidRPr="531BFB7E" w:rsidR="2521C1D2">
        <w:t xml:space="preserve">betrekking heeft op </w:t>
      </w:r>
      <w:r w:rsidRPr="531BFB7E" w:rsidR="470EE900">
        <w:t xml:space="preserve">een steunmaatregel die onderworpen is aan de beoordeling op grond van de artikelen 107 en 108 van het Verdrag betreffende de werking van de Europese Unie wordt de </w:t>
      </w:r>
      <w:r w:rsidR="005B1A8E">
        <w:t>deze</w:t>
      </w:r>
      <w:r w:rsidRPr="531BFB7E" w:rsidR="005B1A8E">
        <w:t xml:space="preserve"> </w:t>
      </w:r>
      <w:r w:rsidRPr="531BFB7E" w:rsidR="470EE900">
        <w:t>niet eerder gesloten dan nadat de Europese Commissie heeft vastgesteld dat de steunmaatregel verenigbaar is met de interne markt</w:t>
      </w:r>
      <w:r w:rsidRPr="531BFB7E" w:rsidR="2F82494F">
        <w:t>,</w:t>
      </w:r>
      <w:r w:rsidRPr="531BFB7E" w:rsidR="470EE900">
        <w:t xml:space="preserve"> bedoeld in artikel 107 van dat verdrag</w:t>
      </w:r>
      <w:r w:rsidR="00B3019A">
        <w:rPr>
          <w:bCs/>
        </w:rPr>
        <w:t xml:space="preserve">. </w:t>
      </w:r>
    </w:p>
    <w:p w:rsidR="00574BC5" w:rsidP="00B04BFB" w:rsidRDefault="001316FF" w14:paraId="39334A93" w14:textId="4ABD065E">
      <w:pPr>
        <w:tabs>
          <w:tab w:val="left" w:pos="284"/>
        </w:tabs>
        <w:rPr>
          <w:bCs/>
        </w:rPr>
      </w:pPr>
      <w:r>
        <w:rPr>
          <w:bCs/>
        </w:rPr>
        <w:tab/>
        <w:t>2</w:t>
      </w:r>
      <w:r w:rsidR="00B04BFB">
        <w:rPr>
          <w:bCs/>
        </w:rPr>
        <w:t xml:space="preserve">. Geen </w:t>
      </w:r>
      <w:r w:rsidR="00833489">
        <w:rPr>
          <w:bCs/>
        </w:rPr>
        <w:t>tweerichtingscontract</w:t>
      </w:r>
      <w:r w:rsidR="00B04BFB">
        <w:rPr>
          <w:bCs/>
        </w:rPr>
        <w:t xml:space="preserve"> wordt gesloten met een producent</w:t>
      </w:r>
      <w:r w:rsidRPr="00B606A9" w:rsidR="00B606A9">
        <w:rPr>
          <w:bCs/>
        </w:rPr>
        <w:t xml:space="preserve"> </w:t>
      </w:r>
      <w:r w:rsidR="00B606A9">
        <w:rPr>
          <w:bCs/>
        </w:rPr>
        <w:t>ten aanzien van wie</w:t>
      </w:r>
      <w:r w:rsidR="00574BC5">
        <w:rPr>
          <w:bCs/>
        </w:rPr>
        <w:t>:</w:t>
      </w:r>
    </w:p>
    <w:p w:rsidR="00574BC5" w:rsidP="00B04BFB" w:rsidRDefault="00574BC5" w14:paraId="2AA49AB5" w14:textId="5613DB4C">
      <w:pPr>
        <w:tabs>
          <w:tab w:val="left" w:pos="284"/>
        </w:tabs>
        <w:rPr>
          <w:bCs/>
        </w:rPr>
      </w:pPr>
      <w:r>
        <w:rPr>
          <w:bCs/>
        </w:rPr>
        <w:tab/>
        <w:t>a.</w:t>
      </w:r>
      <w:r w:rsidRPr="00085A6E" w:rsidR="00085A6E">
        <w:rPr>
          <w:bCs/>
        </w:rPr>
        <w:t xml:space="preserve"> een bevel tot terugvordering uitstaat ingevolge een besluit van de </w:t>
      </w:r>
      <w:r w:rsidR="00085A6E">
        <w:rPr>
          <w:bCs/>
        </w:rPr>
        <w:t xml:space="preserve">Europese </w:t>
      </w:r>
      <w:r w:rsidRPr="00085A6E" w:rsidR="00085A6E">
        <w:rPr>
          <w:bCs/>
        </w:rPr>
        <w:t>Commissie waarbij steun</w:t>
      </w:r>
      <w:r w:rsidR="00085A6E">
        <w:rPr>
          <w:bCs/>
        </w:rPr>
        <w:t xml:space="preserve"> aan de desbetreffende producent</w:t>
      </w:r>
      <w:r w:rsidRPr="00085A6E" w:rsidR="00085A6E">
        <w:rPr>
          <w:bCs/>
        </w:rPr>
        <w:t xml:space="preserve"> onrechtmatig en onverenigbaar met de interne markt is verklaard</w:t>
      </w:r>
      <w:r>
        <w:rPr>
          <w:bCs/>
        </w:rPr>
        <w:t>;</w:t>
      </w:r>
    </w:p>
    <w:p w:rsidR="00B606A9" w:rsidP="00B04BFB" w:rsidRDefault="00574BC5" w14:paraId="46C0B502" w14:textId="264874F3">
      <w:pPr>
        <w:tabs>
          <w:tab w:val="left" w:pos="284"/>
        </w:tabs>
        <w:rPr>
          <w:bCs/>
        </w:rPr>
      </w:pPr>
      <w:r>
        <w:rPr>
          <w:bCs/>
        </w:rPr>
        <w:tab/>
        <w:t xml:space="preserve">b. </w:t>
      </w:r>
      <w:r w:rsidR="00B606A9">
        <w:rPr>
          <w:bCs/>
        </w:rPr>
        <w:t>surseance van betaling is verleend of die een daartoe strekkend verzoek heeft gedaan dat aanhangig is;</w:t>
      </w:r>
    </w:p>
    <w:p w:rsidR="00B606A9" w:rsidP="00B04BFB" w:rsidRDefault="00B606A9" w14:paraId="02A69473" w14:textId="3238E25D">
      <w:pPr>
        <w:tabs>
          <w:tab w:val="left" w:pos="284"/>
        </w:tabs>
        <w:rPr>
          <w:bCs/>
        </w:rPr>
      </w:pPr>
      <w:r>
        <w:rPr>
          <w:bCs/>
        </w:rPr>
        <w:tab/>
        <w:t>c. een faillissementsverzoek aanhangig is;</w:t>
      </w:r>
    </w:p>
    <w:p w:rsidR="00B04BFB" w:rsidP="00B04BFB" w:rsidRDefault="00B606A9" w14:paraId="78BB1E27" w14:textId="4433901D">
      <w:pPr>
        <w:tabs>
          <w:tab w:val="left" w:pos="284"/>
        </w:tabs>
      </w:pPr>
      <w:r>
        <w:rPr>
          <w:bCs/>
        </w:rPr>
        <w:tab/>
      </w:r>
      <w:r w:rsidRPr="0845B76E">
        <w:t>d. de schuldsaneringsregeling natuurlijke personen van toepassing is verklaard of een daartoe strekkend verzoek aanhangig of in voorbereiding is</w:t>
      </w:r>
      <w:r w:rsidR="005C3E27">
        <w:rPr>
          <w:bCs/>
        </w:rPr>
        <w:t>.</w:t>
      </w:r>
    </w:p>
    <w:p w:rsidR="004B0E25" w:rsidP="00B04BFB" w:rsidRDefault="001316FF" w14:paraId="4278EAA3" w14:textId="4348833A">
      <w:pPr>
        <w:tabs>
          <w:tab w:val="left" w:pos="284"/>
        </w:tabs>
      </w:pPr>
      <w:r>
        <w:t>3</w:t>
      </w:r>
      <w:r w:rsidR="00085A6E">
        <w:t xml:space="preserve">. </w:t>
      </w:r>
      <w:r w:rsidR="004B0E25">
        <w:t xml:space="preserve">Geen </w:t>
      </w:r>
      <w:r w:rsidR="00833489">
        <w:t>tweerichtingscontract</w:t>
      </w:r>
      <w:r w:rsidR="004B0E25">
        <w:t xml:space="preserve"> wordt gesloten met betrekking tot een productie-installatie</w:t>
      </w:r>
      <w:r w:rsidR="4FEA3742">
        <w:t>:</w:t>
      </w:r>
      <w:r w:rsidR="004B0E25">
        <w:t xml:space="preserve"> </w:t>
      </w:r>
    </w:p>
    <w:p w:rsidR="00085A6E" w:rsidP="00B04BFB" w:rsidRDefault="004B0E25" w14:paraId="606C95D2" w14:textId="2EAE8D94">
      <w:pPr>
        <w:tabs>
          <w:tab w:val="left" w:pos="284"/>
        </w:tabs>
        <w:rPr>
          <w:bCs/>
        </w:rPr>
      </w:pPr>
      <w:r>
        <w:rPr>
          <w:bCs/>
        </w:rPr>
        <w:tab/>
        <w:t>a. die op het moment van de indiening van een</w:t>
      </w:r>
      <w:r w:rsidR="006D17EF">
        <w:rPr>
          <w:bCs/>
        </w:rPr>
        <w:t xml:space="preserve"> daartoe strekkend</w:t>
      </w:r>
      <w:r>
        <w:rPr>
          <w:bCs/>
        </w:rPr>
        <w:t xml:space="preserve"> aanbod reeds is gerealiseerd of in aanbouw is; of</w:t>
      </w:r>
    </w:p>
    <w:p w:rsidR="004B0E25" w:rsidP="00B04BFB" w:rsidRDefault="004B0E25" w14:paraId="559A534B" w14:textId="32369955">
      <w:pPr>
        <w:tabs>
          <w:tab w:val="left" w:pos="284"/>
        </w:tabs>
      </w:pPr>
      <w:r>
        <w:rPr>
          <w:bCs/>
        </w:rPr>
        <w:tab/>
      </w:r>
      <w:r w:rsidRPr="307F9011">
        <w:t xml:space="preserve">b. </w:t>
      </w:r>
      <w:r w:rsidRPr="307F9011" w:rsidR="006D17EF">
        <w:t>ten aanzien waarvan</w:t>
      </w:r>
      <w:r>
        <w:rPr>
          <w:bCs/>
        </w:rPr>
        <w:t xml:space="preserve"> </w:t>
      </w:r>
      <w:r w:rsidRPr="307F9011" w:rsidR="003E121E">
        <w:t xml:space="preserve">op het moment van </w:t>
      </w:r>
      <w:r w:rsidRPr="307F9011" w:rsidR="005E5436">
        <w:t xml:space="preserve">de </w:t>
      </w:r>
      <w:r w:rsidRPr="307F9011" w:rsidR="003E121E">
        <w:t>indiening van een</w:t>
      </w:r>
      <w:r w:rsidRPr="307F9011" w:rsidR="005E5436">
        <w:t xml:space="preserve"> daartoe strekkend</w:t>
      </w:r>
      <w:r w:rsidRPr="307F9011" w:rsidR="003E121E">
        <w:t xml:space="preserve"> aanbod onomkeerbare investeringsverplichtingen zijn aangegaan.</w:t>
      </w:r>
    </w:p>
    <w:p w:rsidR="00574BC5" w:rsidP="00B04BFB" w:rsidRDefault="00574BC5" w14:paraId="0A738724" w14:textId="3B5A754A">
      <w:pPr>
        <w:tabs>
          <w:tab w:val="left" w:pos="284"/>
        </w:tabs>
        <w:rPr>
          <w:bCs/>
        </w:rPr>
      </w:pPr>
      <w:r>
        <w:rPr>
          <w:bCs/>
        </w:rPr>
        <w:tab/>
      </w:r>
      <w:r w:rsidR="001316FF">
        <w:rPr>
          <w:bCs/>
        </w:rPr>
        <w:t>4</w:t>
      </w:r>
      <w:r>
        <w:rPr>
          <w:bCs/>
        </w:rPr>
        <w:t xml:space="preserve">. </w:t>
      </w:r>
      <w:r w:rsidR="005A2B1A">
        <w:rPr>
          <w:bCs/>
        </w:rPr>
        <w:t xml:space="preserve">Geen </w:t>
      </w:r>
      <w:r w:rsidR="00833489">
        <w:rPr>
          <w:bCs/>
        </w:rPr>
        <w:t>tweerichtingscontract</w:t>
      </w:r>
      <w:r w:rsidR="005A2B1A">
        <w:rPr>
          <w:bCs/>
        </w:rPr>
        <w:t xml:space="preserve"> wordt gesloten met betrekking tot een productie-installatie waarvan het niet aannemelijk is dat de bouw en exploitatie uitvoerbaar</w:t>
      </w:r>
      <w:r w:rsidR="005E5436">
        <w:rPr>
          <w:bCs/>
        </w:rPr>
        <w:t xml:space="preserve"> zijn</w:t>
      </w:r>
      <w:r w:rsidR="005A2B1A">
        <w:rPr>
          <w:bCs/>
        </w:rPr>
        <w:t xml:space="preserve">, dan wel technisch, financieel of economisch haalbaar </w:t>
      </w:r>
      <w:r w:rsidR="005E5436">
        <w:rPr>
          <w:bCs/>
        </w:rPr>
        <w:t>zijn</w:t>
      </w:r>
      <w:r w:rsidR="005A2B1A">
        <w:rPr>
          <w:bCs/>
        </w:rPr>
        <w:t>.</w:t>
      </w:r>
    </w:p>
    <w:p w:rsidR="007B24DB" w:rsidP="007B24DB" w:rsidRDefault="00881743" w14:paraId="70C8E59E" w14:textId="705BD869">
      <w:pPr>
        <w:tabs>
          <w:tab w:val="left" w:pos="284"/>
        </w:tabs>
        <w:rPr>
          <w:bCs/>
        </w:rPr>
      </w:pPr>
      <w:r>
        <w:rPr>
          <w:bCs/>
        </w:rPr>
        <w:tab/>
      </w:r>
      <w:r w:rsidR="007B24DB">
        <w:rPr>
          <w:bCs/>
        </w:rPr>
        <w:t xml:space="preserve">5. Geen </w:t>
      </w:r>
      <w:r w:rsidR="00833489">
        <w:rPr>
          <w:bCs/>
        </w:rPr>
        <w:t>tweerichtingscontract</w:t>
      </w:r>
      <w:r w:rsidR="007B24DB">
        <w:rPr>
          <w:bCs/>
        </w:rPr>
        <w:t xml:space="preserve"> wordt gesloten indien </w:t>
      </w:r>
      <w:r w:rsidRPr="007B24DB" w:rsidR="007B24DB">
        <w:rPr>
          <w:bCs/>
        </w:rPr>
        <w:t xml:space="preserve">aan de middellijke of onmiddellijke zeggenschap over de </w:t>
      </w:r>
      <w:r w:rsidR="00163F29">
        <w:rPr>
          <w:bCs/>
        </w:rPr>
        <w:t>producent</w:t>
      </w:r>
      <w:r w:rsidRPr="007B24DB" w:rsidR="007B24DB">
        <w:rPr>
          <w:bCs/>
        </w:rPr>
        <w:t xml:space="preserve"> onaanvaardbare risico’s verbonden zijn voor de openbare veiligheid, de voorzieningszekerheid of de leveringszekerheid</w:t>
      </w:r>
      <w:r w:rsidR="00163F29">
        <w:rPr>
          <w:bCs/>
        </w:rPr>
        <w:t xml:space="preserve"> van elektriciteit</w:t>
      </w:r>
      <w:r w:rsidR="007B24DB">
        <w:rPr>
          <w:bCs/>
        </w:rPr>
        <w:t xml:space="preserve">. </w:t>
      </w:r>
    </w:p>
    <w:p w:rsidR="00DA6442" w:rsidP="00B04BFB" w:rsidRDefault="005A2B1A" w14:paraId="5E8EEA47" w14:textId="77777777">
      <w:pPr>
        <w:tabs>
          <w:tab w:val="left" w:pos="284"/>
        </w:tabs>
        <w:rPr>
          <w:bCs/>
        </w:rPr>
      </w:pPr>
      <w:r>
        <w:rPr>
          <w:bCs/>
        </w:rPr>
        <w:tab/>
      </w:r>
      <w:r w:rsidR="007B24DB">
        <w:rPr>
          <w:bCs/>
        </w:rPr>
        <w:t>6</w:t>
      </w:r>
      <w:r>
        <w:rPr>
          <w:bCs/>
        </w:rPr>
        <w:t xml:space="preserve">. Bij ministeriële regeling kunnen nadere regels worden gesteld </w:t>
      </w:r>
      <w:r w:rsidR="00881743">
        <w:rPr>
          <w:bCs/>
        </w:rPr>
        <w:t>t</w:t>
      </w:r>
      <w:r>
        <w:rPr>
          <w:bCs/>
        </w:rPr>
        <w:t>en aanzien van het tweede</w:t>
      </w:r>
      <w:r w:rsidR="006C17DE">
        <w:rPr>
          <w:bCs/>
        </w:rPr>
        <w:t xml:space="preserve">, </w:t>
      </w:r>
      <w:r w:rsidR="001316FF">
        <w:rPr>
          <w:bCs/>
        </w:rPr>
        <w:t>tot en met</w:t>
      </w:r>
      <w:r w:rsidR="006C17DE">
        <w:rPr>
          <w:bCs/>
        </w:rPr>
        <w:t xml:space="preserve"> vijfde </w:t>
      </w:r>
      <w:r>
        <w:rPr>
          <w:bCs/>
        </w:rPr>
        <w:t>lid.</w:t>
      </w:r>
      <w:r w:rsidR="0037182D">
        <w:rPr>
          <w:bCs/>
        </w:rPr>
        <w:t xml:space="preserve"> </w:t>
      </w:r>
    </w:p>
    <w:p w:rsidRPr="00B04BFB" w:rsidR="003E121E" w:rsidP="00B04BFB" w:rsidRDefault="00E07CA2" w14:paraId="489D4DB8" w14:textId="1A213EC7">
      <w:pPr>
        <w:tabs>
          <w:tab w:val="left" w:pos="284"/>
        </w:tabs>
        <w:rPr>
          <w:bCs/>
        </w:rPr>
      </w:pPr>
      <w:r>
        <w:rPr>
          <w:bCs/>
        </w:rPr>
        <w:tab/>
        <w:t xml:space="preserve">7. </w:t>
      </w:r>
      <w:r w:rsidR="00C70F58">
        <w:rPr>
          <w:bCs/>
        </w:rPr>
        <w:t xml:space="preserve">In afwijking van het </w:t>
      </w:r>
      <w:r w:rsidR="00BC4671">
        <w:rPr>
          <w:bCs/>
        </w:rPr>
        <w:t>derde lid, onderdeel a,</w:t>
      </w:r>
      <w:r w:rsidR="0010798D">
        <w:rPr>
          <w:bCs/>
        </w:rPr>
        <w:t xml:space="preserve"> </w:t>
      </w:r>
      <w:r w:rsidR="00CF0482">
        <w:rPr>
          <w:bCs/>
        </w:rPr>
        <w:t>kan een tweerichtingscontract wel worden gesloten</w:t>
      </w:r>
      <w:r w:rsidR="00BC4671">
        <w:rPr>
          <w:bCs/>
        </w:rPr>
        <w:t xml:space="preserve"> indien de Europese Commissie heeft vastgesteld dat </w:t>
      </w:r>
      <w:r w:rsidR="006A4534">
        <w:rPr>
          <w:bCs/>
        </w:rPr>
        <w:t>de steun voor een</w:t>
      </w:r>
      <w:r w:rsidR="001573C4">
        <w:rPr>
          <w:bCs/>
        </w:rPr>
        <w:t xml:space="preserve"> gerealiseerde productie-installatie</w:t>
      </w:r>
      <w:r w:rsidR="00BC4671">
        <w:rPr>
          <w:bCs/>
        </w:rPr>
        <w:t xml:space="preserve"> niet leidt tot onverenigbare staatssteun als bedoeld in artikel 107 van het Verdrag betreffende werking van de Europese Unie.</w:t>
      </w:r>
    </w:p>
    <w:p w:rsidR="00CC0AB0" w:rsidP="004D1DD3" w:rsidRDefault="00CC0AB0" w14:paraId="75DA5546" w14:textId="77777777">
      <w:pPr>
        <w:tabs>
          <w:tab w:val="left" w:pos="284"/>
        </w:tabs>
        <w:rPr>
          <w:bCs/>
        </w:rPr>
      </w:pPr>
    </w:p>
    <w:p w:rsidR="00DA0707" w:rsidP="004D1DD3" w:rsidRDefault="00DA0707" w14:paraId="3111D5A3" w14:textId="09864C2A">
      <w:pPr>
        <w:tabs>
          <w:tab w:val="left" w:pos="284"/>
        </w:tabs>
        <w:rPr>
          <w:bCs/>
        </w:rPr>
      </w:pPr>
      <w:r>
        <w:rPr>
          <w:b/>
        </w:rPr>
        <w:t xml:space="preserve">Artikel </w:t>
      </w:r>
      <w:r w:rsidR="004F7AB4">
        <w:rPr>
          <w:b/>
        </w:rPr>
        <w:t>5</w:t>
      </w:r>
      <w:r>
        <w:rPr>
          <w:b/>
        </w:rPr>
        <w:t xml:space="preserve"> totstandkoming van </w:t>
      </w:r>
      <w:r w:rsidR="0029093F">
        <w:rPr>
          <w:b/>
        </w:rPr>
        <w:t>tweerichtingscontract</w:t>
      </w:r>
      <w:r w:rsidR="00640C58">
        <w:rPr>
          <w:b/>
        </w:rPr>
        <w:t xml:space="preserve"> bij </w:t>
      </w:r>
      <w:r w:rsidR="00425DB9">
        <w:rPr>
          <w:b/>
        </w:rPr>
        <w:t>bied</w:t>
      </w:r>
      <w:r w:rsidR="00640C58">
        <w:rPr>
          <w:b/>
        </w:rPr>
        <w:t>procedure</w:t>
      </w:r>
    </w:p>
    <w:p w:rsidR="00DA0707" w:rsidP="004D1DD3" w:rsidRDefault="00DA0707" w14:paraId="1DCB21CC" w14:textId="77777777">
      <w:pPr>
        <w:tabs>
          <w:tab w:val="left" w:pos="284"/>
        </w:tabs>
        <w:rPr>
          <w:bCs/>
        </w:rPr>
      </w:pPr>
    </w:p>
    <w:p w:rsidR="0045740E" w:rsidP="00DA0707" w:rsidRDefault="00DA0707" w14:paraId="29B1F3D2" w14:textId="43395B94">
      <w:pPr>
        <w:tabs>
          <w:tab w:val="left" w:pos="284"/>
        </w:tabs>
      </w:pPr>
      <w:r>
        <w:rPr>
          <w:bCs/>
        </w:rPr>
        <w:tab/>
      </w:r>
      <w:r w:rsidRPr="4E8338B8">
        <w:t xml:space="preserve">1. </w:t>
      </w:r>
      <w:r w:rsidR="00BE4529">
        <w:t>Een</w:t>
      </w:r>
      <w:r w:rsidR="00EB4FC8">
        <w:t xml:space="preserve"> </w:t>
      </w:r>
      <w:r w:rsidR="002F26B5">
        <w:t>concurrerende biedprocedure als bedoeld in artikel 19 quinquies, tweede lid</w:t>
      </w:r>
      <w:r w:rsidR="00C30E25">
        <w:t xml:space="preserve">, onderdeel d, </w:t>
      </w:r>
      <w:r w:rsidR="00E64BDA">
        <w:t xml:space="preserve">van de verordening </w:t>
      </w:r>
      <w:r w:rsidR="002A3994">
        <w:t xml:space="preserve">voor het sluiten van een tweerichtingscontract </w:t>
      </w:r>
      <w:r w:rsidR="00BE4529">
        <w:t xml:space="preserve">wordt </w:t>
      </w:r>
      <w:r w:rsidR="005F50F4">
        <w:t>bekendgemaakt</w:t>
      </w:r>
      <w:r w:rsidR="00C30E25">
        <w:t xml:space="preserve"> </w:t>
      </w:r>
      <w:r w:rsidRPr="4E8338B8">
        <w:t>bij ministeriële regeling</w:t>
      </w:r>
      <w:r w:rsidR="00C30E25">
        <w:t>.</w:t>
      </w:r>
      <w:r w:rsidRPr="4E8338B8">
        <w:t xml:space="preserve"> </w:t>
      </w:r>
      <w:r w:rsidRPr="00B11AE5" w:rsidR="00B11AE5">
        <w:rPr>
          <w:bCs/>
        </w:rPr>
        <w:t xml:space="preserve">Voorafgaand </w:t>
      </w:r>
      <w:r w:rsidR="00A31675">
        <w:rPr>
          <w:bCs/>
        </w:rPr>
        <w:t xml:space="preserve">aan de </w:t>
      </w:r>
      <w:r w:rsidR="005F50F4">
        <w:rPr>
          <w:bCs/>
        </w:rPr>
        <w:t>bekendmaking</w:t>
      </w:r>
      <w:r w:rsidR="00A31675">
        <w:rPr>
          <w:bCs/>
        </w:rPr>
        <w:t xml:space="preserve"> van </w:t>
      </w:r>
      <w:r w:rsidR="00DD61A1">
        <w:rPr>
          <w:bCs/>
        </w:rPr>
        <w:t>deze biedprocedure</w:t>
      </w:r>
      <w:r w:rsidRPr="00B11AE5" w:rsidR="00B11AE5">
        <w:rPr>
          <w:bCs/>
        </w:rPr>
        <w:t xml:space="preserve"> onderzoekt Onze Minister de marktcondities</w:t>
      </w:r>
      <w:r w:rsidR="007277B8">
        <w:rPr>
          <w:bCs/>
        </w:rPr>
        <w:t>.</w:t>
      </w:r>
    </w:p>
    <w:p w:rsidR="00DA0707" w:rsidP="00DA0707" w:rsidRDefault="0045740E" w14:paraId="7E01BCAC" w14:textId="5A44D7FA">
      <w:pPr>
        <w:tabs>
          <w:tab w:val="left" w:pos="284"/>
        </w:tabs>
        <w:rPr>
          <w:bCs/>
        </w:rPr>
      </w:pPr>
      <w:r>
        <w:rPr>
          <w:bCs/>
        </w:rPr>
        <w:tab/>
        <w:t xml:space="preserve">2. </w:t>
      </w:r>
      <w:r w:rsidR="00D661D7">
        <w:rPr>
          <w:bCs/>
        </w:rPr>
        <w:t>Een</w:t>
      </w:r>
      <w:r w:rsidR="00035982">
        <w:rPr>
          <w:bCs/>
        </w:rPr>
        <w:t xml:space="preserve"> ontwerptweerichtingscontract </w:t>
      </w:r>
      <w:r w:rsidR="002F4178">
        <w:rPr>
          <w:bCs/>
        </w:rPr>
        <w:t xml:space="preserve">wordt bekendgemaakt bij de regeling. </w:t>
      </w:r>
      <w:r w:rsidR="00DA0707">
        <w:rPr>
          <w:bCs/>
        </w:rPr>
        <w:t xml:space="preserve">De regeling kan twee of meer </w:t>
      </w:r>
      <w:r w:rsidR="00D16E05">
        <w:t xml:space="preserve">tweerichtingscontracten </w:t>
      </w:r>
      <w:r>
        <w:rPr>
          <w:bCs/>
        </w:rPr>
        <w:t xml:space="preserve">betreffen, die onderling kunnen verschillen afhankelijk van onder meer de </w:t>
      </w:r>
      <w:r w:rsidR="00895C0D">
        <w:rPr>
          <w:bCs/>
        </w:rPr>
        <w:t xml:space="preserve">categorie </w:t>
      </w:r>
      <w:r>
        <w:rPr>
          <w:bCs/>
        </w:rPr>
        <w:t>productie-installatie</w:t>
      </w:r>
      <w:r w:rsidR="003660EE">
        <w:rPr>
          <w:bCs/>
        </w:rPr>
        <w:t>s</w:t>
      </w:r>
      <w:r w:rsidR="00DA0707">
        <w:rPr>
          <w:bCs/>
        </w:rPr>
        <w:t>.</w:t>
      </w:r>
    </w:p>
    <w:p w:rsidR="007B24DB" w:rsidP="00542C53" w:rsidRDefault="0045740E" w14:paraId="40DF4687" w14:textId="03D16627">
      <w:pPr>
        <w:tabs>
          <w:tab w:val="left" w:pos="284"/>
        </w:tabs>
        <w:rPr>
          <w:bCs/>
        </w:rPr>
      </w:pPr>
      <w:r>
        <w:rPr>
          <w:bCs/>
        </w:rPr>
        <w:tab/>
        <w:t xml:space="preserve">3. </w:t>
      </w:r>
      <w:r w:rsidR="00542C53">
        <w:rPr>
          <w:bCs/>
        </w:rPr>
        <w:t xml:space="preserve">De regeling voorziet in de wijze waarop </w:t>
      </w:r>
      <w:r w:rsidR="005C4898">
        <w:rPr>
          <w:bCs/>
        </w:rPr>
        <w:t>en de termijn waarbinnen</w:t>
      </w:r>
      <w:r w:rsidR="00542C53">
        <w:rPr>
          <w:bCs/>
        </w:rPr>
        <w:t xml:space="preserve"> </w:t>
      </w:r>
      <w:r w:rsidR="005C4898">
        <w:rPr>
          <w:bCs/>
        </w:rPr>
        <w:t xml:space="preserve">producenten </w:t>
      </w:r>
      <w:r w:rsidR="00542C53">
        <w:rPr>
          <w:bCs/>
        </w:rPr>
        <w:t xml:space="preserve">een aanbod voor het sluiten van een </w:t>
      </w:r>
      <w:r w:rsidR="007F4581">
        <w:rPr>
          <w:bCs/>
        </w:rPr>
        <w:t>tweerichtingscontract</w:t>
      </w:r>
      <w:r w:rsidR="0081371D">
        <w:rPr>
          <w:bCs/>
        </w:rPr>
        <w:t xml:space="preserve"> </w:t>
      </w:r>
      <w:r w:rsidR="005C4898">
        <w:rPr>
          <w:bCs/>
        </w:rPr>
        <w:t xml:space="preserve">kunnen </w:t>
      </w:r>
      <w:r w:rsidR="00542C53">
        <w:rPr>
          <w:bCs/>
        </w:rPr>
        <w:t>indienen bij Onze Minister</w:t>
      </w:r>
      <w:r w:rsidR="009A6132">
        <w:rPr>
          <w:bCs/>
        </w:rPr>
        <w:t xml:space="preserve">, de eisen waaraan een </w:t>
      </w:r>
      <w:r w:rsidR="007B24DB">
        <w:rPr>
          <w:bCs/>
        </w:rPr>
        <w:t xml:space="preserve">producent en een </w:t>
      </w:r>
      <w:r w:rsidR="009A6132">
        <w:rPr>
          <w:bCs/>
        </w:rPr>
        <w:t>productie-installatie moet</w:t>
      </w:r>
      <w:r w:rsidR="007B24DB">
        <w:rPr>
          <w:bCs/>
        </w:rPr>
        <w:t>en</w:t>
      </w:r>
      <w:r w:rsidR="009A6132">
        <w:rPr>
          <w:bCs/>
        </w:rPr>
        <w:t xml:space="preserve"> voldoen</w:t>
      </w:r>
      <w:r w:rsidR="00542C53">
        <w:rPr>
          <w:bCs/>
        </w:rPr>
        <w:t xml:space="preserve"> en de voorwaarden waaronder een aanbod in overweging wordt genomen.</w:t>
      </w:r>
      <w:r w:rsidR="007B24DB">
        <w:rPr>
          <w:bCs/>
        </w:rPr>
        <w:t xml:space="preserve"> </w:t>
      </w:r>
    </w:p>
    <w:p w:rsidR="002A15D3" w:rsidP="00542C53" w:rsidRDefault="009A6132" w14:paraId="6B067083" w14:textId="5978F0C3">
      <w:pPr>
        <w:tabs>
          <w:tab w:val="left" w:pos="284"/>
        </w:tabs>
        <w:rPr>
          <w:bCs/>
        </w:rPr>
      </w:pPr>
      <w:r>
        <w:rPr>
          <w:bCs/>
        </w:rPr>
        <w:tab/>
        <w:t xml:space="preserve">4. </w:t>
      </w:r>
      <w:r w:rsidR="002A15D3">
        <w:rPr>
          <w:bCs/>
        </w:rPr>
        <w:t xml:space="preserve">De regeling voorziet in het budget dat ten hoogste is gemoeid met </w:t>
      </w:r>
      <w:r w:rsidR="00B55F62">
        <w:rPr>
          <w:bCs/>
        </w:rPr>
        <w:t xml:space="preserve">het </w:t>
      </w:r>
      <w:r w:rsidR="00833489">
        <w:rPr>
          <w:bCs/>
        </w:rPr>
        <w:t xml:space="preserve">tweerichtingscontract </w:t>
      </w:r>
      <w:r w:rsidR="00FF0D2F">
        <w:rPr>
          <w:bCs/>
        </w:rPr>
        <w:t>of</w:t>
      </w:r>
      <w:r w:rsidR="003F2E57">
        <w:rPr>
          <w:bCs/>
        </w:rPr>
        <w:t xml:space="preserve"> de</w:t>
      </w:r>
      <w:r w:rsidR="00FF0D2F">
        <w:rPr>
          <w:bCs/>
        </w:rPr>
        <w:t xml:space="preserve"> tweerichtingscontracten</w:t>
      </w:r>
      <w:r w:rsidR="00E37251">
        <w:rPr>
          <w:bCs/>
        </w:rPr>
        <w:t xml:space="preserve">. Indien voorstellen voor </w:t>
      </w:r>
      <w:r w:rsidR="001E106E">
        <w:rPr>
          <w:bCs/>
        </w:rPr>
        <w:t>tweerichtingscontracten</w:t>
      </w:r>
      <w:r w:rsidR="00E37251">
        <w:rPr>
          <w:bCs/>
        </w:rPr>
        <w:t xml:space="preserve"> voor verschillende categorieën productie-installaties zijn vastgesteld kan</w:t>
      </w:r>
      <w:r w:rsidR="00670B36">
        <w:rPr>
          <w:bCs/>
        </w:rPr>
        <w:t xml:space="preserve"> worden voorzien in twee of meer budgetten</w:t>
      </w:r>
      <w:r w:rsidR="002A15D3">
        <w:rPr>
          <w:bCs/>
        </w:rPr>
        <w:t xml:space="preserve">. </w:t>
      </w:r>
    </w:p>
    <w:p w:rsidR="00E460AC" w:rsidP="531BFB7E" w:rsidRDefault="002A15D3" w14:paraId="58278F4A" w14:textId="479F3622">
      <w:pPr>
        <w:tabs>
          <w:tab w:val="left" w:pos="284"/>
        </w:tabs>
      </w:pPr>
      <w:r>
        <w:rPr>
          <w:bCs/>
        </w:rPr>
        <w:tab/>
      </w:r>
      <w:r w:rsidRPr="531BFB7E">
        <w:t xml:space="preserve">5. </w:t>
      </w:r>
      <w:r w:rsidRPr="531BFB7E" w:rsidR="00E460AC">
        <w:t xml:space="preserve">In de regeling kan worden bepaald dat de producent die een aanbod heeft ingediend wordt onderworpen aan onderzoek naar de </w:t>
      </w:r>
      <w:r w:rsidRPr="531BFB7E">
        <w:t xml:space="preserve">middellijke of onmiddellijke zeggenschap </w:t>
      </w:r>
      <w:r w:rsidRPr="531BFB7E" w:rsidR="00FD48B8">
        <w:t>over</w:t>
      </w:r>
      <w:r w:rsidRPr="531BFB7E">
        <w:t xml:space="preserve"> de producent in </w:t>
      </w:r>
      <w:r w:rsidRPr="531BFB7E">
        <w:lastRenderedPageBreak/>
        <w:t>verband met openbare veiligheid, de voorzieningszekerheid of de leveringszekerheid van elektriciteit.</w:t>
      </w:r>
    </w:p>
    <w:p w:rsidR="009A6132" w:rsidP="00542C53" w:rsidRDefault="002A15D3" w14:paraId="46A621BA" w14:textId="0FB9430F">
      <w:pPr>
        <w:tabs>
          <w:tab w:val="left" w:pos="284"/>
        </w:tabs>
        <w:rPr>
          <w:bCs/>
        </w:rPr>
      </w:pPr>
      <w:r>
        <w:rPr>
          <w:bCs/>
        </w:rPr>
        <w:tab/>
        <w:t xml:space="preserve">6. </w:t>
      </w:r>
      <w:r w:rsidR="009A6132">
        <w:rPr>
          <w:bCs/>
        </w:rPr>
        <w:t xml:space="preserve">De producent overlegt bij het aanbod de bij </w:t>
      </w:r>
      <w:r w:rsidR="0009676E">
        <w:rPr>
          <w:bCs/>
        </w:rPr>
        <w:t xml:space="preserve">de </w:t>
      </w:r>
      <w:r w:rsidR="009A6132">
        <w:rPr>
          <w:bCs/>
        </w:rPr>
        <w:t>regeling vastgestelde gegevens of documenten ten behoeve van de beoordeling van de uitvoerbaarheid dan wel technische, financiële of economische haalbaarheid van de bouw en exploitatie van de productie-installatie.</w:t>
      </w:r>
    </w:p>
    <w:p w:rsidR="006B294B" w:rsidP="00542C53" w:rsidRDefault="006B294B" w14:paraId="6C8AA31B" w14:textId="514E3E3C">
      <w:pPr>
        <w:tabs>
          <w:tab w:val="left" w:pos="284"/>
        </w:tabs>
        <w:rPr>
          <w:bCs/>
        </w:rPr>
      </w:pPr>
      <w:r>
        <w:rPr>
          <w:bCs/>
        </w:rPr>
        <w:tab/>
      </w:r>
      <w:r w:rsidRPr="47B5A876" w:rsidR="00112DFD">
        <w:t>7</w:t>
      </w:r>
      <w:r w:rsidRPr="47B5A876">
        <w:t xml:space="preserve">. Een aanbod van een producent wordt aanvaard </w:t>
      </w:r>
      <w:r w:rsidR="007E74C6">
        <w:t xml:space="preserve">of afgewezen </w:t>
      </w:r>
      <w:r w:rsidRPr="47B5A876">
        <w:t>bij besluit van Onze Minister.</w:t>
      </w:r>
      <w:r w:rsidR="00112DFD">
        <w:rPr>
          <w:bCs/>
        </w:rPr>
        <w:t xml:space="preserve"> </w:t>
      </w:r>
      <w:r w:rsidRPr="47B5A876" w:rsidR="00BC4671">
        <w:t xml:space="preserve">Bij </w:t>
      </w:r>
      <w:r w:rsidR="00EE657D">
        <w:t>de</w:t>
      </w:r>
      <w:r w:rsidRPr="47B5A876" w:rsidR="00EE657D">
        <w:t xml:space="preserve"> </w:t>
      </w:r>
      <w:r w:rsidRPr="47B5A876" w:rsidR="00BC4671">
        <w:t>regeling wordt bepaald of en</w:t>
      </w:r>
      <w:r w:rsidR="00984F13">
        <w:t>,</w:t>
      </w:r>
      <w:r w:rsidRPr="47B5A876" w:rsidR="00BC4671">
        <w:t xml:space="preserve"> indien van toepassing</w:t>
      </w:r>
      <w:r w:rsidR="00984F13">
        <w:t>,</w:t>
      </w:r>
      <w:r w:rsidRPr="47B5A876" w:rsidR="00BC4671">
        <w:t xml:space="preserve"> op welke wijze een </w:t>
      </w:r>
      <w:r w:rsidR="007F4581">
        <w:t>tweerichtingscontract</w:t>
      </w:r>
      <w:r w:rsidR="0081371D">
        <w:t xml:space="preserve"> </w:t>
      </w:r>
      <w:r w:rsidRPr="47B5A876" w:rsidR="00BC4671">
        <w:t xml:space="preserve">door de partijen </w:t>
      </w:r>
      <w:r w:rsidRPr="47B5A876" w:rsidR="00112DFD">
        <w:t>wordt ondertekend.</w:t>
      </w:r>
    </w:p>
    <w:p w:rsidR="6675A98F" w:rsidP="47B5A876" w:rsidRDefault="6675A98F" w14:paraId="406A1771" w14:textId="166C4C07">
      <w:pPr>
        <w:tabs>
          <w:tab w:val="left" w:pos="284"/>
        </w:tabs>
        <w:ind w:firstLine="227"/>
      </w:pPr>
      <w:r>
        <w:t xml:space="preserve">8. Een aanbod van een producent wordt afgewezen </w:t>
      </w:r>
      <w:r w:rsidR="00787CD3">
        <w:t xml:space="preserve">voor zover door </w:t>
      </w:r>
      <w:r w:rsidR="003C2685">
        <w:t>aanvaarding ervan</w:t>
      </w:r>
      <w:r w:rsidR="00787CD3">
        <w:t xml:space="preserve"> het budget, bedoeld in het vierde</w:t>
      </w:r>
      <w:r w:rsidR="02352136">
        <w:t xml:space="preserve"> lid,</w:t>
      </w:r>
      <w:r w:rsidR="00787CD3">
        <w:t xml:space="preserve"> zou worden overschreden</w:t>
      </w:r>
      <w:r w:rsidR="173DDB64">
        <w:t>.</w:t>
      </w:r>
    </w:p>
    <w:p w:rsidR="007E5061" w:rsidP="00DA0707" w:rsidRDefault="007E5061" w14:paraId="17F4DC0A" w14:textId="77777777">
      <w:pPr>
        <w:tabs>
          <w:tab w:val="left" w:pos="284"/>
        </w:tabs>
        <w:rPr>
          <w:bCs/>
        </w:rPr>
      </w:pPr>
    </w:p>
    <w:p w:rsidR="007E5061" w:rsidP="00DA0707" w:rsidRDefault="007E5061" w14:paraId="443EC96E" w14:textId="670B21A2">
      <w:pPr>
        <w:tabs>
          <w:tab w:val="left" w:pos="284"/>
        </w:tabs>
      </w:pPr>
      <w:r w:rsidRPr="47B5A876">
        <w:rPr>
          <w:b/>
          <w:bCs/>
        </w:rPr>
        <w:t xml:space="preserve">Artikel </w:t>
      </w:r>
      <w:r w:rsidRPr="47B5A876" w:rsidR="004F7AB4">
        <w:rPr>
          <w:b/>
          <w:bCs/>
        </w:rPr>
        <w:t>6</w:t>
      </w:r>
      <w:r w:rsidR="00505076">
        <w:rPr>
          <w:b/>
          <w:bCs/>
        </w:rPr>
        <w:t xml:space="preserve"> </w:t>
      </w:r>
      <w:r w:rsidRPr="47B5A876">
        <w:rPr>
          <w:b/>
          <w:bCs/>
        </w:rPr>
        <w:t>rangschikking</w:t>
      </w:r>
    </w:p>
    <w:p w:rsidRPr="007E5061" w:rsidR="007E5061" w:rsidP="00DA0707" w:rsidRDefault="007E5061" w14:paraId="0E094BE8" w14:textId="77777777">
      <w:pPr>
        <w:tabs>
          <w:tab w:val="left" w:pos="284"/>
        </w:tabs>
        <w:rPr>
          <w:bCs/>
        </w:rPr>
      </w:pPr>
    </w:p>
    <w:p w:rsidR="00DA0707" w:rsidP="47B5A876" w:rsidRDefault="00DA0707" w14:paraId="32F810A3" w14:textId="142A8C49">
      <w:pPr>
        <w:tabs>
          <w:tab w:val="left" w:pos="284"/>
        </w:tabs>
      </w:pPr>
      <w:r>
        <w:rPr>
          <w:bCs/>
        </w:rPr>
        <w:tab/>
      </w:r>
      <w:r w:rsidRPr="47B5A876" w:rsidR="3F30544A">
        <w:t>1</w:t>
      </w:r>
      <w:r w:rsidRPr="47B5A876">
        <w:t xml:space="preserve">. Indien meer </w:t>
      </w:r>
      <w:r w:rsidR="009C687C">
        <w:t>bieding</w:t>
      </w:r>
      <w:r w:rsidRPr="47B5A876">
        <w:t xml:space="preserve">en voor het sluiten van een </w:t>
      </w:r>
      <w:r w:rsidR="007F4581">
        <w:t>tweerichtingscontract</w:t>
      </w:r>
      <w:r w:rsidRPr="47B5A876">
        <w:t xml:space="preserve"> zijn ingediend</w:t>
      </w:r>
      <w:r w:rsidRPr="47B5A876" w:rsidR="00542C53">
        <w:t xml:space="preserve"> op grond van een ministeriële regeling als bedoeld in artikel </w:t>
      </w:r>
      <w:r w:rsidR="00120AB8">
        <w:t>5</w:t>
      </w:r>
      <w:r w:rsidRPr="47B5A876" w:rsidR="00542C53">
        <w:t>, eerste lid,</w:t>
      </w:r>
      <w:r w:rsidRPr="47B5A876">
        <w:t xml:space="preserve"> dan er </w:t>
      </w:r>
      <w:r w:rsidR="009B55D8">
        <w:t>tweerichtingscontract</w:t>
      </w:r>
      <w:r w:rsidR="00E826FF">
        <w:t>en</w:t>
      </w:r>
      <w:r w:rsidR="009B55D8">
        <w:t xml:space="preserve"> </w:t>
      </w:r>
      <w:r w:rsidRPr="47B5A876" w:rsidR="00FD48B8">
        <w:t>gesloten kunnen worden</w:t>
      </w:r>
      <w:r w:rsidRPr="47B5A876">
        <w:t xml:space="preserve">, worden de biedingen gerangschikt overeenkomstig de criteria die </w:t>
      </w:r>
      <w:r w:rsidRPr="47B5A876" w:rsidR="3AA3A4D3">
        <w:t>bij</w:t>
      </w:r>
      <w:r w:rsidRPr="47B5A876">
        <w:t xml:space="preserve"> </w:t>
      </w:r>
      <w:r w:rsidR="000736E8">
        <w:t xml:space="preserve">de </w:t>
      </w:r>
      <w:r w:rsidRPr="47B5A876">
        <w:t>regeling worden vastgesteld.</w:t>
      </w:r>
    </w:p>
    <w:p w:rsidR="00DA0707" w:rsidP="00DA0707" w:rsidRDefault="00DA0707" w14:paraId="71A306A4" w14:textId="59DC3D28">
      <w:pPr>
        <w:tabs>
          <w:tab w:val="left" w:pos="284"/>
        </w:tabs>
      </w:pPr>
      <w:r>
        <w:rPr>
          <w:bCs/>
        </w:rPr>
        <w:tab/>
      </w:r>
      <w:r w:rsidRPr="354BB7EA" w:rsidR="11E5260B">
        <w:t>2</w:t>
      </w:r>
      <w:r w:rsidRPr="354BB7EA">
        <w:t xml:space="preserve">. </w:t>
      </w:r>
      <w:r w:rsidR="00EE6FA5">
        <w:t xml:space="preserve">Onze </w:t>
      </w:r>
      <w:r w:rsidR="00A8132F">
        <w:t>M</w:t>
      </w:r>
      <w:r w:rsidR="00EE6FA5">
        <w:t xml:space="preserve">inister sluit </w:t>
      </w:r>
      <w:r w:rsidR="004623B6">
        <w:t xml:space="preserve">een </w:t>
      </w:r>
      <w:r w:rsidR="004D0A54">
        <w:t xml:space="preserve">tweerichtingscontract </w:t>
      </w:r>
      <w:r w:rsidRPr="354BB7EA">
        <w:t xml:space="preserve">met de </w:t>
      </w:r>
      <w:r w:rsidRPr="354BB7EA" w:rsidR="009A6132">
        <w:t>producen</w:t>
      </w:r>
      <w:r w:rsidRPr="354BB7EA">
        <w:t xml:space="preserve">t </w:t>
      </w:r>
      <w:r w:rsidRPr="354BB7EA" w:rsidR="00FD48B8">
        <w:t>die</w:t>
      </w:r>
      <w:r w:rsidRPr="354BB7EA">
        <w:t xml:space="preserve"> het aanbod</w:t>
      </w:r>
      <w:r w:rsidRPr="354BB7EA" w:rsidR="00FD48B8">
        <w:t xml:space="preserve"> heeft ingediend</w:t>
      </w:r>
      <w:r w:rsidRPr="354BB7EA">
        <w:t xml:space="preserve"> dat het hoogst is gerangschikt. Indien de regeling twee of meer </w:t>
      </w:r>
      <w:r w:rsidR="00425DB9">
        <w:t>tweerichtingscontract</w:t>
      </w:r>
      <w:r w:rsidRPr="354BB7EA" w:rsidR="00425DB9">
        <w:t xml:space="preserve">en </w:t>
      </w:r>
      <w:r w:rsidRPr="354BB7EA">
        <w:t>betreft</w:t>
      </w:r>
      <w:r w:rsidR="004623B6">
        <w:t xml:space="preserve">, </w:t>
      </w:r>
      <w:r w:rsidR="00A8132F">
        <w:t>sluit Onze Minister</w:t>
      </w:r>
      <w:r w:rsidRPr="354BB7EA">
        <w:t xml:space="preserve"> een </w:t>
      </w:r>
      <w:r w:rsidR="007F4581">
        <w:t>tweerichtingscontract</w:t>
      </w:r>
      <w:r w:rsidRPr="354BB7EA">
        <w:t xml:space="preserve"> </w:t>
      </w:r>
      <w:r w:rsidRPr="000D708B">
        <w:t>met</w:t>
      </w:r>
      <w:r w:rsidRPr="354BB7EA">
        <w:t xml:space="preserve"> de </w:t>
      </w:r>
      <w:r w:rsidRPr="354BB7EA" w:rsidR="00F66950">
        <w:t xml:space="preserve">producent die </w:t>
      </w:r>
      <w:r w:rsidR="0064693F">
        <w:t>het aanbod</w:t>
      </w:r>
      <w:r w:rsidRPr="354BB7EA" w:rsidR="00F66950">
        <w:t xml:space="preserve"> heeft ingediend of </w:t>
      </w:r>
      <w:r w:rsidRPr="354BB7EA" w:rsidR="009A6132">
        <w:t>producen</w:t>
      </w:r>
      <w:r w:rsidRPr="354BB7EA">
        <w:t xml:space="preserve">ten </w:t>
      </w:r>
      <w:r w:rsidRPr="354BB7EA" w:rsidR="00F66950">
        <w:t>die de</w:t>
      </w:r>
      <w:r w:rsidRPr="354BB7EA">
        <w:t xml:space="preserve"> </w:t>
      </w:r>
      <w:r w:rsidR="009C687C">
        <w:t>bieding</w:t>
      </w:r>
      <w:r w:rsidRPr="354BB7EA">
        <w:t xml:space="preserve">en </w:t>
      </w:r>
      <w:r w:rsidRPr="354BB7EA" w:rsidR="00F66950">
        <w:t xml:space="preserve">hebben ingediend </w:t>
      </w:r>
      <w:r w:rsidRPr="354BB7EA">
        <w:t xml:space="preserve">die </w:t>
      </w:r>
      <w:r w:rsidRPr="354BB7EA" w:rsidR="00F66950">
        <w:t xml:space="preserve">telkens </w:t>
      </w:r>
      <w:r w:rsidRPr="354BB7EA">
        <w:t>eerstvolgend als hoogste worden gerangschikt.</w:t>
      </w:r>
    </w:p>
    <w:p w:rsidR="003B7DE4" w:rsidP="00DA0707" w:rsidRDefault="00DA0707" w14:paraId="24742F94" w14:textId="26DD6103">
      <w:pPr>
        <w:tabs>
          <w:tab w:val="left" w:pos="284"/>
        </w:tabs>
      </w:pPr>
      <w:r>
        <w:rPr>
          <w:bCs/>
        </w:rPr>
        <w:tab/>
      </w:r>
      <w:r w:rsidRPr="47B5A876" w:rsidR="79DCEA8B">
        <w:t>3</w:t>
      </w:r>
      <w:r w:rsidRPr="47B5A876">
        <w:t xml:space="preserve">. Bij </w:t>
      </w:r>
      <w:r w:rsidR="000736E8">
        <w:t>de</w:t>
      </w:r>
      <w:r w:rsidRPr="47B5A876" w:rsidR="000736E8">
        <w:t xml:space="preserve"> </w:t>
      </w:r>
      <w:r w:rsidRPr="47B5A876">
        <w:t xml:space="preserve">regeling kan worden besloten dat in het geval dat twee of meer </w:t>
      </w:r>
      <w:r w:rsidR="009C687C">
        <w:t>bieding</w:t>
      </w:r>
      <w:r w:rsidRPr="47B5A876">
        <w:t xml:space="preserve">en gelijk worden gerangschikt het lot </w:t>
      </w:r>
      <w:r w:rsidRPr="47B5A876" w:rsidR="4135AD6F">
        <w:t xml:space="preserve">bepaalt welk </w:t>
      </w:r>
      <w:r w:rsidR="00764135">
        <w:t>aan</w:t>
      </w:r>
      <w:r w:rsidRPr="47B5A876" w:rsidR="4135AD6F">
        <w:t xml:space="preserve">bod als </w:t>
      </w:r>
      <w:r w:rsidRPr="47B5A876">
        <w:t xml:space="preserve">hoogste </w:t>
      </w:r>
      <w:r w:rsidRPr="000D708B" w:rsidR="2D9CA537">
        <w:t>word</w:t>
      </w:r>
      <w:r w:rsidRPr="000D708B" w:rsidR="00AA3DAD">
        <w:t>t</w:t>
      </w:r>
      <w:r w:rsidRPr="47B5A876" w:rsidR="2D9CA537">
        <w:t xml:space="preserve"> ge</w:t>
      </w:r>
      <w:r w:rsidRPr="47B5A876">
        <w:t>rangschik</w:t>
      </w:r>
      <w:r w:rsidRPr="47B5A876" w:rsidR="61C32CB7">
        <w:t>t</w:t>
      </w:r>
      <w:r w:rsidRPr="47B5A876">
        <w:t>.</w:t>
      </w:r>
    </w:p>
    <w:p w:rsidR="003B7DE4" w:rsidP="00DA0707" w:rsidRDefault="003B7DE4" w14:paraId="7CA5CBD4" w14:textId="1F936BF6">
      <w:pPr>
        <w:tabs>
          <w:tab w:val="left" w:pos="284"/>
        </w:tabs>
      </w:pPr>
      <w:r>
        <w:rPr>
          <w:bCs/>
        </w:rPr>
        <w:tab/>
      </w:r>
      <w:r w:rsidRPr="47B5A876" w:rsidR="4B3926C2">
        <w:t>4</w:t>
      </w:r>
      <w:r w:rsidRPr="47B5A876">
        <w:t xml:space="preserve">. </w:t>
      </w:r>
      <w:r w:rsidRPr="47B5A876" w:rsidR="35112CCA">
        <w:t>I</w:t>
      </w:r>
      <w:r w:rsidRPr="47B5A876">
        <w:t xml:space="preserve">n </w:t>
      </w:r>
      <w:r w:rsidRPr="47B5A876" w:rsidR="5A1634F6">
        <w:t xml:space="preserve">afwijking van het eerste lid </w:t>
      </w:r>
      <w:r w:rsidR="00885E64">
        <w:t xml:space="preserve">kan </w:t>
      </w:r>
      <w:r w:rsidRPr="47B5A876" w:rsidR="004C70F6">
        <w:t xml:space="preserve">in de regeling worden bepaald dat indien meer </w:t>
      </w:r>
      <w:r w:rsidR="009C687C">
        <w:t>bieding</w:t>
      </w:r>
      <w:r w:rsidRPr="47B5A876" w:rsidR="004C70F6">
        <w:t xml:space="preserve">en voor het sluiten van een </w:t>
      </w:r>
      <w:r w:rsidR="007F4581">
        <w:t>tweerichtingscontract</w:t>
      </w:r>
      <w:r w:rsidRPr="47B5A876" w:rsidR="004C70F6">
        <w:t xml:space="preserve"> zijn ingediend</w:t>
      </w:r>
      <w:r w:rsidRPr="004C70F6" w:rsidR="004C70F6">
        <w:rPr>
          <w:bCs/>
        </w:rPr>
        <w:t xml:space="preserve"> </w:t>
      </w:r>
      <w:r w:rsidRPr="47B5A876" w:rsidR="004C70F6">
        <w:t xml:space="preserve">dan er </w:t>
      </w:r>
      <w:r w:rsidR="009B55D8">
        <w:t>tweerichtingscontract</w:t>
      </w:r>
      <w:r w:rsidR="00393B62">
        <w:t>en</w:t>
      </w:r>
      <w:r w:rsidRPr="47B5A876" w:rsidR="004C70F6">
        <w:t xml:space="preserve"> beschikbaar zijn, </w:t>
      </w:r>
      <w:r w:rsidRPr="00B14D26" w:rsidR="004C70F6">
        <w:t xml:space="preserve">de </w:t>
      </w:r>
      <w:r w:rsidR="009C687C">
        <w:t>bieding</w:t>
      </w:r>
      <w:r w:rsidRPr="00B14D26" w:rsidR="004C70F6">
        <w:t xml:space="preserve">en worden </w:t>
      </w:r>
      <w:r w:rsidRPr="00B14D26" w:rsidR="3EE963E6">
        <w:t>aanvaard</w:t>
      </w:r>
      <w:r w:rsidR="004C70F6">
        <w:t xml:space="preserve"> op volgorde van het tijdstip </w:t>
      </w:r>
      <w:r w:rsidR="00067881">
        <w:t>waarop het aanbod is gedaan</w:t>
      </w:r>
      <w:r w:rsidR="00E37AE1">
        <w:t xml:space="preserve">, </w:t>
      </w:r>
      <w:r w:rsidR="00E37AE1">
        <w:rPr>
          <w:bCs/>
        </w:rPr>
        <w:t>indien de Europese Commissie heeft vastgesteld dat deze afwijking niet leidt tot onverenigbare staatssteun als bedoeld in artikel 107 van het Verdrag betreffende werking van de Europese Unie</w:t>
      </w:r>
      <w:r w:rsidR="004C70F6">
        <w:t>.</w:t>
      </w:r>
    </w:p>
    <w:p w:rsidR="00417117" w:rsidP="00DA0707" w:rsidRDefault="00417117" w14:paraId="663A65D4" w14:textId="4D8EA02A">
      <w:pPr>
        <w:tabs>
          <w:tab w:val="left" w:pos="284"/>
        </w:tabs>
      </w:pPr>
      <w:r>
        <w:rPr>
          <w:bCs/>
        </w:rPr>
        <w:tab/>
      </w:r>
      <w:r w:rsidRPr="47B5A876" w:rsidR="1F3463BF">
        <w:t>5</w:t>
      </w:r>
      <w:r w:rsidRPr="47B5A876">
        <w:t xml:space="preserve">. </w:t>
      </w:r>
      <w:r w:rsidRPr="47B5A876" w:rsidR="7EF0AF81">
        <w:t xml:space="preserve">Bij </w:t>
      </w:r>
      <w:r w:rsidR="000736E8">
        <w:t>de</w:t>
      </w:r>
      <w:r w:rsidRPr="47B5A876" w:rsidR="000736E8">
        <w:t xml:space="preserve"> </w:t>
      </w:r>
      <w:r w:rsidRPr="47B5A876" w:rsidR="7EF0AF81">
        <w:t>regeling kan worden bepaald dat ten hoogste een</w:t>
      </w:r>
      <w:r w:rsidRPr="47B5A876" w:rsidR="24B089F7">
        <w:t xml:space="preserve"> bij die regeling vastgesteld percentage van de</w:t>
      </w:r>
      <w:r w:rsidRPr="47B5A876" w:rsidR="31DD394D">
        <w:t xml:space="preserve"> gerangschikte</w:t>
      </w:r>
      <w:r w:rsidRPr="47B5A876" w:rsidR="24B089F7">
        <w:t xml:space="preserve"> </w:t>
      </w:r>
      <w:r w:rsidR="009C687C">
        <w:t>bieding</w:t>
      </w:r>
      <w:r w:rsidRPr="47B5A876" w:rsidR="24B089F7">
        <w:t>en</w:t>
      </w:r>
      <w:r w:rsidRPr="47B5A876" w:rsidR="18C1A1C9">
        <w:t xml:space="preserve"> </w:t>
      </w:r>
      <w:r w:rsidRPr="47B5A876" w:rsidR="091BEE8A">
        <w:t>kan</w:t>
      </w:r>
      <w:r w:rsidRPr="47B5A876" w:rsidR="18C1A1C9">
        <w:t xml:space="preserve"> worden aanvaard</w:t>
      </w:r>
      <w:r w:rsidRPr="47B5A876" w:rsidR="3E37C5D5">
        <w:t>.</w:t>
      </w:r>
      <w:r w:rsidR="00F202C6">
        <w:t xml:space="preserve"> Artikel</w:t>
      </w:r>
      <w:r w:rsidR="001674FB">
        <w:t xml:space="preserve"> 5, achtste lid</w:t>
      </w:r>
      <w:r w:rsidR="00067881">
        <w:t>,</w:t>
      </w:r>
      <w:r w:rsidR="001674FB">
        <w:t xml:space="preserve"> is in dat geval van overeenkomstige toepassing.</w:t>
      </w:r>
    </w:p>
    <w:p w:rsidR="009A6132" w:rsidP="00DA0707" w:rsidRDefault="009A6132" w14:paraId="47F6FEE4" w14:textId="73A35906">
      <w:pPr>
        <w:tabs>
          <w:tab w:val="left" w:pos="284"/>
        </w:tabs>
      </w:pPr>
      <w:r>
        <w:rPr>
          <w:bCs/>
        </w:rPr>
        <w:tab/>
      </w:r>
      <w:r w:rsidRPr="354BB7EA" w:rsidR="6EDF6C64">
        <w:t>6</w:t>
      </w:r>
      <w:r w:rsidRPr="354BB7EA">
        <w:t xml:space="preserve">. </w:t>
      </w:r>
      <w:r w:rsidRPr="354BB7EA" w:rsidR="00CB6AD9">
        <w:t xml:space="preserve">Onze Minister kan advies inwinnen over de rangschikking van de </w:t>
      </w:r>
      <w:r w:rsidR="009C687C">
        <w:t>bieding</w:t>
      </w:r>
      <w:r w:rsidRPr="354BB7EA" w:rsidR="00CB6AD9">
        <w:t>en.</w:t>
      </w:r>
    </w:p>
    <w:p w:rsidR="00DA0707" w:rsidP="47B5A876" w:rsidRDefault="00DA0707" w14:paraId="18FB1A13" w14:textId="6274AA99">
      <w:pPr>
        <w:tabs>
          <w:tab w:val="left" w:pos="284"/>
        </w:tabs>
      </w:pPr>
    </w:p>
    <w:p w:rsidRPr="00CC0AB0" w:rsidR="00CC0AB0" w:rsidP="47B5A876" w:rsidRDefault="00CC0AB0" w14:paraId="141B7695" w14:textId="3A8BE94F">
      <w:pPr>
        <w:tabs>
          <w:tab w:val="left" w:pos="284"/>
        </w:tabs>
        <w:rPr>
          <w:b/>
          <w:bCs/>
        </w:rPr>
      </w:pPr>
      <w:r w:rsidRPr="1AF1AD43">
        <w:rPr>
          <w:b/>
          <w:bCs/>
        </w:rPr>
        <w:t xml:space="preserve">Artikel </w:t>
      </w:r>
      <w:r w:rsidRPr="1AF1AD43" w:rsidR="4DB0AC46">
        <w:rPr>
          <w:b/>
          <w:bCs/>
        </w:rPr>
        <w:t>7</w:t>
      </w:r>
      <w:r w:rsidRPr="1AF1AD43">
        <w:rPr>
          <w:b/>
          <w:bCs/>
        </w:rPr>
        <w:t xml:space="preserve"> inhoud van </w:t>
      </w:r>
      <w:r w:rsidR="00420FF9">
        <w:rPr>
          <w:b/>
          <w:bCs/>
        </w:rPr>
        <w:t>het</w:t>
      </w:r>
      <w:r w:rsidRPr="1AF1AD43" w:rsidR="00420FF9">
        <w:rPr>
          <w:b/>
          <w:bCs/>
        </w:rPr>
        <w:t xml:space="preserve"> </w:t>
      </w:r>
      <w:r w:rsidR="00807CF1">
        <w:rPr>
          <w:b/>
          <w:bCs/>
        </w:rPr>
        <w:t>tweerichtingscontract ter verrekening van verschillen</w:t>
      </w:r>
    </w:p>
    <w:p w:rsidR="47B5A876" w:rsidP="47B5A876" w:rsidRDefault="47B5A876" w14:paraId="29B79D50" w14:textId="031A36D0">
      <w:pPr>
        <w:tabs>
          <w:tab w:val="left" w:pos="284"/>
        </w:tabs>
      </w:pPr>
    </w:p>
    <w:p w:rsidR="005260B0" w:rsidP="47B5A876" w:rsidRDefault="3E34A840" w14:paraId="3666307E" w14:textId="4ADA496B">
      <w:pPr>
        <w:tabs>
          <w:tab w:val="left" w:pos="284"/>
        </w:tabs>
        <w:ind w:firstLine="227"/>
      </w:pPr>
      <w:r w:rsidRPr="47B5A876">
        <w:t>1.</w:t>
      </w:r>
      <w:r w:rsidRPr="47B5A876" w:rsidR="005260B0">
        <w:t xml:space="preserve"> </w:t>
      </w:r>
      <w:r w:rsidR="00F54564">
        <w:t>Een</w:t>
      </w:r>
      <w:r w:rsidRPr="47B5A876" w:rsidR="00F54564">
        <w:t xml:space="preserve"> </w:t>
      </w:r>
      <w:r w:rsidR="007F4581">
        <w:t>tweerichtingscontract</w:t>
      </w:r>
      <w:r w:rsidRPr="00030024" w:rsidR="00030024">
        <w:t xml:space="preserve"> </w:t>
      </w:r>
      <w:r w:rsidR="00030024">
        <w:t>wordt opgesteld in de Nederlandse taal.</w:t>
      </w:r>
      <w:r w:rsidRPr="47B5A876">
        <w:t xml:space="preserve"> </w:t>
      </w:r>
      <w:r w:rsidR="000F27DD">
        <w:t>Het Nederlandse recht is van toepassing.</w:t>
      </w:r>
    </w:p>
    <w:p w:rsidR="00AE229E" w:rsidP="00AE229E" w:rsidRDefault="73F52D31" w14:paraId="3AD1B00F" w14:textId="4FD17620">
      <w:pPr>
        <w:tabs>
          <w:tab w:val="left" w:pos="284"/>
        </w:tabs>
        <w:ind w:firstLine="227"/>
      </w:pPr>
      <w:r>
        <w:t xml:space="preserve">2. </w:t>
      </w:r>
      <w:r w:rsidR="00743D68">
        <w:t xml:space="preserve">Een </w:t>
      </w:r>
      <w:r w:rsidR="00807CF1">
        <w:t>tweerichtingscontract</w:t>
      </w:r>
      <w:r w:rsidR="002F3A52">
        <w:t xml:space="preserve"> </w:t>
      </w:r>
      <w:r w:rsidR="00030024">
        <w:t>beantwoordt aan artikel 19</w:t>
      </w:r>
      <w:r w:rsidR="000A09F5">
        <w:t xml:space="preserve"> </w:t>
      </w:r>
      <w:r w:rsidR="00030024">
        <w:t xml:space="preserve">quinquies, tweede lid, van </w:t>
      </w:r>
      <w:r w:rsidR="006F5D3B">
        <w:t xml:space="preserve">de </w:t>
      </w:r>
      <w:r w:rsidR="005A6D44">
        <w:t>verordening</w:t>
      </w:r>
      <w:r w:rsidR="00030024">
        <w:t>.</w:t>
      </w:r>
    </w:p>
    <w:p w:rsidR="005260B0" w:rsidP="00AE229E" w:rsidRDefault="00AE229E" w14:paraId="3CB4E606" w14:textId="4DC3B6A7">
      <w:pPr>
        <w:tabs>
          <w:tab w:val="left" w:pos="284"/>
        </w:tabs>
        <w:ind w:firstLine="227"/>
      </w:pPr>
      <w:r>
        <w:t>3</w:t>
      </w:r>
      <w:r w:rsidR="00565A4E">
        <w:t xml:space="preserve">. </w:t>
      </w:r>
      <w:r w:rsidRPr="47B5A876" w:rsidR="005260B0">
        <w:t xml:space="preserve">In </w:t>
      </w:r>
      <w:r w:rsidR="00566A73">
        <w:t>het</w:t>
      </w:r>
      <w:r w:rsidRPr="47B5A876" w:rsidR="00566A73">
        <w:t xml:space="preserve"> </w:t>
      </w:r>
      <w:r w:rsidR="007F4581">
        <w:t>tweerichtingscontract</w:t>
      </w:r>
      <w:r w:rsidRPr="47B5A876" w:rsidR="005260B0">
        <w:t xml:space="preserve"> </w:t>
      </w:r>
      <w:r w:rsidRPr="47B5A876" w:rsidR="005A7DE7">
        <w:t>is onder meer voorzien in bepalingen met betrekking tot:</w:t>
      </w:r>
    </w:p>
    <w:p w:rsidR="005A7DE7" w:rsidP="004D1DD3" w:rsidRDefault="002A776B" w14:paraId="0C5AC67F" w14:textId="4280CB7E">
      <w:pPr>
        <w:tabs>
          <w:tab w:val="left" w:pos="284"/>
        </w:tabs>
        <w:rPr>
          <w:bCs/>
        </w:rPr>
      </w:pPr>
      <w:r>
        <w:rPr>
          <w:bCs/>
        </w:rPr>
        <w:tab/>
      </w:r>
      <w:r>
        <w:rPr>
          <w:bCs/>
        </w:rPr>
        <w:tab/>
      </w:r>
      <w:r w:rsidR="005A7DE7">
        <w:rPr>
          <w:bCs/>
        </w:rPr>
        <w:t xml:space="preserve">a. de omschrijving van de investering en </w:t>
      </w:r>
      <w:r w:rsidR="00B90187">
        <w:rPr>
          <w:bCs/>
        </w:rPr>
        <w:t xml:space="preserve">het type, </w:t>
      </w:r>
      <w:r w:rsidR="003F0F00">
        <w:rPr>
          <w:bCs/>
        </w:rPr>
        <w:t xml:space="preserve">de omvang, </w:t>
      </w:r>
      <w:r w:rsidR="00B90187">
        <w:rPr>
          <w:bCs/>
        </w:rPr>
        <w:t xml:space="preserve">het ontwerp en de locatie van </w:t>
      </w:r>
      <w:r w:rsidR="004A1628">
        <w:rPr>
          <w:bCs/>
        </w:rPr>
        <w:t>de productie-installatie</w:t>
      </w:r>
      <w:r w:rsidR="005A7DE7">
        <w:rPr>
          <w:bCs/>
        </w:rPr>
        <w:t>;</w:t>
      </w:r>
    </w:p>
    <w:p w:rsidR="000A5ECA" w:rsidP="004D1DD3" w:rsidRDefault="000A5ECA" w14:paraId="2801F056" w14:textId="20BDA5BA">
      <w:pPr>
        <w:tabs>
          <w:tab w:val="left" w:pos="284"/>
        </w:tabs>
        <w:rPr>
          <w:bCs/>
        </w:rPr>
      </w:pPr>
      <w:r>
        <w:rPr>
          <w:bCs/>
        </w:rPr>
        <w:tab/>
      </w:r>
      <w:r>
        <w:rPr>
          <w:bCs/>
        </w:rPr>
        <w:tab/>
        <w:t xml:space="preserve">b. </w:t>
      </w:r>
      <w:r w:rsidR="008664F2">
        <w:rPr>
          <w:bCs/>
        </w:rPr>
        <w:t>de</w:t>
      </w:r>
      <w:r>
        <w:rPr>
          <w:bCs/>
        </w:rPr>
        <w:t xml:space="preserve"> momenten waarop de bouw en de exploitatie van de productie-installatie uiterlijk aanvangen en eindigen; </w:t>
      </w:r>
    </w:p>
    <w:p w:rsidR="005A7DE7" w:rsidP="004D1DD3" w:rsidRDefault="002A776B" w14:paraId="167169F4" w14:textId="7E6DB93A">
      <w:pPr>
        <w:tabs>
          <w:tab w:val="left" w:pos="284"/>
        </w:tabs>
        <w:rPr>
          <w:bCs/>
        </w:rPr>
      </w:pPr>
      <w:r>
        <w:rPr>
          <w:bCs/>
        </w:rPr>
        <w:tab/>
      </w:r>
      <w:r>
        <w:rPr>
          <w:bCs/>
        </w:rPr>
        <w:tab/>
      </w:r>
      <w:r w:rsidR="000A5ECA">
        <w:rPr>
          <w:bCs/>
        </w:rPr>
        <w:t>c</w:t>
      </w:r>
      <w:r w:rsidR="005A7DE7">
        <w:rPr>
          <w:bCs/>
        </w:rPr>
        <w:t>. de hoogte van de elektriciteitsprijs waar</w:t>
      </w:r>
      <w:r w:rsidR="005F3768">
        <w:rPr>
          <w:bCs/>
        </w:rPr>
        <w:t>onder</w:t>
      </w:r>
      <w:r w:rsidR="005A7DE7">
        <w:rPr>
          <w:bCs/>
        </w:rPr>
        <w:t xml:space="preserve"> </w:t>
      </w:r>
      <w:r w:rsidR="005F3768">
        <w:rPr>
          <w:bCs/>
        </w:rPr>
        <w:t xml:space="preserve">een </w:t>
      </w:r>
      <w:r w:rsidR="00390422">
        <w:rPr>
          <w:bCs/>
        </w:rPr>
        <w:t>producent</w:t>
      </w:r>
      <w:r w:rsidR="005F3768">
        <w:rPr>
          <w:bCs/>
        </w:rPr>
        <w:t xml:space="preserve"> een aanspraak op financiële middelen van de Nederlandse staat heeft, uitgedrukt in euro per kilowattuur</w:t>
      </w:r>
      <w:r w:rsidR="006A7808">
        <w:rPr>
          <w:bCs/>
        </w:rPr>
        <w:t>;</w:t>
      </w:r>
    </w:p>
    <w:p w:rsidR="005F3768" w:rsidP="004D1DD3" w:rsidRDefault="002A776B" w14:paraId="29B9669D" w14:textId="74F7543F">
      <w:pPr>
        <w:tabs>
          <w:tab w:val="left" w:pos="284"/>
        </w:tabs>
      </w:pPr>
      <w:r>
        <w:rPr>
          <w:bCs/>
        </w:rPr>
        <w:tab/>
      </w:r>
      <w:r>
        <w:rPr>
          <w:bCs/>
        </w:rPr>
        <w:tab/>
      </w:r>
      <w:r w:rsidRPr="1AF1AD43" w:rsidR="000A5ECA">
        <w:t>d</w:t>
      </w:r>
      <w:r w:rsidRPr="1AF1AD43" w:rsidR="005F3768">
        <w:t xml:space="preserve">. de hoogte van de elektriciteitsprijs waarboven een </w:t>
      </w:r>
      <w:r w:rsidRPr="1AF1AD43" w:rsidR="00390422">
        <w:t>produce</w:t>
      </w:r>
      <w:r w:rsidRPr="1AF1AD43" w:rsidR="005F3768">
        <w:t>nt financiële middelen jegens de Nederlandse staat is verschuldigd, uitgedrukt in euro per kilowattuur</w:t>
      </w:r>
      <w:r w:rsidR="006A7808">
        <w:rPr>
          <w:bCs/>
        </w:rPr>
        <w:t>;</w:t>
      </w:r>
    </w:p>
    <w:p w:rsidR="465380C4" w:rsidP="1AF1AD43" w:rsidRDefault="00DC7AB2" w14:paraId="6B48EDFE" w14:textId="56246C7A">
      <w:pPr>
        <w:tabs>
          <w:tab w:val="left" w:pos="284"/>
        </w:tabs>
      </w:pPr>
      <w:r>
        <w:tab/>
      </w:r>
      <w:r>
        <w:tab/>
      </w:r>
      <w:r w:rsidR="465380C4">
        <w:t xml:space="preserve">e. </w:t>
      </w:r>
      <w:r w:rsidR="07F8B52B">
        <w:t xml:space="preserve">de gevolgen van eventuele </w:t>
      </w:r>
      <w:r w:rsidR="465380C4">
        <w:t>cumulatie van steun;</w:t>
      </w:r>
    </w:p>
    <w:p w:rsidR="00DA0707" w:rsidP="004D1DD3" w:rsidRDefault="002A776B" w14:paraId="6207DC83" w14:textId="2386FC1C">
      <w:pPr>
        <w:tabs>
          <w:tab w:val="left" w:pos="284"/>
        </w:tabs>
      </w:pPr>
      <w:r>
        <w:rPr>
          <w:bCs/>
        </w:rPr>
        <w:tab/>
      </w:r>
      <w:r>
        <w:rPr>
          <w:bCs/>
        </w:rPr>
        <w:tab/>
      </w:r>
      <w:r w:rsidR="465380C4">
        <w:rPr>
          <w:bCs/>
        </w:rPr>
        <w:t>f</w:t>
      </w:r>
      <w:r w:rsidR="005F3768">
        <w:rPr>
          <w:bCs/>
        </w:rPr>
        <w:t>.</w:t>
      </w:r>
      <w:r w:rsidR="003F0F00">
        <w:rPr>
          <w:bCs/>
        </w:rPr>
        <w:t xml:space="preserve"> </w:t>
      </w:r>
      <w:r w:rsidRPr="1AF1AD43" w:rsidR="006A7808">
        <w:t xml:space="preserve">de </w:t>
      </w:r>
      <w:r w:rsidRPr="1AF1AD43" w:rsidR="00B90187">
        <w:t>berekenings</w:t>
      </w:r>
      <w:r w:rsidRPr="1AF1AD43" w:rsidR="006A7808">
        <w:t xml:space="preserve">wijze </w:t>
      </w:r>
      <w:r w:rsidRPr="1AF1AD43" w:rsidR="00B90187">
        <w:t xml:space="preserve">van </w:t>
      </w:r>
      <w:r w:rsidRPr="1AF1AD43" w:rsidR="00DA0707">
        <w:t xml:space="preserve">de hoogte van de aanspraak van de </w:t>
      </w:r>
      <w:r w:rsidRPr="1AF1AD43" w:rsidR="00B90187">
        <w:t>producent</w:t>
      </w:r>
      <w:r w:rsidR="00DA0707">
        <w:rPr>
          <w:bCs/>
        </w:rPr>
        <w:t xml:space="preserve"> </w:t>
      </w:r>
      <w:r w:rsidRPr="1AF1AD43" w:rsidR="00B90187">
        <w:t xml:space="preserve">op de </w:t>
      </w:r>
      <w:r w:rsidRPr="1AF1AD43" w:rsidR="003F0F00">
        <w:t>S</w:t>
      </w:r>
      <w:r w:rsidRPr="1AF1AD43" w:rsidR="00B90187">
        <w:t>taat en</w:t>
      </w:r>
      <w:r w:rsidRPr="1AF1AD43" w:rsidR="00DA0707">
        <w:t xml:space="preserve"> het </w:t>
      </w:r>
      <w:r w:rsidRPr="1AF1AD43" w:rsidR="00B90187">
        <w:t xml:space="preserve">door de producent aan de staat </w:t>
      </w:r>
      <w:r w:rsidRPr="1AF1AD43" w:rsidR="00DA0707">
        <w:t>verschuldigde bedrag;</w:t>
      </w:r>
    </w:p>
    <w:p w:rsidR="00DA0707" w:rsidP="004D1DD3" w:rsidRDefault="00DA0707" w14:paraId="18CF34E8" w14:textId="421EEEAD">
      <w:pPr>
        <w:tabs>
          <w:tab w:val="left" w:pos="284"/>
        </w:tabs>
      </w:pPr>
      <w:r>
        <w:rPr>
          <w:bCs/>
        </w:rPr>
        <w:tab/>
      </w:r>
      <w:r>
        <w:rPr>
          <w:bCs/>
        </w:rPr>
        <w:tab/>
      </w:r>
      <w:r w:rsidRPr="47B5A876" w:rsidR="2563E0D1">
        <w:t>g</w:t>
      </w:r>
      <w:r w:rsidRPr="47B5A876">
        <w:t xml:space="preserve">. </w:t>
      </w:r>
      <w:r w:rsidRPr="47B5A876" w:rsidR="000A5ECA">
        <w:t>de momenten en de wijze waarop verschuldigde bedragen aan en door de producent worden overgemaakt;</w:t>
      </w:r>
    </w:p>
    <w:p w:rsidR="00086106" w:rsidP="004D1DD3" w:rsidRDefault="000A5ECA" w14:paraId="0165BEF6" w14:textId="17D94BA6">
      <w:pPr>
        <w:tabs>
          <w:tab w:val="left" w:pos="284"/>
        </w:tabs>
      </w:pPr>
      <w:r>
        <w:rPr>
          <w:bCs/>
        </w:rPr>
        <w:tab/>
      </w:r>
      <w:r>
        <w:rPr>
          <w:bCs/>
        </w:rPr>
        <w:tab/>
      </w:r>
      <w:r w:rsidRPr="47B5A876" w:rsidR="1A1377D6">
        <w:t>h</w:t>
      </w:r>
      <w:r w:rsidRPr="47B5A876">
        <w:t xml:space="preserve">. </w:t>
      </w:r>
      <w:r w:rsidRPr="47B5A876" w:rsidR="00086106">
        <w:t xml:space="preserve">het budget dat ten hoogste door de Staat op grond van </w:t>
      </w:r>
      <w:r w:rsidR="00C1243E">
        <w:t>het</w:t>
      </w:r>
      <w:r w:rsidRPr="47B5A876" w:rsidR="00C1243E">
        <w:t xml:space="preserve"> </w:t>
      </w:r>
      <w:r w:rsidR="007F4581">
        <w:t>tweerichtingscontract</w:t>
      </w:r>
      <w:r w:rsidRPr="47B5A876" w:rsidR="00086106">
        <w:t xml:space="preserve"> aan de producent kan worden overgemaakt en de voorwaarden waaronder dit budget kan worden verlaagd</w:t>
      </w:r>
      <w:r w:rsidR="00CD1AEA">
        <w:rPr>
          <w:bCs/>
        </w:rPr>
        <w:t>;</w:t>
      </w:r>
    </w:p>
    <w:p w:rsidR="00946846" w:rsidP="004D1DD3" w:rsidRDefault="00CD1AEA" w14:paraId="325CE9AD" w14:textId="242C8F43">
      <w:pPr>
        <w:tabs>
          <w:tab w:val="left" w:pos="284"/>
        </w:tabs>
      </w:pPr>
      <w:r>
        <w:rPr>
          <w:bCs/>
        </w:rPr>
        <w:lastRenderedPageBreak/>
        <w:tab/>
      </w:r>
      <w:r>
        <w:rPr>
          <w:bCs/>
        </w:rPr>
        <w:tab/>
      </w:r>
      <w:r w:rsidRPr="47B5A876" w:rsidR="5D4C71ED">
        <w:t>i</w:t>
      </w:r>
      <w:r w:rsidRPr="47B5A876">
        <w:t xml:space="preserve">. </w:t>
      </w:r>
      <w:r w:rsidRPr="47B5A876" w:rsidR="000A5ECA">
        <w:t xml:space="preserve">de duur van </w:t>
      </w:r>
      <w:r w:rsidR="00C1243E">
        <w:t>het</w:t>
      </w:r>
      <w:r w:rsidRPr="47B5A876" w:rsidR="00C1243E">
        <w:t xml:space="preserve"> </w:t>
      </w:r>
      <w:r w:rsidR="007F4581">
        <w:t>tweerichtingscontract</w:t>
      </w:r>
      <w:r w:rsidR="00EC7366">
        <w:t xml:space="preserve"> </w:t>
      </w:r>
      <w:r w:rsidRPr="47B5A876" w:rsidR="00086106">
        <w:t>e</w:t>
      </w:r>
      <w:r w:rsidRPr="47B5A876">
        <w:t xml:space="preserve">n de redenen op grond waarvan </w:t>
      </w:r>
      <w:r w:rsidR="001227AB">
        <w:t>de Staat of d</w:t>
      </w:r>
      <w:r w:rsidR="009B1E5D">
        <w:t xml:space="preserve">e producent </w:t>
      </w:r>
      <w:r w:rsidR="00CC78CE">
        <w:t>het tweerichtingscontract</w:t>
      </w:r>
      <w:r w:rsidR="009B1E5D">
        <w:t xml:space="preserve"> eenzijdig kan opzeggen</w:t>
      </w:r>
      <w:r w:rsidR="008664F2">
        <w:rPr>
          <w:bCs/>
        </w:rPr>
        <w:t>;</w:t>
      </w:r>
      <w:r w:rsidR="00510210">
        <w:rPr>
          <w:bCs/>
        </w:rPr>
        <w:tab/>
      </w:r>
    </w:p>
    <w:p w:rsidR="008664F2" w:rsidP="004D1DD3" w:rsidRDefault="00946846" w14:paraId="124A77C5" w14:textId="55B7823A">
      <w:pPr>
        <w:tabs>
          <w:tab w:val="left" w:pos="284"/>
        </w:tabs>
      </w:pPr>
      <w:r>
        <w:rPr>
          <w:bCs/>
        </w:rPr>
        <w:tab/>
      </w:r>
      <w:r>
        <w:rPr>
          <w:bCs/>
        </w:rPr>
        <w:tab/>
      </w:r>
      <w:r w:rsidRPr="47B5A876" w:rsidR="0E04E986">
        <w:t>j</w:t>
      </w:r>
      <w:r w:rsidRPr="47B5A876">
        <w:t xml:space="preserve">. de informatieverplichtingen van de producent aan Onze Minister in verband met de uitvoering van </w:t>
      </w:r>
      <w:r w:rsidR="00425DB9">
        <w:t>het tweerichting</w:t>
      </w:r>
      <w:r w:rsidR="00A03F4A">
        <w:t>scontract</w:t>
      </w:r>
      <w:r w:rsidRPr="47B5A876">
        <w:t xml:space="preserve"> en de exploitatie van de productie-installaties</w:t>
      </w:r>
      <w:r w:rsidR="008664F2">
        <w:rPr>
          <w:bCs/>
        </w:rPr>
        <w:t>;</w:t>
      </w:r>
    </w:p>
    <w:p w:rsidR="000A5ECA" w:rsidP="004D1DD3" w:rsidRDefault="00010E03" w14:paraId="1551A807" w14:textId="2C9699BE">
      <w:pPr>
        <w:tabs>
          <w:tab w:val="left" w:pos="284"/>
        </w:tabs>
      </w:pPr>
      <w:r>
        <w:rPr>
          <w:bCs/>
        </w:rPr>
        <w:tab/>
      </w:r>
      <w:r>
        <w:rPr>
          <w:bCs/>
        </w:rPr>
        <w:tab/>
      </w:r>
      <w:r w:rsidRPr="47B5A876" w:rsidR="2423FF19">
        <w:t>k</w:t>
      </w:r>
      <w:r w:rsidRPr="47B5A876">
        <w:t xml:space="preserve">. sancties in verband met de niet-nakoming van de verplichtingen uit </w:t>
      </w:r>
      <w:r w:rsidR="000E65E9">
        <w:t xml:space="preserve">het </w:t>
      </w:r>
      <w:r w:rsidR="00436B60">
        <w:t>tweerichtingscontract</w:t>
      </w:r>
      <w:r w:rsidR="00086106">
        <w:rPr>
          <w:bCs/>
        </w:rPr>
        <w:t>.</w:t>
      </w:r>
    </w:p>
    <w:p w:rsidR="008F216F" w:rsidP="47B5A876" w:rsidRDefault="00AE229E" w14:paraId="1E14ECE0" w14:textId="6B148152">
      <w:pPr>
        <w:tabs>
          <w:tab w:val="left" w:pos="284"/>
        </w:tabs>
        <w:ind w:firstLine="227"/>
      </w:pPr>
      <w:r>
        <w:t>4</w:t>
      </w:r>
      <w:r w:rsidRPr="47B5A876" w:rsidR="003F0F00">
        <w:t xml:space="preserve">. In </w:t>
      </w:r>
      <w:r w:rsidR="00743D68">
        <w:t>een</w:t>
      </w:r>
      <w:r w:rsidRPr="47B5A876" w:rsidR="00743D68">
        <w:t xml:space="preserve"> </w:t>
      </w:r>
      <w:r w:rsidR="007F4581">
        <w:t>tweerichtingscontract</w:t>
      </w:r>
      <w:r w:rsidRPr="47B5A876" w:rsidR="003F0F00">
        <w:t xml:space="preserve"> wordt bepaald dat </w:t>
      </w:r>
      <w:r w:rsidRPr="47B5A876" w:rsidR="00B85DCB">
        <w:t xml:space="preserve">Onze Minister </w:t>
      </w:r>
      <w:r w:rsidRPr="47B5A876" w:rsidR="002F4CCE">
        <w:t xml:space="preserve">overeenkomstig </w:t>
      </w:r>
      <w:r w:rsidRPr="47B5A876" w:rsidR="003F0F00">
        <w:t>de overeengekomen berekeningswijze</w:t>
      </w:r>
      <w:r w:rsidR="002F4CCE">
        <w:rPr>
          <w:bCs/>
        </w:rPr>
        <w:t xml:space="preserve">, </w:t>
      </w:r>
      <w:r w:rsidRPr="47B5A876" w:rsidR="003F0F00">
        <w:t xml:space="preserve">bedoeld in het </w:t>
      </w:r>
      <w:r w:rsidR="003B5756">
        <w:t>derde</w:t>
      </w:r>
      <w:r w:rsidRPr="47B5A876" w:rsidR="003B5756">
        <w:t xml:space="preserve"> </w:t>
      </w:r>
      <w:r w:rsidRPr="47B5A876" w:rsidR="003F0F00">
        <w:t xml:space="preserve">lid, onderdeel </w:t>
      </w:r>
      <w:r w:rsidR="003B5756">
        <w:t>f</w:t>
      </w:r>
      <w:r w:rsidRPr="47B5A876" w:rsidR="00FA555D">
        <w:t>,</w:t>
      </w:r>
      <w:r w:rsidR="003F0F00">
        <w:rPr>
          <w:bCs/>
        </w:rPr>
        <w:t xml:space="preserve"> </w:t>
      </w:r>
      <w:r w:rsidRPr="47B5A876" w:rsidR="002F4CCE">
        <w:t>de hoogte van de aanspr</w:t>
      </w:r>
      <w:r w:rsidRPr="47B5A876" w:rsidR="003F0F00">
        <w:t>aak van de producent op de Staat</w:t>
      </w:r>
      <w:r w:rsidR="002F4CCE">
        <w:rPr>
          <w:bCs/>
        </w:rPr>
        <w:t xml:space="preserve"> </w:t>
      </w:r>
      <w:r w:rsidRPr="47B5A876" w:rsidR="003F0F00">
        <w:t>en de</w:t>
      </w:r>
      <w:r w:rsidRPr="47B5A876" w:rsidR="004A21F5">
        <w:t xml:space="preserve"> hoogte van de aanspraak</w:t>
      </w:r>
      <w:r w:rsidR="003F0F00">
        <w:rPr>
          <w:bCs/>
        </w:rPr>
        <w:t xml:space="preserve"> </w:t>
      </w:r>
      <w:r w:rsidRPr="47B5A876" w:rsidR="002F4CCE">
        <w:t>op financiële middelen</w:t>
      </w:r>
      <w:r w:rsidRPr="47B5A876" w:rsidR="00390422">
        <w:t xml:space="preserve"> die de producent de Staat verschuldigd is</w:t>
      </w:r>
      <w:r w:rsidR="00C438FC">
        <w:rPr>
          <w:bCs/>
        </w:rPr>
        <w:t>,</w:t>
      </w:r>
      <w:r w:rsidRPr="47B5A876" w:rsidR="00390422">
        <w:t xml:space="preserve"> vaststelt.</w:t>
      </w:r>
      <w:r w:rsidR="002F4CCE">
        <w:rPr>
          <w:bCs/>
        </w:rPr>
        <w:t xml:space="preserve"> </w:t>
      </w:r>
    </w:p>
    <w:p w:rsidR="007B1CCD" w:rsidP="004D1DD3" w:rsidRDefault="007B1CCD" w14:paraId="41198571" w14:textId="36D93CC8">
      <w:pPr>
        <w:tabs>
          <w:tab w:val="left" w:pos="284"/>
        </w:tabs>
      </w:pPr>
      <w:r>
        <w:rPr>
          <w:bCs/>
        </w:rPr>
        <w:tab/>
      </w:r>
      <w:r w:rsidR="00D46F1A">
        <w:rPr>
          <w:bCs/>
        </w:rPr>
        <w:t>5</w:t>
      </w:r>
      <w:r w:rsidR="00CD1AEA">
        <w:rPr>
          <w:bCs/>
        </w:rPr>
        <w:t>.</w:t>
      </w:r>
      <w:r w:rsidRPr="47B5A876">
        <w:t xml:space="preserve"> In </w:t>
      </w:r>
      <w:r w:rsidR="00743D68">
        <w:t>ee</w:t>
      </w:r>
      <w:r w:rsidR="00CB07D8">
        <w:t>n</w:t>
      </w:r>
      <w:r w:rsidRPr="47B5A876" w:rsidR="00743D68">
        <w:t xml:space="preserve"> </w:t>
      </w:r>
      <w:r w:rsidR="007F4581">
        <w:t>tweerichtingscontract</w:t>
      </w:r>
      <w:r w:rsidRPr="47B5A876">
        <w:t xml:space="preserve"> kan worden </w:t>
      </w:r>
      <w:r w:rsidR="00F54564">
        <w:t>bepaald</w:t>
      </w:r>
      <w:r w:rsidRPr="47B5A876" w:rsidR="00F54564">
        <w:t xml:space="preserve"> </w:t>
      </w:r>
      <w:r w:rsidRPr="47B5A876">
        <w:t xml:space="preserve">dat </w:t>
      </w:r>
      <w:r w:rsidRPr="000D708B" w:rsidR="00AA3DAD">
        <w:t>dit tweerichtingscontract</w:t>
      </w:r>
      <w:r w:rsidRPr="47B5A876" w:rsidR="00436B60">
        <w:t xml:space="preserve"> </w:t>
      </w:r>
      <w:r w:rsidRPr="47B5A876" w:rsidR="00CD1AEA">
        <w:t xml:space="preserve">niet </w:t>
      </w:r>
      <w:r w:rsidRPr="47B5A876">
        <w:t xml:space="preserve">van toepassing is op een onderdeel of een gedeelte van </w:t>
      </w:r>
      <w:r w:rsidR="006E2C00">
        <w:t>de productiecapaciteit</w:t>
      </w:r>
      <w:r w:rsidRPr="47B5A876">
        <w:t xml:space="preserve"> van de productie-installatie</w:t>
      </w:r>
      <w:r w:rsidR="007A7E31">
        <w:t xml:space="preserve"> </w:t>
      </w:r>
      <w:r w:rsidRPr="47B5A876" w:rsidR="00CD1AEA">
        <w:t xml:space="preserve">en de voorwaarden waaronder </w:t>
      </w:r>
      <w:r w:rsidRPr="47B5A876" w:rsidR="004A21F5">
        <w:t xml:space="preserve">deze </w:t>
      </w:r>
      <w:r w:rsidR="003E1D07">
        <w:t>be</w:t>
      </w:r>
      <w:r w:rsidR="00755FB9">
        <w:t>paling</w:t>
      </w:r>
      <w:r w:rsidR="003E1D07">
        <w:rPr>
          <w:bCs/>
        </w:rPr>
        <w:t xml:space="preserve"> </w:t>
      </w:r>
      <w:r w:rsidRPr="47B5A876" w:rsidR="004A21F5">
        <w:t xml:space="preserve">kan </w:t>
      </w:r>
      <w:r w:rsidRPr="47B5A876" w:rsidR="00CD1AEA">
        <w:t>word</w:t>
      </w:r>
      <w:r w:rsidRPr="47B5A876" w:rsidR="004A21F5">
        <w:t>en</w:t>
      </w:r>
      <w:r w:rsidRPr="47B5A876" w:rsidR="00CD1AEA">
        <w:t xml:space="preserve"> aangepast. </w:t>
      </w:r>
      <w:r w:rsidR="003E1D07">
        <w:t xml:space="preserve">Het tweerichtingscontract regelt in dat geval ook </w:t>
      </w:r>
      <w:r w:rsidRPr="47B5A876" w:rsidR="00C438FC">
        <w:t>d</w:t>
      </w:r>
      <w:r w:rsidRPr="47B5A876" w:rsidR="00CD1AEA">
        <w:t xml:space="preserve">e gevolgen van de gedeeltelijke </w:t>
      </w:r>
      <w:proofErr w:type="spellStart"/>
      <w:r w:rsidRPr="47B5A876" w:rsidR="004A21F5">
        <w:t>buiten</w:t>
      </w:r>
      <w:r w:rsidRPr="47B5A876" w:rsidR="00CD1AEA">
        <w:t>toepassingverklaring</w:t>
      </w:r>
      <w:proofErr w:type="spellEnd"/>
      <w:r w:rsidR="00CD1AEA">
        <w:rPr>
          <w:bCs/>
        </w:rPr>
        <w:t>.</w:t>
      </w:r>
    </w:p>
    <w:p w:rsidR="00AF081E" w:rsidP="004D1DD3" w:rsidRDefault="00AF081E" w14:paraId="08F61BAB" w14:textId="0E1D4A5C">
      <w:pPr>
        <w:tabs>
          <w:tab w:val="left" w:pos="284"/>
        </w:tabs>
        <w:rPr>
          <w:bCs/>
        </w:rPr>
      </w:pPr>
    </w:p>
    <w:p w:rsidRPr="00AA226B" w:rsidR="00AA226B" w:rsidP="47B5A876" w:rsidRDefault="00F03DB6" w14:paraId="3EBD1FA2" w14:textId="7B9A6AD3">
      <w:pPr>
        <w:tabs>
          <w:tab w:val="left" w:pos="284"/>
        </w:tabs>
      </w:pPr>
      <w:r w:rsidRPr="47B5A876">
        <w:rPr>
          <w:b/>
          <w:bCs/>
        </w:rPr>
        <w:t xml:space="preserve">Artikel </w:t>
      </w:r>
      <w:r w:rsidR="00645A9B">
        <w:rPr>
          <w:b/>
          <w:bCs/>
        </w:rPr>
        <w:t>8</w:t>
      </w:r>
      <w:r w:rsidRPr="47B5A876">
        <w:rPr>
          <w:b/>
          <w:bCs/>
        </w:rPr>
        <w:t xml:space="preserve"> </w:t>
      </w:r>
      <w:r w:rsidR="00505076">
        <w:rPr>
          <w:b/>
          <w:bCs/>
        </w:rPr>
        <w:t>toegang tot gegevens</w:t>
      </w:r>
    </w:p>
    <w:p w:rsidRPr="00AA226B" w:rsidR="00AA226B" w:rsidP="47B5A876" w:rsidRDefault="00AA226B" w14:paraId="7E8D85EB" w14:textId="77777777">
      <w:pPr>
        <w:tabs>
          <w:tab w:val="left" w:pos="284"/>
        </w:tabs>
      </w:pPr>
    </w:p>
    <w:p w:rsidRPr="00AA226B" w:rsidR="00AA226B" w:rsidP="47B5A876" w:rsidRDefault="00AA226B" w14:paraId="34116454" w14:textId="58A401FF">
      <w:pPr>
        <w:tabs>
          <w:tab w:val="left" w:pos="284"/>
        </w:tabs>
      </w:pPr>
      <w:r>
        <w:tab/>
      </w:r>
      <w:r w:rsidRPr="004F1DC8" w:rsidR="004F1DC8">
        <w:t xml:space="preserve">Een </w:t>
      </w:r>
      <w:r w:rsidR="004F1942">
        <w:t>register</w:t>
      </w:r>
      <w:r w:rsidRPr="004F1DC8" w:rsidR="004F1DC8">
        <w:t xml:space="preserve">beheerder als bedoeld in artikel 1.1 van de Energiewet verstrekt aan Onze Minister ten behoeve van het </w:t>
      </w:r>
      <w:r w:rsidR="00505076">
        <w:t xml:space="preserve">voorbereiden en het </w:t>
      </w:r>
      <w:r w:rsidRPr="004F1DC8" w:rsidR="004F1DC8">
        <w:t xml:space="preserve">uitvoeren van een tweerichtingscontract de bij ministeriële regeling te bepalen gegevens die in zijn register </w:t>
      </w:r>
      <w:r w:rsidR="004F1DC8">
        <w:t xml:space="preserve">als bedoeld in </w:t>
      </w:r>
      <w:r w:rsidR="00CC4F53">
        <w:t xml:space="preserve">de </w:t>
      </w:r>
      <w:r w:rsidR="004F1DC8">
        <w:t>artikel</w:t>
      </w:r>
      <w:r w:rsidR="00CC4F53">
        <w:t>en</w:t>
      </w:r>
      <w:r w:rsidR="004F1DC8">
        <w:t xml:space="preserve"> </w:t>
      </w:r>
      <w:r w:rsidR="003B65CF">
        <w:t>4.5</w:t>
      </w:r>
      <w:r w:rsidR="00CC4F53">
        <w:t>, 4.6 of 4.7</w:t>
      </w:r>
      <w:r w:rsidR="003B65CF">
        <w:t xml:space="preserve"> van de Energiewet </w:t>
      </w:r>
      <w:r w:rsidRPr="004F1DC8" w:rsidR="004F1DC8">
        <w:t>zijn opgenomen</w:t>
      </w:r>
      <w:r>
        <w:t>.</w:t>
      </w:r>
      <w:r w:rsidRPr="00AA226B">
        <w:t xml:space="preserve"> </w:t>
      </w:r>
    </w:p>
    <w:p w:rsidR="00AA226B" w:rsidP="47B5A876" w:rsidRDefault="00AA226B" w14:paraId="0AEFF137" w14:textId="77777777">
      <w:pPr>
        <w:tabs>
          <w:tab w:val="left" w:pos="284"/>
        </w:tabs>
        <w:rPr>
          <w:b/>
          <w:bCs/>
        </w:rPr>
      </w:pPr>
    </w:p>
    <w:p w:rsidR="00F03DB6" w:rsidP="47B5A876" w:rsidRDefault="00735C03" w14:paraId="51230429" w14:textId="4DE50C0D">
      <w:pPr>
        <w:tabs>
          <w:tab w:val="left" w:pos="284"/>
        </w:tabs>
        <w:rPr>
          <w:b/>
          <w:bCs/>
        </w:rPr>
      </w:pPr>
      <w:r>
        <w:rPr>
          <w:b/>
          <w:bCs/>
        </w:rPr>
        <w:t xml:space="preserve">Artikel 9 </w:t>
      </w:r>
      <w:r w:rsidR="00505076">
        <w:rPr>
          <w:b/>
          <w:bCs/>
        </w:rPr>
        <w:t xml:space="preserve">samenloop met </w:t>
      </w:r>
      <w:r w:rsidRPr="47B5A876" w:rsidR="001836F9">
        <w:rPr>
          <w:b/>
          <w:bCs/>
        </w:rPr>
        <w:t xml:space="preserve">vergunningen </w:t>
      </w:r>
      <w:r w:rsidRPr="47B5A876" w:rsidR="00DA0707">
        <w:rPr>
          <w:b/>
          <w:bCs/>
        </w:rPr>
        <w:t xml:space="preserve">Wet </w:t>
      </w:r>
      <w:r w:rsidRPr="47B5A876" w:rsidR="001836F9">
        <w:rPr>
          <w:b/>
          <w:bCs/>
        </w:rPr>
        <w:t>wind</w:t>
      </w:r>
      <w:r w:rsidRPr="47B5A876" w:rsidR="00DA0707">
        <w:rPr>
          <w:b/>
          <w:bCs/>
        </w:rPr>
        <w:t>energie</w:t>
      </w:r>
      <w:r w:rsidRPr="47B5A876" w:rsidR="001836F9">
        <w:rPr>
          <w:b/>
          <w:bCs/>
        </w:rPr>
        <w:t xml:space="preserve"> op zee</w:t>
      </w:r>
    </w:p>
    <w:p w:rsidR="00DA0707" w:rsidP="00DA0707" w:rsidRDefault="00DA0707" w14:paraId="4392AD38" w14:textId="0134F3F2">
      <w:pPr>
        <w:tabs>
          <w:tab w:val="left" w:pos="284"/>
        </w:tabs>
        <w:rPr>
          <w:bCs/>
        </w:rPr>
      </w:pPr>
    </w:p>
    <w:p w:rsidR="0062693A" w:rsidP="00DA0707" w:rsidRDefault="008A1CAF" w14:paraId="4619A5DD" w14:textId="608B8A6F">
      <w:pPr>
        <w:tabs>
          <w:tab w:val="left" w:pos="284"/>
        </w:tabs>
        <w:rPr>
          <w:bCs/>
        </w:rPr>
      </w:pPr>
      <w:r>
        <w:rPr>
          <w:bCs/>
        </w:rPr>
        <w:tab/>
      </w:r>
      <w:r w:rsidR="001D3039">
        <w:rPr>
          <w:bCs/>
        </w:rPr>
        <w:t xml:space="preserve">1. </w:t>
      </w:r>
      <w:r w:rsidR="0062693A">
        <w:rPr>
          <w:bCs/>
        </w:rPr>
        <w:t>Indien een</w:t>
      </w:r>
      <w:r>
        <w:rPr>
          <w:bCs/>
        </w:rPr>
        <w:t xml:space="preserve"> </w:t>
      </w:r>
      <w:r w:rsidR="00C30523">
        <w:rPr>
          <w:bCs/>
        </w:rPr>
        <w:t>ontwerp</w:t>
      </w:r>
      <w:r w:rsidR="007F4581">
        <w:rPr>
          <w:bCs/>
        </w:rPr>
        <w:t>tweerichtingscontract</w:t>
      </w:r>
      <w:r>
        <w:rPr>
          <w:bCs/>
        </w:rPr>
        <w:t xml:space="preserve"> als bedoeld in artikel 5, </w:t>
      </w:r>
      <w:r w:rsidR="00C30523">
        <w:rPr>
          <w:bCs/>
        </w:rPr>
        <w:t xml:space="preserve">tweede </w:t>
      </w:r>
      <w:r>
        <w:rPr>
          <w:bCs/>
        </w:rPr>
        <w:t xml:space="preserve">lid, is </w:t>
      </w:r>
      <w:r w:rsidR="00C30523">
        <w:rPr>
          <w:bCs/>
        </w:rPr>
        <w:t xml:space="preserve">bekendgemaakt </w:t>
      </w:r>
      <w:r>
        <w:rPr>
          <w:bCs/>
        </w:rPr>
        <w:t xml:space="preserve">ten behoeve van </w:t>
      </w:r>
      <w:r w:rsidR="00F93AA1">
        <w:rPr>
          <w:bCs/>
        </w:rPr>
        <w:t>de verlening van een vergunning voor een windpark op zee met toepassing van de procedure bedoeld in artikel 14a, eerste lid, onderdeel b,</w:t>
      </w:r>
      <w:r>
        <w:rPr>
          <w:bCs/>
        </w:rPr>
        <w:t xml:space="preserve"> van </w:t>
      </w:r>
      <w:r w:rsidR="00F93AA1">
        <w:rPr>
          <w:bCs/>
        </w:rPr>
        <w:t xml:space="preserve">de Wet windenergie op zee </w:t>
      </w:r>
      <w:r>
        <w:rPr>
          <w:bCs/>
        </w:rPr>
        <w:t xml:space="preserve">vindt </w:t>
      </w:r>
      <w:r w:rsidR="00ED55F5">
        <w:rPr>
          <w:bCs/>
        </w:rPr>
        <w:t xml:space="preserve">de rangschikking </w:t>
      </w:r>
      <w:r>
        <w:rPr>
          <w:bCs/>
        </w:rPr>
        <w:t xml:space="preserve">in het geval er twee of meer biedingen voor het sluiten van een </w:t>
      </w:r>
      <w:r w:rsidR="007F4581">
        <w:rPr>
          <w:bCs/>
        </w:rPr>
        <w:t>tweerichtingscontract</w:t>
      </w:r>
      <w:r>
        <w:rPr>
          <w:bCs/>
        </w:rPr>
        <w:t xml:space="preserve"> zijn </w:t>
      </w:r>
      <w:r w:rsidR="00ED55F5">
        <w:rPr>
          <w:bCs/>
        </w:rPr>
        <w:t>gedaan</w:t>
      </w:r>
      <w:r>
        <w:rPr>
          <w:bCs/>
        </w:rPr>
        <w:t xml:space="preserve"> in afwijking van artikel 6</w:t>
      </w:r>
      <w:r w:rsidR="00C4272B">
        <w:rPr>
          <w:bCs/>
        </w:rPr>
        <w:t>,</w:t>
      </w:r>
      <w:r>
        <w:rPr>
          <w:bCs/>
        </w:rPr>
        <w:t xml:space="preserve"> plaats overeenkomstig artikel 24 van de Wet windenergie op zee.</w:t>
      </w:r>
      <w:r w:rsidR="0062693A">
        <w:rPr>
          <w:bCs/>
        </w:rPr>
        <w:t xml:space="preserve"> </w:t>
      </w:r>
    </w:p>
    <w:p w:rsidR="001D3039" w:rsidP="00DA0707" w:rsidRDefault="00AA3DAD" w14:paraId="3D6CFDBD" w14:textId="15DF7ACC">
      <w:pPr>
        <w:tabs>
          <w:tab w:val="left" w:pos="284"/>
        </w:tabs>
      </w:pPr>
      <w:r>
        <w:tab/>
      </w:r>
      <w:r w:rsidR="001D3039">
        <w:t>2. Indien bij toepassing van artikel 14</w:t>
      </w:r>
      <w:r w:rsidR="00A82AB2">
        <w:t>a</w:t>
      </w:r>
      <w:r w:rsidR="001D3039">
        <w:t xml:space="preserve">, derde lid, van de Wet windenergie op zee, de vergunning reeds is verleend op grond van een andere procedure dan de procedure waarbij op grond van deze wet een aanbod voor een </w:t>
      </w:r>
      <w:r w:rsidR="007F4581">
        <w:t>tweerichtingscontract</w:t>
      </w:r>
      <w:r w:rsidR="001D3039">
        <w:t xml:space="preserve"> </w:t>
      </w:r>
      <w:r w:rsidR="1BD98CCB">
        <w:t>kan worden</w:t>
      </w:r>
      <w:r w:rsidR="001D3039">
        <w:t xml:space="preserve"> ingediend, </w:t>
      </w:r>
      <w:r w:rsidR="00FB0456">
        <w:t xml:space="preserve">wordt </w:t>
      </w:r>
      <w:r w:rsidR="00D24D0E">
        <w:t>het aan</w:t>
      </w:r>
      <w:r w:rsidR="001D3039">
        <w:t>b</w:t>
      </w:r>
      <w:r w:rsidR="00D24D0E">
        <w:t>od</w:t>
      </w:r>
      <w:r w:rsidR="001D3039">
        <w:t xml:space="preserve"> op deze grond afgewezen.</w:t>
      </w:r>
    </w:p>
    <w:p w:rsidR="01D0DE11" w:rsidP="47B5A876" w:rsidRDefault="00AA3DAD" w14:paraId="638B3004" w14:textId="39769B42">
      <w:pPr>
        <w:tabs>
          <w:tab w:val="left" w:pos="284"/>
        </w:tabs>
      </w:pPr>
      <w:r>
        <w:tab/>
      </w:r>
      <w:r w:rsidR="01D0DE11">
        <w:t xml:space="preserve">3. </w:t>
      </w:r>
      <w:r w:rsidR="34F2F62A">
        <w:t xml:space="preserve">Indien </w:t>
      </w:r>
      <w:r w:rsidR="6E7F0233">
        <w:t xml:space="preserve">de vergunning </w:t>
      </w:r>
      <w:r w:rsidR="3108F1BF">
        <w:t xml:space="preserve">op grond van artikel 17, eerste, tweede of vierde lid, </w:t>
      </w:r>
      <w:r w:rsidR="6F20EA13">
        <w:t xml:space="preserve">van de Wet windenergie op zee </w:t>
      </w:r>
      <w:r w:rsidR="3108F1BF">
        <w:t xml:space="preserve">wordt ingetrokken, wordt </w:t>
      </w:r>
      <w:r w:rsidR="00D24D0E">
        <w:t xml:space="preserve">het </w:t>
      </w:r>
      <w:r w:rsidR="007F4581">
        <w:t xml:space="preserve">tweerichtingscontract </w:t>
      </w:r>
      <w:r w:rsidR="00D24D0E">
        <w:t xml:space="preserve">van rechtswege </w:t>
      </w:r>
      <w:r w:rsidR="3B28C10A">
        <w:t>ontbonden</w:t>
      </w:r>
      <w:r w:rsidR="17A4FE28">
        <w:t xml:space="preserve">. </w:t>
      </w:r>
    </w:p>
    <w:p w:rsidR="17A4FE28" w:rsidP="1AF1AD43" w:rsidRDefault="00AA3DAD" w14:paraId="2413AF86" w14:textId="162F00D4">
      <w:pPr>
        <w:tabs>
          <w:tab w:val="left" w:pos="284"/>
        </w:tabs>
      </w:pPr>
      <w:r>
        <w:tab/>
      </w:r>
      <w:r w:rsidR="17A4FE28">
        <w:t xml:space="preserve">4. Indien de vergunning </w:t>
      </w:r>
      <w:r w:rsidR="3BDF86BD">
        <w:t xml:space="preserve">is vernietigd of </w:t>
      </w:r>
      <w:r w:rsidR="17A4FE28">
        <w:t xml:space="preserve">op grond van artikel 17, vijfde lid, </w:t>
      </w:r>
      <w:r w:rsidR="18AB4CA8">
        <w:t xml:space="preserve">Wet windenergie op zee </w:t>
      </w:r>
      <w:r w:rsidR="02A97F07">
        <w:t xml:space="preserve">is komen te vervallen </w:t>
      </w:r>
      <w:r w:rsidR="705F0E9A">
        <w:t xml:space="preserve">is </w:t>
      </w:r>
      <w:r w:rsidR="007120C5">
        <w:t xml:space="preserve">het </w:t>
      </w:r>
      <w:r w:rsidR="00D16C96">
        <w:t xml:space="preserve">tweerichtingscontract </w:t>
      </w:r>
      <w:r w:rsidR="705F0E9A">
        <w:t>nietig.</w:t>
      </w:r>
    </w:p>
    <w:p w:rsidR="00F03DB6" w:rsidP="004D1DD3" w:rsidRDefault="00F03DB6" w14:paraId="2B6B47D9" w14:textId="77777777">
      <w:pPr>
        <w:tabs>
          <w:tab w:val="left" w:pos="284"/>
        </w:tabs>
        <w:rPr>
          <w:bCs/>
        </w:rPr>
      </w:pPr>
    </w:p>
    <w:p w:rsidRPr="00DA0707" w:rsidR="00DA0707" w:rsidP="47B5A876" w:rsidRDefault="00DA0707" w14:paraId="0F6691AF" w14:textId="2D53C2A2">
      <w:pPr>
        <w:tabs>
          <w:tab w:val="left" w:pos="284"/>
        </w:tabs>
        <w:rPr>
          <w:b/>
          <w:bCs/>
        </w:rPr>
      </w:pPr>
      <w:r w:rsidRPr="354BB7EA">
        <w:rPr>
          <w:b/>
          <w:bCs/>
        </w:rPr>
        <w:t xml:space="preserve">Artikel </w:t>
      </w:r>
      <w:r w:rsidR="00735C03">
        <w:rPr>
          <w:b/>
          <w:bCs/>
        </w:rPr>
        <w:t>10</w:t>
      </w:r>
      <w:r w:rsidRPr="354BB7EA">
        <w:rPr>
          <w:b/>
          <w:bCs/>
        </w:rPr>
        <w:t xml:space="preserve"> </w:t>
      </w:r>
      <w:r w:rsidR="00505076">
        <w:rPr>
          <w:b/>
          <w:bCs/>
        </w:rPr>
        <w:t>g</w:t>
      </w:r>
      <w:r w:rsidRPr="354BB7EA" w:rsidR="00292FA6">
        <w:rPr>
          <w:b/>
          <w:bCs/>
        </w:rPr>
        <w:t>rondslag voor gezamenlijke openstelling en regeling krachtens de Kaderwet EZ-</w:t>
      </w:r>
      <w:r w:rsidRPr="354BB7EA" w:rsidR="63069F2C">
        <w:rPr>
          <w:b/>
          <w:bCs/>
        </w:rPr>
        <w:t>,</w:t>
      </w:r>
      <w:r w:rsidRPr="354BB7EA" w:rsidR="00292FA6">
        <w:rPr>
          <w:b/>
          <w:bCs/>
        </w:rPr>
        <w:t xml:space="preserve"> LNV</w:t>
      </w:r>
      <w:r w:rsidRPr="354BB7EA" w:rsidR="591C55B7">
        <w:rPr>
          <w:b/>
          <w:bCs/>
        </w:rPr>
        <w:t>- en KGG</w:t>
      </w:r>
      <w:r w:rsidRPr="354BB7EA" w:rsidR="00292FA6">
        <w:rPr>
          <w:b/>
          <w:bCs/>
        </w:rPr>
        <w:t>-subsidies</w:t>
      </w:r>
    </w:p>
    <w:p w:rsidR="00F03DB6" w:rsidP="004D1DD3" w:rsidRDefault="00F03DB6" w14:paraId="1FFDF5AE" w14:textId="77777777">
      <w:pPr>
        <w:tabs>
          <w:tab w:val="left" w:pos="284"/>
        </w:tabs>
        <w:rPr>
          <w:bCs/>
        </w:rPr>
      </w:pPr>
    </w:p>
    <w:p w:rsidR="00DA0707" w:rsidP="354BB7EA" w:rsidRDefault="00DD28C5" w14:paraId="4FBC4319" w14:textId="48D8A00A">
      <w:pPr>
        <w:tabs>
          <w:tab w:val="left" w:pos="284"/>
        </w:tabs>
      </w:pPr>
      <w:r>
        <w:rPr>
          <w:bCs/>
        </w:rPr>
        <w:tab/>
      </w:r>
      <w:r w:rsidRPr="354BB7EA" w:rsidR="00785032">
        <w:t xml:space="preserve">In het geval een regeling als bedoeld </w:t>
      </w:r>
      <w:r w:rsidRPr="354BB7EA" w:rsidR="00A33B49">
        <w:t>in artikel 5, eerste lid, tevens is vastgesteld bij of krachtens artikel 3</w:t>
      </w:r>
      <w:r w:rsidRPr="354BB7EA" w:rsidR="008A4948">
        <w:t>, eerste lid, van de Kaderwet EZ-</w:t>
      </w:r>
      <w:r w:rsidRPr="354BB7EA" w:rsidR="2648AFDB">
        <w:t>,</w:t>
      </w:r>
      <w:r w:rsidRPr="354BB7EA" w:rsidR="008A4948">
        <w:t xml:space="preserve"> L</w:t>
      </w:r>
      <w:r w:rsidRPr="354BB7EA" w:rsidR="13A45581">
        <w:t>VV</w:t>
      </w:r>
      <w:r w:rsidRPr="354BB7EA" w:rsidR="008A4948">
        <w:t>N-</w:t>
      </w:r>
      <w:r w:rsidRPr="354BB7EA" w:rsidR="70D0E566">
        <w:t>, en KGG-</w:t>
      </w:r>
      <w:r w:rsidRPr="354BB7EA" w:rsidR="008A4948">
        <w:t>subs</w:t>
      </w:r>
      <w:r w:rsidRPr="354BB7EA" w:rsidR="006D00AA">
        <w:t>i</w:t>
      </w:r>
      <w:r w:rsidRPr="354BB7EA" w:rsidR="008A4948">
        <w:t>dies vindt</w:t>
      </w:r>
      <w:r w:rsidR="00095103">
        <w:t>,</w:t>
      </w:r>
      <w:r w:rsidRPr="354BB7EA" w:rsidR="008A4948">
        <w:t xml:space="preserve"> in</w:t>
      </w:r>
      <w:r w:rsidRPr="354BB7EA" w:rsidR="00724F8A">
        <w:t>dien</w:t>
      </w:r>
      <w:r w:rsidRPr="354BB7EA" w:rsidR="008A4948">
        <w:t xml:space="preserve"> er meer </w:t>
      </w:r>
      <w:r w:rsidR="009C687C">
        <w:t>bieding</w:t>
      </w:r>
      <w:r w:rsidRPr="354BB7EA" w:rsidR="008A4948">
        <w:t xml:space="preserve">en voor het sluiten van </w:t>
      </w:r>
      <w:r w:rsidRPr="354BB7EA" w:rsidR="00724F8A">
        <w:t xml:space="preserve">een </w:t>
      </w:r>
      <w:r w:rsidR="00D16C96">
        <w:t>tweerichtingscontract</w:t>
      </w:r>
      <w:r w:rsidRPr="354BB7EA" w:rsidR="008A4948">
        <w:t xml:space="preserve"> </w:t>
      </w:r>
      <w:r w:rsidRPr="354BB7EA" w:rsidR="00724F8A">
        <w:t xml:space="preserve">zijn gedaan </w:t>
      </w:r>
      <w:r w:rsidRPr="354BB7EA" w:rsidR="008A4948">
        <w:t>dan er ontwerp</w:t>
      </w:r>
      <w:r w:rsidR="00DC6751">
        <w:t>tweerichtingscontract</w:t>
      </w:r>
      <w:r w:rsidR="002F2BAF">
        <w:t>en</w:t>
      </w:r>
      <w:r w:rsidR="00DC6751">
        <w:t xml:space="preserve"> </w:t>
      </w:r>
      <w:r w:rsidRPr="354BB7EA" w:rsidR="008A4948">
        <w:t xml:space="preserve">beschikbaar zijn of meer aanvragen voor subsidie zijn gedaan dan kunnen worden verleend gelet op het in de regeling vastgestelde subsidieplafond, de volgorde van verlening van de subsidie en aanvaarding van het aanbod plaats overeenkomstig de regels die bij of krachtens </w:t>
      </w:r>
      <w:r w:rsidRPr="354BB7EA" w:rsidR="006D00AA">
        <w:t>artikel 3 van de Kaderwet EZ-</w:t>
      </w:r>
      <w:r w:rsidRPr="354BB7EA" w:rsidR="58281D7D">
        <w:t>,</w:t>
      </w:r>
      <w:r w:rsidRPr="354BB7EA" w:rsidR="006D00AA">
        <w:t xml:space="preserve"> L</w:t>
      </w:r>
      <w:r w:rsidRPr="354BB7EA" w:rsidR="17B53A29">
        <w:t>VV</w:t>
      </w:r>
      <w:r w:rsidRPr="354BB7EA" w:rsidR="006D00AA">
        <w:t>N-</w:t>
      </w:r>
      <w:r w:rsidRPr="354BB7EA" w:rsidR="3E4422D0">
        <w:t>, en KGG-</w:t>
      </w:r>
      <w:r w:rsidRPr="354BB7EA" w:rsidR="006D00AA">
        <w:t>subsidies zijn vastgesteld.</w:t>
      </w:r>
    </w:p>
    <w:p w:rsidR="00DA0707" w:rsidP="004D1DD3" w:rsidRDefault="00DA0707" w14:paraId="7B48AB54" w14:textId="77777777">
      <w:pPr>
        <w:tabs>
          <w:tab w:val="left" w:pos="284"/>
        </w:tabs>
        <w:rPr>
          <w:bCs/>
        </w:rPr>
      </w:pPr>
    </w:p>
    <w:p w:rsidR="00A26183" w:rsidP="005A3069" w:rsidRDefault="007658B4" w14:paraId="659B6C00" w14:textId="31B66369">
      <w:pPr>
        <w:tabs>
          <w:tab w:val="left" w:pos="284"/>
        </w:tabs>
      </w:pPr>
      <w:r w:rsidRPr="47B5A876">
        <w:rPr>
          <w:b/>
          <w:bCs/>
        </w:rPr>
        <w:t>Artikel</w:t>
      </w:r>
      <w:r w:rsidRPr="47B5A876" w:rsidR="002C6505">
        <w:rPr>
          <w:b/>
          <w:bCs/>
        </w:rPr>
        <w:t xml:space="preserve"> 1</w:t>
      </w:r>
      <w:r w:rsidR="00735C03">
        <w:rPr>
          <w:b/>
          <w:bCs/>
        </w:rPr>
        <w:t>1</w:t>
      </w:r>
      <w:r w:rsidRPr="47B5A876" w:rsidR="00292FA6">
        <w:rPr>
          <w:b/>
          <w:bCs/>
        </w:rPr>
        <w:t xml:space="preserve"> </w:t>
      </w:r>
      <w:r w:rsidR="00505076">
        <w:rPr>
          <w:b/>
          <w:bCs/>
        </w:rPr>
        <w:t xml:space="preserve">samenloop met </w:t>
      </w:r>
      <w:r w:rsidRPr="47B5A876" w:rsidR="00292FA6">
        <w:rPr>
          <w:b/>
          <w:bCs/>
        </w:rPr>
        <w:t>vergunningen Kernenergiewet</w:t>
      </w:r>
    </w:p>
    <w:p w:rsidR="002C6505" w:rsidP="005A3069" w:rsidRDefault="002C6505" w14:paraId="6930BA9C" w14:textId="77777777">
      <w:pPr>
        <w:tabs>
          <w:tab w:val="left" w:pos="284"/>
        </w:tabs>
        <w:rPr>
          <w:bCs/>
        </w:rPr>
      </w:pPr>
    </w:p>
    <w:p w:rsidR="002C6505" w:rsidP="005A3069" w:rsidRDefault="00724F8A" w14:paraId="338FB4AE" w14:textId="36F6F7D3">
      <w:pPr>
        <w:tabs>
          <w:tab w:val="left" w:pos="284"/>
        </w:tabs>
        <w:rPr>
          <w:bCs/>
        </w:rPr>
      </w:pPr>
      <w:r>
        <w:rPr>
          <w:bCs/>
        </w:rPr>
        <w:t>(gereserveerd)</w:t>
      </w:r>
    </w:p>
    <w:p w:rsidR="007B3049" w:rsidP="005A3069" w:rsidRDefault="007B3049" w14:paraId="3EADB4E5" w14:textId="77777777">
      <w:pPr>
        <w:tabs>
          <w:tab w:val="left" w:pos="284"/>
        </w:tabs>
        <w:rPr>
          <w:bCs/>
        </w:rPr>
      </w:pPr>
    </w:p>
    <w:p w:rsidRPr="007B3049" w:rsidR="007B3049" w:rsidP="005A3069" w:rsidRDefault="007B3049" w14:paraId="39ED84B2" w14:textId="2644CF8C">
      <w:pPr>
        <w:tabs>
          <w:tab w:val="left" w:pos="284"/>
        </w:tabs>
        <w:rPr>
          <w:b/>
        </w:rPr>
      </w:pPr>
      <w:r>
        <w:rPr>
          <w:b/>
        </w:rPr>
        <w:t>Artikel 1</w:t>
      </w:r>
      <w:r w:rsidR="00735C03">
        <w:rPr>
          <w:b/>
        </w:rPr>
        <w:t>2</w:t>
      </w:r>
      <w:r>
        <w:rPr>
          <w:b/>
        </w:rPr>
        <w:t xml:space="preserve"> </w:t>
      </w:r>
      <w:r w:rsidR="00505076">
        <w:rPr>
          <w:b/>
        </w:rPr>
        <w:t>e</w:t>
      </w:r>
      <w:r>
        <w:rPr>
          <w:b/>
        </w:rPr>
        <w:t>valuatie van de wet</w:t>
      </w:r>
    </w:p>
    <w:p w:rsidR="007B3049" w:rsidP="005A3069" w:rsidRDefault="007B3049" w14:paraId="2902B085" w14:textId="77777777">
      <w:pPr>
        <w:tabs>
          <w:tab w:val="left" w:pos="284"/>
        </w:tabs>
        <w:rPr>
          <w:bCs/>
        </w:rPr>
      </w:pPr>
    </w:p>
    <w:p w:rsidRPr="002C6505" w:rsidR="007B3049" w:rsidP="005A3069" w:rsidRDefault="00505076" w14:paraId="0726454E" w14:textId="21F0FA7F">
      <w:pPr>
        <w:tabs>
          <w:tab w:val="left" w:pos="284"/>
        </w:tabs>
        <w:rPr>
          <w:bCs/>
        </w:rPr>
      </w:pPr>
      <w:r>
        <w:rPr>
          <w:bCs/>
        </w:rPr>
        <w:lastRenderedPageBreak/>
        <w:tab/>
      </w:r>
      <w:r w:rsidRPr="007B3049" w:rsidR="007B3049">
        <w:rPr>
          <w:bCs/>
        </w:rPr>
        <w:t>Onze Minister zendt binnen vijf jaar na de inwerkingtreding van deze wet aan de Staten-Generaal een verslag over de doeltreffendheid</w:t>
      </w:r>
      <w:r w:rsidR="00807F71">
        <w:rPr>
          <w:bCs/>
        </w:rPr>
        <w:t>,</w:t>
      </w:r>
      <w:r w:rsidRPr="007B3049" w:rsidR="007B3049">
        <w:rPr>
          <w:bCs/>
        </w:rPr>
        <w:t xml:space="preserve"> de effecten</w:t>
      </w:r>
      <w:r w:rsidR="00807F71">
        <w:rPr>
          <w:bCs/>
        </w:rPr>
        <w:t xml:space="preserve"> en de uitvoerbaarheid</w:t>
      </w:r>
      <w:r w:rsidRPr="007B3049" w:rsidR="007B3049">
        <w:rPr>
          <w:bCs/>
        </w:rPr>
        <w:t xml:space="preserve"> van deze wet in de praktijk</w:t>
      </w:r>
      <w:r w:rsidR="00807F71">
        <w:rPr>
          <w:bCs/>
        </w:rPr>
        <w:t>, alsmede naar de</w:t>
      </w:r>
      <w:r w:rsidR="00253A17">
        <w:rPr>
          <w:bCs/>
        </w:rPr>
        <w:t xml:space="preserve"> rechtsbescherming voorzien op grond van deze wet.</w:t>
      </w:r>
    </w:p>
    <w:p w:rsidR="00A26183" w:rsidP="005A3069" w:rsidRDefault="00A26183" w14:paraId="168B170A" w14:textId="77777777">
      <w:pPr>
        <w:tabs>
          <w:tab w:val="left" w:pos="284"/>
        </w:tabs>
        <w:rPr>
          <w:b/>
        </w:rPr>
      </w:pPr>
    </w:p>
    <w:p w:rsidR="00F637C2" w:rsidP="005A3069" w:rsidRDefault="00F72FF1" w14:paraId="01A10ED4" w14:textId="42EED04A">
      <w:pPr>
        <w:tabs>
          <w:tab w:val="left" w:pos="284"/>
        </w:tabs>
        <w:rPr>
          <w:b/>
        </w:rPr>
      </w:pPr>
      <w:r>
        <w:rPr>
          <w:b/>
        </w:rPr>
        <w:t>Artikel 1</w:t>
      </w:r>
      <w:r w:rsidR="00735C03">
        <w:rPr>
          <w:b/>
        </w:rPr>
        <w:t>3</w:t>
      </w:r>
      <w:r>
        <w:rPr>
          <w:b/>
        </w:rPr>
        <w:t xml:space="preserve"> wijziging Algemene wet bestuursrecht</w:t>
      </w:r>
    </w:p>
    <w:p w:rsidR="00F637C2" w:rsidP="005A3069" w:rsidRDefault="00F637C2" w14:paraId="6071B746" w14:textId="77777777">
      <w:pPr>
        <w:tabs>
          <w:tab w:val="left" w:pos="284"/>
        </w:tabs>
        <w:rPr>
          <w:b/>
        </w:rPr>
      </w:pPr>
    </w:p>
    <w:p w:rsidR="008D306E" w:rsidP="005A3069" w:rsidRDefault="00BE7FE0" w14:paraId="61764051" w14:textId="098432A7">
      <w:pPr>
        <w:tabs>
          <w:tab w:val="left" w:pos="284"/>
        </w:tabs>
        <w:rPr>
          <w:b/>
        </w:rPr>
      </w:pPr>
      <w:r>
        <w:rPr>
          <w:b/>
        </w:rPr>
        <w:tab/>
      </w:r>
      <w:r w:rsidRPr="00B14D26">
        <w:rPr>
          <w:bCs/>
        </w:rPr>
        <w:t xml:space="preserve">In </w:t>
      </w:r>
      <w:r w:rsidRPr="00B14D26" w:rsidR="006E4AF1">
        <w:rPr>
          <w:bCs/>
        </w:rPr>
        <w:t xml:space="preserve">artikel 4 van </w:t>
      </w:r>
      <w:r w:rsidRPr="00B14D26">
        <w:rPr>
          <w:bCs/>
        </w:rPr>
        <w:t>bijlage 2</w:t>
      </w:r>
      <w:r w:rsidRPr="00B14D26" w:rsidR="00B12CD1">
        <w:rPr>
          <w:bCs/>
        </w:rPr>
        <w:t xml:space="preserve"> </w:t>
      </w:r>
      <w:r w:rsidR="00682460">
        <w:rPr>
          <w:bCs/>
        </w:rPr>
        <w:t>bij</w:t>
      </w:r>
      <w:r w:rsidRPr="00B14D26" w:rsidR="00682460">
        <w:rPr>
          <w:bCs/>
        </w:rPr>
        <w:t xml:space="preserve"> </w:t>
      </w:r>
      <w:r w:rsidRPr="00B14D26" w:rsidR="00B12CD1">
        <w:rPr>
          <w:bCs/>
        </w:rPr>
        <w:t xml:space="preserve">de Algemene wet bestuursrecht wordt </w:t>
      </w:r>
      <w:r w:rsidR="004D4B5D">
        <w:rPr>
          <w:bCs/>
        </w:rPr>
        <w:t>in de</w:t>
      </w:r>
      <w:r w:rsidRPr="00B14D26" w:rsidR="004D4B5D">
        <w:rPr>
          <w:bCs/>
        </w:rPr>
        <w:t xml:space="preserve"> </w:t>
      </w:r>
      <w:r w:rsidRPr="00B14D26" w:rsidR="00B12CD1">
        <w:rPr>
          <w:bCs/>
        </w:rPr>
        <w:t>alfabetische volgorde ingevoegd</w:t>
      </w:r>
      <w:r w:rsidR="00EA1F78">
        <w:rPr>
          <w:bCs/>
        </w:rPr>
        <w:t>:</w:t>
      </w:r>
      <w:r w:rsidR="001C7E34">
        <w:rPr>
          <w:bCs/>
        </w:rPr>
        <w:t xml:space="preserve"> “</w:t>
      </w:r>
      <w:r w:rsidR="008D306E">
        <w:rPr>
          <w:szCs w:val="18"/>
        </w:rPr>
        <w:t>Wet toepassing tweerichtingscontracten ter verrekening van verschillen</w:t>
      </w:r>
      <w:r w:rsidR="00E34F4B">
        <w:rPr>
          <w:szCs w:val="18"/>
        </w:rPr>
        <w:t>:</w:t>
      </w:r>
      <w:r w:rsidR="008D306E">
        <w:rPr>
          <w:szCs w:val="18"/>
        </w:rPr>
        <w:t xml:space="preserve"> artikel </w:t>
      </w:r>
      <w:r w:rsidR="0075424C">
        <w:rPr>
          <w:szCs w:val="18"/>
        </w:rPr>
        <w:t>5, zevende lid, voor wat betreft de afwijzing van een aanbod</w:t>
      </w:r>
      <w:r w:rsidR="00DE101A">
        <w:rPr>
          <w:szCs w:val="18"/>
        </w:rPr>
        <w:t>”.</w:t>
      </w:r>
    </w:p>
    <w:p w:rsidR="00F72FF1" w:rsidP="005A3069" w:rsidRDefault="00F72FF1" w14:paraId="6E7FF3CE" w14:textId="77777777">
      <w:pPr>
        <w:tabs>
          <w:tab w:val="left" w:pos="284"/>
        </w:tabs>
        <w:rPr>
          <w:b/>
        </w:rPr>
      </w:pPr>
    </w:p>
    <w:p w:rsidR="002F4CCE" w:rsidP="47B5A876" w:rsidRDefault="002F4CCE" w14:paraId="5F16903C" w14:textId="0DE24701">
      <w:pPr>
        <w:tabs>
          <w:tab w:val="left" w:pos="284"/>
        </w:tabs>
        <w:rPr>
          <w:b/>
          <w:bCs/>
        </w:rPr>
      </w:pPr>
      <w:r w:rsidRPr="47B5A876">
        <w:rPr>
          <w:b/>
          <w:bCs/>
        </w:rPr>
        <w:t xml:space="preserve">Artikel </w:t>
      </w:r>
      <w:r w:rsidRPr="47B5A876" w:rsidR="00840638">
        <w:rPr>
          <w:b/>
          <w:bCs/>
        </w:rPr>
        <w:t>1</w:t>
      </w:r>
      <w:r w:rsidR="00735C03">
        <w:rPr>
          <w:b/>
          <w:bCs/>
        </w:rPr>
        <w:t>4</w:t>
      </w:r>
      <w:r w:rsidR="007B3049">
        <w:rPr>
          <w:b/>
          <w:bCs/>
        </w:rPr>
        <w:t xml:space="preserve"> inwerkingtreding</w:t>
      </w:r>
    </w:p>
    <w:p w:rsidR="002F4CCE" w:rsidP="005A3069" w:rsidRDefault="002F4CCE" w14:paraId="72195D78" w14:textId="77777777">
      <w:pPr>
        <w:tabs>
          <w:tab w:val="left" w:pos="284"/>
        </w:tabs>
        <w:rPr>
          <w:b/>
        </w:rPr>
      </w:pPr>
    </w:p>
    <w:p w:rsidR="00A26183" w:rsidP="005A3069" w:rsidRDefault="007658B4" w14:paraId="70FFA8B5" w14:textId="77777777">
      <w:pPr>
        <w:ind w:left="284"/>
      </w:pPr>
      <w:r w:rsidRPr="001A26BC">
        <w:t>De</w:t>
      </w:r>
      <w:r>
        <w:t>ze</w:t>
      </w:r>
      <w:r w:rsidRPr="001A26BC">
        <w:t xml:space="preserve"> wet treedt in werking op een bij koninklijk besluit te bepalen tijdstip.</w:t>
      </w:r>
    </w:p>
    <w:p w:rsidR="00A26183" w:rsidP="005A3069" w:rsidRDefault="00A26183" w14:paraId="1AF80BF0" w14:textId="77777777">
      <w:pPr>
        <w:tabs>
          <w:tab w:val="left" w:pos="284"/>
        </w:tabs>
        <w:rPr>
          <w:b/>
        </w:rPr>
      </w:pPr>
    </w:p>
    <w:p w:rsidR="00E2114A" w:rsidP="47B5A876" w:rsidRDefault="007658B4" w14:paraId="38EEA41F" w14:textId="68550D6D">
      <w:pPr>
        <w:tabs>
          <w:tab w:val="left" w:pos="284"/>
        </w:tabs>
        <w:rPr>
          <w:b/>
          <w:bCs/>
        </w:rPr>
      </w:pPr>
      <w:r w:rsidRPr="47B5A876">
        <w:rPr>
          <w:b/>
          <w:bCs/>
        </w:rPr>
        <w:t>Artikel</w:t>
      </w:r>
      <w:r w:rsidRPr="47B5A876" w:rsidR="00840638">
        <w:rPr>
          <w:b/>
          <w:bCs/>
        </w:rPr>
        <w:t xml:space="preserve"> 1</w:t>
      </w:r>
      <w:r w:rsidR="00735C03">
        <w:rPr>
          <w:b/>
          <w:bCs/>
        </w:rPr>
        <w:t>5</w:t>
      </w:r>
      <w:r w:rsidR="00505076">
        <w:rPr>
          <w:b/>
          <w:bCs/>
        </w:rPr>
        <w:t xml:space="preserve"> citeertitel</w:t>
      </w:r>
    </w:p>
    <w:p w:rsidR="00E2114A" w:rsidP="00326DAA" w:rsidRDefault="00E2114A" w14:paraId="361AFA00" w14:textId="77777777">
      <w:pPr>
        <w:ind w:left="284"/>
        <w:rPr>
          <w:szCs w:val="18"/>
        </w:rPr>
      </w:pPr>
    </w:p>
    <w:p w:rsidR="00E2114A" w:rsidP="00326DAA" w:rsidRDefault="007658B4" w14:paraId="43F5A971" w14:textId="061F1277">
      <w:pPr>
        <w:ind w:firstLine="284"/>
        <w:rPr>
          <w:szCs w:val="18"/>
        </w:rPr>
      </w:pPr>
      <w:r>
        <w:rPr>
          <w:szCs w:val="18"/>
        </w:rPr>
        <w:t>Deze wet wordt aangehaald als: Wet toepassing tweerichtingscontracten ter verrekening van verschillen</w:t>
      </w:r>
      <w:r w:rsidR="009F1052">
        <w:rPr>
          <w:szCs w:val="18"/>
        </w:rPr>
        <w:t xml:space="preserve"> voor klimaat en energie</w:t>
      </w:r>
      <w:r>
        <w:rPr>
          <w:szCs w:val="18"/>
        </w:rPr>
        <w:t>.</w:t>
      </w:r>
    </w:p>
    <w:p w:rsidRPr="00CE1115" w:rsidR="00E2114A" w:rsidP="00326DAA" w:rsidRDefault="00E2114A" w14:paraId="42722CEA" w14:textId="77777777">
      <w:pPr>
        <w:rPr>
          <w:szCs w:val="18"/>
        </w:rPr>
      </w:pPr>
    </w:p>
    <w:p w:rsidRPr="008734C5" w:rsidR="00A26183" w:rsidP="005A3069" w:rsidRDefault="007658B4" w14:paraId="3131F72F" w14:textId="77777777">
      <w:pPr>
        <w:tabs>
          <w:tab w:val="left" w:pos="284"/>
        </w:tabs>
        <w:ind w:firstLine="284"/>
      </w:pPr>
      <w:r w:rsidRPr="008734C5">
        <w:t xml:space="preserve">Lasten en bevelen dat deze in het Staatsblad zal worden geplaatst en dat alle ministeries, autoriteiten, colleges en ambtenaren die zulks aangaat, aan de nauwkeurige uitvoering de hand zullen houden. </w:t>
      </w:r>
    </w:p>
    <w:p w:rsidR="00A26183" w:rsidP="005A3069" w:rsidRDefault="00A26183" w14:paraId="64E4884F" w14:textId="77777777">
      <w:pPr>
        <w:tabs>
          <w:tab w:val="left" w:pos="284"/>
        </w:tabs>
      </w:pPr>
    </w:p>
    <w:p w:rsidR="00A26183" w:rsidP="005A3069" w:rsidRDefault="00A26183" w14:paraId="0857920C" w14:textId="77777777">
      <w:pPr>
        <w:tabs>
          <w:tab w:val="left" w:pos="284"/>
        </w:tabs>
      </w:pPr>
    </w:p>
    <w:p w:rsidRPr="008734C5" w:rsidR="00A26183" w:rsidP="005A3069" w:rsidRDefault="007658B4" w14:paraId="228A7B4D" w14:textId="0A952017">
      <w:r w:rsidRPr="008734C5">
        <w:t>Gegeven</w:t>
      </w:r>
      <w:r w:rsidR="00050A7E">
        <w:t>,</w:t>
      </w:r>
      <w:r w:rsidRPr="008734C5">
        <w:t xml:space="preserve"> </w:t>
      </w:r>
    </w:p>
    <w:p w:rsidR="00A26183" w:rsidP="005A3069" w:rsidRDefault="00A26183" w14:paraId="35A90181" w14:textId="77777777"/>
    <w:p w:rsidR="00A26183" w:rsidP="005A3069" w:rsidRDefault="00A26183" w14:paraId="2FAB851C" w14:textId="77777777"/>
    <w:p w:rsidRPr="008734C5" w:rsidR="00A26183" w:rsidP="005A3069" w:rsidRDefault="00A26183" w14:paraId="621E5571" w14:textId="77777777"/>
    <w:p w:rsidR="00A26183" w:rsidP="005A3069" w:rsidRDefault="00A26183" w14:paraId="40C0BAD3" w14:textId="77777777"/>
    <w:p w:rsidR="00A26183" w:rsidP="005A3069" w:rsidRDefault="00A26183" w14:paraId="3CCC0446" w14:textId="77777777"/>
    <w:p w:rsidR="00A26183" w:rsidP="005A3069" w:rsidRDefault="00A26183" w14:paraId="79CCC02D" w14:textId="77777777"/>
    <w:p w:rsidR="00A26183" w:rsidP="005A3069" w:rsidRDefault="00A26183" w14:paraId="3EF57AE1" w14:textId="77777777"/>
    <w:p w:rsidRPr="005461DA" w:rsidR="004E505E" w:rsidP="00524FB4" w:rsidRDefault="0059483B" w14:paraId="00FF5634" w14:textId="2D0EC2DF">
      <w:pPr>
        <w:rPr>
          <w:szCs w:val="18"/>
        </w:rPr>
      </w:pPr>
      <w:r>
        <w:rPr>
          <w:szCs w:val="18"/>
        </w:rPr>
        <w:t xml:space="preserve">De </w:t>
      </w:r>
      <w:r w:rsidR="007658B4">
        <w:rPr>
          <w:szCs w:val="18"/>
        </w:rPr>
        <w:t>Minister van Klimaat en Groene Groei</w:t>
      </w:r>
      <w:r>
        <w:t>,</w:t>
      </w:r>
    </w:p>
    <w:p w:rsidR="00A26183" w:rsidP="005A3069" w:rsidRDefault="00A26183" w14:paraId="5E9AC222" w14:textId="77777777"/>
    <w:p w:rsidRPr="008734C5" w:rsidR="00A26183" w:rsidP="005A3069" w:rsidRDefault="00A26183" w14:paraId="721689DC" w14:textId="77777777"/>
    <w:p w:rsidR="00A26183" w:rsidP="005A3069" w:rsidRDefault="00A26183" w14:paraId="0FAADA00" w14:textId="77777777"/>
    <w:p w:rsidR="00A26183" w:rsidP="005A3069" w:rsidRDefault="00A26183" w14:paraId="2879D8BD" w14:textId="77777777"/>
    <w:p w:rsidR="00A26183" w:rsidP="005A3069" w:rsidRDefault="00A26183" w14:paraId="657CA0FA" w14:textId="77777777"/>
    <w:p w:rsidRPr="008734C5" w:rsidR="00A26183" w:rsidP="005A3069" w:rsidRDefault="00A26183" w14:paraId="79387A3F" w14:textId="77777777"/>
    <w:p w:rsidR="00A26183" w:rsidP="005A3069" w:rsidRDefault="007658B4" w14:paraId="06B6C484" w14:textId="77777777">
      <w:r w:rsidRPr="008734C5">
        <w:t xml:space="preserve"> </w:t>
      </w:r>
    </w:p>
    <w:p w:rsidRPr="00050A7E" w:rsidR="00050A7E" w:rsidP="00050A7E" w:rsidRDefault="0059483B" w14:paraId="09C090FA" w14:textId="226FF04A">
      <w:r>
        <w:t xml:space="preserve">De </w:t>
      </w:r>
      <w:r w:rsidRPr="00050A7E" w:rsidR="00050A7E">
        <w:t>Minister van Klimaat en Groene Groei</w:t>
      </w:r>
      <w:r>
        <w:t>,</w:t>
      </w:r>
    </w:p>
    <w:p w:rsidR="00A26183" w:rsidP="005A3069" w:rsidRDefault="00A26183" w14:paraId="2C9DB8B9" w14:textId="77777777"/>
    <w:sectPr w:rsidR="00A26183" w:rsidSect="007D1E2E">
      <w:footerReference w:type="defaul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655C" w14:textId="77777777" w:rsidR="00BF643E" w:rsidRDefault="00BF643E">
      <w:r>
        <w:separator/>
      </w:r>
    </w:p>
    <w:p w14:paraId="649473A7" w14:textId="77777777" w:rsidR="00BF643E" w:rsidRDefault="00BF643E"/>
  </w:endnote>
  <w:endnote w:type="continuationSeparator" w:id="0">
    <w:p w14:paraId="7AC23C68" w14:textId="77777777" w:rsidR="00BF643E" w:rsidRDefault="00BF643E">
      <w:r>
        <w:continuationSeparator/>
      </w:r>
    </w:p>
    <w:p w14:paraId="089451A7" w14:textId="77777777" w:rsidR="00BF643E" w:rsidRDefault="00BF643E"/>
  </w:endnote>
  <w:endnote w:type="continuationNotice" w:id="1">
    <w:p w14:paraId="3DBD3B71" w14:textId="77777777" w:rsidR="00BF643E" w:rsidRDefault="00BF64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232164"/>
      <w:docPartObj>
        <w:docPartGallery w:val="Page Numbers (Bottom of Page)"/>
        <w:docPartUnique/>
      </w:docPartObj>
    </w:sdtPr>
    <w:sdtEndPr/>
    <w:sdtContent>
      <w:p w14:paraId="7E1E931F" w14:textId="67CAFFAE" w:rsidR="0059483B" w:rsidRDefault="0059483B">
        <w:pPr>
          <w:pStyle w:val="Voettekst"/>
          <w:jc w:val="right"/>
        </w:pPr>
        <w:r>
          <w:fldChar w:fldCharType="begin"/>
        </w:r>
        <w:r>
          <w:instrText>PAGE   \* MERGEFORMAT</w:instrText>
        </w:r>
        <w:r>
          <w:fldChar w:fldCharType="separate"/>
        </w:r>
        <w:r>
          <w:t>2</w:t>
        </w:r>
        <w:r>
          <w:fldChar w:fldCharType="end"/>
        </w:r>
      </w:p>
    </w:sdtContent>
  </w:sdt>
  <w:p w14:paraId="3CA25BC3" w14:textId="565868F4"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C2B7" w14:textId="77777777" w:rsidR="00BF643E" w:rsidRDefault="00BF643E">
      <w:r>
        <w:separator/>
      </w:r>
    </w:p>
    <w:p w14:paraId="29F4C9FD" w14:textId="77777777" w:rsidR="00BF643E" w:rsidRDefault="00BF643E"/>
  </w:footnote>
  <w:footnote w:type="continuationSeparator" w:id="0">
    <w:p w14:paraId="21A57328" w14:textId="77777777" w:rsidR="00BF643E" w:rsidRDefault="00BF643E">
      <w:r>
        <w:continuationSeparator/>
      </w:r>
    </w:p>
    <w:p w14:paraId="633F775B" w14:textId="77777777" w:rsidR="00BF643E" w:rsidRDefault="00BF643E"/>
  </w:footnote>
  <w:footnote w:type="continuationNotice" w:id="1">
    <w:p w14:paraId="7771EFD9" w14:textId="77777777" w:rsidR="00BF643E" w:rsidRDefault="00BF643E">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ce8ceGJi" int2:invalidationBookmarkName="" int2:hashCode="w2Q+/OSPGhCxIu" int2:id="ds3Wxdg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3BD530"/>
    <w:multiLevelType w:val="hybridMultilevel"/>
    <w:tmpl w:val="4ABC9254"/>
    <w:lvl w:ilvl="0" w:tplc="8D6032FA">
      <w:start w:val="1"/>
      <w:numFmt w:val="bullet"/>
      <w:lvlText w:val=""/>
      <w:lvlJc w:val="left"/>
      <w:pPr>
        <w:ind w:left="795" w:hanging="360"/>
      </w:pPr>
      <w:rPr>
        <w:rFonts w:ascii="Symbol" w:hAnsi="Symbol" w:hint="default"/>
      </w:rPr>
    </w:lvl>
    <w:lvl w:ilvl="1" w:tplc="17B87634" w:tentative="1">
      <w:start w:val="1"/>
      <w:numFmt w:val="bullet"/>
      <w:lvlText w:val="o"/>
      <w:lvlJc w:val="left"/>
      <w:pPr>
        <w:ind w:left="1515" w:hanging="360"/>
      </w:pPr>
      <w:rPr>
        <w:rFonts w:ascii="Courier New" w:hAnsi="Courier New" w:hint="default"/>
      </w:rPr>
    </w:lvl>
    <w:lvl w:ilvl="2" w:tplc="471C77A0" w:tentative="1">
      <w:start w:val="1"/>
      <w:numFmt w:val="bullet"/>
      <w:lvlText w:val=""/>
      <w:lvlJc w:val="left"/>
      <w:pPr>
        <w:ind w:left="2235" w:hanging="360"/>
      </w:pPr>
      <w:rPr>
        <w:rFonts w:ascii="Wingdings" w:hAnsi="Wingdings" w:hint="default"/>
      </w:rPr>
    </w:lvl>
    <w:lvl w:ilvl="3" w:tplc="907A3B1C" w:tentative="1">
      <w:start w:val="1"/>
      <w:numFmt w:val="bullet"/>
      <w:lvlText w:val=""/>
      <w:lvlJc w:val="left"/>
      <w:pPr>
        <w:ind w:left="2955" w:hanging="360"/>
      </w:pPr>
      <w:rPr>
        <w:rFonts w:ascii="Symbol" w:hAnsi="Symbol" w:hint="default"/>
      </w:rPr>
    </w:lvl>
    <w:lvl w:ilvl="4" w:tplc="2D5C9266" w:tentative="1">
      <w:start w:val="1"/>
      <w:numFmt w:val="bullet"/>
      <w:lvlText w:val="o"/>
      <w:lvlJc w:val="left"/>
      <w:pPr>
        <w:ind w:left="3675" w:hanging="360"/>
      </w:pPr>
      <w:rPr>
        <w:rFonts w:ascii="Courier New" w:hAnsi="Courier New" w:hint="default"/>
      </w:rPr>
    </w:lvl>
    <w:lvl w:ilvl="5" w:tplc="C7F20A38" w:tentative="1">
      <w:start w:val="1"/>
      <w:numFmt w:val="bullet"/>
      <w:lvlText w:val=""/>
      <w:lvlJc w:val="left"/>
      <w:pPr>
        <w:ind w:left="4395" w:hanging="360"/>
      </w:pPr>
      <w:rPr>
        <w:rFonts w:ascii="Wingdings" w:hAnsi="Wingdings" w:hint="default"/>
      </w:rPr>
    </w:lvl>
    <w:lvl w:ilvl="6" w:tplc="4E383AF8" w:tentative="1">
      <w:start w:val="1"/>
      <w:numFmt w:val="bullet"/>
      <w:lvlText w:val=""/>
      <w:lvlJc w:val="left"/>
      <w:pPr>
        <w:ind w:left="5115" w:hanging="360"/>
      </w:pPr>
      <w:rPr>
        <w:rFonts w:ascii="Symbol" w:hAnsi="Symbol" w:hint="default"/>
      </w:rPr>
    </w:lvl>
    <w:lvl w:ilvl="7" w:tplc="C284BDFC" w:tentative="1">
      <w:start w:val="1"/>
      <w:numFmt w:val="bullet"/>
      <w:lvlText w:val="o"/>
      <w:lvlJc w:val="left"/>
      <w:pPr>
        <w:ind w:left="5835" w:hanging="360"/>
      </w:pPr>
      <w:rPr>
        <w:rFonts w:ascii="Courier New" w:hAnsi="Courier New" w:hint="default"/>
      </w:rPr>
    </w:lvl>
    <w:lvl w:ilvl="8" w:tplc="1C0091F6" w:tentative="1">
      <w:start w:val="1"/>
      <w:numFmt w:val="bullet"/>
      <w:lvlText w:val=""/>
      <w:lvlJc w:val="left"/>
      <w:pPr>
        <w:ind w:left="6555" w:hanging="360"/>
      </w:pPr>
      <w:rPr>
        <w:rFonts w:ascii="Wingdings" w:hAnsi="Wingdings" w:hint="default"/>
      </w:rPr>
    </w:lvl>
  </w:abstractNum>
  <w:abstractNum w:abstractNumId="10" w15:restartNumberingAfterBreak="0">
    <w:nsid w:val="04140FF5"/>
    <w:multiLevelType w:val="hybridMultilevel"/>
    <w:tmpl w:val="194CD348"/>
    <w:lvl w:ilvl="0" w:tplc="7F86CF0A">
      <w:start w:val="1"/>
      <w:numFmt w:val="bullet"/>
      <w:lvlText w:val=""/>
      <w:lvlJc w:val="left"/>
      <w:pPr>
        <w:ind w:left="720" w:hanging="360"/>
      </w:pPr>
      <w:rPr>
        <w:rFonts w:ascii="Symbol" w:hAnsi="Symbol" w:hint="default"/>
      </w:rPr>
    </w:lvl>
    <w:lvl w:ilvl="1" w:tplc="374E1594" w:tentative="1">
      <w:start w:val="1"/>
      <w:numFmt w:val="bullet"/>
      <w:lvlText w:val="o"/>
      <w:lvlJc w:val="left"/>
      <w:pPr>
        <w:ind w:left="1440" w:hanging="360"/>
      </w:pPr>
      <w:rPr>
        <w:rFonts w:ascii="Courier New" w:hAnsi="Courier New" w:cs="Courier New" w:hint="default"/>
      </w:rPr>
    </w:lvl>
    <w:lvl w:ilvl="2" w:tplc="29B0C71E" w:tentative="1">
      <w:start w:val="1"/>
      <w:numFmt w:val="bullet"/>
      <w:lvlText w:val=""/>
      <w:lvlJc w:val="left"/>
      <w:pPr>
        <w:ind w:left="2160" w:hanging="360"/>
      </w:pPr>
      <w:rPr>
        <w:rFonts w:ascii="Wingdings" w:hAnsi="Wingdings" w:hint="default"/>
      </w:rPr>
    </w:lvl>
    <w:lvl w:ilvl="3" w:tplc="6C3471A4" w:tentative="1">
      <w:start w:val="1"/>
      <w:numFmt w:val="bullet"/>
      <w:lvlText w:val=""/>
      <w:lvlJc w:val="left"/>
      <w:pPr>
        <w:ind w:left="2880" w:hanging="360"/>
      </w:pPr>
      <w:rPr>
        <w:rFonts w:ascii="Symbol" w:hAnsi="Symbol" w:hint="default"/>
      </w:rPr>
    </w:lvl>
    <w:lvl w:ilvl="4" w:tplc="37FAF028" w:tentative="1">
      <w:start w:val="1"/>
      <w:numFmt w:val="bullet"/>
      <w:lvlText w:val="o"/>
      <w:lvlJc w:val="left"/>
      <w:pPr>
        <w:ind w:left="3600" w:hanging="360"/>
      </w:pPr>
      <w:rPr>
        <w:rFonts w:ascii="Courier New" w:hAnsi="Courier New" w:cs="Courier New" w:hint="default"/>
      </w:rPr>
    </w:lvl>
    <w:lvl w:ilvl="5" w:tplc="B680CCE4" w:tentative="1">
      <w:start w:val="1"/>
      <w:numFmt w:val="bullet"/>
      <w:lvlText w:val=""/>
      <w:lvlJc w:val="left"/>
      <w:pPr>
        <w:ind w:left="4320" w:hanging="360"/>
      </w:pPr>
      <w:rPr>
        <w:rFonts w:ascii="Wingdings" w:hAnsi="Wingdings" w:hint="default"/>
      </w:rPr>
    </w:lvl>
    <w:lvl w:ilvl="6" w:tplc="F8906FBC" w:tentative="1">
      <w:start w:val="1"/>
      <w:numFmt w:val="bullet"/>
      <w:lvlText w:val=""/>
      <w:lvlJc w:val="left"/>
      <w:pPr>
        <w:ind w:left="5040" w:hanging="360"/>
      </w:pPr>
      <w:rPr>
        <w:rFonts w:ascii="Symbol" w:hAnsi="Symbol" w:hint="default"/>
      </w:rPr>
    </w:lvl>
    <w:lvl w:ilvl="7" w:tplc="E9C82C66" w:tentative="1">
      <w:start w:val="1"/>
      <w:numFmt w:val="bullet"/>
      <w:lvlText w:val="o"/>
      <w:lvlJc w:val="left"/>
      <w:pPr>
        <w:ind w:left="5760" w:hanging="360"/>
      </w:pPr>
      <w:rPr>
        <w:rFonts w:ascii="Courier New" w:hAnsi="Courier New" w:cs="Courier New" w:hint="default"/>
      </w:rPr>
    </w:lvl>
    <w:lvl w:ilvl="8" w:tplc="A6E63DB4"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3E8E20E2">
      <w:start w:val="1"/>
      <w:numFmt w:val="bullet"/>
      <w:pStyle w:val="Lijstopsomteken"/>
      <w:lvlText w:val="•"/>
      <w:lvlJc w:val="left"/>
      <w:pPr>
        <w:tabs>
          <w:tab w:val="num" w:pos="227"/>
        </w:tabs>
        <w:ind w:left="227" w:hanging="227"/>
      </w:pPr>
      <w:rPr>
        <w:rFonts w:ascii="Verdana" w:hAnsi="Verdana" w:hint="default"/>
        <w:sz w:val="18"/>
        <w:szCs w:val="18"/>
      </w:rPr>
    </w:lvl>
    <w:lvl w:ilvl="1" w:tplc="D56E9528" w:tentative="1">
      <w:start w:val="1"/>
      <w:numFmt w:val="bullet"/>
      <w:lvlText w:val="o"/>
      <w:lvlJc w:val="left"/>
      <w:pPr>
        <w:tabs>
          <w:tab w:val="num" w:pos="1440"/>
        </w:tabs>
        <w:ind w:left="1440" w:hanging="360"/>
      </w:pPr>
      <w:rPr>
        <w:rFonts w:ascii="Courier New" w:hAnsi="Courier New" w:cs="Courier New" w:hint="default"/>
      </w:rPr>
    </w:lvl>
    <w:lvl w:ilvl="2" w:tplc="A482A094" w:tentative="1">
      <w:start w:val="1"/>
      <w:numFmt w:val="bullet"/>
      <w:lvlText w:val=""/>
      <w:lvlJc w:val="left"/>
      <w:pPr>
        <w:tabs>
          <w:tab w:val="num" w:pos="2160"/>
        </w:tabs>
        <w:ind w:left="2160" w:hanging="360"/>
      </w:pPr>
      <w:rPr>
        <w:rFonts w:ascii="Wingdings" w:hAnsi="Wingdings" w:hint="default"/>
      </w:rPr>
    </w:lvl>
    <w:lvl w:ilvl="3" w:tplc="B69AC5BA" w:tentative="1">
      <w:start w:val="1"/>
      <w:numFmt w:val="bullet"/>
      <w:lvlText w:val=""/>
      <w:lvlJc w:val="left"/>
      <w:pPr>
        <w:tabs>
          <w:tab w:val="num" w:pos="2880"/>
        </w:tabs>
        <w:ind w:left="2880" w:hanging="360"/>
      </w:pPr>
      <w:rPr>
        <w:rFonts w:ascii="Symbol" w:hAnsi="Symbol" w:hint="default"/>
      </w:rPr>
    </w:lvl>
    <w:lvl w:ilvl="4" w:tplc="1172BF8E" w:tentative="1">
      <w:start w:val="1"/>
      <w:numFmt w:val="bullet"/>
      <w:lvlText w:val="o"/>
      <w:lvlJc w:val="left"/>
      <w:pPr>
        <w:tabs>
          <w:tab w:val="num" w:pos="3600"/>
        </w:tabs>
        <w:ind w:left="3600" w:hanging="360"/>
      </w:pPr>
      <w:rPr>
        <w:rFonts w:ascii="Courier New" w:hAnsi="Courier New" w:cs="Courier New" w:hint="default"/>
      </w:rPr>
    </w:lvl>
    <w:lvl w:ilvl="5" w:tplc="340E8A6A" w:tentative="1">
      <w:start w:val="1"/>
      <w:numFmt w:val="bullet"/>
      <w:lvlText w:val=""/>
      <w:lvlJc w:val="left"/>
      <w:pPr>
        <w:tabs>
          <w:tab w:val="num" w:pos="4320"/>
        </w:tabs>
        <w:ind w:left="4320" w:hanging="360"/>
      </w:pPr>
      <w:rPr>
        <w:rFonts w:ascii="Wingdings" w:hAnsi="Wingdings" w:hint="default"/>
      </w:rPr>
    </w:lvl>
    <w:lvl w:ilvl="6" w:tplc="65280F4A" w:tentative="1">
      <w:start w:val="1"/>
      <w:numFmt w:val="bullet"/>
      <w:lvlText w:val=""/>
      <w:lvlJc w:val="left"/>
      <w:pPr>
        <w:tabs>
          <w:tab w:val="num" w:pos="5040"/>
        </w:tabs>
        <w:ind w:left="5040" w:hanging="360"/>
      </w:pPr>
      <w:rPr>
        <w:rFonts w:ascii="Symbol" w:hAnsi="Symbol" w:hint="default"/>
      </w:rPr>
    </w:lvl>
    <w:lvl w:ilvl="7" w:tplc="F23EF88E" w:tentative="1">
      <w:start w:val="1"/>
      <w:numFmt w:val="bullet"/>
      <w:lvlText w:val="o"/>
      <w:lvlJc w:val="left"/>
      <w:pPr>
        <w:tabs>
          <w:tab w:val="num" w:pos="5760"/>
        </w:tabs>
        <w:ind w:left="5760" w:hanging="360"/>
      </w:pPr>
      <w:rPr>
        <w:rFonts w:ascii="Courier New" w:hAnsi="Courier New" w:cs="Courier New" w:hint="default"/>
      </w:rPr>
    </w:lvl>
    <w:lvl w:ilvl="8" w:tplc="0FD4AE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CE5D44"/>
    <w:multiLevelType w:val="hybridMultilevel"/>
    <w:tmpl w:val="6B681404"/>
    <w:lvl w:ilvl="0" w:tplc="4EF2126A">
      <w:start w:val="1"/>
      <w:numFmt w:val="bullet"/>
      <w:lvlText w:val=""/>
      <w:lvlJc w:val="left"/>
      <w:pPr>
        <w:ind w:left="1080" w:hanging="360"/>
      </w:pPr>
      <w:rPr>
        <w:rFonts w:ascii="Symbol" w:hAnsi="Symbol" w:hint="default"/>
      </w:rPr>
    </w:lvl>
    <w:lvl w:ilvl="1" w:tplc="D9F07FA2" w:tentative="1">
      <w:start w:val="1"/>
      <w:numFmt w:val="bullet"/>
      <w:lvlText w:val="o"/>
      <w:lvlJc w:val="left"/>
      <w:pPr>
        <w:ind w:left="1800" w:hanging="360"/>
      </w:pPr>
      <w:rPr>
        <w:rFonts w:ascii="Courier New" w:hAnsi="Courier New" w:cs="Courier New" w:hint="default"/>
      </w:rPr>
    </w:lvl>
    <w:lvl w:ilvl="2" w:tplc="0CD6CDA4" w:tentative="1">
      <w:start w:val="1"/>
      <w:numFmt w:val="bullet"/>
      <w:lvlText w:val=""/>
      <w:lvlJc w:val="left"/>
      <w:pPr>
        <w:ind w:left="2520" w:hanging="360"/>
      </w:pPr>
      <w:rPr>
        <w:rFonts w:ascii="Wingdings" w:hAnsi="Wingdings" w:hint="default"/>
      </w:rPr>
    </w:lvl>
    <w:lvl w:ilvl="3" w:tplc="A0B8261E" w:tentative="1">
      <w:start w:val="1"/>
      <w:numFmt w:val="bullet"/>
      <w:lvlText w:val=""/>
      <w:lvlJc w:val="left"/>
      <w:pPr>
        <w:ind w:left="3240" w:hanging="360"/>
      </w:pPr>
      <w:rPr>
        <w:rFonts w:ascii="Symbol" w:hAnsi="Symbol" w:hint="default"/>
      </w:rPr>
    </w:lvl>
    <w:lvl w:ilvl="4" w:tplc="CA6C4124" w:tentative="1">
      <w:start w:val="1"/>
      <w:numFmt w:val="bullet"/>
      <w:lvlText w:val="o"/>
      <w:lvlJc w:val="left"/>
      <w:pPr>
        <w:ind w:left="3960" w:hanging="360"/>
      </w:pPr>
      <w:rPr>
        <w:rFonts w:ascii="Courier New" w:hAnsi="Courier New" w:cs="Courier New" w:hint="default"/>
      </w:rPr>
    </w:lvl>
    <w:lvl w:ilvl="5" w:tplc="8A8A377E" w:tentative="1">
      <w:start w:val="1"/>
      <w:numFmt w:val="bullet"/>
      <w:lvlText w:val=""/>
      <w:lvlJc w:val="left"/>
      <w:pPr>
        <w:ind w:left="4680" w:hanging="360"/>
      </w:pPr>
      <w:rPr>
        <w:rFonts w:ascii="Wingdings" w:hAnsi="Wingdings" w:hint="default"/>
      </w:rPr>
    </w:lvl>
    <w:lvl w:ilvl="6" w:tplc="645A53DA" w:tentative="1">
      <w:start w:val="1"/>
      <w:numFmt w:val="bullet"/>
      <w:lvlText w:val=""/>
      <w:lvlJc w:val="left"/>
      <w:pPr>
        <w:ind w:left="5400" w:hanging="360"/>
      </w:pPr>
      <w:rPr>
        <w:rFonts w:ascii="Symbol" w:hAnsi="Symbol" w:hint="default"/>
      </w:rPr>
    </w:lvl>
    <w:lvl w:ilvl="7" w:tplc="6636C5D6" w:tentative="1">
      <w:start w:val="1"/>
      <w:numFmt w:val="bullet"/>
      <w:lvlText w:val="o"/>
      <w:lvlJc w:val="left"/>
      <w:pPr>
        <w:ind w:left="6120" w:hanging="360"/>
      </w:pPr>
      <w:rPr>
        <w:rFonts w:ascii="Courier New" w:hAnsi="Courier New" w:cs="Courier New" w:hint="default"/>
      </w:rPr>
    </w:lvl>
    <w:lvl w:ilvl="8" w:tplc="4EAC9714" w:tentative="1">
      <w:start w:val="1"/>
      <w:numFmt w:val="bullet"/>
      <w:lvlText w:val=""/>
      <w:lvlJc w:val="left"/>
      <w:pPr>
        <w:ind w:left="684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10FE2E3C">
      <w:start w:val="1"/>
      <w:numFmt w:val="bullet"/>
      <w:pStyle w:val="Lijstopsomteken2"/>
      <w:lvlText w:val="–"/>
      <w:lvlJc w:val="left"/>
      <w:pPr>
        <w:tabs>
          <w:tab w:val="num" w:pos="227"/>
        </w:tabs>
        <w:ind w:left="227" w:firstLine="0"/>
      </w:pPr>
      <w:rPr>
        <w:rFonts w:ascii="Verdana" w:hAnsi="Verdana" w:hint="default"/>
      </w:rPr>
    </w:lvl>
    <w:lvl w:ilvl="1" w:tplc="329260DA" w:tentative="1">
      <w:start w:val="1"/>
      <w:numFmt w:val="bullet"/>
      <w:lvlText w:val="o"/>
      <w:lvlJc w:val="left"/>
      <w:pPr>
        <w:tabs>
          <w:tab w:val="num" w:pos="1440"/>
        </w:tabs>
        <w:ind w:left="1440" w:hanging="360"/>
      </w:pPr>
      <w:rPr>
        <w:rFonts w:ascii="Courier New" w:hAnsi="Courier New" w:cs="Courier New" w:hint="default"/>
      </w:rPr>
    </w:lvl>
    <w:lvl w:ilvl="2" w:tplc="E320E508" w:tentative="1">
      <w:start w:val="1"/>
      <w:numFmt w:val="bullet"/>
      <w:lvlText w:val=""/>
      <w:lvlJc w:val="left"/>
      <w:pPr>
        <w:tabs>
          <w:tab w:val="num" w:pos="2160"/>
        </w:tabs>
        <w:ind w:left="2160" w:hanging="360"/>
      </w:pPr>
      <w:rPr>
        <w:rFonts w:ascii="Wingdings" w:hAnsi="Wingdings" w:hint="default"/>
      </w:rPr>
    </w:lvl>
    <w:lvl w:ilvl="3" w:tplc="EFAC3640" w:tentative="1">
      <w:start w:val="1"/>
      <w:numFmt w:val="bullet"/>
      <w:lvlText w:val=""/>
      <w:lvlJc w:val="left"/>
      <w:pPr>
        <w:tabs>
          <w:tab w:val="num" w:pos="2880"/>
        </w:tabs>
        <w:ind w:left="2880" w:hanging="360"/>
      </w:pPr>
      <w:rPr>
        <w:rFonts w:ascii="Symbol" w:hAnsi="Symbol" w:hint="default"/>
      </w:rPr>
    </w:lvl>
    <w:lvl w:ilvl="4" w:tplc="A6082934" w:tentative="1">
      <w:start w:val="1"/>
      <w:numFmt w:val="bullet"/>
      <w:lvlText w:val="o"/>
      <w:lvlJc w:val="left"/>
      <w:pPr>
        <w:tabs>
          <w:tab w:val="num" w:pos="3600"/>
        </w:tabs>
        <w:ind w:left="3600" w:hanging="360"/>
      </w:pPr>
      <w:rPr>
        <w:rFonts w:ascii="Courier New" w:hAnsi="Courier New" w:cs="Courier New" w:hint="default"/>
      </w:rPr>
    </w:lvl>
    <w:lvl w:ilvl="5" w:tplc="39DABAF2" w:tentative="1">
      <w:start w:val="1"/>
      <w:numFmt w:val="bullet"/>
      <w:lvlText w:val=""/>
      <w:lvlJc w:val="left"/>
      <w:pPr>
        <w:tabs>
          <w:tab w:val="num" w:pos="4320"/>
        </w:tabs>
        <w:ind w:left="4320" w:hanging="360"/>
      </w:pPr>
      <w:rPr>
        <w:rFonts w:ascii="Wingdings" w:hAnsi="Wingdings" w:hint="default"/>
      </w:rPr>
    </w:lvl>
    <w:lvl w:ilvl="6" w:tplc="8EC83052" w:tentative="1">
      <w:start w:val="1"/>
      <w:numFmt w:val="bullet"/>
      <w:lvlText w:val=""/>
      <w:lvlJc w:val="left"/>
      <w:pPr>
        <w:tabs>
          <w:tab w:val="num" w:pos="5040"/>
        </w:tabs>
        <w:ind w:left="5040" w:hanging="360"/>
      </w:pPr>
      <w:rPr>
        <w:rFonts w:ascii="Symbol" w:hAnsi="Symbol" w:hint="default"/>
      </w:rPr>
    </w:lvl>
    <w:lvl w:ilvl="7" w:tplc="3B58FE42" w:tentative="1">
      <w:start w:val="1"/>
      <w:numFmt w:val="bullet"/>
      <w:lvlText w:val="o"/>
      <w:lvlJc w:val="left"/>
      <w:pPr>
        <w:tabs>
          <w:tab w:val="num" w:pos="5760"/>
        </w:tabs>
        <w:ind w:left="5760" w:hanging="360"/>
      </w:pPr>
      <w:rPr>
        <w:rFonts w:ascii="Courier New" w:hAnsi="Courier New" w:cs="Courier New" w:hint="default"/>
      </w:rPr>
    </w:lvl>
    <w:lvl w:ilvl="8" w:tplc="C1C63F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8834AC"/>
    <w:multiLevelType w:val="hybridMultilevel"/>
    <w:tmpl w:val="CF7AF682"/>
    <w:lvl w:ilvl="0" w:tplc="65D28670">
      <w:start w:val="1"/>
      <w:numFmt w:val="bullet"/>
      <w:lvlText w:val=""/>
      <w:lvlJc w:val="left"/>
      <w:pPr>
        <w:ind w:left="720" w:hanging="360"/>
      </w:pPr>
      <w:rPr>
        <w:rFonts w:ascii="Symbol" w:hAnsi="Symbol" w:hint="default"/>
      </w:rPr>
    </w:lvl>
    <w:lvl w:ilvl="1" w:tplc="F026A3C0" w:tentative="1">
      <w:start w:val="1"/>
      <w:numFmt w:val="bullet"/>
      <w:lvlText w:val="o"/>
      <w:lvlJc w:val="left"/>
      <w:pPr>
        <w:ind w:left="1440" w:hanging="360"/>
      </w:pPr>
      <w:rPr>
        <w:rFonts w:ascii="Courier New" w:hAnsi="Courier New" w:cs="Courier New" w:hint="default"/>
      </w:rPr>
    </w:lvl>
    <w:lvl w:ilvl="2" w:tplc="7104217C" w:tentative="1">
      <w:start w:val="1"/>
      <w:numFmt w:val="bullet"/>
      <w:lvlText w:val=""/>
      <w:lvlJc w:val="left"/>
      <w:pPr>
        <w:ind w:left="2160" w:hanging="360"/>
      </w:pPr>
      <w:rPr>
        <w:rFonts w:ascii="Wingdings" w:hAnsi="Wingdings" w:hint="default"/>
      </w:rPr>
    </w:lvl>
    <w:lvl w:ilvl="3" w:tplc="06DC9ECC" w:tentative="1">
      <w:start w:val="1"/>
      <w:numFmt w:val="bullet"/>
      <w:lvlText w:val=""/>
      <w:lvlJc w:val="left"/>
      <w:pPr>
        <w:ind w:left="2880" w:hanging="360"/>
      </w:pPr>
      <w:rPr>
        <w:rFonts w:ascii="Symbol" w:hAnsi="Symbol" w:hint="default"/>
      </w:rPr>
    </w:lvl>
    <w:lvl w:ilvl="4" w:tplc="6B4CC7DA" w:tentative="1">
      <w:start w:val="1"/>
      <w:numFmt w:val="bullet"/>
      <w:lvlText w:val="o"/>
      <w:lvlJc w:val="left"/>
      <w:pPr>
        <w:ind w:left="3600" w:hanging="360"/>
      </w:pPr>
      <w:rPr>
        <w:rFonts w:ascii="Courier New" w:hAnsi="Courier New" w:cs="Courier New" w:hint="default"/>
      </w:rPr>
    </w:lvl>
    <w:lvl w:ilvl="5" w:tplc="8E1E8110" w:tentative="1">
      <w:start w:val="1"/>
      <w:numFmt w:val="bullet"/>
      <w:lvlText w:val=""/>
      <w:lvlJc w:val="left"/>
      <w:pPr>
        <w:ind w:left="4320" w:hanging="360"/>
      </w:pPr>
      <w:rPr>
        <w:rFonts w:ascii="Wingdings" w:hAnsi="Wingdings" w:hint="default"/>
      </w:rPr>
    </w:lvl>
    <w:lvl w:ilvl="6" w:tplc="C2804D72" w:tentative="1">
      <w:start w:val="1"/>
      <w:numFmt w:val="bullet"/>
      <w:lvlText w:val=""/>
      <w:lvlJc w:val="left"/>
      <w:pPr>
        <w:ind w:left="5040" w:hanging="360"/>
      </w:pPr>
      <w:rPr>
        <w:rFonts w:ascii="Symbol" w:hAnsi="Symbol" w:hint="default"/>
      </w:rPr>
    </w:lvl>
    <w:lvl w:ilvl="7" w:tplc="68888654" w:tentative="1">
      <w:start w:val="1"/>
      <w:numFmt w:val="bullet"/>
      <w:lvlText w:val="o"/>
      <w:lvlJc w:val="left"/>
      <w:pPr>
        <w:ind w:left="5760" w:hanging="360"/>
      </w:pPr>
      <w:rPr>
        <w:rFonts w:ascii="Courier New" w:hAnsi="Courier New" w:cs="Courier New" w:hint="default"/>
      </w:rPr>
    </w:lvl>
    <w:lvl w:ilvl="8" w:tplc="D2EC2CE6" w:tentative="1">
      <w:start w:val="1"/>
      <w:numFmt w:val="bullet"/>
      <w:lvlText w:val=""/>
      <w:lvlJc w:val="left"/>
      <w:pPr>
        <w:ind w:left="6480" w:hanging="360"/>
      </w:pPr>
      <w:rPr>
        <w:rFonts w:ascii="Wingdings" w:hAnsi="Wingdings" w:hint="default"/>
      </w:rPr>
    </w:lvl>
  </w:abstractNum>
  <w:abstractNum w:abstractNumId="18" w15:restartNumberingAfterBreak="0">
    <w:nsid w:val="63C54C34"/>
    <w:multiLevelType w:val="hybridMultilevel"/>
    <w:tmpl w:val="7054DF8E"/>
    <w:lvl w:ilvl="0" w:tplc="80B66906">
      <w:start w:val="1"/>
      <w:numFmt w:val="bullet"/>
      <w:lvlText w:val=""/>
      <w:lvlJc w:val="left"/>
      <w:pPr>
        <w:ind w:left="795" w:hanging="360"/>
      </w:pPr>
      <w:rPr>
        <w:rFonts w:ascii="Symbol" w:hAnsi="Symbol" w:hint="default"/>
      </w:rPr>
    </w:lvl>
    <w:lvl w:ilvl="1" w:tplc="7D56DE66" w:tentative="1">
      <w:start w:val="1"/>
      <w:numFmt w:val="bullet"/>
      <w:lvlText w:val="o"/>
      <w:lvlJc w:val="left"/>
      <w:pPr>
        <w:ind w:left="1515" w:hanging="360"/>
      </w:pPr>
      <w:rPr>
        <w:rFonts w:ascii="Courier New" w:hAnsi="Courier New" w:cs="Courier New" w:hint="default"/>
      </w:rPr>
    </w:lvl>
    <w:lvl w:ilvl="2" w:tplc="B078577A" w:tentative="1">
      <w:start w:val="1"/>
      <w:numFmt w:val="bullet"/>
      <w:lvlText w:val=""/>
      <w:lvlJc w:val="left"/>
      <w:pPr>
        <w:ind w:left="2235" w:hanging="360"/>
      </w:pPr>
      <w:rPr>
        <w:rFonts w:ascii="Wingdings" w:hAnsi="Wingdings" w:hint="default"/>
      </w:rPr>
    </w:lvl>
    <w:lvl w:ilvl="3" w:tplc="75D864BC" w:tentative="1">
      <w:start w:val="1"/>
      <w:numFmt w:val="bullet"/>
      <w:lvlText w:val=""/>
      <w:lvlJc w:val="left"/>
      <w:pPr>
        <w:ind w:left="2955" w:hanging="360"/>
      </w:pPr>
      <w:rPr>
        <w:rFonts w:ascii="Symbol" w:hAnsi="Symbol" w:hint="default"/>
      </w:rPr>
    </w:lvl>
    <w:lvl w:ilvl="4" w:tplc="111A9A00" w:tentative="1">
      <w:start w:val="1"/>
      <w:numFmt w:val="bullet"/>
      <w:lvlText w:val="o"/>
      <w:lvlJc w:val="left"/>
      <w:pPr>
        <w:ind w:left="3675" w:hanging="360"/>
      </w:pPr>
      <w:rPr>
        <w:rFonts w:ascii="Courier New" w:hAnsi="Courier New" w:cs="Courier New" w:hint="default"/>
      </w:rPr>
    </w:lvl>
    <w:lvl w:ilvl="5" w:tplc="A2D43E96" w:tentative="1">
      <w:start w:val="1"/>
      <w:numFmt w:val="bullet"/>
      <w:lvlText w:val=""/>
      <w:lvlJc w:val="left"/>
      <w:pPr>
        <w:ind w:left="4395" w:hanging="360"/>
      </w:pPr>
      <w:rPr>
        <w:rFonts w:ascii="Wingdings" w:hAnsi="Wingdings" w:hint="default"/>
      </w:rPr>
    </w:lvl>
    <w:lvl w:ilvl="6" w:tplc="7FD8E018" w:tentative="1">
      <w:start w:val="1"/>
      <w:numFmt w:val="bullet"/>
      <w:lvlText w:val=""/>
      <w:lvlJc w:val="left"/>
      <w:pPr>
        <w:ind w:left="5115" w:hanging="360"/>
      </w:pPr>
      <w:rPr>
        <w:rFonts w:ascii="Symbol" w:hAnsi="Symbol" w:hint="default"/>
      </w:rPr>
    </w:lvl>
    <w:lvl w:ilvl="7" w:tplc="736A0C44" w:tentative="1">
      <w:start w:val="1"/>
      <w:numFmt w:val="bullet"/>
      <w:lvlText w:val="o"/>
      <w:lvlJc w:val="left"/>
      <w:pPr>
        <w:ind w:left="5835" w:hanging="360"/>
      </w:pPr>
      <w:rPr>
        <w:rFonts w:ascii="Courier New" w:hAnsi="Courier New" w:cs="Courier New" w:hint="default"/>
      </w:rPr>
    </w:lvl>
    <w:lvl w:ilvl="8" w:tplc="D58CFD82" w:tentative="1">
      <w:start w:val="1"/>
      <w:numFmt w:val="bullet"/>
      <w:lvlText w:val=""/>
      <w:lvlJc w:val="left"/>
      <w:pPr>
        <w:ind w:left="6555" w:hanging="360"/>
      </w:pPr>
      <w:rPr>
        <w:rFonts w:ascii="Wingdings" w:hAnsi="Wingdings" w:hint="default"/>
      </w:rPr>
    </w:lvl>
  </w:abstractNum>
  <w:abstractNum w:abstractNumId="19" w15:restartNumberingAfterBreak="0">
    <w:nsid w:val="67BB39F2"/>
    <w:multiLevelType w:val="hybridMultilevel"/>
    <w:tmpl w:val="0624E92C"/>
    <w:lvl w:ilvl="0" w:tplc="8298619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0" w15:restartNumberingAfterBreak="0">
    <w:nsid w:val="6EE76B80"/>
    <w:multiLevelType w:val="hybridMultilevel"/>
    <w:tmpl w:val="A1026C90"/>
    <w:lvl w:ilvl="0" w:tplc="725E1A58">
      <w:start w:val="1"/>
      <w:numFmt w:val="bullet"/>
      <w:lvlText w:val=""/>
      <w:lvlJc w:val="left"/>
      <w:pPr>
        <w:ind w:left="1146" w:hanging="360"/>
      </w:pPr>
      <w:rPr>
        <w:rFonts w:ascii="Symbol" w:hAnsi="Symbol" w:hint="default"/>
      </w:rPr>
    </w:lvl>
    <w:lvl w:ilvl="1" w:tplc="16D07C62" w:tentative="1">
      <w:start w:val="1"/>
      <w:numFmt w:val="bullet"/>
      <w:lvlText w:val="o"/>
      <w:lvlJc w:val="left"/>
      <w:pPr>
        <w:ind w:left="1866" w:hanging="360"/>
      </w:pPr>
      <w:rPr>
        <w:rFonts w:ascii="Courier New" w:hAnsi="Courier New" w:cs="Courier New" w:hint="default"/>
      </w:rPr>
    </w:lvl>
    <w:lvl w:ilvl="2" w:tplc="5178F124" w:tentative="1">
      <w:start w:val="1"/>
      <w:numFmt w:val="bullet"/>
      <w:lvlText w:val=""/>
      <w:lvlJc w:val="left"/>
      <w:pPr>
        <w:ind w:left="2586" w:hanging="360"/>
      </w:pPr>
      <w:rPr>
        <w:rFonts w:ascii="Wingdings" w:hAnsi="Wingdings" w:hint="default"/>
      </w:rPr>
    </w:lvl>
    <w:lvl w:ilvl="3" w:tplc="757A2B2E" w:tentative="1">
      <w:start w:val="1"/>
      <w:numFmt w:val="bullet"/>
      <w:lvlText w:val=""/>
      <w:lvlJc w:val="left"/>
      <w:pPr>
        <w:ind w:left="3306" w:hanging="360"/>
      </w:pPr>
      <w:rPr>
        <w:rFonts w:ascii="Symbol" w:hAnsi="Symbol" w:hint="default"/>
      </w:rPr>
    </w:lvl>
    <w:lvl w:ilvl="4" w:tplc="FD66DE7E" w:tentative="1">
      <w:start w:val="1"/>
      <w:numFmt w:val="bullet"/>
      <w:lvlText w:val="o"/>
      <w:lvlJc w:val="left"/>
      <w:pPr>
        <w:ind w:left="4026" w:hanging="360"/>
      </w:pPr>
      <w:rPr>
        <w:rFonts w:ascii="Courier New" w:hAnsi="Courier New" w:cs="Courier New" w:hint="default"/>
      </w:rPr>
    </w:lvl>
    <w:lvl w:ilvl="5" w:tplc="43625FE4" w:tentative="1">
      <w:start w:val="1"/>
      <w:numFmt w:val="bullet"/>
      <w:lvlText w:val=""/>
      <w:lvlJc w:val="left"/>
      <w:pPr>
        <w:ind w:left="4746" w:hanging="360"/>
      </w:pPr>
      <w:rPr>
        <w:rFonts w:ascii="Wingdings" w:hAnsi="Wingdings" w:hint="default"/>
      </w:rPr>
    </w:lvl>
    <w:lvl w:ilvl="6" w:tplc="46B4EAD0" w:tentative="1">
      <w:start w:val="1"/>
      <w:numFmt w:val="bullet"/>
      <w:lvlText w:val=""/>
      <w:lvlJc w:val="left"/>
      <w:pPr>
        <w:ind w:left="5466" w:hanging="360"/>
      </w:pPr>
      <w:rPr>
        <w:rFonts w:ascii="Symbol" w:hAnsi="Symbol" w:hint="default"/>
      </w:rPr>
    </w:lvl>
    <w:lvl w:ilvl="7" w:tplc="C2C23954" w:tentative="1">
      <w:start w:val="1"/>
      <w:numFmt w:val="bullet"/>
      <w:lvlText w:val="o"/>
      <w:lvlJc w:val="left"/>
      <w:pPr>
        <w:ind w:left="6186" w:hanging="360"/>
      </w:pPr>
      <w:rPr>
        <w:rFonts w:ascii="Courier New" w:hAnsi="Courier New" w:cs="Courier New" w:hint="default"/>
      </w:rPr>
    </w:lvl>
    <w:lvl w:ilvl="8" w:tplc="CE705B7E" w:tentative="1">
      <w:start w:val="1"/>
      <w:numFmt w:val="bullet"/>
      <w:lvlText w:val=""/>
      <w:lvlJc w:val="left"/>
      <w:pPr>
        <w:ind w:left="6906" w:hanging="360"/>
      </w:pPr>
      <w:rPr>
        <w:rFonts w:ascii="Wingdings" w:hAnsi="Wingdings" w:hint="default"/>
      </w:rPr>
    </w:lvl>
  </w:abstractNum>
  <w:num w:numId="1" w16cid:durableId="1478767906">
    <w:abstractNumId w:val="12"/>
  </w:num>
  <w:num w:numId="2" w16cid:durableId="882057814">
    <w:abstractNumId w:val="7"/>
  </w:num>
  <w:num w:numId="3" w16cid:durableId="1218738042">
    <w:abstractNumId w:val="6"/>
  </w:num>
  <w:num w:numId="4" w16cid:durableId="358236682">
    <w:abstractNumId w:val="5"/>
  </w:num>
  <w:num w:numId="5" w16cid:durableId="1480073842">
    <w:abstractNumId w:val="4"/>
  </w:num>
  <w:num w:numId="6" w16cid:durableId="287321923">
    <w:abstractNumId w:val="8"/>
  </w:num>
  <w:num w:numId="7" w16cid:durableId="203519244">
    <w:abstractNumId w:val="3"/>
  </w:num>
  <w:num w:numId="8" w16cid:durableId="2023971697">
    <w:abstractNumId w:val="2"/>
  </w:num>
  <w:num w:numId="9" w16cid:durableId="1210797344">
    <w:abstractNumId w:val="1"/>
  </w:num>
  <w:num w:numId="10" w16cid:durableId="1230195603">
    <w:abstractNumId w:val="0"/>
  </w:num>
  <w:num w:numId="11" w16cid:durableId="217057987">
    <w:abstractNumId w:val="11"/>
  </w:num>
  <w:num w:numId="12" w16cid:durableId="646856733">
    <w:abstractNumId w:val="14"/>
  </w:num>
  <w:num w:numId="13" w16cid:durableId="811865659">
    <w:abstractNumId w:val="16"/>
  </w:num>
  <w:num w:numId="14" w16cid:durableId="274137205">
    <w:abstractNumId w:val="15"/>
  </w:num>
  <w:num w:numId="15" w16cid:durableId="202862839">
    <w:abstractNumId w:val="18"/>
  </w:num>
  <w:num w:numId="16" w16cid:durableId="1353993387">
    <w:abstractNumId w:val="10"/>
  </w:num>
  <w:num w:numId="17" w16cid:durableId="1597782836">
    <w:abstractNumId w:val="13"/>
  </w:num>
  <w:num w:numId="18" w16cid:durableId="1330670322">
    <w:abstractNumId w:val="17"/>
  </w:num>
  <w:num w:numId="19" w16cid:durableId="990017959">
    <w:abstractNumId w:val="20"/>
  </w:num>
  <w:num w:numId="20" w16cid:durableId="1550147120">
    <w:abstractNumId w:val="9"/>
  </w:num>
  <w:num w:numId="21" w16cid:durableId="128169339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CB"/>
    <w:rsid w:val="0000046E"/>
    <w:rsid w:val="0000258C"/>
    <w:rsid w:val="000031CF"/>
    <w:rsid w:val="00004586"/>
    <w:rsid w:val="00007A42"/>
    <w:rsid w:val="00010E03"/>
    <w:rsid w:val="00013862"/>
    <w:rsid w:val="00015D30"/>
    <w:rsid w:val="00016012"/>
    <w:rsid w:val="00016A01"/>
    <w:rsid w:val="00020189"/>
    <w:rsid w:val="00020EE4"/>
    <w:rsid w:val="00023E9A"/>
    <w:rsid w:val="0002492C"/>
    <w:rsid w:val="00024D02"/>
    <w:rsid w:val="00027686"/>
    <w:rsid w:val="00027CC1"/>
    <w:rsid w:val="00030024"/>
    <w:rsid w:val="0003058B"/>
    <w:rsid w:val="00033373"/>
    <w:rsid w:val="00033CDD"/>
    <w:rsid w:val="00034A84"/>
    <w:rsid w:val="00035982"/>
    <w:rsid w:val="00035E67"/>
    <w:rsid w:val="000366F3"/>
    <w:rsid w:val="00040695"/>
    <w:rsid w:val="00040768"/>
    <w:rsid w:val="00042A23"/>
    <w:rsid w:val="00042EDA"/>
    <w:rsid w:val="00043D18"/>
    <w:rsid w:val="000465B0"/>
    <w:rsid w:val="00050A7E"/>
    <w:rsid w:val="000519F3"/>
    <w:rsid w:val="00051D6E"/>
    <w:rsid w:val="000537B2"/>
    <w:rsid w:val="00056B7F"/>
    <w:rsid w:val="00057180"/>
    <w:rsid w:val="00057827"/>
    <w:rsid w:val="00057AC0"/>
    <w:rsid w:val="0006024D"/>
    <w:rsid w:val="0006084C"/>
    <w:rsid w:val="00061226"/>
    <w:rsid w:val="00067881"/>
    <w:rsid w:val="000712F5"/>
    <w:rsid w:val="00071DDF"/>
    <w:rsid w:val="00071F28"/>
    <w:rsid w:val="000721D1"/>
    <w:rsid w:val="000736E8"/>
    <w:rsid w:val="000738E3"/>
    <w:rsid w:val="00074079"/>
    <w:rsid w:val="000807A6"/>
    <w:rsid w:val="000854BD"/>
    <w:rsid w:val="00085A6E"/>
    <w:rsid w:val="00086106"/>
    <w:rsid w:val="00090FB3"/>
    <w:rsid w:val="00092799"/>
    <w:rsid w:val="00092C5F"/>
    <w:rsid w:val="00095103"/>
    <w:rsid w:val="000953BA"/>
    <w:rsid w:val="00095E76"/>
    <w:rsid w:val="00096680"/>
    <w:rsid w:val="0009676E"/>
    <w:rsid w:val="00097AE2"/>
    <w:rsid w:val="00097F32"/>
    <w:rsid w:val="000A09F5"/>
    <w:rsid w:val="000A0F36"/>
    <w:rsid w:val="000A174A"/>
    <w:rsid w:val="000A1DFE"/>
    <w:rsid w:val="000A2B05"/>
    <w:rsid w:val="000A3E0A"/>
    <w:rsid w:val="000A5ECA"/>
    <w:rsid w:val="000A65AC"/>
    <w:rsid w:val="000A6E7E"/>
    <w:rsid w:val="000B28E9"/>
    <w:rsid w:val="000B7249"/>
    <w:rsid w:val="000B7281"/>
    <w:rsid w:val="000B740F"/>
    <w:rsid w:val="000B7FAB"/>
    <w:rsid w:val="000C1158"/>
    <w:rsid w:val="000C1BA1"/>
    <w:rsid w:val="000C3EA9"/>
    <w:rsid w:val="000C5BFD"/>
    <w:rsid w:val="000D0225"/>
    <w:rsid w:val="000D062F"/>
    <w:rsid w:val="000D2753"/>
    <w:rsid w:val="000D35F0"/>
    <w:rsid w:val="000D3F98"/>
    <w:rsid w:val="000D708B"/>
    <w:rsid w:val="000E1B5D"/>
    <w:rsid w:val="000E2345"/>
    <w:rsid w:val="000E360C"/>
    <w:rsid w:val="000E44AF"/>
    <w:rsid w:val="000E521A"/>
    <w:rsid w:val="000E65E9"/>
    <w:rsid w:val="000E7307"/>
    <w:rsid w:val="000E7895"/>
    <w:rsid w:val="000F0623"/>
    <w:rsid w:val="000F07F2"/>
    <w:rsid w:val="000F11C7"/>
    <w:rsid w:val="000F1446"/>
    <w:rsid w:val="000F161D"/>
    <w:rsid w:val="000F1A6D"/>
    <w:rsid w:val="000F27DD"/>
    <w:rsid w:val="000F2B37"/>
    <w:rsid w:val="00101055"/>
    <w:rsid w:val="00101C5C"/>
    <w:rsid w:val="00106E0E"/>
    <w:rsid w:val="0010798D"/>
    <w:rsid w:val="00110FC0"/>
    <w:rsid w:val="00111255"/>
    <w:rsid w:val="001123AA"/>
    <w:rsid w:val="00112DFD"/>
    <w:rsid w:val="00115820"/>
    <w:rsid w:val="0011628B"/>
    <w:rsid w:val="00120AB8"/>
    <w:rsid w:val="00121CAE"/>
    <w:rsid w:val="00121D13"/>
    <w:rsid w:val="001227AB"/>
    <w:rsid w:val="00123704"/>
    <w:rsid w:val="00124BA7"/>
    <w:rsid w:val="001270C7"/>
    <w:rsid w:val="001278E2"/>
    <w:rsid w:val="00131049"/>
    <w:rsid w:val="001316FF"/>
    <w:rsid w:val="00132540"/>
    <w:rsid w:val="001365F9"/>
    <w:rsid w:val="00140CBD"/>
    <w:rsid w:val="00141F11"/>
    <w:rsid w:val="001439A5"/>
    <w:rsid w:val="0014786A"/>
    <w:rsid w:val="001516A4"/>
    <w:rsid w:val="00151E5F"/>
    <w:rsid w:val="001569AB"/>
    <w:rsid w:val="001573C4"/>
    <w:rsid w:val="00160C5D"/>
    <w:rsid w:val="00161471"/>
    <w:rsid w:val="00163F29"/>
    <w:rsid w:val="0016725C"/>
    <w:rsid w:val="001674FB"/>
    <w:rsid w:val="0017099B"/>
    <w:rsid w:val="001717B8"/>
    <w:rsid w:val="0017207B"/>
    <w:rsid w:val="001726F3"/>
    <w:rsid w:val="00173188"/>
    <w:rsid w:val="00173C51"/>
    <w:rsid w:val="00174CC2"/>
    <w:rsid w:val="001752A9"/>
    <w:rsid w:val="00176CC6"/>
    <w:rsid w:val="00177755"/>
    <w:rsid w:val="001777B2"/>
    <w:rsid w:val="00180ED9"/>
    <w:rsid w:val="00181BE4"/>
    <w:rsid w:val="00182999"/>
    <w:rsid w:val="001836F9"/>
    <w:rsid w:val="00184D44"/>
    <w:rsid w:val="00185576"/>
    <w:rsid w:val="00185951"/>
    <w:rsid w:val="00192088"/>
    <w:rsid w:val="0019264B"/>
    <w:rsid w:val="001932D2"/>
    <w:rsid w:val="00195422"/>
    <w:rsid w:val="00196454"/>
    <w:rsid w:val="00196B8B"/>
    <w:rsid w:val="001976B8"/>
    <w:rsid w:val="001A26BC"/>
    <w:rsid w:val="001A2BEA"/>
    <w:rsid w:val="001A6BE6"/>
    <w:rsid w:val="001A6D93"/>
    <w:rsid w:val="001B052D"/>
    <w:rsid w:val="001B798C"/>
    <w:rsid w:val="001C08CA"/>
    <w:rsid w:val="001C10CC"/>
    <w:rsid w:val="001C32EC"/>
    <w:rsid w:val="001C38BD"/>
    <w:rsid w:val="001C3CF2"/>
    <w:rsid w:val="001C4D5A"/>
    <w:rsid w:val="001C63C4"/>
    <w:rsid w:val="001C7E34"/>
    <w:rsid w:val="001D243C"/>
    <w:rsid w:val="001D3039"/>
    <w:rsid w:val="001E106E"/>
    <w:rsid w:val="001E34C6"/>
    <w:rsid w:val="001E5581"/>
    <w:rsid w:val="001F051F"/>
    <w:rsid w:val="001F144A"/>
    <w:rsid w:val="001F3C70"/>
    <w:rsid w:val="001F57EB"/>
    <w:rsid w:val="001F594C"/>
    <w:rsid w:val="001F61EF"/>
    <w:rsid w:val="00200D88"/>
    <w:rsid w:val="00201F68"/>
    <w:rsid w:val="00203E3C"/>
    <w:rsid w:val="002042DF"/>
    <w:rsid w:val="002062F0"/>
    <w:rsid w:val="00212DC8"/>
    <w:rsid w:val="00212F2A"/>
    <w:rsid w:val="00214F2B"/>
    <w:rsid w:val="002154C4"/>
    <w:rsid w:val="00216169"/>
    <w:rsid w:val="00216567"/>
    <w:rsid w:val="0021786D"/>
    <w:rsid w:val="00220E7C"/>
    <w:rsid w:val="00221334"/>
    <w:rsid w:val="00221CB6"/>
    <w:rsid w:val="00222574"/>
    <w:rsid w:val="002227DB"/>
    <w:rsid w:val="00222D66"/>
    <w:rsid w:val="00224074"/>
    <w:rsid w:val="00224A8A"/>
    <w:rsid w:val="00224D63"/>
    <w:rsid w:val="00226990"/>
    <w:rsid w:val="002304A2"/>
    <w:rsid w:val="002309A8"/>
    <w:rsid w:val="00234176"/>
    <w:rsid w:val="00236CFE"/>
    <w:rsid w:val="00236E91"/>
    <w:rsid w:val="002428E3"/>
    <w:rsid w:val="00245DA8"/>
    <w:rsid w:val="00253A17"/>
    <w:rsid w:val="00254833"/>
    <w:rsid w:val="002561C7"/>
    <w:rsid w:val="00260BAF"/>
    <w:rsid w:val="00264F7B"/>
    <w:rsid w:val="002650F7"/>
    <w:rsid w:val="00265D3F"/>
    <w:rsid w:val="00266E91"/>
    <w:rsid w:val="00270E29"/>
    <w:rsid w:val="00271C1E"/>
    <w:rsid w:val="00273F3B"/>
    <w:rsid w:val="002742CB"/>
    <w:rsid w:val="00274DB7"/>
    <w:rsid w:val="00275984"/>
    <w:rsid w:val="002803ED"/>
    <w:rsid w:val="00280F74"/>
    <w:rsid w:val="0028188D"/>
    <w:rsid w:val="00282DA2"/>
    <w:rsid w:val="00285511"/>
    <w:rsid w:val="00286998"/>
    <w:rsid w:val="0029093F"/>
    <w:rsid w:val="00291AB7"/>
    <w:rsid w:val="00292FA6"/>
    <w:rsid w:val="0029422B"/>
    <w:rsid w:val="002A15D3"/>
    <w:rsid w:val="002A3376"/>
    <w:rsid w:val="002A3994"/>
    <w:rsid w:val="002A776B"/>
    <w:rsid w:val="002B153C"/>
    <w:rsid w:val="002B259B"/>
    <w:rsid w:val="002B3407"/>
    <w:rsid w:val="002B52FC"/>
    <w:rsid w:val="002C1A93"/>
    <w:rsid w:val="002C2830"/>
    <w:rsid w:val="002C5313"/>
    <w:rsid w:val="002C5BD7"/>
    <w:rsid w:val="002C6505"/>
    <w:rsid w:val="002C6ED6"/>
    <w:rsid w:val="002D001A"/>
    <w:rsid w:val="002D1491"/>
    <w:rsid w:val="002D1505"/>
    <w:rsid w:val="002D28E2"/>
    <w:rsid w:val="002D317B"/>
    <w:rsid w:val="002D3587"/>
    <w:rsid w:val="002D42C5"/>
    <w:rsid w:val="002D502D"/>
    <w:rsid w:val="002E01BD"/>
    <w:rsid w:val="002E0F69"/>
    <w:rsid w:val="002E1555"/>
    <w:rsid w:val="002E4D09"/>
    <w:rsid w:val="002E63DD"/>
    <w:rsid w:val="002E6F33"/>
    <w:rsid w:val="002E73B0"/>
    <w:rsid w:val="002F241B"/>
    <w:rsid w:val="002F26B5"/>
    <w:rsid w:val="002F2BAF"/>
    <w:rsid w:val="002F3A52"/>
    <w:rsid w:val="002F4178"/>
    <w:rsid w:val="002F4CCE"/>
    <w:rsid w:val="002F5147"/>
    <w:rsid w:val="002F5C41"/>
    <w:rsid w:val="002F7ABD"/>
    <w:rsid w:val="00302AAD"/>
    <w:rsid w:val="00303F7E"/>
    <w:rsid w:val="00304A72"/>
    <w:rsid w:val="003114AB"/>
    <w:rsid w:val="00312597"/>
    <w:rsid w:val="00315FD3"/>
    <w:rsid w:val="0031732D"/>
    <w:rsid w:val="00317452"/>
    <w:rsid w:val="00323C14"/>
    <w:rsid w:val="0032416D"/>
    <w:rsid w:val="00326DAA"/>
    <w:rsid w:val="00327C34"/>
    <w:rsid w:val="00332013"/>
    <w:rsid w:val="00334154"/>
    <w:rsid w:val="003345AD"/>
    <w:rsid w:val="003372C4"/>
    <w:rsid w:val="0033748F"/>
    <w:rsid w:val="00341ECC"/>
    <w:rsid w:val="00341FA0"/>
    <w:rsid w:val="00343769"/>
    <w:rsid w:val="00343ACF"/>
    <w:rsid w:val="00344D32"/>
    <w:rsid w:val="00344F3D"/>
    <w:rsid w:val="00345299"/>
    <w:rsid w:val="00351A8D"/>
    <w:rsid w:val="003526BB"/>
    <w:rsid w:val="00352AA8"/>
    <w:rsid w:val="00352BCF"/>
    <w:rsid w:val="00353932"/>
    <w:rsid w:val="0035464B"/>
    <w:rsid w:val="003566A4"/>
    <w:rsid w:val="00360FD1"/>
    <w:rsid w:val="00361A03"/>
    <w:rsid w:val="0036252A"/>
    <w:rsid w:val="00364930"/>
    <w:rsid w:val="00364D9D"/>
    <w:rsid w:val="00364F66"/>
    <w:rsid w:val="00365A8E"/>
    <w:rsid w:val="003660EE"/>
    <w:rsid w:val="00370640"/>
    <w:rsid w:val="00371048"/>
    <w:rsid w:val="003710AF"/>
    <w:rsid w:val="0037182D"/>
    <w:rsid w:val="003729C9"/>
    <w:rsid w:val="00372B99"/>
    <w:rsid w:val="0037396C"/>
    <w:rsid w:val="00373EDE"/>
    <w:rsid w:val="00373FF6"/>
    <w:rsid w:val="0037421D"/>
    <w:rsid w:val="00374926"/>
    <w:rsid w:val="00376093"/>
    <w:rsid w:val="00383D9D"/>
    <w:rsid w:val="00383DA1"/>
    <w:rsid w:val="00385F30"/>
    <w:rsid w:val="0038606A"/>
    <w:rsid w:val="00386D96"/>
    <w:rsid w:val="0039032B"/>
    <w:rsid w:val="00390422"/>
    <w:rsid w:val="00391EC7"/>
    <w:rsid w:val="00393696"/>
    <w:rsid w:val="00393787"/>
    <w:rsid w:val="00393963"/>
    <w:rsid w:val="00393B62"/>
    <w:rsid w:val="00393CBF"/>
    <w:rsid w:val="00395575"/>
    <w:rsid w:val="00395672"/>
    <w:rsid w:val="003A02CA"/>
    <w:rsid w:val="003A06C8"/>
    <w:rsid w:val="003A0D7C"/>
    <w:rsid w:val="003A255B"/>
    <w:rsid w:val="003A3B27"/>
    <w:rsid w:val="003A48DC"/>
    <w:rsid w:val="003A4DD0"/>
    <w:rsid w:val="003A7BBC"/>
    <w:rsid w:val="003B0155"/>
    <w:rsid w:val="003B0C5C"/>
    <w:rsid w:val="003B1051"/>
    <w:rsid w:val="003B52CD"/>
    <w:rsid w:val="003B5756"/>
    <w:rsid w:val="003B65CF"/>
    <w:rsid w:val="003B7DE4"/>
    <w:rsid w:val="003B7EE7"/>
    <w:rsid w:val="003C0C86"/>
    <w:rsid w:val="003C156C"/>
    <w:rsid w:val="003C2685"/>
    <w:rsid w:val="003C2CCB"/>
    <w:rsid w:val="003C42A3"/>
    <w:rsid w:val="003C6D5E"/>
    <w:rsid w:val="003D2D83"/>
    <w:rsid w:val="003D2EAB"/>
    <w:rsid w:val="003D39EC"/>
    <w:rsid w:val="003D496F"/>
    <w:rsid w:val="003D704C"/>
    <w:rsid w:val="003D77C9"/>
    <w:rsid w:val="003D7A9D"/>
    <w:rsid w:val="003E04AE"/>
    <w:rsid w:val="003E121E"/>
    <w:rsid w:val="003E1D07"/>
    <w:rsid w:val="003E3DD5"/>
    <w:rsid w:val="003E542D"/>
    <w:rsid w:val="003E616C"/>
    <w:rsid w:val="003F0000"/>
    <w:rsid w:val="003F07C6"/>
    <w:rsid w:val="003F0F00"/>
    <w:rsid w:val="003F11E0"/>
    <w:rsid w:val="003F1F6B"/>
    <w:rsid w:val="003F23DA"/>
    <w:rsid w:val="003F2E57"/>
    <w:rsid w:val="003F3757"/>
    <w:rsid w:val="003F3C21"/>
    <w:rsid w:val="003F44B7"/>
    <w:rsid w:val="003F5785"/>
    <w:rsid w:val="004008E9"/>
    <w:rsid w:val="00406D61"/>
    <w:rsid w:val="0040785E"/>
    <w:rsid w:val="00410C14"/>
    <w:rsid w:val="00413D48"/>
    <w:rsid w:val="00414970"/>
    <w:rsid w:val="00415768"/>
    <w:rsid w:val="00417117"/>
    <w:rsid w:val="004206D2"/>
    <w:rsid w:val="00420FF9"/>
    <w:rsid w:val="0042167F"/>
    <w:rsid w:val="0042169A"/>
    <w:rsid w:val="004249A8"/>
    <w:rsid w:val="00425DB9"/>
    <w:rsid w:val="00427C26"/>
    <w:rsid w:val="00432249"/>
    <w:rsid w:val="00436B60"/>
    <w:rsid w:val="00441AC2"/>
    <w:rsid w:val="0044249B"/>
    <w:rsid w:val="00445937"/>
    <w:rsid w:val="0045023C"/>
    <w:rsid w:val="00450875"/>
    <w:rsid w:val="00451479"/>
    <w:rsid w:val="0045178C"/>
    <w:rsid w:val="00451A5B"/>
    <w:rsid w:val="00452BCD"/>
    <w:rsid w:val="00452CEA"/>
    <w:rsid w:val="00452F6D"/>
    <w:rsid w:val="00453063"/>
    <w:rsid w:val="0045352A"/>
    <w:rsid w:val="00453893"/>
    <w:rsid w:val="00453C87"/>
    <w:rsid w:val="0045400A"/>
    <w:rsid w:val="00456E2D"/>
    <w:rsid w:val="0045740E"/>
    <w:rsid w:val="0045793E"/>
    <w:rsid w:val="00457F87"/>
    <w:rsid w:val="00461C49"/>
    <w:rsid w:val="004623B6"/>
    <w:rsid w:val="00463ABD"/>
    <w:rsid w:val="00465B52"/>
    <w:rsid w:val="00466D3D"/>
    <w:rsid w:val="0046708E"/>
    <w:rsid w:val="00471D66"/>
    <w:rsid w:val="0047214D"/>
    <w:rsid w:val="00472A65"/>
    <w:rsid w:val="00474463"/>
    <w:rsid w:val="00474B75"/>
    <w:rsid w:val="00477252"/>
    <w:rsid w:val="0048378C"/>
    <w:rsid w:val="00483F0B"/>
    <w:rsid w:val="00486BEE"/>
    <w:rsid w:val="004902E5"/>
    <w:rsid w:val="00491068"/>
    <w:rsid w:val="00493C1A"/>
    <w:rsid w:val="00493E25"/>
    <w:rsid w:val="00494367"/>
    <w:rsid w:val="004949B7"/>
    <w:rsid w:val="00496319"/>
    <w:rsid w:val="00497279"/>
    <w:rsid w:val="004A1628"/>
    <w:rsid w:val="004A21F5"/>
    <w:rsid w:val="004A2CF6"/>
    <w:rsid w:val="004A4A47"/>
    <w:rsid w:val="004B0B8E"/>
    <w:rsid w:val="004B0E25"/>
    <w:rsid w:val="004B2F7E"/>
    <w:rsid w:val="004B3B85"/>
    <w:rsid w:val="004B421D"/>
    <w:rsid w:val="004B5465"/>
    <w:rsid w:val="004B630A"/>
    <w:rsid w:val="004B70F0"/>
    <w:rsid w:val="004C3ECD"/>
    <w:rsid w:val="004C70F6"/>
    <w:rsid w:val="004D028B"/>
    <w:rsid w:val="004D0A54"/>
    <w:rsid w:val="004D1DD3"/>
    <w:rsid w:val="004D2C0C"/>
    <w:rsid w:val="004D40DC"/>
    <w:rsid w:val="004D4B5D"/>
    <w:rsid w:val="004D505E"/>
    <w:rsid w:val="004D5118"/>
    <w:rsid w:val="004D523F"/>
    <w:rsid w:val="004D5E78"/>
    <w:rsid w:val="004D61C4"/>
    <w:rsid w:val="004D65A2"/>
    <w:rsid w:val="004D7049"/>
    <w:rsid w:val="004D726B"/>
    <w:rsid w:val="004D72CA"/>
    <w:rsid w:val="004D7CA2"/>
    <w:rsid w:val="004E1CF6"/>
    <w:rsid w:val="004E2242"/>
    <w:rsid w:val="004E2599"/>
    <w:rsid w:val="004E34C0"/>
    <w:rsid w:val="004E505E"/>
    <w:rsid w:val="004E79F7"/>
    <w:rsid w:val="004F1942"/>
    <w:rsid w:val="004F1DC8"/>
    <w:rsid w:val="004F42FF"/>
    <w:rsid w:val="004F44C2"/>
    <w:rsid w:val="004F4F3B"/>
    <w:rsid w:val="004F7AB4"/>
    <w:rsid w:val="004F7FEA"/>
    <w:rsid w:val="0050144A"/>
    <w:rsid w:val="0050220B"/>
    <w:rsid w:val="005029CF"/>
    <w:rsid w:val="00504FFF"/>
    <w:rsid w:val="00505076"/>
    <w:rsid w:val="00505262"/>
    <w:rsid w:val="00510210"/>
    <w:rsid w:val="00513339"/>
    <w:rsid w:val="00516022"/>
    <w:rsid w:val="005176A9"/>
    <w:rsid w:val="00520DEC"/>
    <w:rsid w:val="00521CEE"/>
    <w:rsid w:val="00522191"/>
    <w:rsid w:val="00523E56"/>
    <w:rsid w:val="00524AF3"/>
    <w:rsid w:val="00524FB4"/>
    <w:rsid w:val="005260B0"/>
    <w:rsid w:val="005310B0"/>
    <w:rsid w:val="005311F9"/>
    <w:rsid w:val="005312F6"/>
    <w:rsid w:val="00536974"/>
    <w:rsid w:val="00536AD6"/>
    <w:rsid w:val="005403C8"/>
    <w:rsid w:val="00540F13"/>
    <w:rsid w:val="005419C4"/>
    <w:rsid w:val="005429DC"/>
    <w:rsid w:val="00542C53"/>
    <w:rsid w:val="005461DA"/>
    <w:rsid w:val="00551F17"/>
    <w:rsid w:val="00554CAE"/>
    <w:rsid w:val="00555D0D"/>
    <w:rsid w:val="005565F9"/>
    <w:rsid w:val="00557918"/>
    <w:rsid w:val="00565A4E"/>
    <w:rsid w:val="00566A73"/>
    <w:rsid w:val="005678DD"/>
    <w:rsid w:val="0057086B"/>
    <w:rsid w:val="00572382"/>
    <w:rsid w:val="00572744"/>
    <w:rsid w:val="00573041"/>
    <w:rsid w:val="00574BC5"/>
    <w:rsid w:val="00575B80"/>
    <w:rsid w:val="00576F1E"/>
    <w:rsid w:val="0057733B"/>
    <w:rsid w:val="0057746F"/>
    <w:rsid w:val="005805F4"/>
    <w:rsid w:val="005819CE"/>
    <w:rsid w:val="0058298D"/>
    <w:rsid w:val="00585F8D"/>
    <w:rsid w:val="00586B4C"/>
    <w:rsid w:val="005901F4"/>
    <w:rsid w:val="005917F4"/>
    <w:rsid w:val="00591CBC"/>
    <w:rsid w:val="00593C2B"/>
    <w:rsid w:val="00593F7A"/>
    <w:rsid w:val="0059483B"/>
    <w:rsid w:val="00595231"/>
    <w:rsid w:val="00596166"/>
    <w:rsid w:val="00596E4C"/>
    <w:rsid w:val="00597F64"/>
    <w:rsid w:val="005A207F"/>
    <w:rsid w:val="005A2B1A"/>
    <w:rsid w:val="005A2F35"/>
    <w:rsid w:val="005A3069"/>
    <w:rsid w:val="005A6D44"/>
    <w:rsid w:val="005A77D4"/>
    <w:rsid w:val="005A7DE7"/>
    <w:rsid w:val="005B12B9"/>
    <w:rsid w:val="005B1A8E"/>
    <w:rsid w:val="005B287B"/>
    <w:rsid w:val="005B3F78"/>
    <w:rsid w:val="005B44AA"/>
    <w:rsid w:val="005B463E"/>
    <w:rsid w:val="005B5F31"/>
    <w:rsid w:val="005B6825"/>
    <w:rsid w:val="005C18BD"/>
    <w:rsid w:val="005C34E1"/>
    <w:rsid w:val="005C3E27"/>
    <w:rsid w:val="005C3FE0"/>
    <w:rsid w:val="005C4898"/>
    <w:rsid w:val="005C48A9"/>
    <w:rsid w:val="005C740C"/>
    <w:rsid w:val="005C778C"/>
    <w:rsid w:val="005D084C"/>
    <w:rsid w:val="005D4BFF"/>
    <w:rsid w:val="005D6213"/>
    <w:rsid w:val="005D625B"/>
    <w:rsid w:val="005D7EED"/>
    <w:rsid w:val="005E216C"/>
    <w:rsid w:val="005E2A46"/>
    <w:rsid w:val="005E5436"/>
    <w:rsid w:val="005E5AA4"/>
    <w:rsid w:val="005F3768"/>
    <w:rsid w:val="005F39B2"/>
    <w:rsid w:val="005F449F"/>
    <w:rsid w:val="005F50F4"/>
    <w:rsid w:val="005F62D3"/>
    <w:rsid w:val="005F6D11"/>
    <w:rsid w:val="005F7171"/>
    <w:rsid w:val="006005DE"/>
    <w:rsid w:val="00600CF0"/>
    <w:rsid w:val="006016C7"/>
    <w:rsid w:val="0060482F"/>
    <w:rsid w:val="006048F4"/>
    <w:rsid w:val="0060660A"/>
    <w:rsid w:val="006101BB"/>
    <w:rsid w:val="00611C45"/>
    <w:rsid w:val="00613B1D"/>
    <w:rsid w:val="0061788C"/>
    <w:rsid w:val="00617A25"/>
    <w:rsid w:val="00617A44"/>
    <w:rsid w:val="006202B6"/>
    <w:rsid w:val="00620AD5"/>
    <w:rsid w:val="006215D0"/>
    <w:rsid w:val="006222F2"/>
    <w:rsid w:val="00622AA5"/>
    <w:rsid w:val="00624EF3"/>
    <w:rsid w:val="00625CD0"/>
    <w:rsid w:val="0062627D"/>
    <w:rsid w:val="0062693A"/>
    <w:rsid w:val="00627432"/>
    <w:rsid w:val="00627F36"/>
    <w:rsid w:val="0063108B"/>
    <w:rsid w:val="006311C3"/>
    <w:rsid w:val="00631970"/>
    <w:rsid w:val="00640C58"/>
    <w:rsid w:val="00641B01"/>
    <w:rsid w:val="006448E4"/>
    <w:rsid w:val="00645414"/>
    <w:rsid w:val="00645A9B"/>
    <w:rsid w:val="0064693F"/>
    <w:rsid w:val="00647A0E"/>
    <w:rsid w:val="0065128C"/>
    <w:rsid w:val="00653606"/>
    <w:rsid w:val="0065384B"/>
    <w:rsid w:val="00654CF4"/>
    <w:rsid w:val="00656C73"/>
    <w:rsid w:val="00657844"/>
    <w:rsid w:val="00660788"/>
    <w:rsid w:val="00661591"/>
    <w:rsid w:val="0066632F"/>
    <w:rsid w:val="00667089"/>
    <w:rsid w:val="00667462"/>
    <w:rsid w:val="00670B36"/>
    <w:rsid w:val="00671B31"/>
    <w:rsid w:val="00673483"/>
    <w:rsid w:val="00674A89"/>
    <w:rsid w:val="00674F3D"/>
    <w:rsid w:val="00675CBF"/>
    <w:rsid w:val="006767A5"/>
    <w:rsid w:val="00677821"/>
    <w:rsid w:val="00680991"/>
    <w:rsid w:val="00681AE6"/>
    <w:rsid w:val="00682460"/>
    <w:rsid w:val="00683725"/>
    <w:rsid w:val="00685545"/>
    <w:rsid w:val="006864B3"/>
    <w:rsid w:val="00686DBE"/>
    <w:rsid w:val="0069233B"/>
    <w:rsid w:val="00692733"/>
    <w:rsid w:val="00692D64"/>
    <w:rsid w:val="00696540"/>
    <w:rsid w:val="006A10F8"/>
    <w:rsid w:val="006A1D53"/>
    <w:rsid w:val="006A2100"/>
    <w:rsid w:val="006A34B6"/>
    <w:rsid w:val="006A3FE5"/>
    <w:rsid w:val="006A4534"/>
    <w:rsid w:val="006A74A3"/>
    <w:rsid w:val="006A7808"/>
    <w:rsid w:val="006B0BF3"/>
    <w:rsid w:val="006B188E"/>
    <w:rsid w:val="006B294B"/>
    <w:rsid w:val="006B57A7"/>
    <w:rsid w:val="006B775E"/>
    <w:rsid w:val="006B7BC7"/>
    <w:rsid w:val="006C17DE"/>
    <w:rsid w:val="006C249F"/>
    <w:rsid w:val="006C2535"/>
    <w:rsid w:val="006C314C"/>
    <w:rsid w:val="006C31C9"/>
    <w:rsid w:val="006C441E"/>
    <w:rsid w:val="006C4B90"/>
    <w:rsid w:val="006C50CA"/>
    <w:rsid w:val="006C5A42"/>
    <w:rsid w:val="006C5E46"/>
    <w:rsid w:val="006C7C5F"/>
    <w:rsid w:val="006D00AA"/>
    <w:rsid w:val="006D1016"/>
    <w:rsid w:val="006D17EF"/>
    <w:rsid w:val="006D17F2"/>
    <w:rsid w:val="006D604B"/>
    <w:rsid w:val="006D6FEC"/>
    <w:rsid w:val="006E181E"/>
    <w:rsid w:val="006E2802"/>
    <w:rsid w:val="006E2C00"/>
    <w:rsid w:val="006E3546"/>
    <w:rsid w:val="006E3BB6"/>
    <w:rsid w:val="006E3FA9"/>
    <w:rsid w:val="006E4AF1"/>
    <w:rsid w:val="006E6D93"/>
    <w:rsid w:val="006E7D82"/>
    <w:rsid w:val="006F038F"/>
    <w:rsid w:val="006F0F93"/>
    <w:rsid w:val="006F31F2"/>
    <w:rsid w:val="006F5D3B"/>
    <w:rsid w:val="00705E52"/>
    <w:rsid w:val="00711086"/>
    <w:rsid w:val="007120C5"/>
    <w:rsid w:val="00713B45"/>
    <w:rsid w:val="00714DC5"/>
    <w:rsid w:val="00715237"/>
    <w:rsid w:val="00715486"/>
    <w:rsid w:val="0071562C"/>
    <w:rsid w:val="00715EA0"/>
    <w:rsid w:val="00717306"/>
    <w:rsid w:val="00724900"/>
    <w:rsid w:val="00724F8A"/>
    <w:rsid w:val="007254A5"/>
    <w:rsid w:val="00725748"/>
    <w:rsid w:val="007277B8"/>
    <w:rsid w:val="00734EA6"/>
    <w:rsid w:val="00735C03"/>
    <w:rsid w:val="00735D88"/>
    <w:rsid w:val="0073720D"/>
    <w:rsid w:val="00737507"/>
    <w:rsid w:val="00740712"/>
    <w:rsid w:val="00742AB9"/>
    <w:rsid w:val="00743D68"/>
    <w:rsid w:val="0074492C"/>
    <w:rsid w:val="00746D10"/>
    <w:rsid w:val="00747A37"/>
    <w:rsid w:val="00751A6A"/>
    <w:rsid w:val="0075260F"/>
    <w:rsid w:val="0075424C"/>
    <w:rsid w:val="00754FBF"/>
    <w:rsid w:val="00755FB9"/>
    <w:rsid w:val="00762021"/>
    <w:rsid w:val="00764135"/>
    <w:rsid w:val="0076507A"/>
    <w:rsid w:val="007658B4"/>
    <w:rsid w:val="0076688B"/>
    <w:rsid w:val="00767234"/>
    <w:rsid w:val="007709EF"/>
    <w:rsid w:val="0077121B"/>
    <w:rsid w:val="00773683"/>
    <w:rsid w:val="00773DA9"/>
    <w:rsid w:val="007774D1"/>
    <w:rsid w:val="007819CA"/>
    <w:rsid w:val="00782320"/>
    <w:rsid w:val="00782EC6"/>
    <w:rsid w:val="00783559"/>
    <w:rsid w:val="007840EE"/>
    <w:rsid w:val="00785032"/>
    <w:rsid w:val="00787CD3"/>
    <w:rsid w:val="00792213"/>
    <w:rsid w:val="00795AE2"/>
    <w:rsid w:val="00796B12"/>
    <w:rsid w:val="00797416"/>
    <w:rsid w:val="00797AA5"/>
    <w:rsid w:val="007A01D8"/>
    <w:rsid w:val="007A26BD"/>
    <w:rsid w:val="007A3F7F"/>
    <w:rsid w:val="007A4105"/>
    <w:rsid w:val="007A4474"/>
    <w:rsid w:val="007A59B5"/>
    <w:rsid w:val="007A6431"/>
    <w:rsid w:val="007A7E31"/>
    <w:rsid w:val="007B0F1F"/>
    <w:rsid w:val="007B1CCD"/>
    <w:rsid w:val="007B24DB"/>
    <w:rsid w:val="007B3049"/>
    <w:rsid w:val="007B4503"/>
    <w:rsid w:val="007B508D"/>
    <w:rsid w:val="007B66D0"/>
    <w:rsid w:val="007B6954"/>
    <w:rsid w:val="007B74B0"/>
    <w:rsid w:val="007C0384"/>
    <w:rsid w:val="007C2ACF"/>
    <w:rsid w:val="007C3F6D"/>
    <w:rsid w:val="007C406E"/>
    <w:rsid w:val="007C4BA5"/>
    <w:rsid w:val="007C5183"/>
    <w:rsid w:val="007C5F3D"/>
    <w:rsid w:val="007C605A"/>
    <w:rsid w:val="007C6EA3"/>
    <w:rsid w:val="007C7573"/>
    <w:rsid w:val="007D03CF"/>
    <w:rsid w:val="007D0405"/>
    <w:rsid w:val="007D0EA8"/>
    <w:rsid w:val="007D0EB4"/>
    <w:rsid w:val="007D1E2E"/>
    <w:rsid w:val="007D3296"/>
    <w:rsid w:val="007D3692"/>
    <w:rsid w:val="007D49F0"/>
    <w:rsid w:val="007D5BE3"/>
    <w:rsid w:val="007E0A54"/>
    <w:rsid w:val="007E0D8A"/>
    <w:rsid w:val="007E21C3"/>
    <w:rsid w:val="007E2B20"/>
    <w:rsid w:val="007E4016"/>
    <w:rsid w:val="007E5061"/>
    <w:rsid w:val="007E5985"/>
    <w:rsid w:val="007E5F1E"/>
    <w:rsid w:val="007E74C6"/>
    <w:rsid w:val="007F2DE4"/>
    <w:rsid w:val="007F3B9A"/>
    <w:rsid w:val="007F4581"/>
    <w:rsid w:val="007F4D92"/>
    <w:rsid w:val="007F5331"/>
    <w:rsid w:val="007F67F6"/>
    <w:rsid w:val="008003EE"/>
    <w:rsid w:val="00800CCA"/>
    <w:rsid w:val="00801814"/>
    <w:rsid w:val="00802ABF"/>
    <w:rsid w:val="00803C54"/>
    <w:rsid w:val="00806120"/>
    <w:rsid w:val="00806431"/>
    <w:rsid w:val="00806C34"/>
    <w:rsid w:val="00807CF1"/>
    <w:rsid w:val="00807F71"/>
    <w:rsid w:val="00810BCD"/>
    <w:rsid w:val="00810C93"/>
    <w:rsid w:val="0081178A"/>
    <w:rsid w:val="00812028"/>
    <w:rsid w:val="00812DD8"/>
    <w:rsid w:val="00813082"/>
    <w:rsid w:val="0081367F"/>
    <w:rsid w:val="0081371D"/>
    <w:rsid w:val="008146C3"/>
    <w:rsid w:val="00814D03"/>
    <w:rsid w:val="0081551E"/>
    <w:rsid w:val="0081749F"/>
    <w:rsid w:val="008215E2"/>
    <w:rsid w:val="00821FC1"/>
    <w:rsid w:val="00825813"/>
    <w:rsid w:val="0082632F"/>
    <w:rsid w:val="0083178B"/>
    <w:rsid w:val="00833195"/>
    <w:rsid w:val="00833489"/>
    <w:rsid w:val="00833622"/>
    <w:rsid w:val="00833695"/>
    <w:rsid w:val="008336B7"/>
    <w:rsid w:val="00833A8E"/>
    <w:rsid w:val="00833BD3"/>
    <w:rsid w:val="00836881"/>
    <w:rsid w:val="008373DD"/>
    <w:rsid w:val="008375CB"/>
    <w:rsid w:val="00837A07"/>
    <w:rsid w:val="00840638"/>
    <w:rsid w:val="00842231"/>
    <w:rsid w:val="00842CD8"/>
    <w:rsid w:val="008431FA"/>
    <w:rsid w:val="00843427"/>
    <w:rsid w:val="008474DB"/>
    <w:rsid w:val="00847D5D"/>
    <w:rsid w:val="008528C9"/>
    <w:rsid w:val="00852ECA"/>
    <w:rsid w:val="00853B53"/>
    <w:rsid w:val="008547BA"/>
    <w:rsid w:val="008553C7"/>
    <w:rsid w:val="00857FEB"/>
    <w:rsid w:val="008601AF"/>
    <w:rsid w:val="00860E9B"/>
    <w:rsid w:val="008632D8"/>
    <w:rsid w:val="008664F2"/>
    <w:rsid w:val="00866F84"/>
    <w:rsid w:val="00872271"/>
    <w:rsid w:val="008734C5"/>
    <w:rsid w:val="0087644A"/>
    <w:rsid w:val="00881743"/>
    <w:rsid w:val="00882479"/>
    <w:rsid w:val="0088287B"/>
    <w:rsid w:val="00883137"/>
    <w:rsid w:val="00885E64"/>
    <w:rsid w:val="0088760E"/>
    <w:rsid w:val="00887D59"/>
    <w:rsid w:val="00893030"/>
    <w:rsid w:val="00894583"/>
    <w:rsid w:val="008956FB"/>
    <w:rsid w:val="00895C0D"/>
    <w:rsid w:val="008A004F"/>
    <w:rsid w:val="008A1CAF"/>
    <w:rsid w:val="008A1F5D"/>
    <w:rsid w:val="008A28F5"/>
    <w:rsid w:val="008A359B"/>
    <w:rsid w:val="008A4948"/>
    <w:rsid w:val="008A6B2C"/>
    <w:rsid w:val="008A7787"/>
    <w:rsid w:val="008B0CC1"/>
    <w:rsid w:val="008B0EA8"/>
    <w:rsid w:val="008B1198"/>
    <w:rsid w:val="008B3471"/>
    <w:rsid w:val="008B3929"/>
    <w:rsid w:val="008B4125"/>
    <w:rsid w:val="008B4CB3"/>
    <w:rsid w:val="008B7B24"/>
    <w:rsid w:val="008C01A5"/>
    <w:rsid w:val="008C058D"/>
    <w:rsid w:val="008C1506"/>
    <w:rsid w:val="008C356D"/>
    <w:rsid w:val="008C55F6"/>
    <w:rsid w:val="008C7A94"/>
    <w:rsid w:val="008D1232"/>
    <w:rsid w:val="008D1856"/>
    <w:rsid w:val="008D306E"/>
    <w:rsid w:val="008D34A8"/>
    <w:rsid w:val="008D563F"/>
    <w:rsid w:val="008D5DEE"/>
    <w:rsid w:val="008E0076"/>
    <w:rsid w:val="008E0B3F"/>
    <w:rsid w:val="008E1A22"/>
    <w:rsid w:val="008E49AD"/>
    <w:rsid w:val="008E698E"/>
    <w:rsid w:val="008F16C3"/>
    <w:rsid w:val="008F216F"/>
    <w:rsid w:val="008F2584"/>
    <w:rsid w:val="008F3246"/>
    <w:rsid w:val="008F3C1B"/>
    <w:rsid w:val="008F508C"/>
    <w:rsid w:val="008F5414"/>
    <w:rsid w:val="009009E0"/>
    <w:rsid w:val="00900EA9"/>
    <w:rsid w:val="009018C0"/>
    <w:rsid w:val="0090271B"/>
    <w:rsid w:val="009048C2"/>
    <w:rsid w:val="00905A9E"/>
    <w:rsid w:val="00905F8F"/>
    <w:rsid w:val="00906D76"/>
    <w:rsid w:val="00910642"/>
    <w:rsid w:val="00910DDF"/>
    <w:rsid w:val="00910E07"/>
    <w:rsid w:val="00912441"/>
    <w:rsid w:val="0091409B"/>
    <w:rsid w:val="00914215"/>
    <w:rsid w:val="009233A0"/>
    <w:rsid w:val="00923CEB"/>
    <w:rsid w:val="009273AE"/>
    <w:rsid w:val="009309E6"/>
    <w:rsid w:val="00930B13"/>
    <w:rsid w:val="009311C8"/>
    <w:rsid w:val="00933376"/>
    <w:rsid w:val="00933836"/>
    <w:rsid w:val="00933A2F"/>
    <w:rsid w:val="0093567D"/>
    <w:rsid w:val="00936C4C"/>
    <w:rsid w:val="00941C0A"/>
    <w:rsid w:val="00942F97"/>
    <w:rsid w:val="009465E7"/>
    <w:rsid w:val="00946846"/>
    <w:rsid w:val="009502EA"/>
    <w:rsid w:val="00950E45"/>
    <w:rsid w:val="00950FB2"/>
    <w:rsid w:val="00952653"/>
    <w:rsid w:val="00953713"/>
    <w:rsid w:val="00957995"/>
    <w:rsid w:val="00960ABB"/>
    <w:rsid w:val="009661AD"/>
    <w:rsid w:val="00966676"/>
    <w:rsid w:val="00966795"/>
    <w:rsid w:val="009670CA"/>
    <w:rsid w:val="009716D8"/>
    <w:rsid w:val="009718F9"/>
    <w:rsid w:val="00972CE9"/>
    <w:rsid w:val="00972FB9"/>
    <w:rsid w:val="009735EE"/>
    <w:rsid w:val="00975112"/>
    <w:rsid w:val="00981768"/>
    <w:rsid w:val="00983E8F"/>
    <w:rsid w:val="00984F13"/>
    <w:rsid w:val="009863B4"/>
    <w:rsid w:val="00987887"/>
    <w:rsid w:val="00994FDA"/>
    <w:rsid w:val="00994FFE"/>
    <w:rsid w:val="00995406"/>
    <w:rsid w:val="009A0954"/>
    <w:rsid w:val="009A19AD"/>
    <w:rsid w:val="009A1D43"/>
    <w:rsid w:val="009A31BF"/>
    <w:rsid w:val="009A3B71"/>
    <w:rsid w:val="009A42B6"/>
    <w:rsid w:val="009A5667"/>
    <w:rsid w:val="009A6132"/>
    <w:rsid w:val="009A61BC"/>
    <w:rsid w:val="009A6598"/>
    <w:rsid w:val="009B0138"/>
    <w:rsid w:val="009B0907"/>
    <w:rsid w:val="009B0FE9"/>
    <w:rsid w:val="009B173A"/>
    <w:rsid w:val="009B1E5D"/>
    <w:rsid w:val="009B253F"/>
    <w:rsid w:val="009B55D8"/>
    <w:rsid w:val="009C3F20"/>
    <w:rsid w:val="009C5F46"/>
    <w:rsid w:val="009C687C"/>
    <w:rsid w:val="009C7CA1"/>
    <w:rsid w:val="009D043D"/>
    <w:rsid w:val="009E06DF"/>
    <w:rsid w:val="009E32B2"/>
    <w:rsid w:val="009E751D"/>
    <w:rsid w:val="009F1052"/>
    <w:rsid w:val="009F2798"/>
    <w:rsid w:val="009F2DA1"/>
    <w:rsid w:val="009F3259"/>
    <w:rsid w:val="009F37B8"/>
    <w:rsid w:val="009F4BA0"/>
    <w:rsid w:val="009F599E"/>
    <w:rsid w:val="00A004B3"/>
    <w:rsid w:val="00A035E8"/>
    <w:rsid w:val="00A03F4A"/>
    <w:rsid w:val="00A056DE"/>
    <w:rsid w:val="00A10186"/>
    <w:rsid w:val="00A128AD"/>
    <w:rsid w:val="00A150B2"/>
    <w:rsid w:val="00A156BA"/>
    <w:rsid w:val="00A16647"/>
    <w:rsid w:val="00A20B0D"/>
    <w:rsid w:val="00A20CF2"/>
    <w:rsid w:val="00A21E76"/>
    <w:rsid w:val="00A23420"/>
    <w:rsid w:val="00A23BC8"/>
    <w:rsid w:val="00A25359"/>
    <w:rsid w:val="00A26183"/>
    <w:rsid w:val="00A27AA6"/>
    <w:rsid w:val="00A30E68"/>
    <w:rsid w:val="00A31675"/>
    <w:rsid w:val="00A3176A"/>
    <w:rsid w:val="00A31933"/>
    <w:rsid w:val="00A31DBA"/>
    <w:rsid w:val="00A3381B"/>
    <w:rsid w:val="00A33B49"/>
    <w:rsid w:val="00A34AA0"/>
    <w:rsid w:val="00A35A13"/>
    <w:rsid w:val="00A36175"/>
    <w:rsid w:val="00A36E3A"/>
    <w:rsid w:val="00A41FE2"/>
    <w:rsid w:val="00A420DD"/>
    <w:rsid w:val="00A43163"/>
    <w:rsid w:val="00A46FEF"/>
    <w:rsid w:val="00A47948"/>
    <w:rsid w:val="00A47F4B"/>
    <w:rsid w:val="00A50CF6"/>
    <w:rsid w:val="00A542D4"/>
    <w:rsid w:val="00A54CDA"/>
    <w:rsid w:val="00A55956"/>
    <w:rsid w:val="00A55D6E"/>
    <w:rsid w:val="00A56946"/>
    <w:rsid w:val="00A569BD"/>
    <w:rsid w:val="00A579E1"/>
    <w:rsid w:val="00A6170E"/>
    <w:rsid w:val="00A62E44"/>
    <w:rsid w:val="00A63241"/>
    <w:rsid w:val="00A638DE"/>
    <w:rsid w:val="00A63B8C"/>
    <w:rsid w:val="00A646D1"/>
    <w:rsid w:val="00A67AF6"/>
    <w:rsid w:val="00A67B54"/>
    <w:rsid w:val="00A67CAE"/>
    <w:rsid w:val="00A7092C"/>
    <w:rsid w:val="00A715F8"/>
    <w:rsid w:val="00A72129"/>
    <w:rsid w:val="00A74979"/>
    <w:rsid w:val="00A7699C"/>
    <w:rsid w:val="00A77F6F"/>
    <w:rsid w:val="00A80441"/>
    <w:rsid w:val="00A8108C"/>
    <w:rsid w:val="00A8132F"/>
    <w:rsid w:val="00A82AB2"/>
    <w:rsid w:val="00A82DDD"/>
    <w:rsid w:val="00A82FBF"/>
    <w:rsid w:val="00A831FD"/>
    <w:rsid w:val="00A83352"/>
    <w:rsid w:val="00A83A09"/>
    <w:rsid w:val="00A850A2"/>
    <w:rsid w:val="00A91CCD"/>
    <w:rsid w:val="00A91FA3"/>
    <w:rsid w:val="00A927D3"/>
    <w:rsid w:val="00A944B3"/>
    <w:rsid w:val="00AA226B"/>
    <w:rsid w:val="00AA3DAD"/>
    <w:rsid w:val="00AA48C9"/>
    <w:rsid w:val="00AA7FC9"/>
    <w:rsid w:val="00AB237D"/>
    <w:rsid w:val="00AB2530"/>
    <w:rsid w:val="00AB271F"/>
    <w:rsid w:val="00AB5933"/>
    <w:rsid w:val="00AB64D1"/>
    <w:rsid w:val="00AB7075"/>
    <w:rsid w:val="00AB7359"/>
    <w:rsid w:val="00AC2762"/>
    <w:rsid w:val="00AC28DF"/>
    <w:rsid w:val="00AC78A3"/>
    <w:rsid w:val="00AD0822"/>
    <w:rsid w:val="00AD0D7A"/>
    <w:rsid w:val="00AD28E6"/>
    <w:rsid w:val="00AD2FF0"/>
    <w:rsid w:val="00AD51EB"/>
    <w:rsid w:val="00AD69A3"/>
    <w:rsid w:val="00AD6D10"/>
    <w:rsid w:val="00AE013D"/>
    <w:rsid w:val="00AE0687"/>
    <w:rsid w:val="00AE11B7"/>
    <w:rsid w:val="00AE229E"/>
    <w:rsid w:val="00AE5228"/>
    <w:rsid w:val="00AE5729"/>
    <w:rsid w:val="00AE60CB"/>
    <w:rsid w:val="00AE627B"/>
    <w:rsid w:val="00AE6792"/>
    <w:rsid w:val="00AE7C12"/>
    <w:rsid w:val="00AE7F68"/>
    <w:rsid w:val="00AF081E"/>
    <w:rsid w:val="00AF2321"/>
    <w:rsid w:val="00AF4362"/>
    <w:rsid w:val="00AF4A15"/>
    <w:rsid w:val="00AF52F6"/>
    <w:rsid w:val="00AF67E7"/>
    <w:rsid w:val="00AF7237"/>
    <w:rsid w:val="00B0043A"/>
    <w:rsid w:val="00B00D75"/>
    <w:rsid w:val="00B031C9"/>
    <w:rsid w:val="00B04BFB"/>
    <w:rsid w:val="00B0618D"/>
    <w:rsid w:val="00B06455"/>
    <w:rsid w:val="00B070CB"/>
    <w:rsid w:val="00B10C54"/>
    <w:rsid w:val="00B11AE5"/>
    <w:rsid w:val="00B12456"/>
    <w:rsid w:val="00B12BFB"/>
    <w:rsid w:val="00B12CD1"/>
    <w:rsid w:val="00B14D26"/>
    <w:rsid w:val="00B160C9"/>
    <w:rsid w:val="00B1677D"/>
    <w:rsid w:val="00B22D91"/>
    <w:rsid w:val="00B24B8A"/>
    <w:rsid w:val="00B257C6"/>
    <w:rsid w:val="00B259C8"/>
    <w:rsid w:val="00B26CCF"/>
    <w:rsid w:val="00B27311"/>
    <w:rsid w:val="00B3019A"/>
    <w:rsid w:val="00B30B18"/>
    <w:rsid w:val="00B30FC2"/>
    <w:rsid w:val="00B331A2"/>
    <w:rsid w:val="00B34D0C"/>
    <w:rsid w:val="00B34F7D"/>
    <w:rsid w:val="00B40089"/>
    <w:rsid w:val="00B425F0"/>
    <w:rsid w:val="00B42DFA"/>
    <w:rsid w:val="00B42F85"/>
    <w:rsid w:val="00B43476"/>
    <w:rsid w:val="00B47199"/>
    <w:rsid w:val="00B4766D"/>
    <w:rsid w:val="00B47EC7"/>
    <w:rsid w:val="00B531DD"/>
    <w:rsid w:val="00B55014"/>
    <w:rsid w:val="00B55F62"/>
    <w:rsid w:val="00B560FE"/>
    <w:rsid w:val="00B564F8"/>
    <w:rsid w:val="00B606A9"/>
    <w:rsid w:val="00B62232"/>
    <w:rsid w:val="00B62800"/>
    <w:rsid w:val="00B65038"/>
    <w:rsid w:val="00B67955"/>
    <w:rsid w:val="00B70BF3"/>
    <w:rsid w:val="00B71DC2"/>
    <w:rsid w:val="00B71DE0"/>
    <w:rsid w:val="00B729F9"/>
    <w:rsid w:val="00B752CB"/>
    <w:rsid w:val="00B7586E"/>
    <w:rsid w:val="00B81470"/>
    <w:rsid w:val="00B8327B"/>
    <w:rsid w:val="00B85DCB"/>
    <w:rsid w:val="00B90139"/>
    <w:rsid w:val="00B90187"/>
    <w:rsid w:val="00B91CFC"/>
    <w:rsid w:val="00B91D49"/>
    <w:rsid w:val="00B93640"/>
    <w:rsid w:val="00B93893"/>
    <w:rsid w:val="00B939E2"/>
    <w:rsid w:val="00BA4053"/>
    <w:rsid w:val="00BA5D9D"/>
    <w:rsid w:val="00BA6996"/>
    <w:rsid w:val="00BA7E0A"/>
    <w:rsid w:val="00BA7E91"/>
    <w:rsid w:val="00BB34FE"/>
    <w:rsid w:val="00BB35E4"/>
    <w:rsid w:val="00BB5367"/>
    <w:rsid w:val="00BB709A"/>
    <w:rsid w:val="00BB737E"/>
    <w:rsid w:val="00BC2D63"/>
    <w:rsid w:val="00BC3851"/>
    <w:rsid w:val="00BC3B53"/>
    <w:rsid w:val="00BC3B96"/>
    <w:rsid w:val="00BC3D08"/>
    <w:rsid w:val="00BC4671"/>
    <w:rsid w:val="00BC4AE3"/>
    <w:rsid w:val="00BC5B28"/>
    <w:rsid w:val="00BC6097"/>
    <w:rsid w:val="00BD07D7"/>
    <w:rsid w:val="00BD1A74"/>
    <w:rsid w:val="00BD20BF"/>
    <w:rsid w:val="00BD2C1C"/>
    <w:rsid w:val="00BD3FF7"/>
    <w:rsid w:val="00BD6885"/>
    <w:rsid w:val="00BE3F88"/>
    <w:rsid w:val="00BE4529"/>
    <w:rsid w:val="00BE4756"/>
    <w:rsid w:val="00BE5ED9"/>
    <w:rsid w:val="00BE7B41"/>
    <w:rsid w:val="00BE7FE0"/>
    <w:rsid w:val="00BF5D47"/>
    <w:rsid w:val="00BF643E"/>
    <w:rsid w:val="00BF6DDF"/>
    <w:rsid w:val="00BF7121"/>
    <w:rsid w:val="00C02480"/>
    <w:rsid w:val="00C02A28"/>
    <w:rsid w:val="00C0368E"/>
    <w:rsid w:val="00C0379D"/>
    <w:rsid w:val="00C04EDC"/>
    <w:rsid w:val="00C06275"/>
    <w:rsid w:val="00C06370"/>
    <w:rsid w:val="00C11CC5"/>
    <w:rsid w:val="00C1243E"/>
    <w:rsid w:val="00C12D8C"/>
    <w:rsid w:val="00C14924"/>
    <w:rsid w:val="00C1582A"/>
    <w:rsid w:val="00C15A91"/>
    <w:rsid w:val="00C17A21"/>
    <w:rsid w:val="00C206F1"/>
    <w:rsid w:val="00C217E1"/>
    <w:rsid w:val="00C219B1"/>
    <w:rsid w:val="00C21CCF"/>
    <w:rsid w:val="00C2255A"/>
    <w:rsid w:val="00C241C4"/>
    <w:rsid w:val="00C25969"/>
    <w:rsid w:val="00C27337"/>
    <w:rsid w:val="00C30419"/>
    <w:rsid w:val="00C30523"/>
    <w:rsid w:val="00C30E25"/>
    <w:rsid w:val="00C34470"/>
    <w:rsid w:val="00C35B2D"/>
    <w:rsid w:val="00C4015B"/>
    <w:rsid w:val="00C40C60"/>
    <w:rsid w:val="00C4272B"/>
    <w:rsid w:val="00C438FC"/>
    <w:rsid w:val="00C4395B"/>
    <w:rsid w:val="00C440BB"/>
    <w:rsid w:val="00C475CA"/>
    <w:rsid w:val="00C51713"/>
    <w:rsid w:val="00C5258E"/>
    <w:rsid w:val="00C5274C"/>
    <w:rsid w:val="00C55B9C"/>
    <w:rsid w:val="00C619A7"/>
    <w:rsid w:val="00C62D10"/>
    <w:rsid w:val="00C62DE4"/>
    <w:rsid w:val="00C63271"/>
    <w:rsid w:val="00C63688"/>
    <w:rsid w:val="00C6625A"/>
    <w:rsid w:val="00C70F58"/>
    <w:rsid w:val="00C73D5F"/>
    <w:rsid w:val="00C74240"/>
    <w:rsid w:val="00C75E2C"/>
    <w:rsid w:val="00C805A4"/>
    <w:rsid w:val="00C82E66"/>
    <w:rsid w:val="00C8562E"/>
    <w:rsid w:val="00C867B0"/>
    <w:rsid w:val="00C87FF2"/>
    <w:rsid w:val="00C917D7"/>
    <w:rsid w:val="00C92958"/>
    <w:rsid w:val="00C9457C"/>
    <w:rsid w:val="00C977CC"/>
    <w:rsid w:val="00C97C80"/>
    <w:rsid w:val="00CA0BF1"/>
    <w:rsid w:val="00CA2832"/>
    <w:rsid w:val="00CA47D3"/>
    <w:rsid w:val="00CA6533"/>
    <w:rsid w:val="00CA6A25"/>
    <w:rsid w:val="00CA6A3F"/>
    <w:rsid w:val="00CA7C99"/>
    <w:rsid w:val="00CB07D8"/>
    <w:rsid w:val="00CB1BBC"/>
    <w:rsid w:val="00CB389D"/>
    <w:rsid w:val="00CB4986"/>
    <w:rsid w:val="00CB530A"/>
    <w:rsid w:val="00CB6AD9"/>
    <w:rsid w:val="00CC0047"/>
    <w:rsid w:val="00CC0AB0"/>
    <w:rsid w:val="00CC182F"/>
    <w:rsid w:val="00CC1F06"/>
    <w:rsid w:val="00CC3982"/>
    <w:rsid w:val="00CC4F53"/>
    <w:rsid w:val="00CC6290"/>
    <w:rsid w:val="00CC684E"/>
    <w:rsid w:val="00CC6E05"/>
    <w:rsid w:val="00CC78CE"/>
    <w:rsid w:val="00CD1AEA"/>
    <w:rsid w:val="00CD233D"/>
    <w:rsid w:val="00CD362D"/>
    <w:rsid w:val="00CD552D"/>
    <w:rsid w:val="00CE096F"/>
    <w:rsid w:val="00CE0C05"/>
    <w:rsid w:val="00CE101D"/>
    <w:rsid w:val="00CE1115"/>
    <w:rsid w:val="00CE1AF1"/>
    <w:rsid w:val="00CE1C84"/>
    <w:rsid w:val="00CE3888"/>
    <w:rsid w:val="00CE4467"/>
    <w:rsid w:val="00CE5055"/>
    <w:rsid w:val="00CE55B2"/>
    <w:rsid w:val="00CE5A4A"/>
    <w:rsid w:val="00CE7981"/>
    <w:rsid w:val="00CE7A6C"/>
    <w:rsid w:val="00CF01E9"/>
    <w:rsid w:val="00CF0482"/>
    <w:rsid w:val="00CF053F"/>
    <w:rsid w:val="00CF1A17"/>
    <w:rsid w:val="00CF1CBB"/>
    <w:rsid w:val="00CF4AB1"/>
    <w:rsid w:val="00D01844"/>
    <w:rsid w:val="00D03DB1"/>
    <w:rsid w:val="00D0609E"/>
    <w:rsid w:val="00D070B4"/>
    <w:rsid w:val="00D078E1"/>
    <w:rsid w:val="00D100E9"/>
    <w:rsid w:val="00D10838"/>
    <w:rsid w:val="00D14C4B"/>
    <w:rsid w:val="00D16C96"/>
    <w:rsid w:val="00D16E05"/>
    <w:rsid w:val="00D17ECC"/>
    <w:rsid w:val="00D2029D"/>
    <w:rsid w:val="00D21E4B"/>
    <w:rsid w:val="00D23468"/>
    <w:rsid w:val="00D23522"/>
    <w:rsid w:val="00D235F1"/>
    <w:rsid w:val="00D24D0E"/>
    <w:rsid w:val="00D25090"/>
    <w:rsid w:val="00D264D6"/>
    <w:rsid w:val="00D31870"/>
    <w:rsid w:val="00D32193"/>
    <w:rsid w:val="00D32756"/>
    <w:rsid w:val="00D33BF0"/>
    <w:rsid w:val="00D35CF0"/>
    <w:rsid w:val="00D3730E"/>
    <w:rsid w:val="00D37862"/>
    <w:rsid w:val="00D43007"/>
    <w:rsid w:val="00D444E6"/>
    <w:rsid w:val="00D449BD"/>
    <w:rsid w:val="00D46F1A"/>
    <w:rsid w:val="00D47CE2"/>
    <w:rsid w:val="00D50BA2"/>
    <w:rsid w:val="00D516BE"/>
    <w:rsid w:val="00D5423B"/>
    <w:rsid w:val="00D54F4E"/>
    <w:rsid w:val="00D60BA4"/>
    <w:rsid w:val="00D62419"/>
    <w:rsid w:val="00D638B9"/>
    <w:rsid w:val="00D65A62"/>
    <w:rsid w:val="00D661D7"/>
    <w:rsid w:val="00D7393C"/>
    <w:rsid w:val="00D77870"/>
    <w:rsid w:val="00D80977"/>
    <w:rsid w:val="00D80CCE"/>
    <w:rsid w:val="00D81060"/>
    <w:rsid w:val="00D8561F"/>
    <w:rsid w:val="00D875F0"/>
    <w:rsid w:val="00D87D03"/>
    <w:rsid w:val="00D9055C"/>
    <w:rsid w:val="00D91BF1"/>
    <w:rsid w:val="00D9333E"/>
    <w:rsid w:val="00D95C88"/>
    <w:rsid w:val="00D97B2E"/>
    <w:rsid w:val="00DA0707"/>
    <w:rsid w:val="00DA6442"/>
    <w:rsid w:val="00DB0B1A"/>
    <w:rsid w:val="00DB21C2"/>
    <w:rsid w:val="00DB36FE"/>
    <w:rsid w:val="00DB533A"/>
    <w:rsid w:val="00DB6307"/>
    <w:rsid w:val="00DB72B4"/>
    <w:rsid w:val="00DC1218"/>
    <w:rsid w:val="00DC4982"/>
    <w:rsid w:val="00DC4AB6"/>
    <w:rsid w:val="00DC6751"/>
    <w:rsid w:val="00DC7AB2"/>
    <w:rsid w:val="00DD15BF"/>
    <w:rsid w:val="00DD1DCD"/>
    <w:rsid w:val="00DD28C5"/>
    <w:rsid w:val="00DD31A3"/>
    <w:rsid w:val="00DD338F"/>
    <w:rsid w:val="00DD4366"/>
    <w:rsid w:val="00DD45D8"/>
    <w:rsid w:val="00DD61A1"/>
    <w:rsid w:val="00DD6408"/>
    <w:rsid w:val="00DD66F2"/>
    <w:rsid w:val="00DE101A"/>
    <w:rsid w:val="00DE2C6E"/>
    <w:rsid w:val="00DE3FE0"/>
    <w:rsid w:val="00DE4772"/>
    <w:rsid w:val="00DE4FD2"/>
    <w:rsid w:val="00DE578A"/>
    <w:rsid w:val="00DE7F9C"/>
    <w:rsid w:val="00DF0C32"/>
    <w:rsid w:val="00DF1EED"/>
    <w:rsid w:val="00DF2583"/>
    <w:rsid w:val="00DF54D9"/>
    <w:rsid w:val="00DF7283"/>
    <w:rsid w:val="00E01A59"/>
    <w:rsid w:val="00E02FF0"/>
    <w:rsid w:val="00E038AF"/>
    <w:rsid w:val="00E07569"/>
    <w:rsid w:val="00E07CA2"/>
    <w:rsid w:val="00E10DC6"/>
    <w:rsid w:val="00E1112D"/>
    <w:rsid w:val="00E11F8E"/>
    <w:rsid w:val="00E122B2"/>
    <w:rsid w:val="00E12D75"/>
    <w:rsid w:val="00E15016"/>
    <w:rsid w:val="00E15881"/>
    <w:rsid w:val="00E16693"/>
    <w:rsid w:val="00E16A8F"/>
    <w:rsid w:val="00E1777B"/>
    <w:rsid w:val="00E2114A"/>
    <w:rsid w:val="00E21DE3"/>
    <w:rsid w:val="00E228FF"/>
    <w:rsid w:val="00E22EFF"/>
    <w:rsid w:val="00E307D1"/>
    <w:rsid w:val="00E31322"/>
    <w:rsid w:val="00E327A7"/>
    <w:rsid w:val="00E34F4B"/>
    <w:rsid w:val="00E351CF"/>
    <w:rsid w:val="00E37251"/>
    <w:rsid w:val="00E3731D"/>
    <w:rsid w:val="00E37AE1"/>
    <w:rsid w:val="00E42ED5"/>
    <w:rsid w:val="00E43340"/>
    <w:rsid w:val="00E460AC"/>
    <w:rsid w:val="00E46AFF"/>
    <w:rsid w:val="00E47603"/>
    <w:rsid w:val="00E51469"/>
    <w:rsid w:val="00E5535E"/>
    <w:rsid w:val="00E55D02"/>
    <w:rsid w:val="00E60169"/>
    <w:rsid w:val="00E634E3"/>
    <w:rsid w:val="00E64BDA"/>
    <w:rsid w:val="00E665EA"/>
    <w:rsid w:val="00E70C8A"/>
    <w:rsid w:val="00E717C4"/>
    <w:rsid w:val="00E71C67"/>
    <w:rsid w:val="00E73016"/>
    <w:rsid w:val="00E73403"/>
    <w:rsid w:val="00E7758C"/>
    <w:rsid w:val="00E77F89"/>
    <w:rsid w:val="00E80E71"/>
    <w:rsid w:val="00E80F82"/>
    <w:rsid w:val="00E812D0"/>
    <w:rsid w:val="00E818DD"/>
    <w:rsid w:val="00E826FF"/>
    <w:rsid w:val="00E82E78"/>
    <w:rsid w:val="00E850D3"/>
    <w:rsid w:val="00E853D6"/>
    <w:rsid w:val="00E8584A"/>
    <w:rsid w:val="00E86859"/>
    <w:rsid w:val="00E876B9"/>
    <w:rsid w:val="00E92004"/>
    <w:rsid w:val="00E96086"/>
    <w:rsid w:val="00EA1A8B"/>
    <w:rsid w:val="00EA1F78"/>
    <w:rsid w:val="00EA23CB"/>
    <w:rsid w:val="00EA4B72"/>
    <w:rsid w:val="00EA6410"/>
    <w:rsid w:val="00EB117C"/>
    <w:rsid w:val="00EB3567"/>
    <w:rsid w:val="00EB4B9D"/>
    <w:rsid w:val="00EB4FC8"/>
    <w:rsid w:val="00EC0DFF"/>
    <w:rsid w:val="00EC237D"/>
    <w:rsid w:val="00EC4D0E"/>
    <w:rsid w:val="00EC4E2B"/>
    <w:rsid w:val="00EC7366"/>
    <w:rsid w:val="00ED04A6"/>
    <w:rsid w:val="00ED072A"/>
    <w:rsid w:val="00ED0B86"/>
    <w:rsid w:val="00ED2CCC"/>
    <w:rsid w:val="00ED539E"/>
    <w:rsid w:val="00ED55F5"/>
    <w:rsid w:val="00ED7AF7"/>
    <w:rsid w:val="00EE1B46"/>
    <w:rsid w:val="00EE4A1F"/>
    <w:rsid w:val="00EE4C2D"/>
    <w:rsid w:val="00EE54E7"/>
    <w:rsid w:val="00EE6287"/>
    <w:rsid w:val="00EE657D"/>
    <w:rsid w:val="00EE6FA5"/>
    <w:rsid w:val="00EF10C6"/>
    <w:rsid w:val="00EF1B5A"/>
    <w:rsid w:val="00EF24FB"/>
    <w:rsid w:val="00EF2707"/>
    <w:rsid w:val="00EF2CCA"/>
    <w:rsid w:val="00EF5878"/>
    <w:rsid w:val="00EF60DC"/>
    <w:rsid w:val="00EF6664"/>
    <w:rsid w:val="00F00F54"/>
    <w:rsid w:val="00F03963"/>
    <w:rsid w:val="00F03DB6"/>
    <w:rsid w:val="00F04876"/>
    <w:rsid w:val="00F0793B"/>
    <w:rsid w:val="00F107D1"/>
    <w:rsid w:val="00F10D28"/>
    <w:rsid w:val="00F11068"/>
    <w:rsid w:val="00F1134F"/>
    <w:rsid w:val="00F1256D"/>
    <w:rsid w:val="00F129D5"/>
    <w:rsid w:val="00F13A4E"/>
    <w:rsid w:val="00F172BB"/>
    <w:rsid w:val="00F179A8"/>
    <w:rsid w:val="00F17B10"/>
    <w:rsid w:val="00F202C6"/>
    <w:rsid w:val="00F20440"/>
    <w:rsid w:val="00F21BEF"/>
    <w:rsid w:val="00F220A5"/>
    <w:rsid w:val="00F238E6"/>
    <w:rsid w:val="00F24CF1"/>
    <w:rsid w:val="00F3622F"/>
    <w:rsid w:val="00F371A1"/>
    <w:rsid w:val="00F37599"/>
    <w:rsid w:val="00F37CFE"/>
    <w:rsid w:val="00F41404"/>
    <w:rsid w:val="00F41A6F"/>
    <w:rsid w:val="00F44C52"/>
    <w:rsid w:val="00F45A25"/>
    <w:rsid w:val="00F50F86"/>
    <w:rsid w:val="00F51FB7"/>
    <w:rsid w:val="00F53F91"/>
    <w:rsid w:val="00F54564"/>
    <w:rsid w:val="00F54DF8"/>
    <w:rsid w:val="00F56EEE"/>
    <w:rsid w:val="00F573E6"/>
    <w:rsid w:val="00F61569"/>
    <w:rsid w:val="00F61A72"/>
    <w:rsid w:val="00F62B67"/>
    <w:rsid w:val="00F637C2"/>
    <w:rsid w:val="00F64A57"/>
    <w:rsid w:val="00F64C71"/>
    <w:rsid w:val="00F650BB"/>
    <w:rsid w:val="00F66950"/>
    <w:rsid w:val="00F66F13"/>
    <w:rsid w:val="00F679BC"/>
    <w:rsid w:val="00F72FF1"/>
    <w:rsid w:val="00F735CC"/>
    <w:rsid w:val="00F74073"/>
    <w:rsid w:val="00F75603"/>
    <w:rsid w:val="00F767F8"/>
    <w:rsid w:val="00F7763B"/>
    <w:rsid w:val="00F845B4"/>
    <w:rsid w:val="00F8493F"/>
    <w:rsid w:val="00F8647E"/>
    <w:rsid w:val="00F865CD"/>
    <w:rsid w:val="00F8713B"/>
    <w:rsid w:val="00F92455"/>
    <w:rsid w:val="00F93AA1"/>
    <w:rsid w:val="00F93D80"/>
    <w:rsid w:val="00F93F9E"/>
    <w:rsid w:val="00F97130"/>
    <w:rsid w:val="00F97CB5"/>
    <w:rsid w:val="00FA2CD7"/>
    <w:rsid w:val="00FA555D"/>
    <w:rsid w:val="00FA6C6E"/>
    <w:rsid w:val="00FB0456"/>
    <w:rsid w:val="00FB06ED"/>
    <w:rsid w:val="00FB0E3A"/>
    <w:rsid w:val="00FB22B0"/>
    <w:rsid w:val="00FB2ED7"/>
    <w:rsid w:val="00FC0A3E"/>
    <w:rsid w:val="00FC15B4"/>
    <w:rsid w:val="00FC3165"/>
    <w:rsid w:val="00FC36AB"/>
    <w:rsid w:val="00FC4300"/>
    <w:rsid w:val="00FC7839"/>
    <w:rsid w:val="00FC7F66"/>
    <w:rsid w:val="00FD48B8"/>
    <w:rsid w:val="00FD4CC4"/>
    <w:rsid w:val="00FD5776"/>
    <w:rsid w:val="00FD5E17"/>
    <w:rsid w:val="00FE0B7D"/>
    <w:rsid w:val="00FE1CB6"/>
    <w:rsid w:val="00FE3683"/>
    <w:rsid w:val="00FE486B"/>
    <w:rsid w:val="00FE4F08"/>
    <w:rsid w:val="00FE610D"/>
    <w:rsid w:val="00FE628C"/>
    <w:rsid w:val="00FE755B"/>
    <w:rsid w:val="00FF0D2F"/>
    <w:rsid w:val="00FF1047"/>
    <w:rsid w:val="00FF1F83"/>
    <w:rsid w:val="00FF1FA6"/>
    <w:rsid w:val="0117479E"/>
    <w:rsid w:val="019EDFC0"/>
    <w:rsid w:val="01A90ABA"/>
    <w:rsid w:val="01D0DE11"/>
    <w:rsid w:val="02021D01"/>
    <w:rsid w:val="02226C1C"/>
    <w:rsid w:val="02352136"/>
    <w:rsid w:val="0267F9F7"/>
    <w:rsid w:val="02A97F07"/>
    <w:rsid w:val="0446832D"/>
    <w:rsid w:val="0579134A"/>
    <w:rsid w:val="05D415EB"/>
    <w:rsid w:val="066B9ADA"/>
    <w:rsid w:val="07023FB6"/>
    <w:rsid w:val="071ECF98"/>
    <w:rsid w:val="07C6EDA9"/>
    <w:rsid w:val="07F8B52B"/>
    <w:rsid w:val="0845B76E"/>
    <w:rsid w:val="091BEE8A"/>
    <w:rsid w:val="0B414684"/>
    <w:rsid w:val="0CBBD99C"/>
    <w:rsid w:val="0E04E986"/>
    <w:rsid w:val="107B93A5"/>
    <w:rsid w:val="10E15C9F"/>
    <w:rsid w:val="11E5260B"/>
    <w:rsid w:val="13A45581"/>
    <w:rsid w:val="1535478A"/>
    <w:rsid w:val="16C6B892"/>
    <w:rsid w:val="16EC94FD"/>
    <w:rsid w:val="173DDB64"/>
    <w:rsid w:val="17516566"/>
    <w:rsid w:val="1765AAD6"/>
    <w:rsid w:val="17A4FE28"/>
    <w:rsid w:val="17B53A29"/>
    <w:rsid w:val="17F20D8D"/>
    <w:rsid w:val="18AB4CA8"/>
    <w:rsid w:val="18C1A1C9"/>
    <w:rsid w:val="19964DDB"/>
    <w:rsid w:val="1A1377D6"/>
    <w:rsid w:val="1AF1AD43"/>
    <w:rsid w:val="1BD98CCB"/>
    <w:rsid w:val="1C8835C0"/>
    <w:rsid w:val="1CC5F78C"/>
    <w:rsid w:val="1D1768D3"/>
    <w:rsid w:val="1F3463BF"/>
    <w:rsid w:val="1F3EFB4D"/>
    <w:rsid w:val="2179F07D"/>
    <w:rsid w:val="228CBE2C"/>
    <w:rsid w:val="231E4792"/>
    <w:rsid w:val="2345C2DE"/>
    <w:rsid w:val="2409BC87"/>
    <w:rsid w:val="2423FF19"/>
    <w:rsid w:val="244E9D59"/>
    <w:rsid w:val="24B089F7"/>
    <w:rsid w:val="24E516DD"/>
    <w:rsid w:val="2521C1D2"/>
    <w:rsid w:val="2563E0D1"/>
    <w:rsid w:val="2605FF51"/>
    <w:rsid w:val="2648AFDB"/>
    <w:rsid w:val="26838C78"/>
    <w:rsid w:val="2719A45B"/>
    <w:rsid w:val="276956D0"/>
    <w:rsid w:val="2785923A"/>
    <w:rsid w:val="27BA6EB7"/>
    <w:rsid w:val="27D823F6"/>
    <w:rsid w:val="285A9528"/>
    <w:rsid w:val="2A777211"/>
    <w:rsid w:val="2AE5A9B2"/>
    <w:rsid w:val="2B206167"/>
    <w:rsid w:val="2C13DA9D"/>
    <w:rsid w:val="2C2ACC50"/>
    <w:rsid w:val="2CEC61C0"/>
    <w:rsid w:val="2D9CA537"/>
    <w:rsid w:val="2E0F7252"/>
    <w:rsid w:val="2ECCE1F2"/>
    <w:rsid w:val="2ED91CC1"/>
    <w:rsid w:val="2F45E092"/>
    <w:rsid w:val="2F82494F"/>
    <w:rsid w:val="2FDA43EA"/>
    <w:rsid w:val="307F9011"/>
    <w:rsid w:val="3108F1BF"/>
    <w:rsid w:val="3116E4A4"/>
    <w:rsid w:val="31A21392"/>
    <w:rsid w:val="31B3DE30"/>
    <w:rsid w:val="31D90991"/>
    <w:rsid w:val="31DD394D"/>
    <w:rsid w:val="32F479BA"/>
    <w:rsid w:val="33A23CA7"/>
    <w:rsid w:val="34F2F62A"/>
    <w:rsid w:val="35112CCA"/>
    <w:rsid w:val="354BB7EA"/>
    <w:rsid w:val="36CB0561"/>
    <w:rsid w:val="36E42609"/>
    <w:rsid w:val="3AA3A4D3"/>
    <w:rsid w:val="3AB2DA8D"/>
    <w:rsid w:val="3B28C10A"/>
    <w:rsid w:val="3BDF86BD"/>
    <w:rsid w:val="3BFF630A"/>
    <w:rsid w:val="3C63E809"/>
    <w:rsid w:val="3E2D22DA"/>
    <w:rsid w:val="3E34A840"/>
    <w:rsid w:val="3E37C5D5"/>
    <w:rsid w:val="3E4422D0"/>
    <w:rsid w:val="3EE963E6"/>
    <w:rsid w:val="3F30544A"/>
    <w:rsid w:val="3F91DD7A"/>
    <w:rsid w:val="411221AE"/>
    <w:rsid w:val="4135AD6F"/>
    <w:rsid w:val="417DA654"/>
    <w:rsid w:val="4268EECA"/>
    <w:rsid w:val="457DFE60"/>
    <w:rsid w:val="465380C4"/>
    <w:rsid w:val="46C6A6AA"/>
    <w:rsid w:val="470EE900"/>
    <w:rsid w:val="47B5A876"/>
    <w:rsid w:val="487231CE"/>
    <w:rsid w:val="48C4C799"/>
    <w:rsid w:val="4B3926C2"/>
    <w:rsid w:val="4C7ECF8E"/>
    <w:rsid w:val="4DB0AC46"/>
    <w:rsid w:val="4E8338B8"/>
    <w:rsid w:val="4EE440FF"/>
    <w:rsid w:val="4FC67C16"/>
    <w:rsid w:val="4FEA3742"/>
    <w:rsid w:val="531BFB7E"/>
    <w:rsid w:val="53E89A4E"/>
    <w:rsid w:val="5477301B"/>
    <w:rsid w:val="57B81EF8"/>
    <w:rsid w:val="58281D7D"/>
    <w:rsid w:val="591C55B7"/>
    <w:rsid w:val="5A1634F6"/>
    <w:rsid w:val="5D4C71ED"/>
    <w:rsid w:val="5D7EE144"/>
    <w:rsid w:val="5E19BB31"/>
    <w:rsid w:val="5EB472DB"/>
    <w:rsid w:val="5EE267F9"/>
    <w:rsid w:val="60563E2E"/>
    <w:rsid w:val="60575359"/>
    <w:rsid w:val="61C32CB7"/>
    <w:rsid w:val="629AE455"/>
    <w:rsid w:val="63069F2C"/>
    <w:rsid w:val="664654F4"/>
    <w:rsid w:val="6675A98F"/>
    <w:rsid w:val="6736F2FD"/>
    <w:rsid w:val="6738AC40"/>
    <w:rsid w:val="685D4C48"/>
    <w:rsid w:val="69174945"/>
    <w:rsid w:val="692D901E"/>
    <w:rsid w:val="6967864A"/>
    <w:rsid w:val="6ADF763B"/>
    <w:rsid w:val="6B3EBF3F"/>
    <w:rsid w:val="6B6DBB86"/>
    <w:rsid w:val="6C031B32"/>
    <w:rsid w:val="6C3CCC4A"/>
    <w:rsid w:val="6C97A9EF"/>
    <w:rsid w:val="6CAC9CC3"/>
    <w:rsid w:val="6CEC0948"/>
    <w:rsid w:val="6D50F845"/>
    <w:rsid w:val="6DEC8C78"/>
    <w:rsid w:val="6E3E6F45"/>
    <w:rsid w:val="6E40AA9C"/>
    <w:rsid w:val="6E7178D0"/>
    <w:rsid w:val="6E7F0233"/>
    <w:rsid w:val="6EDF6C64"/>
    <w:rsid w:val="6EE0D71A"/>
    <w:rsid w:val="6F20EA13"/>
    <w:rsid w:val="6F456A45"/>
    <w:rsid w:val="700F6CD2"/>
    <w:rsid w:val="705F0E9A"/>
    <w:rsid w:val="70D0E566"/>
    <w:rsid w:val="73F52D31"/>
    <w:rsid w:val="74161535"/>
    <w:rsid w:val="744E89C2"/>
    <w:rsid w:val="74C0873A"/>
    <w:rsid w:val="74E19F8D"/>
    <w:rsid w:val="758A8F10"/>
    <w:rsid w:val="76976473"/>
    <w:rsid w:val="76A0FC5A"/>
    <w:rsid w:val="76FA5C89"/>
    <w:rsid w:val="7734726C"/>
    <w:rsid w:val="777041F2"/>
    <w:rsid w:val="787D6DBF"/>
    <w:rsid w:val="78DCCAFE"/>
    <w:rsid w:val="793ADAE5"/>
    <w:rsid w:val="79DCEA8B"/>
    <w:rsid w:val="7A886B7D"/>
    <w:rsid w:val="7B2D88C1"/>
    <w:rsid w:val="7C6B3AFA"/>
    <w:rsid w:val="7EF0AF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6A5C1"/>
  <w15:docId w15:val="{C5CDBE84-A2FD-40F9-AEEB-BFE0307B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CC1F06"/>
    <w:pPr>
      <w:spacing w:line="280" w:lineRule="atLeast"/>
      <w:ind w:left="720"/>
      <w:contextualSpacing/>
    </w:pPr>
    <w:rPr>
      <w:rFonts w:ascii="Times New Roman" w:hAnsi="Times New Roman"/>
      <w:sz w:val="22"/>
      <w:szCs w:val="20"/>
      <w:lang w:eastAsia="en-US"/>
    </w:rPr>
  </w:style>
  <w:style w:type="paragraph" w:customStyle="1" w:styleId="StijlLijstalinea10pt">
    <w:name w:val="Stijl Lijstalinea + 10 pt"/>
    <w:basedOn w:val="Lijstalinea"/>
    <w:rsid w:val="000E39D9"/>
    <w:rPr>
      <w:sz w:val="20"/>
    </w:rPr>
  </w:style>
  <w:style w:type="character" w:customStyle="1" w:styleId="BallontekstChar">
    <w:name w:val="Ballontekst Char"/>
    <w:basedOn w:val="Standaardalinea-lettertype"/>
    <w:rsid w:val="00A26183"/>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CA665E"/>
    <w:rPr>
      <w:color w:val="808080"/>
    </w:rPr>
  </w:style>
  <w:style w:type="character" w:customStyle="1" w:styleId="BallontekstChar1">
    <w:name w:val="Ballontekst Char1"/>
    <w:basedOn w:val="Standaardalinea-lettertype"/>
    <w:link w:val="Ballontekst"/>
    <w:rsid w:val="004204E2"/>
    <w:rPr>
      <w:rFonts w:ascii="Tahoma" w:hAnsi="Tahoma" w:cs="Tahoma"/>
      <w:sz w:val="16"/>
      <w:szCs w:val="16"/>
      <w:lang w:val="nl-NL" w:eastAsia="nl-NL"/>
    </w:rPr>
  </w:style>
  <w:style w:type="paragraph" w:styleId="Revisie">
    <w:name w:val="Revision"/>
    <w:hidden/>
    <w:uiPriority w:val="99"/>
    <w:semiHidden/>
    <w:rsid w:val="0069233B"/>
    <w:rPr>
      <w:rFonts w:ascii="Verdana" w:hAnsi="Verdana"/>
      <w:sz w:val="18"/>
      <w:szCs w:val="24"/>
      <w:lang w:val="nl-NL" w:eastAsia="nl-NL"/>
    </w:rPr>
  </w:style>
  <w:style w:type="character" w:styleId="Verwijzingopmerking">
    <w:name w:val="annotation reference"/>
    <w:basedOn w:val="Standaardalinea-lettertype"/>
    <w:rsid w:val="00F92455"/>
    <w:rPr>
      <w:sz w:val="16"/>
      <w:szCs w:val="16"/>
    </w:rPr>
  </w:style>
  <w:style w:type="paragraph" w:styleId="Tekstopmerking">
    <w:name w:val="annotation text"/>
    <w:basedOn w:val="Standaard"/>
    <w:link w:val="TekstopmerkingChar"/>
    <w:rsid w:val="00F92455"/>
    <w:pPr>
      <w:spacing w:line="240" w:lineRule="auto"/>
    </w:pPr>
    <w:rPr>
      <w:sz w:val="20"/>
      <w:szCs w:val="20"/>
    </w:rPr>
  </w:style>
  <w:style w:type="character" w:customStyle="1" w:styleId="TekstopmerkingChar">
    <w:name w:val="Tekst opmerking Char"/>
    <w:basedOn w:val="Standaardalinea-lettertype"/>
    <w:link w:val="Tekstopmerking"/>
    <w:rsid w:val="00F92455"/>
    <w:rPr>
      <w:rFonts w:ascii="Verdana" w:hAnsi="Verdana"/>
      <w:lang w:val="nl-NL" w:eastAsia="nl-NL"/>
    </w:rPr>
  </w:style>
  <w:style w:type="paragraph" w:styleId="Onderwerpvanopmerking">
    <w:name w:val="annotation subject"/>
    <w:basedOn w:val="Tekstopmerking"/>
    <w:next w:val="Tekstopmerking"/>
    <w:link w:val="OnderwerpvanopmerkingChar"/>
    <w:rsid w:val="00F92455"/>
    <w:rPr>
      <w:b/>
      <w:bCs/>
    </w:rPr>
  </w:style>
  <w:style w:type="character" w:customStyle="1" w:styleId="OnderwerpvanopmerkingChar">
    <w:name w:val="Onderwerp van opmerking Char"/>
    <w:basedOn w:val="TekstopmerkingChar"/>
    <w:link w:val="Onderwerpvanopmerking"/>
    <w:rsid w:val="00F92455"/>
    <w:rPr>
      <w:rFonts w:ascii="Verdana" w:hAnsi="Verdana"/>
      <w:b/>
      <w:bCs/>
      <w:lang w:val="nl-NL" w:eastAsia="nl-NL"/>
    </w:rPr>
  </w:style>
  <w:style w:type="character" w:styleId="Vermelding">
    <w:name w:val="Mention"/>
    <w:basedOn w:val="Standaardalinea-lettertype"/>
    <w:uiPriority w:val="99"/>
    <w:unhideWhenUsed/>
    <w:rsid w:val="00EF5878"/>
    <w:rPr>
      <w:color w:val="2B579A"/>
      <w:shd w:val="clear" w:color="auto" w:fill="E1DFDD"/>
    </w:rPr>
  </w:style>
  <w:style w:type="character" w:customStyle="1" w:styleId="VoettekstChar">
    <w:name w:val="Voettekst Char"/>
    <w:basedOn w:val="Standaardalinea-lettertype"/>
    <w:link w:val="Voettekst"/>
    <w:uiPriority w:val="99"/>
    <w:rsid w:val="0059483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2473</ap:Words>
  <ap:Characters>13604</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2026-02-03T01:59:00.0000000Z</lastPrinted>
  <dcterms:created xsi:type="dcterms:W3CDTF">2026-05-04T10:56:00.0000000Z</dcterms:created>
  <dcterms:modified xsi:type="dcterms:W3CDTF">2026-06-17T12:34:00.0000000Z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WesthoffA1</vt:lpwstr>
  </property>
  <property fmtid="{D5CDD505-2E9C-101B-9397-08002B2CF9AE}" pid="3" name="AUTHOR_ID">
    <vt:lpwstr>WesthoffA1</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Header">
    <vt:lpwstr>Ontwerp wetsvoorstel (nieuw) KGG</vt:lpwstr>
  </property>
  <property fmtid="{D5CDD505-2E9C-101B-9397-08002B2CF9AE}" pid="9" name="HeaderId">
    <vt:lpwstr>D012972C46464A659E0E8216F0E40186</vt:lpwstr>
  </property>
  <property fmtid="{D5CDD505-2E9C-101B-9397-08002B2CF9AE}" pid="10" name="Template">
    <vt:lpwstr>Ontwerp wetsvoorstel (nieuw) KGG</vt:lpwstr>
  </property>
  <property fmtid="{D5CDD505-2E9C-101B-9397-08002B2CF9AE}" pid="11" name="TemplateId">
    <vt:lpwstr>58EC12E686EF4BF7BC564182D2736766</vt:lpwstr>
  </property>
  <property fmtid="{D5CDD505-2E9C-101B-9397-08002B2CF9AE}" pid="12" name="TYPE_ID">
    <vt:lpwstr>Wetsontwerp</vt:lpwstr>
  </property>
  <property fmtid="{D5CDD505-2E9C-101B-9397-08002B2CF9AE}" pid="13" name="Typist">
    <vt:lpwstr>WesthoffA1</vt:lpwstr>
  </property>
  <property fmtid="{D5CDD505-2E9C-101B-9397-08002B2CF9AE}" pid="14" name="ContentTypeId">
    <vt:lpwstr>0x01010038E60350FC170647B310166F2EB204D8</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MediaServiceImageTags">
    <vt:lpwstr/>
  </property>
</Properties>
</file>