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C26" w:rsidP="00426C26" w:rsidRDefault="00426C26" w14:paraId="2B9DBD3E" w14:textId="77777777">
      <w:pPr>
        <w:rPr>
          <w:lang w:val="nl-NL"/>
        </w:rPr>
      </w:pPr>
      <w:r w:rsidRPr="004B586A">
        <w:rPr>
          <w:lang w:val="nl-NL"/>
        </w:rPr>
        <w:t xml:space="preserve">2026Z11211 (ingezonden 28 mei 2026) Vragen van het lid Van Brenk (50PLUS) aan de minister van Sociale Zaken en Werkgelegenheid over de brief van de minister met betrekking tot de toekomst van ons pensioenstelsel </w:t>
      </w:r>
    </w:p>
    <w:p w:rsidRPr="004B586A" w:rsidR="00426C26" w:rsidP="00426C26" w:rsidRDefault="00426C26" w14:paraId="5D71AD5E" w14:textId="77777777">
      <w:pPr>
        <w:pStyle w:val="Lijstalinea"/>
        <w:numPr>
          <w:ilvl w:val="0"/>
          <w:numId w:val="1"/>
        </w:numPr>
        <w:rPr>
          <w:lang w:val="nl-NL"/>
        </w:rPr>
      </w:pPr>
      <w:r w:rsidRPr="004B586A">
        <w:rPr>
          <w:lang w:val="nl-NL"/>
        </w:rPr>
        <w:t xml:space="preserve">Waarom wil u pas in 2028 de Tweede Kamer informeren over de vergroting van koopkracht als gevolg van het nieuwe stelsel terwijl dit voor gepensioneerden juist een van de belangrijkste redenen was om akkoord te gaan met nieuwe pensioenstelsel? </w:t>
      </w:r>
    </w:p>
    <w:p w:rsidRPr="004B586A" w:rsidR="00426C26" w:rsidP="00426C26" w:rsidRDefault="00426C26" w14:paraId="6D14D1AD" w14:textId="1E7B794F">
      <w:pPr>
        <w:rPr>
          <w:lang w:val="nl-NL"/>
        </w:rPr>
      </w:pPr>
      <w:r>
        <w:rPr>
          <w:lang w:val="nl-NL"/>
        </w:rPr>
        <w:t>Antwoord 1: De koopkracht van deelnemers en gepensioneerden is een belangrijk onderwerp waar u terecht aandacht voor vraagt.</w:t>
      </w:r>
      <w:r w:rsidR="00664F10">
        <w:rPr>
          <w:lang w:val="nl-NL"/>
        </w:rPr>
        <w:t xml:space="preserve"> Zoals ik in mijn brief aan uw Kamer heb aangegeven, biedt het nieuwe pensioenstelsel meer perspectief op een koopkrachtig pensioen in vergelijking met het oude stelsel. Aan het toevoegen van eventuele additionele koopkrachtinstrumenten zijn voor- en nadelen verbonden.</w:t>
      </w:r>
      <w:r>
        <w:rPr>
          <w:lang w:val="nl-NL"/>
        </w:rPr>
        <w:t xml:space="preserve"> Ik wil u</w:t>
      </w:r>
      <w:r w:rsidRPr="004B586A">
        <w:rPr>
          <w:lang w:val="nl-NL"/>
        </w:rPr>
        <w:t xml:space="preserve">itvoeringspartijen in de pensioensector </w:t>
      </w:r>
      <w:r>
        <w:rPr>
          <w:lang w:val="nl-NL"/>
        </w:rPr>
        <w:t xml:space="preserve">de tijd geven </w:t>
      </w:r>
      <w:r w:rsidRPr="004B586A">
        <w:rPr>
          <w:lang w:val="nl-NL"/>
        </w:rPr>
        <w:t xml:space="preserve">om </w:t>
      </w:r>
      <w:r>
        <w:rPr>
          <w:lang w:val="nl-NL"/>
        </w:rPr>
        <w:t xml:space="preserve">zorgvuldig </w:t>
      </w:r>
      <w:r w:rsidRPr="004B586A">
        <w:rPr>
          <w:lang w:val="nl-NL"/>
        </w:rPr>
        <w:t xml:space="preserve">de </w:t>
      </w:r>
      <w:r>
        <w:rPr>
          <w:lang w:val="nl-NL"/>
        </w:rPr>
        <w:t>inzet van additionele koopkrachtinstrumenten</w:t>
      </w:r>
      <w:r w:rsidRPr="004B586A">
        <w:rPr>
          <w:lang w:val="nl-NL"/>
        </w:rPr>
        <w:t xml:space="preserve"> te toetsen op uitvoerbaarheid en uitlegbaarheid. De uitvoeringspartijen zijn ook beter in staat om de praktische uitwerking van deze varianten verder te onderzoeken. </w:t>
      </w:r>
      <w:r>
        <w:rPr>
          <w:lang w:val="nl-NL"/>
        </w:rPr>
        <w:t>D</w:t>
      </w:r>
      <w:r w:rsidRPr="004B586A">
        <w:rPr>
          <w:lang w:val="nl-NL"/>
        </w:rPr>
        <w:t xml:space="preserve">e pensioensector </w:t>
      </w:r>
      <w:r>
        <w:rPr>
          <w:lang w:val="nl-NL"/>
        </w:rPr>
        <w:t xml:space="preserve">zal </w:t>
      </w:r>
      <w:r w:rsidRPr="004B586A">
        <w:rPr>
          <w:lang w:val="nl-NL"/>
        </w:rPr>
        <w:t>hier</w:t>
      </w:r>
      <w:r>
        <w:rPr>
          <w:lang w:val="nl-NL"/>
        </w:rPr>
        <w:t>toe</w:t>
      </w:r>
      <w:r w:rsidRPr="004B586A">
        <w:rPr>
          <w:lang w:val="nl-NL"/>
        </w:rPr>
        <w:t xml:space="preserve"> het initiatief ne</w:t>
      </w:r>
      <w:r>
        <w:rPr>
          <w:lang w:val="nl-NL"/>
        </w:rPr>
        <w:t>men</w:t>
      </w:r>
      <w:r w:rsidRPr="004B586A">
        <w:rPr>
          <w:lang w:val="nl-NL"/>
        </w:rPr>
        <w:t>. Onder coördinatie van de Pensioenfederatie zal hier verder vorm aan gegeven worden binnen de eerdergenoemde randvoorwaarden. Om dit op een degelijke manier te doen is ruime tijd nodig</w:t>
      </w:r>
      <w:r>
        <w:rPr>
          <w:lang w:val="nl-NL"/>
        </w:rPr>
        <w:t>, mede gezien de lopende transitie</w:t>
      </w:r>
      <w:r w:rsidRPr="004B586A">
        <w:rPr>
          <w:lang w:val="nl-NL"/>
        </w:rPr>
        <w:t xml:space="preserve">. </w:t>
      </w:r>
      <w:r>
        <w:rPr>
          <w:lang w:val="nl-NL"/>
        </w:rPr>
        <w:t>Ik</w:t>
      </w:r>
      <w:r w:rsidRPr="004B586A">
        <w:rPr>
          <w:lang w:val="nl-NL"/>
        </w:rPr>
        <w:t xml:space="preserve"> zal de Kamer </w:t>
      </w:r>
      <w:r>
        <w:rPr>
          <w:lang w:val="nl-NL"/>
        </w:rPr>
        <w:t xml:space="preserve">daarom </w:t>
      </w:r>
      <w:r w:rsidRPr="004B586A">
        <w:rPr>
          <w:lang w:val="nl-NL"/>
        </w:rPr>
        <w:t>begin volgend jaar hierover een stand van zaken geven</w:t>
      </w:r>
      <w:r>
        <w:rPr>
          <w:lang w:val="nl-NL"/>
        </w:rPr>
        <w:t xml:space="preserve">. </w:t>
      </w:r>
      <w:r w:rsidRPr="00312261">
        <w:rPr>
          <w:lang w:val="nl-NL"/>
        </w:rPr>
        <w:t>De uiteindelijke resultaten en aanbevelingen van deze initiatieven zullen worden meegenomen in de evaluatie van de Wtp</w:t>
      </w:r>
      <w:r w:rsidRPr="004B586A">
        <w:rPr>
          <w:lang w:val="nl-NL"/>
        </w:rPr>
        <w:t>.</w:t>
      </w:r>
      <w:r>
        <w:rPr>
          <w:rStyle w:val="Voetnootmarkering"/>
          <w:lang w:val="nl-NL"/>
        </w:rPr>
        <w:footnoteReference w:id="1"/>
      </w:r>
      <w:r w:rsidRPr="004B586A">
        <w:rPr>
          <w:lang w:val="nl-NL"/>
        </w:rPr>
        <w:t xml:space="preserve"> </w:t>
      </w:r>
      <w:r>
        <w:rPr>
          <w:lang w:val="nl-NL"/>
        </w:rPr>
        <w:t xml:space="preserve"> </w:t>
      </w:r>
    </w:p>
    <w:p w:rsidRPr="004B586A" w:rsidR="00426C26" w:rsidP="00426C26" w:rsidRDefault="00426C26" w14:paraId="52BCD494" w14:textId="77777777">
      <w:pPr>
        <w:pStyle w:val="Lijstalinea"/>
        <w:numPr>
          <w:ilvl w:val="0"/>
          <w:numId w:val="1"/>
        </w:numPr>
        <w:rPr>
          <w:lang w:val="nl-NL"/>
        </w:rPr>
      </w:pPr>
      <w:r w:rsidRPr="004B586A">
        <w:rPr>
          <w:lang w:val="nl-NL"/>
        </w:rPr>
        <w:t xml:space="preserve">Welke partijen zijn naar uw mening verantwoordelijk voor de toepassing van de additionele koopkrachtinstrumenten? </w:t>
      </w:r>
    </w:p>
    <w:p w:rsidRPr="004B586A" w:rsidR="00426C26" w:rsidP="00426C26" w:rsidRDefault="00426C26" w14:paraId="31341FFD" w14:textId="77777777">
      <w:pPr>
        <w:rPr>
          <w:lang w:val="nl-NL"/>
        </w:rPr>
      </w:pPr>
      <w:r>
        <w:rPr>
          <w:lang w:val="nl-NL"/>
        </w:rPr>
        <w:t xml:space="preserve">Antwoord 2: Sociale partners zijn verantwoordelijk voor de pensioenregeling en pensioenfondsen zijn verantwoordelijk voor de uitvoering van de regeling. In de regeling wordt het gebruik van de verschillende instrumenten gedefinieerd. Deze rolverdeling zal ook gelden voor eventuele additionele koopkrachtinstrumenten.  </w:t>
      </w:r>
    </w:p>
    <w:p w:rsidRPr="006256F6" w:rsidR="00426C26" w:rsidP="00426C26" w:rsidRDefault="00426C26" w14:paraId="37BBE7CE" w14:textId="77777777">
      <w:pPr>
        <w:pStyle w:val="Lijstalinea"/>
        <w:numPr>
          <w:ilvl w:val="0"/>
          <w:numId w:val="1"/>
        </w:numPr>
        <w:rPr>
          <w:lang w:val="nl-NL"/>
        </w:rPr>
      </w:pPr>
      <w:r w:rsidRPr="006256F6">
        <w:rPr>
          <w:lang w:val="nl-NL"/>
        </w:rPr>
        <w:t>Op welke wijze gaat u de Tweede Kamer op jaarbasis informeren over de resultaten van (additionele) koopkrachtinstrumenten?</w:t>
      </w:r>
    </w:p>
    <w:p w:rsidRPr="008202A2" w:rsidR="008202A2" w:rsidP="008202A2" w:rsidRDefault="00426C26" w14:paraId="0A0F5268" w14:textId="13ABAF53">
      <w:pPr>
        <w:rPr>
          <w:lang w:val="nl-NL"/>
        </w:rPr>
      </w:pPr>
      <w:r w:rsidRPr="008202A2">
        <w:rPr>
          <w:lang w:val="nl-NL"/>
        </w:rPr>
        <w:t xml:space="preserve">Antwoord 3: Zoals ik heb aangegeven in de brief zal ik de Kamer begin volgend jaar over </w:t>
      </w:r>
      <w:r w:rsidRPr="001529D4" w:rsidR="00480F7B">
        <w:rPr>
          <w:lang w:val="nl-NL"/>
        </w:rPr>
        <w:t>de verkenning naar additionele koopkrachtinstrumenten</w:t>
      </w:r>
      <w:r w:rsidRPr="008202A2" w:rsidR="0016404F">
        <w:rPr>
          <w:lang w:val="nl-NL"/>
        </w:rPr>
        <w:t xml:space="preserve"> door de pensioensector </w:t>
      </w:r>
      <w:r w:rsidRPr="008202A2">
        <w:rPr>
          <w:lang w:val="nl-NL"/>
        </w:rPr>
        <w:t>verder informeren.</w:t>
      </w:r>
      <w:r w:rsidR="008202A2">
        <w:rPr>
          <w:lang w:val="nl-NL"/>
        </w:rPr>
        <w:t xml:space="preserve"> </w:t>
      </w:r>
      <w:r w:rsidRPr="008202A2" w:rsidR="00480F7B">
        <w:rPr>
          <w:lang w:val="nl-NL"/>
        </w:rPr>
        <w:t xml:space="preserve">Ik zal de Kamer betrekken bij het vervolg dat daaruit voortvloeit. </w:t>
      </w:r>
      <w:bookmarkStart w:name="_Hlk233124297" w:id="0"/>
      <w:r w:rsidRPr="008202A2" w:rsidR="00FB4BFF">
        <w:rPr>
          <w:lang w:val="nl-NL"/>
        </w:rPr>
        <w:t xml:space="preserve">Naar aanleiding van de geboden inzichten </w:t>
      </w:r>
      <w:r w:rsidR="00FB4BFF">
        <w:rPr>
          <w:lang w:val="nl-NL"/>
        </w:rPr>
        <w:t xml:space="preserve">vanuit de pensioensector </w:t>
      </w:r>
      <w:r w:rsidRPr="008202A2" w:rsidR="00FB4BFF">
        <w:rPr>
          <w:lang w:val="nl-NL"/>
        </w:rPr>
        <w:t>zal ik nader bezien hoe ik uw Kamer op regelmatige wijze verder kan informeren.</w:t>
      </w:r>
      <w:r w:rsidR="00FB4BFF">
        <w:rPr>
          <w:lang w:val="nl-NL"/>
        </w:rPr>
        <w:t xml:space="preserve"> </w:t>
      </w:r>
      <w:r w:rsidRPr="008202A2" w:rsidR="00480F7B">
        <w:rPr>
          <w:lang w:val="nl-NL"/>
        </w:rPr>
        <w:t xml:space="preserve">Over de wijze waarop ontwikkelingen in de pensioensector rondom koopkracht zullen worden gevolgd zal ik te zijner tijd een voorstel doen. </w:t>
      </w:r>
      <w:bookmarkEnd w:id="0"/>
      <w:r w:rsidR="00F91D4A">
        <w:rPr>
          <w:lang w:val="nl-NL"/>
        </w:rPr>
        <w:t>In dit v</w:t>
      </w:r>
      <w:r w:rsidRPr="007F4E30" w:rsidR="00F91D4A">
        <w:rPr>
          <w:lang w:val="nl-NL"/>
        </w:rPr>
        <w:t xml:space="preserve">oorstel </w:t>
      </w:r>
      <w:r w:rsidR="00F91D4A">
        <w:rPr>
          <w:lang w:val="nl-NL"/>
        </w:rPr>
        <w:t xml:space="preserve">zullen </w:t>
      </w:r>
      <w:r w:rsidRPr="007F4E30" w:rsidR="00F91D4A">
        <w:rPr>
          <w:lang w:val="nl-NL"/>
        </w:rPr>
        <w:t>verschillende elementen worden gewogen</w:t>
      </w:r>
      <w:r w:rsidR="00F91D4A">
        <w:rPr>
          <w:lang w:val="nl-NL"/>
        </w:rPr>
        <w:t xml:space="preserve">. Hierbij zal </w:t>
      </w:r>
      <w:r w:rsidRPr="007F4E30" w:rsidR="00F91D4A">
        <w:rPr>
          <w:lang w:val="nl-NL"/>
        </w:rPr>
        <w:t>gekeken moet</w:t>
      </w:r>
      <w:r w:rsidR="00FF5393">
        <w:rPr>
          <w:lang w:val="nl-NL"/>
        </w:rPr>
        <w:t>en</w:t>
      </w:r>
      <w:r w:rsidRPr="007F4E30" w:rsidR="00F91D4A">
        <w:rPr>
          <w:lang w:val="nl-NL"/>
        </w:rPr>
        <w:t xml:space="preserve"> worden hoe fijnmazig </w:t>
      </w:r>
      <w:r w:rsidR="00F91D4A">
        <w:rPr>
          <w:lang w:val="nl-NL"/>
        </w:rPr>
        <w:t xml:space="preserve">de informatie </w:t>
      </w:r>
      <w:r w:rsidRPr="007F4E30" w:rsidR="00F91D4A">
        <w:rPr>
          <w:lang w:val="nl-NL"/>
        </w:rPr>
        <w:t>kan</w:t>
      </w:r>
      <w:r w:rsidR="00F91D4A">
        <w:rPr>
          <w:lang w:val="nl-NL"/>
        </w:rPr>
        <w:t xml:space="preserve"> zijn en </w:t>
      </w:r>
      <w:r w:rsidRPr="007F4E30" w:rsidR="00F91D4A">
        <w:rPr>
          <w:lang w:val="nl-NL"/>
        </w:rPr>
        <w:t>welke vorm deze rapportage kan krijgen</w:t>
      </w:r>
      <w:r w:rsidR="00F91D4A">
        <w:rPr>
          <w:lang w:val="nl-NL"/>
        </w:rPr>
        <w:t xml:space="preserve">. Om hier een beter beeld van te krijgen zal eerst </w:t>
      </w:r>
      <w:r w:rsidR="009B4664">
        <w:rPr>
          <w:lang w:val="nl-NL"/>
        </w:rPr>
        <w:t>bezien</w:t>
      </w:r>
      <w:r w:rsidR="00F91D4A">
        <w:rPr>
          <w:lang w:val="nl-NL"/>
        </w:rPr>
        <w:t xml:space="preserve"> worden welke gegevens </w:t>
      </w:r>
      <w:r w:rsidR="00FB4BFF">
        <w:rPr>
          <w:lang w:val="nl-NL"/>
        </w:rPr>
        <w:t xml:space="preserve">momenteel </w:t>
      </w:r>
      <w:r w:rsidR="00F91D4A">
        <w:rPr>
          <w:lang w:val="nl-NL"/>
        </w:rPr>
        <w:t xml:space="preserve">beschikbaar zijn </w:t>
      </w:r>
      <w:r w:rsidR="00FB4BFF">
        <w:rPr>
          <w:lang w:val="nl-NL"/>
        </w:rPr>
        <w:t xml:space="preserve">of kunnen worden gemaakt. </w:t>
      </w:r>
      <w:r w:rsidRPr="007F4E30" w:rsidR="00F91D4A">
        <w:rPr>
          <w:lang w:val="nl-NL"/>
        </w:rPr>
        <w:t>Hier</w:t>
      </w:r>
      <w:r w:rsidR="00F91D4A">
        <w:rPr>
          <w:lang w:val="nl-NL"/>
        </w:rPr>
        <w:t>bij z</w:t>
      </w:r>
      <w:r w:rsidR="009B4664">
        <w:rPr>
          <w:lang w:val="nl-NL"/>
        </w:rPr>
        <w:t>al</w:t>
      </w:r>
      <w:r w:rsidR="00F91D4A">
        <w:rPr>
          <w:lang w:val="nl-NL"/>
        </w:rPr>
        <w:t xml:space="preserve"> natuurlijk rekening moeten worden gehouden met kosten, beschikbare capaciteit en regeldruk </w:t>
      </w:r>
      <w:r w:rsidRPr="007F4E30" w:rsidR="00F91D4A">
        <w:rPr>
          <w:lang w:val="nl-NL"/>
        </w:rPr>
        <w:t xml:space="preserve">voor </w:t>
      </w:r>
      <w:r w:rsidR="00F91D4A">
        <w:rPr>
          <w:lang w:val="nl-NL"/>
        </w:rPr>
        <w:t xml:space="preserve">o.a. </w:t>
      </w:r>
      <w:r w:rsidRPr="007F4E30" w:rsidR="00F91D4A">
        <w:rPr>
          <w:lang w:val="nl-NL"/>
        </w:rPr>
        <w:t xml:space="preserve">de </w:t>
      </w:r>
      <w:r w:rsidR="00F91D4A">
        <w:rPr>
          <w:lang w:val="nl-NL"/>
        </w:rPr>
        <w:t>pensioen</w:t>
      </w:r>
      <w:r w:rsidRPr="007F4E30" w:rsidR="00F91D4A">
        <w:rPr>
          <w:lang w:val="nl-NL"/>
        </w:rPr>
        <w:t xml:space="preserve">sector. </w:t>
      </w:r>
      <w:r w:rsidR="00F91D4A">
        <w:rPr>
          <w:lang w:val="nl-NL"/>
        </w:rPr>
        <w:t xml:space="preserve">Ik ga graag op basis van dit voorstel met uw Kamer </w:t>
      </w:r>
      <w:r w:rsidR="00FB4BFF">
        <w:rPr>
          <w:lang w:val="nl-NL"/>
        </w:rPr>
        <w:t xml:space="preserve">in gesprek. </w:t>
      </w:r>
    </w:p>
    <w:p w:rsidRPr="008202A2" w:rsidR="00426C26" w:rsidP="008202A2" w:rsidRDefault="00426C26" w14:paraId="4B18C4C8" w14:textId="57CB895F">
      <w:pPr>
        <w:pStyle w:val="Lijstalinea"/>
        <w:numPr>
          <w:ilvl w:val="0"/>
          <w:numId w:val="1"/>
        </w:numPr>
        <w:rPr>
          <w:lang w:val="nl-NL"/>
        </w:rPr>
      </w:pPr>
      <w:r w:rsidRPr="008202A2">
        <w:rPr>
          <w:lang w:val="nl-NL"/>
        </w:rPr>
        <w:t>Is er volgens u wetgeving nodig om de (additionele) koopkrachtinstrumenten te implementeren?</w:t>
      </w:r>
    </w:p>
    <w:p w:rsidR="00426C26" w:rsidP="00426C26" w:rsidRDefault="00426C26" w14:paraId="1041F99C" w14:textId="77777777">
      <w:pPr>
        <w:rPr>
          <w:lang w:val="nl-NL"/>
        </w:rPr>
      </w:pPr>
      <w:r>
        <w:rPr>
          <w:lang w:val="nl-NL"/>
        </w:rPr>
        <w:t>Antwoord 4: Ik zie de inzichten van de pensioensector op het gebied van uitvoerbaarheid en uitlegbaarheid met belangstelling tegemoet. Zoals ook uit de kwalitatieve analyse blijkt is in principe voor alle vier onderzochte koopkrachtinstrumenten aanpassingen van wet- en regelgeving nodig.</w:t>
      </w:r>
      <w:r>
        <w:rPr>
          <w:rStyle w:val="Voetnootmarkering"/>
          <w:lang w:val="nl-NL"/>
        </w:rPr>
        <w:footnoteReference w:id="2"/>
      </w:r>
      <w:r>
        <w:rPr>
          <w:lang w:val="nl-NL"/>
        </w:rPr>
        <w:t xml:space="preserve"> </w:t>
      </w:r>
    </w:p>
    <w:p w:rsidRPr="00426C26" w:rsidR="003451A0" w:rsidP="00426C26" w:rsidRDefault="003451A0" w14:paraId="35E32452" w14:textId="24AA8BA9">
      <w:pPr>
        <w:rPr>
          <w:lang w:val="nl-NL"/>
        </w:rPr>
      </w:pPr>
    </w:p>
    <w:sectPr w:rsidRPr="00426C26" w:rsidR="003451A0" w:rsidSect="002315FD">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CB42D" w14:textId="77777777" w:rsidR="002315FD" w:rsidRDefault="002315FD" w:rsidP="002315FD">
      <w:pPr>
        <w:spacing w:after="0" w:line="240" w:lineRule="auto"/>
      </w:pPr>
      <w:r>
        <w:separator/>
      </w:r>
    </w:p>
  </w:endnote>
  <w:endnote w:type="continuationSeparator" w:id="0">
    <w:p w14:paraId="461AEFD7" w14:textId="77777777" w:rsidR="002315FD" w:rsidRDefault="002315FD" w:rsidP="0023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7A4C" w14:textId="77777777" w:rsidR="00A2335C" w:rsidRDefault="00A233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99DA" w14:textId="77777777" w:rsidR="00A2335C" w:rsidRDefault="00A233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8AB3" w14:textId="77777777" w:rsidR="00A2335C" w:rsidRDefault="00A233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E1E2" w14:textId="77777777" w:rsidR="002315FD" w:rsidRDefault="002315FD" w:rsidP="002315FD">
      <w:pPr>
        <w:spacing w:after="0" w:line="240" w:lineRule="auto"/>
      </w:pPr>
      <w:r>
        <w:separator/>
      </w:r>
    </w:p>
  </w:footnote>
  <w:footnote w:type="continuationSeparator" w:id="0">
    <w:p w14:paraId="5953F194" w14:textId="77777777" w:rsidR="002315FD" w:rsidRDefault="002315FD" w:rsidP="002315FD">
      <w:pPr>
        <w:spacing w:after="0" w:line="240" w:lineRule="auto"/>
      </w:pPr>
      <w:r>
        <w:continuationSeparator/>
      </w:r>
    </w:p>
  </w:footnote>
  <w:footnote w:id="1">
    <w:p w14:paraId="4E119E0D" w14:textId="3C71D08E" w:rsidR="00426C26" w:rsidRPr="00312261" w:rsidRDefault="00426C26" w:rsidP="00426C26">
      <w:pPr>
        <w:pStyle w:val="Voetnoottekst"/>
        <w:rPr>
          <w:rFonts w:asciiTheme="minorHAnsi" w:hAnsiTheme="minorHAnsi" w:cstheme="minorHAnsi"/>
          <w:sz w:val="16"/>
          <w:szCs w:val="16"/>
          <w:lang w:val="nl-NL"/>
        </w:rPr>
      </w:pPr>
      <w:r>
        <w:rPr>
          <w:rStyle w:val="Voetnootmarkering"/>
        </w:rPr>
        <w:footnoteRef/>
      </w:r>
      <w:r w:rsidRPr="00C06715">
        <w:rPr>
          <w:lang w:val="nl-NL"/>
        </w:rPr>
        <w:t xml:space="preserve"> </w:t>
      </w:r>
      <w:r w:rsidRPr="00312261">
        <w:rPr>
          <w:rFonts w:asciiTheme="minorHAnsi" w:hAnsiTheme="minorHAnsi" w:cstheme="minorHAnsi"/>
          <w:sz w:val="16"/>
          <w:szCs w:val="16"/>
          <w:lang w:val="nl-NL"/>
        </w:rPr>
        <w:t xml:space="preserve">Kamerstukken </w:t>
      </w:r>
      <w:r w:rsidRPr="00C06715">
        <w:rPr>
          <w:rFonts w:asciiTheme="minorHAnsi" w:eastAsia="Calibri" w:hAnsiTheme="minorHAnsi" w:cstheme="minorHAnsi"/>
          <w:sz w:val="16"/>
          <w:szCs w:val="16"/>
          <w:lang w:val="nl-NL"/>
        </w:rPr>
        <w:t>32 043, nr. 710, Toekomst pensioenstelsel.</w:t>
      </w:r>
    </w:p>
  </w:footnote>
  <w:footnote w:id="2">
    <w:p w14:paraId="14E94466" w14:textId="77777777" w:rsidR="00426C26" w:rsidRPr="00312261" w:rsidRDefault="00426C26" w:rsidP="00426C26">
      <w:pPr>
        <w:pStyle w:val="Voetnoottekst"/>
        <w:rPr>
          <w:lang w:val="nl-NL"/>
        </w:rPr>
      </w:pPr>
      <w:r>
        <w:rPr>
          <w:rStyle w:val="Voetnootmarkering"/>
        </w:rPr>
        <w:footnoteRef/>
      </w:r>
      <w:r w:rsidRPr="00312261">
        <w:rPr>
          <w:lang w:val="nl-NL"/>
        </w:rPr>
        <w:t xml:space="preserve"> </w:t>
      </w:r>
      <w:r w:rsidRPr="00312261">
        <w:rPr>
          <w:rFonts w:asciiTheme="minorHAnsi" w:hAnsiTheme="minorHAnsi" w:cstheme="minorHAnsi"/>
          <w:sz w:val="16"/>
          <w:szCs w:val="16"/>
          <w:lang w:val="nl-NL"/>
        </w:rPr>
        <w:t xml:space="preserve">Kamerstukken </w:t>
      </w:r>
      <w:r w:rsidRPr="00312261">
        <w:rPr>
          <w:rFonts w:asciiTheme="minorHAnsi" w:eastAsia="Calibri" w:hAnsiTheme="minorHAnsi" w:cstheme="minorHAnsi"/>
          <w:sz w:val="16"/>
          <w:szCs w:val="16"/>
          <w:lang w:val="nl-NL"/>
        </w:rPr>
        <w:t>32 043, nr. 710, Bijlage Analyses effecten koopkrachtvariante</w:t>
      </w:r>
      <w:r>
        <w:rPr>
          <w:rFonts w:asciiTheme="minorHAnsi" w:eastAsia="Calibri" w:hAnsiTheme="minorHAnsi" w:cstheme="minorHAnsi"/>
          <w:sz w:val="16"/>
          <w:szCs w:val="16"/>
          <w:lang w:val="nl-NL"/>
        </w:rPr>
        <w:t>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48B5" w14:textId="77777777" w:rsidR="00A2335C" w:rsidRDefault="00A233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9D31" w14:textId="77777777" w:rsidR="00A2335C" w:rsidRDefault="00A233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DB30" w14:textId="77777777" w:rsidR="00A2335C" w:rsidRDefault="00A233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5310C"/>
    <w:multiLevelType w:val="hybridMultilevel"/>
    <w:tmpl w:val="06C870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9534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E6"/>
    <w:rsid w:val="0016404F"/>
    <w:rsid w:val="00184616"/>
    <w:rsid w:val="002315FD"/>
    <w:rsid w:val="002D53E6"/>
    <w:rsid w:val="003451A0"/>
    <w:rsid w:val="00426C26"/>
    <w:rsid w:val="00480F7B"/>
    <w:rsid w:val="004E5D7A"/>
    <w:rsid w:val="00664F10"/>
    <w:rsid w:val="0080393C"/>
    <w:rsid w:val="008202A2"/>
    <w:rsid w:val="0095203B"/>
    <w:rsid w:val="009B4664"/>
    <w:rsid w:val="009B6B88"/>
    <w:rsid w:val="009F67E1"/>
    <w:rsid w:val="00A2335C"/>
    <w:rsid w:val="00B76C5A"/>
    <w:rsid w:val="00C53CD5"/>
    <w:rsid w:val="00C8356E"/>
    <w:rsid w:val="00D057D0"/>
    <w:rsid w:val="00F116E0"/>
    <w:rsid w:val="00F431E6"/>
    <w:rsid w:val="00F91D4A"/>
    <w:rsid w:val="00FB4BFF"/>
    <w:rsid w:val="00FF5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21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15FD"/>
    <w:rPr>
      <w:rFonts w:ascii="Verdana" w:hAnsi="Verdana"/>
      <w:sz w:val="18"/>
      <w:lang w:val="en-US"/>
    </w:rPr>
  </w:style>
  <w:style w:type="paragraph" w:styleId="Kop1">
    <w:name w:val="heading 1"/>
    <w:basedOn w:val="Standaard"/>
    <w:next w:val="Standaard"/>
    <w:link w:val="Kop1Char"/>
    <w:uiPriority w:val="9"/>
    <w:qFormat/>
    <w:rsid w:val="00F43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3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31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31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31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31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31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31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31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1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31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31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31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31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31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1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1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1E6"/>
    <w:rPr>
      <w:rFonts w:eastAsiaTheme="majorEastAsia" w:cstheme="majorBidi"/>
      <w:color w:val="272727" w:themeColor="text1" w:themeTint="D8"/>
    </w:rPr>
  </w:style>
  <w:style w:type="paragraph" w:styleId="Titel">
    <w:name w:val="Title"/>
    <w:basedOn w:val="Standaard"/>
    <w:next w:val="Standaard"/>
    <w:link w:val="TitelChar"/>
    <w:uiPriority w:val="10"/>
    <w:qFormat/>
    <w:rsid w:val="00F43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31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1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31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1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31E6"/>
    <w:rPr>
      <w:i/>
      <w:iCs/>
      <w:color w:val="404040" w:themeColor="text1" w:themeTint="BF"/>
    </w:rPr>
  </w:style>
  <w:style w:type="paragraph" w:styleId="Lijstalinea">
    <w:name w:val="List Paragraph"/>
    <w:basedOn w:val="Standaard"/>
    <w:uiPriority w:val="34"/>
    <w:qFormat/>
    <w:rsid w:val="00F431E6"/>
    <w:pPr>
      <w:ind w:left="720"/>
      <w:contextualSpacing/>
    </w:pPr>
  </w:style>
  <w:style w:type="character" w:styleId="Intensievebenadrukking">
    <w:name w:val="Intense Emphasis"/>
    <w:basedOn w:val="Standaardalinea-lettertype"/>
    <w:uiPriority w:val="21"/>
    <w:qFormat/>
    <w:rsid w:val="00F431E6"/>
    <w:rPr>
      <w:i/>
      <w:iCs/>
      <w:color w:val="0F4761" w:themeColor="accent1" w:themeShade="BF"/>
    </w:rPr>
  </w:style>
  <w:style w:type="paragraph" w:styleId="Duidelijkcitaat">
    <w:name w:val="Intense Quote"/>
    <w:basedOn w:val="Standaard"/>
    <w:next w:val="Standaard"/>
    <w:link w:val="DuidelijkcitaatChar"/>
    <w:uiPriority w:val="30"/>
    <w:qFormat/>
    <w:rsid w:val="00F43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31E6"/>
    <w:rPr>
      <w:i/>
      <w:iCs/>
      <w:color w:val="0F4761" w:themeColor="accent1" w:themeShade="BF"/>
    </w:rPr>
  </w:style>
  <w:style w:type="character" w:styleId="Intensieveverwijzing">
    <w:name w:val="Intense Reference"/>
    <w:basedOn w:val="Standaardalinea-lettertype"/>
    <w:uiPriority w:val="32"/>
    <w:qFormat/>
    <w:rsid w:val="00F431E6"/>
    <w:rPr>
      <w:b/>
      <w:bCs/>
      <w:smallCaps/>
      <w:color w:val="0F4761" w:themeColor="accent1" w:themeShade="BF"/>
      <w:spacing w:val="5"/>
    </w:rPr>
  </w:style>
  <w:style w:type="paragraph" w:styleId="Geenafstand">
    <w:name w:val="No Spacing"/>
    <w:uiPriority w:val="1"/>
    <w:qFormat/>
    <w:rsid w:val="00F431E6"/>
    <w:pPr>
      <w:spacing w:after="0" w:line="240" w:lineRule="auto"/>
    </w:pPr>
  </w:style>
  <w:style w:type="paragraph" w:styleId="Voetnoottekst">
    <w:name w:val="footnote text"/>
    <w:basedOn w:val="Standaard"/>
    <w:link w:val="VoetnoottekstChar"/>
    <w:uiPriority w:val="99"/>
    <w:semiHidden/>
    <w:unhideWhenUsed/>
    <w:rsid w:val="002315F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315FD"/>
    <w:rPr>
      <w:rFonts w:ascii="Verdana" w:hAnsi="Verdana"/>
      <w:sz w:val="20"/>
      <w:szCs w:val="20"/>
      <w:lang w:val="en-US"/>
    </w:rPr>
  </w:style>
  <w:style w:type="character" w:styleId="Voetnootmarkering">
    <w:name w:val="footnote reference"/>
    <w:basedOn w:val="Standaardalinea-lettertype"/>
    <w:uiPriority w:val="99"/>
    <w:semiHidden/>
    <w:unhideWhenUsed/>
    <w:rsid w:val="002315FD"/>
    <w:rPr>
      <w:vertAlign w:val="superscript"/>
    </w:rPr>
  </w:style>
  <w:style w:type="paragraph" w:styleId="Revisie">
    <w:name w:val="Revision"/>
    <w:hidden/>
    <w:uiPriority w:val="99"/>
    <w:semiHidden/>
    <w:rsid w:val="009F67E1"/>
    <w:pPr>
      <w:spacing w:after="0" w:line="240" w:lineRule="auto"/>
    </w:pPr>
    <w:rPr>
      <w:rFonts w:ascii="Verdana" w:hAnsi="Verdana"/>
      <w:sz w:val="18"/>
      <w:lang w:val="en-US"/>
    </w:rPr>
  </w:style>
  <w:style w:type="paragraph" w:styleId="Koptekst">
    <w:name w:val="header"/>
    <w:basedOn w:val="Standaard"/>
    <w:link w:val="KoptekstChar"/>
    <w:uiPriority w:val="99"/>
    <w:unhideWhenUsed/>
    <w:rsid w:val="00A233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335C"/>
    <w:rPr>
      <w:rFonts w:ascii="Verdana" w:hAnsi="Verdana"/>
      <w:sz w:val="18"/>
      <w:lang w:val="en-US"/>
    </w:rPr>
  </w:style>
  <w:style w:type="paragraph" w:styleId="Voettekst">
    <w:name w:val="footer"/>
    <w:basedOn w:val="Standaard"/>
    <w:link w:val="VoettekstChar"/>
    <w:uiPriority w:val="99"/>
    <w:unhideWhenUsed/>
    <w:rsid w:val="00A233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335C"/>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553</ap:Words>
  <ap:Characters>3042</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2026-05-28T12:48:00.0000000Z</dcterms:created>
  <dcterms:modified xsi:type="dcterms:W3CDTF">2026-06-25T07:40:00.0000000Z</dcterms:modified>
  <version/>
  <category/>
</coreProperties>
</file>