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76F9" w:rsidR="006A10DB" w:rsidP="00D95D37" w:rsidRDefault="005602CA" w14:paraId="5EA00CAD" w14:textId="77777777">
      <w:pPr>
        <w:pStyle w:val="StandaardAanhef"/>
        <w:spacing w:line="276" w:lineRule="auto"/>
      </w:pPr>
      <w:r w:rsidRPr="00BF76F9">
        <w:t>Geachte voorzitter,</w:t>
      </w:r>
    </w:p>
    <w:p w:rsidR="003D442D" w:rsidP="027175A8" w:rsidRDefault="0064061F" w14:paraId="3D134215" w14:textId="77777777">
      <w:pPr>
        <w:pStyle w:val="Geenafstand"/>
        <w:jc w:val="left"/>
        <w:rPr>
          <w:rFonts w:eastAsia="Times New Roman"/>
        </w:rPr>
      </w:pPr>
      <w:r w:rsidRPr="00BF76F9">
        <w:rPr>
          <w:rFonts w:eastAsia="Times New Roman"/>
        </w:rPr>
        <w:t xml:space="preserve">Mede namens de </w:t>
      </w:r>
      <w:r w:rsidRPr="00BF76F9" w:rsidR="008D1BD1">
        <w:rPr>
          <w:rFonts w:eastAsia="Times New Roman"/>
        </w:rPr>
        <w:t>minister van</w:t>
      </w:r>
      <w:r w:rsidRPr="00BF76F9" w:rsidR="00070F1B">
        <w:rPr>
          <w:rFonts w:eastAsia="Times New Roman"/>
        </w:rPr>
        <w:t xml:space="preserve"> Buitenlandse Handel</w:t>
      </w:r>
      <w:r w:rsidRPr="00BF76F9" w:rsidR="0092759B">
        <w:rPr>
          <w:rFonts w:eastAsia="Times New Roman"/>
        </w:rPr>
        <w:t xml:space="preserve"> </w:t>
      </w:r>
      <w:r w:rsidRPr="00BF76F9" w:rsidR="008D1BD1">
        <w:rPr>
          <w:rFonts w:eastAsia="Times New Roman"/>
        </w:rPr>
        <w:t xml:space="preserve">en Ontwikkelingssamenwerking </w:t>
      </w:r>
      <w:r w:rsidRPr="00BF76F9">
        <w:rPr>
          <w:rFonts w:eastAsia="Times New Roman"/>
        </w:rPr>
        <w:t>bied ik u</w:t>
      </w:r>
      <w:r w:rsidRPr="00BF76F9" w:rsidR="00850654">
        <w:rPr>
          <w:rFonts w:eastAsia="Times New Roman"/>
        </w:rPr>
        <w:t xml:space="preserve"> </w:t>
      </w:r>
      <w:r w:rsidRPr="00BF76F9" w:rsidR="00887442">
        <w:rPr>
          <w:rFonts w:eastAsia="Times New Roman"/>
        </w:rPr>
        <w:t xml:space="preserve">bijgaand </w:t>
      </w:r>
      <w:r w:rsidRPr="00BF76F9" w:rsidR="008D1BD1">
        <w:rPr>
          <w:rFonts w:eastAsia="Times New Roman"/>
        </w:rPr>
        <w:t xml:space="preserve">het jaaroverzicht </w:t>
      </w:r>
      <w:r w:rsidR="00182B57">
        <w:rPr>
          <w:rFonts w:eastAsia="Times New Roman"/>
        </w:rPr>
        <w:t xml:space="preserve">2025 </w:t>
      </w:r>
      <w:r w:rsidR="00E1727A">
        <w:rPr>
          <w:rFonts w:eastAsia="Times New Roman"/>
        </w:rPr>
        <w:t>van</w:t>
      </w:r>
      <w:r w:rsidRPr="00BF76F9" w:rsidR="00CD119F">
        <w:rPr>
          <w:rFonts w:eastAsia="Times New Roman"/>
        </w:rPr>
        <w:t xml:space="preserve"> </w:t>
      </w:r>
      <w:proofErr w:type="spellStart"/>
      <w:r w:rsidRPr="00BF76F9" w:rsidR="008D1BD1">
        <w:rPr>
          <w:rFonts w:eastAsia="Times New Roman"/>
        </w:rPr>
        <w:t>Atradius</w:t>
      </w:r>
      <w:proofErr w:type="spellEnd"/>
      <w:r w:rsidRPr="00BF76F9" w:rsidR="008D1BD1">
        <w:rPr>
          <w:rFonts w:eastAsia="Times New Roman"/>
        </w:rPr>
        <w:t xml:space="preserve"> Dutch State </w:t>
      </w:r>
      <w:r w:rsidR="00731F6C">
        <w:rPr>
          <w:rFonts w:eastAsia="Times New Roman"/>
        </w:rPr>
        <w:t>Business</w:t>
      </w:r>
      <w:r w:rsidRPr="00BF76F9" w:rsidR="00731F6C">
        <w:rPr>
          <w:rFonts w:eastAsia="Times New Roman"/>
        </w:rPr>
        <w:t xml:space="preserve"> </w:t>
      </w:r>
      <w:r w:rsidRPr="00BF76F9" w:rsidR="008D1BD1">
        <w:rPr>
          <w:rFonts w:eastAsia="Times New Roman"/>
        </w:rPr>
        <w:t>(</w:t>
      </w:r>
      <w:r w:rsidR="00876626">
        <w:rPr>
          <w:rFonts w:eastAsia="Times New Roman"/>
        </w:rPr>
        <w:t>hierna</w:t>
      </w:r>
      <w:r w:rsidR="00D848CC">
        <w:rPr>
          <w:rFonts w:eastAsia="Times New Roman"/>
        </w:rPr>
        <w:t>:</w:t>
      </w:r>
      <w:r w:rsidR="00876626">
        <w:rPr>
          <w:rFonts w:eastAsia="Times New Roman"/>
        </w:rPr>
        <w:t xml:space="preserve"> </w:t>
      </w:r>
      <w:r w:rsidRPr="00BF76F9" w:rsidR="008D1BD1">
        <w:rPr>
          <w:rFonts w:eastAsia="Times New Roman"/>
        </w:rPr>
        <w:t>ADSB)</w:t>
      </w:r>
      <w:r w:rsidR="00FD4AF3">
        <w:rPr>
          <w:rFonts w:eastAsia="Times New Roman"/>
        </w:rPr>
        <w:t xml:space="preserve"> </w:t>
      </w:r>
      <w:r w:rsidR="00E1727A">
        <w:rPr>
          <w:rFonts w:eastAsia="Times New Roman"/>
        </w:rPr>
        <w:t>aan, de uitvoerder van de exportkredietverzekering (</w:t>
      </w:r>
      <w:proofErr w:type="spellStart"/>
      <w:r w:rsidR="00E1727A">
        <w:rPr>
          <w:rFonts w:eastAsia="Times New Roman"/>
        </w:rPr>
        <w:t>ekv</w:t>
      </w:r>
      <w:proofErr w:type="spellEnd"/>
      <w:r w:rsidR="00E1727A">
        <w:rPr>
          <w:rFonts w:eastAsia="Times New Roman"/>
        </w:rPr>
        <w:t>)</w:t>
      </w:r>
      <w:r w:rsidRPr="00BF76F9">
        <w:rPr>
          <w:rFonts w:eastAsia="Times New Roman"/>
        </w:rPr>
        <w:t>.</w:t>
      </w:r>
      <w:r w:rsidRPr="00BF76F9" w:rsidR="00CA5B29">
        <w:rPr>
          <w:rFonts w:eastAsia="Times New Roman"/>
        </w:rPr>
        <w:t xml:space="preserve"> </w:t>
      </w:r>
      <w:r w:rsidRPr="00BF76F9" w:rsidR="004B4EDF">
        <w:rPr>
          <w:rFonts w:eastAsia="Times New Roman"/>
        </w:rPr>
        <w:t xml:space="preserve"> </w:t>
      </w:r>
    </w:p>
    <w:p w:rsidR="002733DE" w:rsidP="027175A8" w:rsidRDefault="027175A8" w14:paraId="26DAF56C" w14:textId="77777777">
      <w:pPr>
        <w:pStyle w:val="Geenafstand"/>
        <w:jc w:val="left"/>
        <w:rPr>
          <w:rFonts w:eastAsia="Times New Roman"/>
        </w:rPr>
      </w:pPr>
      <w:r w:rsidRPr="027175A8">
        <w:rPr>
          <w:rFonts w:eastAsia="Times New Roman"/>
        </w:rPr>
        <w:t xml:space="preserve">In deze brief licht ik de belangrijkste ontwikkelingen uit het jaaroverzicht toe en geef ik daarnaast een vooruitblik op het lopende jaar. Alvorens ik hierop inga, geef ik in box 1 eerst een korte uitleg over wat een </w:t>
      </w:r>
      <w:proofErr w:type="spellStart"/>
      <w:r w:rsidRPr="027175A8">
        <w:rPr>
          <w:rFonts w:eastAsia="Times New Roman"/>
        </w:rPr>
        <w:t>ekv</w:t>
      </w:r>
      <w:proofErr w:type="spellEnd"/>
      <w:r w:rsidRPr="027175A8">
        <w:rPr>
          <w:rFonts w:eastAsia="Times New Roman"/>
        </w:rPr>
        <w:t xml:space="preserve"> is. Vervolgens wordt ingegaan op de financiële resultaten over 2025, de strategische pilots en de inzet op defensie. Daarna worden de internationale ontwikkelingen en de nieuwe voorwaarden van de investeringsverzekering besproken. Ook ga ik in deze brief in op de actualisatie van het Groene Label, </w:t>
      </w:r>
      <w:r w:rsidR="00787A02">
        <w:rPr>
          <w:rFonts w:eastAsia="Times New Roman"/>
        </w:rPr>
        <w:t>rapporteer</w:t>
      </w:r>
      <w:r w:rsidRPr="027175A8" w:rsidR="00787A02">
        <w:rPr>
          <w:rFonts w:eastAsia="Times New Roman"/>
        </w:rPr>
        <w:t xml:space="preserve"> </w:t>
      </w:r>
      <w:r w:rsidRPr="027175A8">
        <w:rPr>
          <w:rFonts w:eastAsia="Times New Roman"/>
        </w:rPr>
        <w:t xml:space="preserve">ik </w:t>
      </w:r>
      <w:r w:rsidR="00787A02">
        <w:rPr>
          <w:rFonts w:eastAsia="Times New Roman"/>
        </w:rPr>
        <w:t>over</w:t>
      </w:r>
      <w:r w:rsidRPr="027175A8">
        <w:rPr>
          <w:rFonts w:eastAsia="Times New Roman"/>
        </w:rPr>
        <w:t xml:space="preserve"> de uitzonderingen van het </w:t>
      </w:r>
      <w:r w:rsidR="00787A02">
        <w:rPr>
          <w:rFonts w:eastAsia="Times New Roman"/>
        </w:rPr>
        <w:t>fossiele</w:t>
      </w:r>
      <w:r w:rsidRPr="027175A8" w:rsidR="00787A02">
        <w:rPr>
          <w:rFonts w:eastAsia="Times New Roman"/>
        </w:rPr>
        <w:t xml:space="preserve"> </w:t>
      </w:r>
      <w:r w:rsidR="00787A02">
        <w:rPr>
          <w:rFonts w:eastAsia="Times New Roman"/>
        </w:rPr>
        <w:t>uitsluitings</w:t>
      </w:r>
      <w:r w:rsidRPr="027175A8">
        <w:rPr>
          <w:rFonts w:eastAsia="Times New Roman"/>
        </w:rPr>
        <w:t xml:space="preserve">beleid, informeer ik uw Kamer over de aanbesteding en kom ik terug op een aangenomen motie van het lid Ceder. Als bijlage bij deze brief bied ik u ten slotte het ingevulde toetsingskader risicoregelingen voor de </w:t>
      </w:r>
      <w:proofErr w:type="spellStart"/>
      <w:r w:rsidRPr="027175A8">
        <w:rPr>
          <w:rFonts w:eastAsia="Times New Roman"/>
        </w:rPr>
        <w:t>ekv</w:t>
      </w:r>
      <w:proofErr w:type="spellEnd"/>
      <w:r w:rsidRPr="027175A8">
        <w:rPr>
          <w:rFonts w:eastAsia="Times New Roman"/>
        </w:rPr>
        <w:t xml:space="preserve"> aan.</w:t>
      </w:r>
    </w:p>
    <w:p w:rsidR="00457ADB" w:rsidP="00D95D37" w:rsidRDefault="00457ADB" w14:paraId="39060940" w14:textId="77777777">
      <w:pPr>
        <w:pStyle w:val="Geenafstand"/>
        <w:jc w:val="left"/>
        <w:rPr>
          <w:rFonts w:eastAsia="Times New Roman"/>
        </w:rPr>
      </w:pPr>
    </w:p>
    <w:p w:rsidR="00457ADB" w:rsidP="00D95D37" w:rsidRDefault="00457ADB" w14:paraId="379DADFF" w14:textId="77777777">
      <w:pPr>
        <w:pStyle w:val="Geenafstand"/>
        <w:jc w:val="left"/>
        <w:rPr>
          <w:rFonts w:eastAsia="Times New Roman"/>
        </w:rPr>
      </w:pPr>
    </w:p>
    <w:p w:rsidR="00457ADB" w:rsidP="00D95D37" w:rsidRDefault="00457ADB" w14:paraId="3728EFFF" w14:textId="77777777">
      <w:pPr>
        <w:pStyle w:val="Geenafstand"/>
        <w:jc w:val="left"/>
        <w:rPr>
          <w:rFonts w:eastAsia="Times New Roman"/>
        </w:rPr>
      </w:pPr>
    </w:p>
    <w:p w:rsidR="00457ADB" w:rsidP="00D95D37" w:rsidRDefault="00457ADB" w14:paraId="388BD3BE" w14:textId="77777777">
      <w:pPr>
        <w:pStyle w:val="Geenafstand"/>
        <w:jc w:val="left"/>
        <w:rPr>
          <w:rFonts w:eastAsia="Times New Roman"/>
        </w:rPr>
      </w:pPr>
    </w:p>
    <w:p w:rsidR="00457ADB" w:rsidP="00D95D37" w:rsidRDefault="00457ADB" w14:paraId="6746EC26" w14:textId="77777777">
      <w:pPr>
        <w:pStyle w:val="Geenafstand"/>
        <w:jc w:val="left"/>
        <w:rPr>
          <w:rFonts w:eastAsia="Times New Roman"/>
        </w:rPr>
      </w:pPr>
    </w:p>
    <w:p w:rsidR="00EB7070" w:rsidP="00D95D37" w:rsidRDefault="00EB7070" w14:paraId="26DE5CA0" w14:textId="77777777">
      <w:pPr>
        <w:pStyle w:val="Geenafstand"/>
        <w:jc w:val="left"/>
        <w:rPr>
          <w:rFonts w:eastAsia="Times New Roman"/>
        </w:rPr>
      </w:pPr>
    </w:p>
    <w:p w:rsidR="00457ADB" w:rsidP="00D95D37" w:rsidRDefault="00457ADB" w14:paraId="3B943267" w14:textId="77777777">
      <w:pPr>
        <w:pStyle w:val="Geenafstand"/>
        <w:jc w:val="left"/>
        <w:rPr>
          <w:rFonts w:eastAsia="Times New Roman"/>
        </w:rPr>
      </w:pPr>
    </w:p>
    <w:p w:rsidR="005E3FBE" w:rsidP="00D95D37" w:rsidRDefault="005E3FBE" w14:paraId="3F5E6FD0" w14:textId="77777777">
      <w:pPr>
        <w:pStyle w:val="Geenafstand"/>
        <w:jc w:val="left"/>
        <w:rPr>
          <w:rFonts w:eastAsia="Times New Roman"/>
        </w:rPr>
      </w:pPr>
    </w:p>
    <w:p w:rsidRPr="0026642A" w:rsidR="00D05FD7" w:rsidP="00D1529F" w:rsidRDefault="00634FF9" w14:paraId="24F44299" w14:textId="77777777">
      <w:pPr>
        <w:pBdr>
          <w:top w:val="single" w:color="auto" w:sz="4" w:space="1"/>
          <w:left w:val="single" w:color="auto" w:sz="4" w:space="4"/>
          <w:bottom w:val="single" w:color="auto" w:sz="4" w:space="1"/>
          <w:right w:val="single" w:color="auto" w:sz="4" w:space="4"/>
        </w:pBdr>
        <w:rPr>
          <w:rFonts w:eastAsia="Times New Roman"/>
          <w:b/>
          <w:bCs/>
        </w:rPr>
      </w:pPr>
      <w:r>
        <w:rPr>
          <w:rFonts w:eastAsia="Times New Roman"/>
          <w:b/>
          <w:bCs/>
        </w:rPr>
        <w:lastRenderedPageBreak/>
        <w:t xml:space="preserve">Kader </w:t>
      </w:r>
      <w:r w:rsidR="00D05FD7">
        <w:rPr>
          <w:rFonts w:eastAsia="Times New Roman"/>
          <w:b/>
          <w:bCs/>
        </w:rPr>
        <w:t xml:space="preserve">1: </w:t>
      </w:r>
      <w:r w:rsidR="00DA0458">
        <w:rPr>
          <w:rFonts w:eastAsia="Times New Roman"/>
          <w:b/>
          <w:bCs/>
        </w:rPr>
        <w:t>U</w:t>
      </w:r>
      <w:r w:rsidR="00D05FD7">
        <w:rPr>
          <w:rFonts w:eastAsia="Times New Roman"/>
          <w:b/>
          <w:bCs/>
        </w:rPr>
        <w:t xml:space="preserve">itleg </w:t>
      </w:r>
      <w:proofErr w:type="spellStart"/>
      <w:r w:rsidR="00D05FD7">
        <w:rPr>
          <w:rFonts w:eastAsia="Times New Roman"/>
          <w:b/>
          <w:bCs/>
        </w:rPr>
        <w:t>ekv</w:t>
      </w:r>
      <w:proofErr w:type="spellEnd"/>
      <w:r w:rsidR="00D05FD7">
        <w:rPr>
          <w:rFonts w:eastAsia="Times New Roman"/>
          <w:b/>
          <w:bCs/>
        </w:rPr>
        <w:t xml:space="preserve"> </w:t>
      </w:r>
    </w:p>
    <w:p w:rsidR="007B29DD" w:rsidP="00D1529F" w:rsidRDefault="00457ADB" w14:paraId="49ABBEB9" w14:textId="77777777">
      <w:pPr>
        <w:pBdr>
          <w:top w:val="single" w:color="auto" w:sz="4" w:space="1"/>
          <w:left w:val="single" w:color="auto" w:sz="4" w:space="4"/>
          <w:bottom w:val="single" w:color="auto" w:sz="4" w:space="1"/>
          <w:right w:val="single" w:color="auto" w:sz="4" w:space="4"/>
        </w:pBdr>
        <w:rPr>
          <w:rFonts w:eastAsia="Times New Roman"/>
        </w:rPr>
      </w:pPr>
      <w:r>
        <w:rPr>
          <w:rFonts w:eastAsia="Times New Roman"/>
        </w:rPr>
        <w:t>De exportkredietverzekering (</w:t>
      </w:r>
      <w:proofErr w:type="spellStart"/>
      <w:r>
        <w:rPr>
          <w:rFonts w:eastAsia="Times New Roman"/>
        </w:rPr>
        <w:t>ekv</w:t>
      </w:r>
      <w:proofErr w:type="spellEnd"/>
      <w:r>
        <w:rPr>
          <w:rFonts w:eastAsia="Times New Roman"/>
        </w:rPr>
        <w:t>) verzekert betalingsrisico’s die zijn verbonden aan Nederlandse export en investeringen in het buitenland</w:t>
      </w:r>
      <w:r w:rsidR="00BD1B39">
        <w:rPr>
          <w:rFonts w:eastAsia="Times New Roman"/>
        </w:rPr>
        <w:t>, om daarmee Nederlands</w:t>
      </w:r>
      <w:r w:rsidR="000A06C6">
        <w:rPr>
          <w:rFonts w:eastAsia="Times New Roman"/>
        </w:rPr>
        <w:t>e</w:t>
      </w:r>
      <w:r w:rsidR="00BD1B39">
        <w:rPr>
          <w:rFonts w:eastAsia="Times New Roman"/>
        </w:rPr>
        <w:t xml:space="preserve"> </w:t>
      </w:r>
      <w:r w:rsidR="000A06C6">
        <w:rPr>
          <w:rFonts w:eastAsia="Times New Roman"/>
        </w:rPr>
        <w:t>exporttransacties mogelijk te maken</w:t>
      </w:r>
      <w:r>
        <w:rPr>
          <w:rFonts w:eastAsia="Times New Roman"/>
        </w:rPr>
        <w:t xml:space="preserve"> die de private markt niet kan of wil dekken. </w:t>
      </w:r>
      <w:r w:rsidDel="00E1727A">
        <w:rPr>
          <w:rFonts w:eastAsia="Times New Roman"/>
        </w:rPr>
        <w:t xml:space="preserve">Het gaat </w:t>
      </w:r>
      <w:r>
        <w:rPr>
          <w:rFonts w:eastAsia="Times New Roman"/>
        </w:rPr>
        <w:t xml:space="preserve">bijvoorbeeld </w:t>
      </w:r>
      <w:r w:rsidR="00DA0458">
        <w:rPr>
          <w:rFonts w:eastAsia="Times New Roman"/>
        </w:rPr>
        <w:t xml:space="preserve">om </w:t>
      </w:r>
      <w:r w:rsidDel="00E1727A">
        <w:rPr>
          <w:rFonts w:eastAsia="Times New Roman"/>
        </w:rPr>
        <w:t>omvangrijke transacties met een lange looptijd</w:t>
      </w:r>
      <w:r w:rsidR="00DA0458">
        <w:rPr>
          <w:rFonts w:eastAsia="Times New Roman"/>
        </w:rPr>
        <w:t xml:space="preserve"> in landen met hogere risico’s</w:t>
      </w:r>
      <w:r w:rsidDel="00E1727A">
        <w:rPr>
          <w:rFonts w:eastAsia="Times New Roman"/>
        </w:rPr>
        <w:t xml:space="preserve">. </w:t>
      </w:r>
    </w:p>
    <w:p w:rsidR="007B29DD" w:rsidP="00D1529F" w:rsidRDefault="007B29DD" w14:paraId="5CC0A28F" w14:textId="77777777">
      <w:pPr>
        <w:pBdr>
          <w:top w:val="single" w:color="auto" w:sz="4" w:space="1"/>
          <w:left w:val="single" w:color="auto" w:sz="4" w:space="4"/>
          <w:bottom w:val="single" w:color="auto" w:sz="4" w:space="1"/>
          <w:right w:val="single" w:color="auto" w:sz="4" w:space="4"/>
        </w:pBdr>
        <w:rPr>
          <w:rFonts w:eastAsia="Times New Roman"/>
        </w:rPr>
      </w:pPr>
    </w:p>
    <w:p w:rsidR="00DA0458" w:rsidP="00215C0E" w:rsidRDefault="00457ADB" w14:paraId="6529429B" w14:textId="77777777">
      <w:pPr>
        <w:pBdr>
          <w:top w:val="single" w:color="auto" w:sz="4" w:space="1"/>
          <w:left w:val="single" w:color="auto" w:sz="4" w:space="4"/>
          <w:bottom w:val="single" w:color="auto" w:sz="4" w:space="1"/>
          <w:right w:val="single" w:color="auto" w:sz="4" w:space="4"/>
        </w:pBdr>
        <w:rPr>
          <w:rFonts w:eastAsia="Times New Roman"/>
        </w:rPr>
      </w:pPr>
      <w:r w:rsidDel="00E1727A">
        <w:rPr>
          <w:rFonts w:eastAsia="Times New Roman"/>
        </w:rPr>
        <w:t xml:space="preserve">Een </w:t>
      </w:r>
      <w:r w:rsidR="00DA0458">
        <w:rPr>
          <w:rFonts w:eastAsia="Times New Roman"/>
        </w:rPr>
        <w:t xml:space="preserve">concreet </w:t>
      </w:r>
      <w:r w:rsidDel="00E1727A">
        <w:rPr>
          <w:rFonts w:eastAsia="Times New Roman"/>
        </w:rPr>
        <w:t xml:space="preserve">voorbeeld van een transactie is </w:t>
      </w:r>
      <w:r w:rsidR="00515A6A">
        <w:rPr>
          <w:rFonts w:eastAsia="Times New Roman"/>
        </w:rPr>
        <w:t>de bouw van een brug</w:t>
      </w:r>
      <w:r w:rsidR="00684347">
        <w:rPr>
          <w:rFonts w:eastAsia="Times New Roman"/>
        </w:rPr>
        <w:t xml:space="preserve"> </w:t>
      </w:r>
      <w:r w:rsidR="00515A6A">
        <w:rPr>
          <w:rFonts w:eastAsia="Times New Roman"/>
        </w:rPr>
        <w:t>in</w:t>
      </w:r>
      <w:r w:rsidDel="00E1727A" w:rsidR="00515A6A">
        <w:rPr>
          <w:rFonts w:eastAsia="Times New Roman"/>
        </w:rPr>
        <w:t xml:space="preserve"> </w:t>
      </w:r>
      <w:r w:rsidR="00787A02">
        <w:rPr>
          <w:rFonts w:eastAsia="Times New Roman"/>
        </w:rPr>
        <w:t>Ghana</w:t>
      </w:r>
      <w:r w:rsidDel="00E1727A">
        <w:rPr>
          <w:rFonts w:eastAsia="Times New Roman"/>
        </w:rPr>
        <w:t>.</w:t>
      </w:r>
      <w:r>
        <w:rPr>
          <w:rFonts w:eastAsia="Times New Roman"/>
        </w:rPr>
        <w:t xml:space="preserve"> </w:t>
      </w:r>
      <w:r w:rsidR="00DA0458">
        <w:rPr>
          <w:rFonts w:eastAsia="Times New Roman"/>
        </w:rPr>
        <w:t xml:space="preserve">In dit voorbeeld kan de Nederlandse exporteur </w:t>
      </w:r>
      <w:r w:rsidR="00BC6B52">
        <w:rPr>
          <w:rFonts w:eastAsia="Times New Roman"/>
        </w:rPr>
        <w:t xml:space="preserve">bijvoorbeeld </w:t>
      </w:r>
      <w:r w:rsidR="00DA0458">
        <w:rPr>
          <w:rFonts w:eastAsia="Times New Roman"/>
        </w:rPr>
        <w:t xml:space="preserve">een exporteurspolis afsluiten waarmee het risico dat de afnemer in </w:t>
      </w:r>
      <w:r w:rsidR="00E76B83">
        <w:rPr>
          <w:rFonts w:eastAsia="Times New Roman"/>
        </w:rPr>
        <w:t>Ghana</w:t>
      </w:r>
      <w:r w:rsidR="008A67EA">
        <w:rPr>
          <w:rFonts w:eastAsia="Times New Roman"/>
        </w:rPr>
        <w:t xml:space="preserve"> </w:t>
      </w:r>
      <w:r w:rsidR="00DA0458">
        <w:rPr>
          <w:rFonts w:eastAsia="Times New Roman"/>
        </w:rPr>
        <w:t>niet betaal</w:t>
      </w:r>
      <w:r w:rsidR="00626F55">
        <w:rPr>
          <w:rFonts w:eastAsia="Times New Roman"/>
        </w:rPr>
        <w:t>t</w:t>
      </w:r>
      <w:r w:rsidR="00DA0458">
        <w:rPr>
          <w:rFonts w:eastAsia="Times New Roman"/>
        </w:rPr>
        <w:t xml:space="preserve"> grotendeels wordt afgedekt</w:t>
      </w:r>
      <w:r w:rsidR="00626F55">
        <w:rPr>
          <w:rFonts w:eastAsia="Times New Roman"/>
        </w:rPr>
        <w:t xml:space="preserve">. </w:t>
      </w:r>
      <w:r w:rsidR="00DA0458">
        <w:rPr>
          <w:rFonts w:eastAsia="Times New Roman"/>
        </w:rPr>
        <w:t xml:space="preserve">Ook kan de </w:t>
      </w:r>
      <w:r w:rsidR="00BC6B52">
        <w:rPr>
          <w:rFonts w:eastAsia="Times New Roman"/>
        </w:rPr>
        <w:t xml:space="preserve">exporteur de afnemer een financieringspolis aanbieden. </w:t>
      </w:r>
      <w:r w:rsidRPr="00BC6B52" w:rsidR="00BC6B52">
        <w:rPr>
          <w:rFonts w:eastAsia="Times New Roman"/>
        </w:rPr>
        <w:t xml:space="preserve">Dit product </w:t>
      </w:r>
      <w:r w:rsidR="00B452DB">
        <w:rPr>
          <w:rFonts w:eastAsia="Times New Roman"/>
        </w:rPr>
        <w:t xml:space="preserve">dekt het risico </w:t>
      </w:r>
      <w:r w:rsidRPr="00BC6B52" w:rsidR="00BC6B52">
        <w:rPr>
          <w:rFonts w:eastAsia="Times New Roman"/>
        </w:rPr>
        <w:t xml:space="preserve">voor banken </w:t>
      </w:r>
      <w:r w:rsidR="00B452DB">
        <w:rPr>
          <w:rFonts w:eastAsia="Times New Roman"/>
        </w:rPr>
        <w:t xml:space="preserve">af </w:t>
      </w:r>
      <w:r w:rsidRPr="00BC6B52" w:rsidR="00BC6B52">
        <w:rPr>
          <w:rFonts w:eastAsia="Times New Roman"/>
        </w:rPr>
        <w:t xml:space="preserve">die financiering verstrekken aan </w:t>
      </w:r>
      <w:r w:rsidR="00BC6B52">
        <w:rPr>
          <w:rFonts w:eastAsia="Times New Roman"/>
        </w:rPr>
        <w:t xml:space="preserve">de koper in </w:t>
      </w:r>
      <w:r w:rsidR="00E76B83">
        <w:rPr>
          <w:rFonts w:eastAsia="Times New Roman"/>
        </w:rPr>
        <w:t>Ghana</w:t>
      </w:r>
      <w:r w:rsidRPr="00BC6B52" w:rsidR="00BC6B52">
        <w:rPr>
          <w:rFonts w:eastAsia="Times New Roman"/>
        </w:rPr>
        <w:t xml:space="preserve">. </w:t>
      </w:r>
      <w:r w:rsidR="00215C0E">
        <w:rPr>
          <w:rFonts w:eastAsia="Times New Roman"/>
        </w:rPr>
        <w:t>Daarnaast</w:t>
      </w:r>
      <w:r w:rsidR="00B452DB">
        <w:rPr>
          <w:rFonts w:eastAsia="Times New Roman"/>
        </w:rPr>
        <w:t xml:space="preserve"> </w:t>
      </w:r>
      <w:r w:rsidR="0066416C">
        <w:rPr>
          <w:rFonts w:eastAsia="Times New Roman"/>
        </w:rPr>
        <w:t>kan de</w:t>
      </w:r>
      <w:r w:rsidR="00B452DB">
        <w:rPr>
          <w:rFonts w:eastAsia="Times New Roman"/>
        </w:rPr>
        <w:t xml:space="preserve"> Nederlandse exporteur een werkkapitaaldekking of een contragarantie afsluiten, zodat liquiditeit wordt vrijgespeeld om bijvoorbeeld materiaal in te kopen en onderaannemers te betalen in de bouwfase.</w:t>
      </w:r>
    </w:p>
    <w:p w:rsidR="00B452DB" w:rsidP="00D1529F" w:rsidRDefault="00B452DB" w14:paraId="7AED1B68" w14:textId="77777777">
      <w:pPr>
        <w:pBdr>
          <w:top w:val="single" w:color="auto" w:sz="4" w:space="1"/>
          <w:left w:val="single" w:color="auto" w:sz="4" w:space="4"/>
          <w:bottom w:val="single" w:color="auto" w:sz="4" w:space="1"/>
          <w:right w:val="single" w:color="auto" w:sz="4" w:space="4"/>
        </w:pBdr>
        <w:rPr>
          <w:rFonts w:eastAsia="Times New Roman"/>
        </w:rPr>
      </w:pPr>
    </w:p>
    <w:p w:rsidR="00457ADB" w:rsidP="027175A8" w:rsidRDefault="027175A8" w14:paraId="75416295" w14:textId="77777777">
      <w:pPr>
        <w:pBdr>
          <w:top w:val="single" w:color="auto" w:sz="4" w:space="1"/>
          <w:left w:val="single" w:color="auto" w:sz="4" w:space="4"/>
          <w:bottom w:val="single" w:color="auto" w:sz="4" w:space="1"/>
          <w:right w:val="single" w:color="auto" w:sz="4" w:space="4"/>
        </w:pBdr>
        <w:rPr>
          <w:rFonts w:eastAsia="Times New Roman"/>
        </w:rPr>
      </w:pPr>
      <w:proofErr w:type="spellStart"/>
      <w:r w:rsidRPr="027175A8">
        <w:rPr>
          <w:rFonts w:eastAsia="Times New Roman"/>
        </w:rPr>
        <w:t>Atradius</w:t>
      </w:r>
      <w:proofErr w:type="spellEnd"/>
      <w:r w:rsidRPr="027175A8">
        <w:rPr>
          <w:rFonts w:eastAsia="Times New Roman"/>
        </w:rPr>
        <w:t xml:space="preserve"> Dutch State Business (ADSB) voert de </w:t>
      </w:r>
      <w:proofErr w:type="spellStart"/>
      <w:r w:rsidRPr="027175A8">
        <w:rPr>
          <w:rFonts w:eastAsia="Times New Roman"/>
        </w:rPr>
        <w:t>ekv</w:t>
      </w:r>
      <w:proofErr w:type="spellEnd"/>
      <w:r w:rsidRPr="027175A8">
        <w:rPr>
          <w:rFonts w:eastAsia="Times New Roman"/>
        </w:rPr>
        <w:t xml:space="preserve"> uit namens de Nederlandse staat. Bedrijven betalen een premie voor deze verzekering die ten minste kostendekkend is. De </w:t>
      </w:r>
      <w:proofErr w:type="spellStart"/>
      <w:r w:rsidRPr="027175A8">
        <w:rPr>
          <w:rFonts w:eastAsia="Times New Roman"/>
        </w:rPr>
        <w:t>ekv</w:t>
      </w:r>
      <w:proofErr w:type="spellEnd"/>
      <w:r w:rsidRPr="027175A8">
        <w:rPr>
          <w:rFonts w:eastAsia="Times New Roman"/>
        </w:rPr>
        <w:t xml:space="preserve"> is dus geen subsidie-instrument. Over de premie en andere kaders van de </w:t>
      </w:r>
      <w:proofErr w:type="spellStart"/>
      <w:r w:rsidRPr="027175A8">
        <w:rPr>
          <w:rFonts w:eastAsia="Times New Roman"/>
        </w:rPr>
        <w:t>ekv</w:t>
      </w:r>
      <w:proofErr w:type="spellEnd"/>
      <w:r w:rsidRPr="027175A8">
        <w:rPr>
          <w:rFonts w:eastAsia="Times New Roman"/>
        </w:rPr>
        <w:t xml:space="preserve"> worden afspraken gemaakt binnen de OESO en de EU, om daarmee het gelijke internationale speelveld te bewaken.</w:t>
      </w:r>
    </w:p>
    <w:p w:rsidR="00457ADB" w:rsidP="00D1529F" w:rsidRDefault="00457ADB" w14:paraId="686FED6E" w14:textId="77777777">
      <w:pPr>
        <w:pBdr>
          <w:top w:val="single" w:color="auto" w:sz="4" w:space="1"/>
          <w:left w:val="single" w:color="auto" w:sz="4" w:space="4"/>
          <w:bottom w:val="single" w:color="auto" w:sz="4" w:space="1"/>
          <w:right w:val="single" w:color="auto" w:sz="4" w:space="4"/>
        </w:pBdr>
        <w:rPr>
          <w:rFonts w:eastAsia="Times New Roman"/>
        </w:rPr>
      </w:pPr>
    </w:p>
    <w:p w:rsidR="00457ADB" w:rsidP="027175A8" w:rsidRDefault="00CB51F7" w14:paraId="28F4862E" w14:textId="77777777">
      <w:pPr>
        <w:pBdr>
          <w:top w:val="single" w:color="auto" w:sz="4" w:space="1"/>
          <w:left w:val="single" w:color="auto" w:sz="4" w:space="4"/>
          <w:bottom w:val="single" w:color="auto" w:sz="4" w:space="1"/>
          <w:right w:val="single" w:color="auto" w:sz="4" w:space="4"/>
        </w:pBdr>
        <w:rPr>
          <w:rFonts w:eastAsia="Times New Roman"/>
        </w:rPr>
      </w:pPr>
      <w:r>
        <w:rPr>
          <w:rFonts w:eastAsia="Times New Roman"/>
        </w:rPr>
        <w:t xml:space="preserve">Een doeltreffende </w:t>
      </w:r>
      <w:proofErr w:type="spellStart"/>
      <w:r>
        <w:rPr>
          <w:rFonts w:eastAsia="Times New Roman"/>
        </w:rPr>
        <w:t>ekv</w:t>
      </w:r>
      <w:proofErr w:type="spellEnd"/>
      <w:r>
        <w:rPr>
          <w:rFonts w:eastAsia="Times New Roman"/>
        </w:rPr>
        <w:t>-faciliteit opereert aanvullend aan de markt</w:t>
      </w:r>
      <w:r w:rsidRPr="00457ADB" w:rsidR="00457ADB">
        <w:rPr>
          <w:rFonts w:eastAsia="Times New Roman"/>
        </w:rPr>
        <w:t xml:space="preserve">. </w:t>
      </w:r>
      <w:r w:rsidR="00BD1B39">
        <w:rPr>
          <w:rFonts w:eastAsia="Times New Roman"/>
        </w:rPr>
        <w:t xml:space="preserve">De </w:t>
      </w:r>
      <w:proofErr w:type="spellStart"/>
      <w:r w:rsidR="00BD1B39">
        <w:rPr>
          <w:rFonts w:eastAsia="Times New Roman"/>
        </w:rPr>
        <w:t>additionaliteit</w:t>
      </w:r>
      <w:proofErr w:type="spellEnd"/>
      <w:r w:rsidR="00BD1B39">
        <w:rPr>
          <w:rFonts w:eastAsia="Times New Roman"/>
        </w:rPr>
        <w:t xml:space="preserve"> aan de markt wordt onder meer gewaarborgd door </w:t>
      </w:r>
      <w:r w:rsidR="00F05120">
        <w:rPr>
          <w:rFonts w:eastAsia="Times New Roman"/>
        </w:rPr>
        <w:t>de “afbakening verzekeringsactiviteiten staat”</w:t>
      </w:r>
      <w:r w:rsidR="00626F55">
        <w:rPr>
          <w:rFonts w:eastAsia="Times New Roman"/>
        </w:rPr>
        <w:t>. De afbakening stelt vast</w:t>
      </w:r>
      <w:r w:rsidR="00F05120">
        <w:rPr>
          <w:rFonts w:eastAsia="Times New Roman"/>
        </w:rPr>
        <w:t xml:space="preserve"> welke risico’s door </w:t>
      </w:r>
      <w:r w:rsidR="00B452DB">
        <w:rPr>
          <w:rFonts w:eastAsia="Times New Roman"/>
        </w:rPr>
        <w:t xml:space="preserve">de </w:t>
      </w:r>
      <w:r w:rsidR="00F05120">
        <w:rPr>
          <w:rFonts w:eastAsia="Times New Roman"/>
        </w:rPr>
        <w:t xml:space="preserve">markt verzekerd worden en </w:t>
      </w:r>
      <w:r w:rsidR="00B452DB">
        <w:rPr>
          <w:rFonts w:eastAsia="Times New Roman"/>
        </w:rPr>
        <w:t xml:space="preserve">daarmee ook </w:t>
      </w:r>
      <w:r w:rsidR="00F05120">
        <w:rPr>
          <w:rFonts w:eastAsia="Times New Roman"/>
        </w:rPr>
        <w:t>waar de Staat zich dus niet mee bezighoudt.</w:t>
      </w:r>
      <w:r w:rsidR="00F05120">
        <w:rPr>
          <w:rStyle w:val="Voetnootmarkering"/>
          <w:rFonts w:eastAsia="Times New Roman"/>
        </w:rPr>
        <w:footnoteReference w:id="2"/>
      </w:r>
      <w:r w:rsidR="00BD1B39">
        <w:rPr>
          <w:rFonts w:eastAsia="Times New Roman"/>
        </w:rPr>
        <w:t xml:space="preserve"> Naar aanleiding van een aanbeveling in de beleidsdoorlichting </w:t>
      </w:r>
      <w:proofErr w:type="spellStart"/>
      <w:r w:rsidR="00BD1B39">
        <w:rPr>
          <w:rFonts w:eastAsia="Times New Roman"/>
        </w:rPr>
        <w:t>ekv</w:t>
      </w:r>
      <w:proofErr w:type="spellEnd"/>
      <w:r w:rsidR="00F05120">
        <w:rPr>
          <w:rFonts w:eastAsia="Times New Roman"/>
        </w:rPr>
        <w:t xml:space="preserve"> 2016 t/m 2021</w:t>
      </w:r>
      <w:r w:rsidR="00BD1B39">
        <w:rPr>
          <w:rFonts w:eastAsia="Times New Roman"/>
        </w:rPr>
        <w:t xml:space="preserve"> is a</w:t>
      </w:r>
      <w:r w:rsidRPr="00457ADB" w:rsidDel="00DA0458" w:rsidR="00457ADB">
        <w:rPr>
          <w:rFonts w:eastAsia="Times New Roman"/>
        </w:rPr>
        <w:t xml:space="preserve">fgelopen periode </w:t>
      </w:r>
      <w:r w:rsidDel="00DA0458" w:rsidR="009E589D">
        <w:rPr>
          <w:rFonts w:eastAsia="Times New Roman"/>
        </w:rPr>
        <w:t xml:space="preserve">gesproken met </w:t>
      </w:r>
      <w:r>
        <w:rPr>
          <w:rFonts w:eastAsia="Times New Roman"/>
        </w:rPr>
        <w:t xml:space="preserve">betrokkenen vanuit de </w:t>
      </w:r>
      <w:r w:rsidR="00F05120">
        <w:rPr>
          <w:rFonts w:eastAsia="Times New Roman"/>
        </w:rPr>
        <w:t>banken, verzekeraars en exporteurs</w:t>
      </w:r>
      <w:r w:rsidR="00D34EF0">
        <w:rPr>
          <w:rFonts w:eastAsia="Times New Roman"/>
        </w:rPr>
        <w:t xml:space="preserve"> om de</w:t>
      </w:r>
      <w:r w:rsidR="009E589D">
        <w:rPr>
          <w:rFonts w:eastAsia="Times New Roman"/>
        </w:rPr>
        <w:t xml:space="preserve"> kennis over de </w:t>
      </w:r>
      <w:r w:rsidDel="00DA0458" w:rsidR="009E589D">
        <w:rPr>
          <w:rFonts w:eastAsia="Times New Roman"/>
        </w:rPr>
        <w:t>private verzeker</w:t>
      </w:r>
      <w:r w:rsidR="009E589D">
        <w:rPr>
          <w:rFonts w:eastAsia="Times New Roman"/>
        </w:rPr>
        <w:t xml:space="preserve">ingsmarkt </w:t>
      </w:r>
      <w:r w:rsidR="00D34EF0">
        <w:rPr>
          <w:rFonts w:eastAsia="Times New Roman"/>
        </w:rPr>
        <w:t>te verdiepen</w:t>
      </w:r>
      <w:r w:rsidDel="00DA0458" w:rsidR="00625B76">
        <w:rPr>
          <w:rFonts w:eastAsia="Times New Roman"/>
        </w:rPr>
        <w:t>.</w:t>
      </w:r>
      <w:r w:rsidRPr="00457ADB" w:rsidDel="00DA0458" w:rsidR="00457ADB">
        <w:rPr>
          <w:rFonts w:eastAsia="Times New Roman"/>
        </w:rPr>
        <w:t xml:space="preserve"> </w:t>
      </w:r>
      <w:r w:rsidR="00F05120">
        <w:rPr>
          <w:rFonts w:eastAsia="Times New Roman"/>
        </w:rPr>
        <w:t>Hieruit</w:t>
      </w:r>
      <w:r w:rsidDel="00DA0458" w:rsidR="00625B76">
        <w:rPr>
          <w:rFonts w:eastAsia="Times New Roman"/>
        </w:rPr>
        <w:t xml:space="preserve"> </w:t>
      </w:r>
      <w:r w:rsidRPr="00457ADB" w:rsidDel="00DA0458" w:rsidR="00457ADB">
        <w:rPr>
          <w:rFonts w:eastAsia="Times New Roman"/>
        </w:rPr>
        <w:t xml:space="preserve">blijkt dat </w:t>
      </w:r>
      <w:r w:rsidR="00F05120">
        <w:rPr>
          <w:rFonts w:eastAsia="Times New Roman"/>
        </w:rPr>
        <w:t xml:space="preserve">de markt het gros van de </w:t>
      </w:r>
      <w:proofErr w:type="spellStart"/>
      <w:r w:rsidR="00F05120">
        <w:rPr>
          <w:rFonts w:eastAsia="Times New Roman"/>
        </w:rPr>
        <w:t>ekv</w:t>
      </w:r>
      <w:proofErr w:type="spellEnd"/>
      <w:r w:rsidR="00F05120">
        <w:rPr>
          <w:rFonts w:eastAsia="Times New Roman"/>
        </w:rPr>
        <w:t xml:space="preserve">-producten niet aanbiedt. </w:t>
      </w:r>
      <w:r w:rsidR="009E5C44">
        <w:rPr>
          <w:rFonts w:eastAsia="Times New Roman"/>
        </w:rPr>
        <w:t>F</w:t>
      </w:r>
      <w:r w:rsidR="00035D87">
        <w:rPr>
          <w:rFonts w:eastAsia="Times New Roman"/>
        </w:rPr>
        <w:t>inancieringspolis</w:t>
      </w:r>
      <w:r w:rsidR="009E5C44">
        <w:rPr>
          <w:rFonts w:eastAsia="Times New Roman"/>
        </w:rPr>
        <w:t>sen</w:t>
      </w:r>
      <w:r w:rsidR="00035D87">
        <w:rPr>
          <w:rFonts w:eastAsia="Times New Roman"/>
        </w:rPr>
        <w:t xml:space="preserve"> met een doorlooptijd langer dan </w:t>
      </w:r>
      <w:r w:rsidR="001B6E8D">
        <w:rPr>
          <w:rFonts w:eastAsia="Times New Roman"/>
        </w:rPr>
        <w:t>tien</w:t>
      </w:r>
      <w:r w:rsidR="00035D87">
        <w:rPr>
          <w:rFonts w:eastAsia="Times New Roman"/>
        </w:rPr>
        <w:t xml:space="preserve"> jaar </w:t>
      </w:r>
      <w:r w:rsidR="00515A6A">
        <w:rPr>
          <w:rFonts w:eastAsia="Times New Roman"/>
        </w:rPr>
        <w:t>biedt de markt</w:t>
      </w:r>
      <w:r w:rsidR="00B452DB">
        <w:rPr>
          <w:rFonts w:eastAsia="Times New Roman"/>
        </w:rPr>
        <w:t xml:space="preserve"> niet aan </w:t>
      </w:r>
      <w:r w:rsidR="00035D87">
        <w:rPr>
          <w:rFonts w:eastAsia="Times New Roman"/>
        </w:rPr>
        <w:t>en bij korter lopende financieringspolissen</w:t>
      </w:r>
      <w:r w:rsidR="00B452DB">
        <w:rPr>
          <w:rFonts w:eastAsia="Times New Roman"/>
        </w:rPr>
        <w:t xml:space="preserve"> </w:t>
      </w:r>
      <w:r w:rsidR="00035D87">
        <w:rPr>
          <w:rFonts w:eastAsia="Times New Roman"/>
        </w:rPr>
        <w:t>verschillen de verzekeringsvoorwaarden</w:t>
      </w:r>
      <w:r w:rsidR="00B452DB">
        <w:rPr>
          <w:rFonts w:eastAsia="Times New Roman"/>
        </w:rPr>
        <w:t xml:space="preserve"> dusdanig</w:t>
      </w:r>
      <w:r w:rsidR="00035D87">
        <w:rPr>
          <w:rFonts w:eastAsia="Times New Roman"/>
        </w:rPr>
        <w:t xml:space="preserve"> </w:t>
      </w:r>
      <w:r w:rsidR="00B452DB">
        <w:rPr>
          <w:rFonts w:eastAsia="Times New Roman"/>
        </w:rPr>
        <w:t xml:space="preserve">van de </w:t>
      </w:r>
      <w:proofErr w:type="spellStart"/>
      <w:r w:rsidR="00B452DB">
        <w:rPr>
          <w:rFonts w:eastAsia="Times New Roman"/>
        </w:rPr>
        <w:t>ekv</w:t>
      </w:r>
      <w:proofErr w:type="spellEnd"/>
      <w:r w:rsidR="00B452DB">
        <w:rPr>
          <w:rFonts w:eastAsia="Times New Roman"/>
        </w:rPr>
        <w:t xml:space="preserve"> </w:t>
      </w:r>
      <w:r w:rsidR="00035D87">
        <w:rPr>
          <w:rFonts w:eastAsia="Times New Roman"/>
        </w:rPr>
        <w:t xml:space="preserve">dat deze lastig </w:t>
      </w:r>
      <w:r w:rsidR="00B452DB">
        <w:rPr>
          <w:rFonts w:eastAsia="Times New Roman"/>
        </w:rPr>
        <w:t xml:space="preserve">met elkaar </w:t>
      </w:r>
      <w:r w:rsidR="00035D87">
        <w:rPr>
          <w:rFonts w:eastAsia="Times New Roman"/>
        </w:rPr>
        <w:t>te vergelijken zijn.</w:t>
      </w:r>
    </w:p>
    <w:p w:rsidR="006F45A7" w:rsidP="00D95D37" w:rsidRDefault="006F45A7" w14:paraId="47CC57CB" w14:textId="77777777">
      <w:pPr>
        <w:pStyle w:val="Geenafstand"/>
        <w:jc w:val="left"/>
        <w:rPr>
          <w:rFonts w:eastAsia="Times New Roman"/>
          <w:i/>
          <w:iCs/>
        </w:rPr>
      </w:pPr>
    </w:p>
    <w:p w:rsidRPr="009128E1" w:rsidR="00B52CBC" w:rsidP="00D95D37" w:rsidRDefault="00850654" w14:paraId="0550F2B9" w14:textId="77777777">
      <w:pPr>
        <w:pStyle w:val="Geenafstand"/>
        <w:jc w:val="left"/>
        <w:rPr>
          <w:rFonts w:eastAsia="Times New Roman"/>
          <w:b/>
          <w:bCs/>
        </w:rPr>
      </w:pPr>
      <w:r w:rsidRPr="009128E1">
        <w:rPr>
          <w:rFonts w:eastAsia="Times New Roman"/>
          <w:b/>
          <w:bCs/>
        </w:rPr>
        <w:t>Financieel resultaat 202</w:t>
      </w:r>
      <w:r w:rsidRPr="009128E1" w:rsidR="008D1BD1">
        <w:rPr>
          <w:rFonts w:eastAsia="Times New Roman"/>
          <w:b/>
          <w:bCs/>
        </w:rPr>
        <w:t>5</w:t>
      </w:r>
    </w:p>
    <w:p w:rsidRPr="009128E1" w:rsidR="00E07CA6" w:rsidP="027175A8" w:rsidRDefault="00E07CA6" w14:paraId="0D7C4CDF" w14:textId="77777777">
      <w:pPr>
        <w:autoSpaceDN/>
        <w:spacing w:after="160" w:line="276" w:lineRule="auto"/>
        <w:textAlignment w:val="auto"/>
        <w:rPr>
          <w:rFonts w:eastAsia="Calibri" w:cs="Arial"/>
          <w:color w:val="auto"/>
          <w:lang w:eastAsia="en-US"/>
        </w:rPr>
      </w:pPr>
      <w:r w:rsidRPr="009128E1">
        <w:rPr>
          <w:rFonts w:eastAsia="Calibri" w:cs="Arial"/>
          <w:color w:val="auto"/>
          <w:lang w:eastAsia="en-US"/>
        </w:rPr>
        <w:t xml:space="preserve">In 2025 werd in totaal voor </w:t>
      </w:r>
      <w:r w:rsidR="00867FBB">
        <w:rPr>
          <w:rFonts w:eastAsia="Calibri" w:cs="Arial"/>
          <w:color w:val="auto"/>
          <w:lang w:eastAsia="en-US"/>
        </w:rPr>
        <w:t>4,0</w:t>
      </w:r>
      <w:r w:rsidRPr="009128E1">
        <w:rPr>
          <w:rFonts w:eastAsia="Calibri" w:cs="Arial"/>
          <w:color w:val="auto"/>
          <w:lang w:eastAsia="en-US"/>
        </w:rPr>
        <w:t xml:space="preserve"> miljard euro aan nieuwe verplichtingen aangegaan, bestaande uit nieuwe polissen en dekkingstoezeggingen</w:t>
      </w:r>
      <w:r w:rsidR="00626F55">
        <w:rPr>
          <w:rFonts w:eastAsia="Calibri" w:cs="Arial"/>
          <w:color w:val="auto"/>
          <w:lang w:eastAsia="en-US"/>
        </w:rPr>
        <w:t>.</w:t>
      </w:r>
      <w:r w:rsidR="008C20CD">
        <w:rPr>
          <w:rStyle w:val="Voetnootmarkering"/>
          <w:rFonts w:eastAsia="Calibri" w:cs="Arial"/>
          <w:color w:val="auto"/>
          <w:lang w:eastAsia="en-US"/>
        </w:rPr>
        <w:footnoteReference w:id="3"/>
      </w:r>
      <w:r w:rsidRPr="009128E1">
        <w:rPr>
          <w:rFonts w:eastAsia="Calibri" w:cs="Arial"/>
          <w:color w:val="auto"/>
          <w:lang w:eastAsia="en-US"/>
        </w:rPr>
        <w:t xml:space="preserve"> </w:t>
      </w:r>
      <w:r w:rsidR="009128E1">
        <w:rPr>
          <w:rFonts w:eastAsia="Calibri" w:cs="Arial"/>
          <w:color w:val="auto"/>
          <w:lang w:eastAsia="en-US"/>
        </w:rPr>
        <w:t xml:space="preserve">Dit is </w:t>
      </w:r>
      <w:r w:rsidR="00867FBB">
        <w:rPr>
          <w:rFonts w:eastAsia="Calibri" w:cs="Arial"/>
          <w:color w:val="auto"/>
          <w:lang w:eastAsia="en-US"/>
        </w:rPr>
        <w:t xml:space="preserve">hoger </w:t>
      </w:r>
      <w:r w:rsidRPr="009128E1">
        <w:rPr>
          <w:rFonts w:eastAsia="Calibri" w:cs="Arial"/>
          <w:color w:val="auto"/>
          <w:lang w:eastAsia="en-US"/>
        </w:rPr>
        <w:t>dan</w:t>
      </w:r>
      <w:r w:rsidRPr="027175A8" w:rsidR="027175A8">
        <w:rPr>
          <w:rFonts w:eastAsia="Calibri" w:cs="Arial"/>
          <w:color w:val="auto"/>
          <w:lang w:eastAsia="en-US"/>
        </w:rPr>
        <w:t xml:space="preserve"> </w:t>
      </w:r>
      <w:r w:rsidR="00FA0C9E">
        <w:rPr>
          <w:rFonts w:eastAsia="Calibri" w:cs="Arial"/>
          <w:color w:val="auto"/>
          <w:lang w:eastAsia="en-US"/>
        </w:rPr>
        <w:t>in 2024 toen</w:t>
      </w:r>
      <w:r w:rsidRPr="009128E1" w:rsidR="00FA0C9E">
        <w:rPr>
          <w:rFonts w:eastAsia="Calibri" w:cs="Arial"/>
          <w:color w:val="auto"/>
          <w:lang w:eastAsia="en-US"/>
        </w:rPr>
        <w:t xml:space="preserve"> </w:t>
      </w:r>
      <w:r w:rsidR="00AF2A46">
        <w:rPr>
          <w:rFonts w:eastAsia="Calibri" w:cs="Arial"/>
          <w:color w:val="auto"/>
          <w:lang w:eastAsia="en-US"/>
        </w:rPr>
        <w:t>de nieuwe verplichtingen</w:t>
      </w:r>
      <w:r w:rsidRPr="009128E1" w:rsidR="00AF2A46">
        <w:rPr>
          <w:rFonts w:eastAsia="Calibri" w:cs="Arial"/>
          <w:color w:val="auto"/>
          <w:lang w:eastAsia="en-US"/>
        </w:rPr>
        <w:t xml:space="preserve"> </w:t>
      </w:r>
      <w:r w:rsidRPr="009128E1">
        <w:rPr>
          <w:rFonts w:eastAsia="Calibri" w:cs="Arial"/>
          <w:color w:val="auto"/>
          <w:lang w:eastAsia="en-US"/>
        </w:rPr>
        <w:t>3,5 miljard euro</w:t>
      </w:r>
      <w:r w:rsidR="00FA0C9E">
        <w:rPr>
          <w:rFonts w:eastAsia="Calibri" w:cs="Arial"/>
          <w:color w:val="auto"/>
          <w:lang w:eastAsia="en-US"/>
        </w:rPr>
        <w:t xml:space="preserve"> en in 2023 3,7 miljard euro bedroegen</w:t>
      </w:r>
      <w:r w:rsidRPr="009128E1">
        <w:rPr>
          <w:rFonts w:eastAsia="Calibri" w:cs="Arial"/>
          <w:color w:val="auto"/>
          <w:lang w:eastAsia="en-US"/>
        </w:rPr>
        <w:t>.</w:t>
      </w:r>
      <w:r w:rsidR="00605639">
        <w:rPr>
          <w:rStyle w:val="Voetnootmarkering"/>
          <w:rFonts w:eastAsia="Calibri" w:cs="Arial"/>
          <w:color w:val="auto"/>
          <w:lang w:eastAsia="en-US"/>
        </w:rPr>
        <w:footnoteReference w:id="4"/>
      </w:r>
      <w:r w:rsidRPr="009128E1" w:rsidR="00570C49">
        <w:rPr>
          <w:rFonts w:eastAsia="Calibri" w:cs="Arial"/>
          <w:color w:val="auto"/>
          <w:lang w:eastAsia="en-US"/>
        </w:rPr>
        <w:t xml:space="preserve"> </w:t>
      </w:r>
      <w:r w:rsidR="009128E1">
        <w:rPr>
          <w:rFonts w:eastAsia="Calibri" w:cs="Arial"/>
          <w:color w:val="auto"/>
          <w:lang w:eastAsia="en-US"/>
        </w:rPr>
        <w:t xml:space="preserve">De </w:t>
      </w:r>
      <w:proofErr w:type="spellStart"/>
      <w:r w:rsidR="009128E1">
        <w:rPr>
          <w:rFonts w:eastAsia="Calibri" w:cs="Arial"/>
          <w:color w:val="auto"/>
          <w:lang w:eastAsia="en-US"/>
        </w:rPr>
        <w:t>ekv</w:t>
      </w:r>
      <w:proofErr w:type="spellEnd"/>
      <w:r w:rsidR="009128E1">
        <w:rPr>
          <w:rFonts w:eastAsia="Calibri" w:cs="Arial"/>
          <w:color w:val="auto"/>
          <w:lang w:eastAsia="en-US"/>
        </w:rPr>
        <w:t xml:space="preserve"> is een </w:t>
      </w:r>
      <w:proofErr w:type="spellStart"/>
      <w:r w:rsidR="009128E1">
        <w:rPr>
          <w:rFonts w:eastAsia="Calibri" w:cs="Arial"/>
          <w:color w:val="auto"/>
          <w:lang w:eastAsia="en-US"/>
        </w:rPr>
        <w:t>vraaggestuurd</w:t>
      </w:r>
      <w:proofErr w:type="spellEnd"/>
      <w:r w:rsidR="009128E1">
        <w:rPr>
          <w:rFonts w:eastAsia="Calibri" w:cs="Arial"/>
          <w:color w:val="auto"/>
          <w:lang w:eastAsia="en-US"/>
        </w:rPr>
        <w:t xml:space="preserve"> instrument, waardoor </w:t>
      </w:r>
      <w:r w:rsidRPr="009128E1" w:rsidR="00881F17">
        <w:rPr>
          <w:rFonts w:eastAsia="Calibri" w:cs="Arial"/>
          <w:color w:val="auto"/>
          <w:lang w:eastAsia="en-US"/>
        </w:rPr>
        <w:t xml:space="preserve">de benutting van de </w:t>
      </w:r>
      <w:proofErr w:type="spellStart"/>
      <w:r w:rsidRPr="009128E1" w:rsidR="00881F17">
        <w:rPr>
          <w:rFonts w:eastAsia="Calibri" w:cs="Arial"/>
          <w:color w:val="auto"/>
          <w:lang w:eastAsia="en-US"/>
        </w:rPr>
        <w:t>ek</w:t>
      </w:r>
      <w:r w:rsidRPr="009128E1" w:rsidR="00BF76F9">
        <w:rPr>
          <w:rFonts w:eastAsia="Calibri" w:cs="Arial"/>
          <w:color w:val="auto"/>
          <w:lang w:eastAsia="en-US"/>
        </w:rPr>
        <w:t>v</w:t>
      </w:r>
      <w:proofErr w:type="spellEnd"/>
      <w:r w:rsidRPr="009128E1" w:rsidR="00881F17">
        <w:rPr>
          <w:rFonts w:eastAsia="Calibri" w:cs="Arial"/>
          <w:color w:val="auto"/>
          <w:lang w:eastAsia="en-US"/>
        </w:rPr>
        <w:t xml:space="preserve"> </w:t>
      </w:r>
      <w:r w:rsidRPr="009128E1" w:rsidR="00911134">
        <w:rPr>
          <w:rFonts w:eastAsia="Calibri" w:cs="Arial"/>
          <w:color w:val="auto"/>
          <w:lang w:eastAsia="en-US"/>
        </w:rPr>
        <w:t>schommelingen</w:t>
      </w:r>
      <w:r w:rsidR="000C22DD">
        <w:rPr>
          <w:rFonts w:eastAsia="Calibri" w:cs="Arial"/>
          <w:color w:val="auto"/>
          <w:lang w:eastAsia="en-US"/>
        </w:rPr>
        <w:t xml:space="preserve"> kent</w:t>
      </w:r>
      <w:r w:rsidR="00FA0C9E">
        <w:rPr>
          <w:rFonts w:eastAsia="Calibri" w:cs="Arial"/>
          <w:color w:val="auto"/>
          <w:lang w:eastAsia="en-US"/>
        </w:rPr>
        <w:t xml:space="preserve">. </w:t>
      </w:r>
      <w:r w:rsidR="0069471B">
        <w:rPr>
          <w:rFonts w:eastAsia="Calibri" w:cs="Arial"/>
          <w:color w:val="auto"/>
          <w:lang w:eastAsia="en-US"/>
        </w:rPr>
        <w:t>Uit eerdere</w:t>
      </w:r>
      <w:r w:rsidRPr="009128E1" w:rsidR="00911134">
        <w:rPr>
          <w:rFonts w:eastAsia="Calibri" w:cs="Arial"/>
          <w:color w:val="auto"/>
          <w:lang w:eastAsia="en-US"/>
        </w:rPr>
        <w:t xml:space="preserve"> analyse </w:t>
      </w:r>
      <w:r w:rsidR="0069471B">
        <w:rPr>
          <w:rFonts w:eastAsia="Calibri" w:cs="Arial"/>
          <w:color w:val="auto"/>
          <w:lang w:eastAsia="en-US"/>
        </w:rPr>
        <w:t>blijkt</w:t>
      </w:r>
      <w:r w:rsidRPr="009128E1" w:rsidR="00911134">
        <w:rPr>
          <w:rFonts w:eastAsia="Calibri" w:cs="Arial"/>
          <w:color w:val="auto"/>
          <w:lang w:eastAsia="en-US"/>
        </w:rPr>
        <w:t xml:space="preserve"> dat het incidentele karakter van de </w:t>
      </w:r>
      <w:r w:rsidR="00CE09DA">
        <w:rPr>
          <w:rFonts w:eastAsia="Calibri" w:cs="Arial"/>
          <w:color w:val="auto"/>
          <w:lang w:eastAsia="en-US"/>
        </w:rPr>
        <w:t xml:space="preserve">vraag </w:t>
      </w:r>
      <w:r w:rsidR="003F2089">
        <w:rPr>
          <w:rFonts w:eastAsia="Calibri" w:cs="Arial"/>
          <w:color w:val="auto"/>
          <w:lang w:eastAsia="en-US"/>
        </w:rPr>
        <w:t xml:space="preserve">naar de </w:t>
      </w:r>
      <w:proofErr w:type="spellStart"/>
      <w:r w:rsidR="003F2089">
        <w:rPr>
          <w:rFonts w:eastAsia="Calibri" w:cs="Arial"/>
          <w:color w:val="auto"/>
          <w:lang w:eastAsia="en-US"/>
        </w:rPr>
        <w:t>ekv</w:t>
      </w:r>
      <w:proofErr w:type="spellEnd"/>
      <w:r w:rsidR="003F2089">
        <w:rPr>
          <w:rFonts w:eastAsia="Calibri" w:cs="Arial"/>
          <w:color w:val="auto"/>
          <w:lang w:eastAsia="en-US"/>
        </w:rPr>
        <w:t xml:space="preserve"> </w:t>
      </w:r>
      <w:r w:rsidR="00895B0D">
        <w:rPr>
          <w:rFonts w:eastAsia="Calibri" w:cs="Arial"/>
          <w:color w:val="auto"/>
          <w:lang w:eastAsia="en-US"/>
        </w:rPr>
        <w:t>hierbij</w:t>
      </w:r>
      <w:r w:rsidRPr="009128E1" w:rsidR="00911134">
        <w:rPr>
          <w:rFonts w:eastAsia="Calibri" w:cs="Arial"/>
          <w:color w:val="auto"/>
          <w:lang w:eastAsia="en-US"/>
        </w:rPr>
        <w:t xml:space="preserve"> een grote rol speelt</w:t>
      </w:r>
      <w:r w:rsidR="009128E1">
        <w:rPr>
          <w:rFonts w:eastAsia="Calibri" w:cs="Arial"/>
          <w:color w:val="auto"/>
          <w:lang w:eastAsia="en-US"/>
        </w:rPr>
        <w:t>.</w:t>
      </w:r>
      <w:r w:rsidRPr="009128E1" w:rsidR="00911134">
        <w:rPr>
          <w:rStyle w:val="Voetnootmarkering"/>
          <w:rFonts w:eastAsia="Calibri" w:cs="Arial"/>
          <w:color w:val="auto"/>
          <w:lang w:eastAsia="en-US"/>
        </w:rPr>
        <w:footnoteReference w:id="5"/>
      </w:r>
      <w:r w:rsidRPr="009128E1" w:rsidR="00570C49">
        <w:rPr>
          <w:rFonts w:eastAsia="Calibri" w:cs="Arial"/>
          <w:color w:val="auto"/>
          <w:lang w:eastAsia="en-US"/>
        </w:rPr>
        <w:t xml:space="preserve"> </w:t>
      </w:r>
      <w:r w:rsidR="00B452DB">
        <w:rPr>
          <w:rFonts w:eastAsia="Calibri" w:cs="Arial"/>
          <w:color w:val="auto"/>
          <w:lang w:eastAsia="en-US"/>
        </w:rPr>
        <w:t xml:space="preserve">Als er </w:t>
      </w:r>
      <w:r w:rsidR="009E5C44">
        <w:rPr>
          <w:rFonts w:eastAsia="Calibri" w:cs="Arial"/>
          <w:color w:val="auto"/>
          <w:lang w:eastAsia="en-US"/>
        </w:rPr>
        <w:t xml:space="preserve">in een jaar </w:t>
      </w:r>
      <w:r w:rsidR="00B452DB">
        <w:rPr>
          <w:rFonts w:eastAsia="Calibri" w:cs="Arial"/>
          <w:color w:val="auto"/>
          <w:lang w:eastAsia="en-US"/>
        </w:rPr>
        <w:t xml:space="preserve">een zeer omvangrijke transactie </w:t>
      </w:r>
      <w:r w:rsidR="007B3C0A">
        <w:rPr>
          <w:rFonts w:eastAsia="Calibri" w:cs="Arial"/>
          <w:color w:val="auto"/>
          <w:lang w:eastAsia="en-US"/>
        </w:rPr>
        <w:t>wordt verzekerd</w:t>
      </w:r>
      <w:r w:rsidR="00B452DB">
        <w:rPr>
          <w:rFonts w:eastAsia="Calibri" w:cs="Arial"/>
          <w:color w:val="auto"/>
          <w:lang w:eastAsia="en-US"/>
        </w:rPr>
        <w:t xml:space="preserve">, dan heeft dat </w:t>
      </w:r>
      <w:r w:rsidR="00CD1391">
        <w:rPr>
          <w:rFonts w:eastAsia="Calibri" w:cs="Arial"/>
          <w:color w:val="auto"/>
          <w:lang w:eastAsia="en-US"/>
        </w:rPr>
        <w:t xml:space="preserve">veel effect op de </w:t>
      </w:r>
      <w:r w:rsidR="00CD1391">
        <w:rPr>
          <w:rFonts w:eastAsia="Calibri" w:cs="Arial"/>
          <w:color w:val="auto"/>
          <w:lang w:eastAsia="en-US"/>
        </w:rPr>
        <w:lastRenderedPageBreak/>
        <w:t xml:space="preserve">omvang van de aangegane verplichtingen in dat jaar en de jaren daarop. Ook conjuncturele factoren spelen een rol bij de schommelingen tussen jaren. </w:t>
      </w:r>
    </w:p>
    <w:p w:rsidR="0026642A" w:rsidP="027175A8" w:rsidRDefault="027175A8" w14:paraId="749DBA2F" w14:textId="77777777">
      <w:pPr>
        <w:autoSpaceDN/>
        <w:spacing w:after="160" w:line="276" w:lineRule="auto"/>
        <w:textAlignment w:val="auto"/>
        <w:rPr>
          <w:rFonts w:eastAsia="Calibri" w:cs="Arial"/>
          <w:color w:val="auto"/>
          <w:vertAlign w:val="superscript"/>
          <w:lang w:eastAsia="en-US"/>
        </w:rPr>
      </w:pPr>
      <w:r w:rsidRPr="027175A8">
        <w:rPr>
          <w:rFonts w:eastAsia="Calibri" w:cs="Arial"/>
          <w:color w:val="auto"/>
          <w:lang w:eastAsia="en-US"/>
        </w:rPr>
        <w:t xml:space="preserve">De financiële stromen van de </w:t>
      </w:r>
      <w:proofErr w:type="spellStart"/>
      <w:r w:rsidRPr="027175A8">
        <w:rPr>
          <w:rFonts w:eastAsia="Calibri" w:cs="Arial"/>
          <w:color w:val="auto"/>
          <w:lang w:eastAsia="en-US"/>
        </w:rPr>
        <w:t>ekv</w:t>
      </w:r>
      <w:proofErr w:type="spellEnd"/>
      <w:r w:rsidRPr="027175A8">
        <w:rPr>
          <w:rFonts w:eastAsia="Calibri" w:cs="Arial"/>
          <w:color w:val="auto"/>
          <w:lang w:eastAsia="en-US"/>
        </w:rPr>
        <w:t xml:space="preserve"> bestaan uit premie-inkomsten, schade-uitgaven, recuperatie-inkomsten van eerder uitgekeerde schade-uitgaven en de uitvoeringskosten voor ADSB. In 2025 is er 27,2 miljoen euro aan premie en 39,3 miljoen euro aan recuperaties ontvangen. Er is 108,3 miljoen euro aan schade uitgekeerd, onder andere op polissen met betrekking tot Sri Lanka (omvang 55 miljoen euro). Deze schade is deels niet-definitief en kan dus nog worden gerecupereerd. De uitvoeringskosten bedroegen 22,1 miljoen euro. Dit is de totale kostenvergoeding die in 2025 aan ADSB is uitgekeerd. In 2026 volgt er nog een naheffing op basis van de definitieve cijfers.</w:t>
      </w:r>
      <w:r w:rsidRPr="027175A8">
        <w:rPr>
          <w:rFonts w:eastAsia="Calibri" w:cs="Arial"/>
          <w:color w:val="auto"/>
          <w:vertAlign w:val="superscript"/>
          <w:lang w:eastAsia="en-US"/>
        </w:rPr>
        <w:t xml:space="preserve"> </w:t>
      </w:r>
    </w:p>
    <w:p w:rsidRPr="009128E1" w:rsidR="00E07CA6" w:rsidP="027175A8" w:rsidRDefault="027175A8" w14:paraId="61FC9F99" w14:textId="77777777">
      <w:pPr>
        <w:autoSpaceDN/>
        <w:spacing w:after="160" w:line="276" w:lineRule="auto"/>
        <w:textAlignment w:val="auto"/>
        <w:rPr>
          <w:rFonts w:eastAsia="Calibri" w:cs="Arial"/>
          <w:color w:val="auto"/>
          <w:lang w:eastAsia="en-US"/>
        </w:rPr>
      </w:pPr>
      <w:r w:rsidRPr="027175A8">
        <w:rPr>
          <w:rFonts w:eastAsia="Calibri" w:cs="Arial"/>
          <w:color w:val="auto"/>
          <w:lang w:eastAsia="en-US"/>
        </w:rPr>
        <w:t xml:space="preserve">De </w:t>
      </w:r>
      <w:proofErr w:type="spellStart"/>
      <w:r w:rsidRPr="027175A8">
        <w:rPr>
          <w:rFonts w:eastAsia="Calibri" w:cs="Arial"/>
          <w:color w:val="auto"/>
          <w:lang w:eastAsia="en-US"/>
        </w:rPr>
        <w:t>ekv</w:t>
      </w:r>
      <w:proofErr w:type="spellEnd"/>
      <w:r w:rsidRPr="027175A8">
        <w:rPr>
          <w:rFonts w:eastAsia="Calibri" w:cs="Arial"/>
          <w:color w:val="auto"/>
          <w:lang w:eastAsia="en-US"/>
        </w:rPr>
        <w:t xml:space="preserve"> heeft een begrotingsreserve. Deze fungeert om budgettaire schommelingen in de inkomsten en uitgaven op te vangen. De reserve wordt aangevuld met ontvangen premies en recuperaties. Onttrekkingen uit de reserve betreffen definitieve schades en uitvoeringskosten van ADSB. Bij definitieve schade wordt het innen van de vordering of het restant als niet meer mogelijk geacht. De begrotingsreserve bedroeg ultimo 2025 830,7 miljoen euro. Dat is een groei ten opzichte van ultimo 2024, toen de reserve 724,9 miljoen euro bedroeg. </w:t>
      </w:r>
    </w:p>
    <w:p w:rsidR="00B52CBC" w:rsidP="027175A8" w:rsidRDefault="00B52CBC" w14:paraId="33839A9B" w14:textId="77777777">
      <w:pPr>
        <w:pStyle w:val="Geenafstand"/>
        <w:jc w:val="left"/>
        <w:rPr>
          <w:rFonts w:eastAsia="Calibri" w:cs="Arial"/>
          <w:color w:val="auto"/>
          <w:lang w:eastAsia="en-US"/>
        </w:rPr>
      </w:pPr>
      <w:r w:rsidRPr="009128E1">
        <w:rPr>
          <w:rFonts w:eastAsia="Times New Roman"/>
        </w:rPr>
        <w:t xml:space="preserve">In 2025 is het totaal aantal transacties dat kwalificeert als groene of mkb transactie ongeveer gelijk aan het voorgaande jaar. In totaal heeft ADSB </w:t>
      </w:r>
      <w:r w:rsidR="004A04B9">
        <w:rPr>
          <w:rFonts w:eastAsia="Times New Roman"/>
        </w:rPr>
        <w:t>181</w:t>
      </w:r>
      <w:r w:rsidRPr="009128E1">
        <w:rPr>
          <w:rFonts w:eastAsia="Times New Roman"/>
        </w:rPr>
        <w:t xml:space="preserve"> nieuwe transacties</w:t>
      </w:r>
      <w:r w:rsidR="00B062D4">
        <w:rPr>
          <w:rStyle w:val="Voetnootmarkering"/>
          <w:rFonts w:eastAsia="Times New Roman"/>
        </w:rPr>
        <w:footnoteReference w:id="6"/>
      </w:r>
      <w:r w:rsidRPr="009128E1">
        <w:rPr>
          <w:rFonts w:eastAsia="Times New Roman"/>
        </w:rPr>
        <w:t xml:space="preserve"> ondersteund,</w:t>
      </w:r>
      <w:r w:rsidR="009C3AB5">
        <w:rPr>
          <w:rFonts w:eastAsia="Times New Roman"/>
        </w:rPr>
        <w:t xml:space="preserve"> </w:t>
      </w:r>
      <w:r w:rsidRPr="009128E1" w:rsidDel="005F75D8">
        <w:rPr>
          <w:rFonts w:eastAsia="Times New Roman"/>
        </w:rPr>
        <w:t xml:space="preserve">waarvan </w:t>
      </w:r>
      <w:r w:rsidR="004A04B9">
        <w:rPr>
          <w:rFonts w:eastAsia="Times New Roman"/>
        </w:rPr>
        <w:t>49</w:t>
      </w:r>
      <w:r w:rsidRPr="009128E1" w:rsidDel="005F75D8" w:rsidR="00C52E9D">
        <w:rPr>
          <w:rFonts w:eastAsia="Times New Roman"/>
        </w:rPr>
        <w:t xml:space="preserve"> </w:t>
      </w:r>
      <w:r w:rsidRPr="009128E1" w:rsidDel="005F75D8">
        <w:rPr>
          <w:rFonts w:eastAsia="Times New Roman"/>
        </w:rPr>
        <w:t>classificeren als groen</w:t>
      </w:r>
      <w:r w:rsidRPr="009128E1" w:rsidDel="005F75D8" w:rsidR="00D97ABC">
        <w:rPr>
          <w:rFonts w:eastAsia="Times New Roman"/>
        </w:rPr>
        <w:t>-</w:t>
      </w:r>
      <w:r w:rsidRPr="009128E1" w:rsidDel="005F75D8">
        <w:rPr>
          <w:rFonts w:eastAsia="Times New Roman"/>
        </w:rPr>
        <w:t xml:space="preserve"> en </w:t>
      </w:r>
      <w:r w:rsidR="004A04B9">
        <w:rPr>
          <w:rFonts w:eastAsia="Times New Roman"/>
        </w:rPr>
        <w:t>66</w:t>
      </w:r>
      <w:r w:rsidRPr="009128E1" w:rsidDel="005F75D8" w:rsidR="00C52E9D">
        <w:rPr>
          <w:rFonts w:eastAsia="Times New Roman"/>
        </w:rPr>
        <w:t xml:space="preserve"> </w:t>
      </w:r>
      <w:r w:rsidRPr="009128E1" w:rsidDel="005F75D8">
        <w:rPr>
          <w:rFonts w:eastAsia="Times New Roman"/>
        </w:rPr>
        <w:t xml:space="preserve">als mkb-gerelateerd. </w:t>
      </w:r>
      <w:r w:rsidRPr="009128E1" w:rsidR="00FA0C9E">
        <w:rPr>
          <w:rFonts w:eastAsia="Calibri" w:cs="Arial"/>
          <w:color w:val="auto"/>
          <w:lang w:eastAsia="en-US"/>
        </w:rPr>
        <w:t>De afgegeven polissen worden op de website van uitvoerder ADSB binnen drie weken na afgifte gepubliceerd.</w:t>
      </w:r>
      <w:r w:rsidRPr="009128E1" w:rsidR="00FA0C9E">
        <w:rPr>
          <w:rStyle w:val="Voetnootmarkering"/>
          <w:rFonts w:eastAsia="Calibri" w:cs="Arial"/>
          <w:color w:val="auto"/>
          <w:lang w:eastAsia="en-US"/>
        </w:rPr>
        <w:footnoteReference w:id="7"/>
      </w:r>
    </w:p>
    <w:p w:rsidR="002902D6" w:rsidP="027175A8" w:rsidRDefault="027175A8" w14:paraId="5ACF06F8" w14:textId="77777777">
      <w:pPr>
        <w:pStyle w:val="Geenafstand"/>
        <w:jc w:val="left"/>
        <w:rPr>
          <w:rFonts w:eastAsia="Calibri" w:cs="Arial"/>
          <w:color w:val="auto"/>
          <w:lang w:eastAsia="en-US"/>
        </w:rPr>
      </w:pPr>
      <w:r w:rsidRPr="027175A8">
        <w:rPr>
          <w:rFonts w:eastAsia="Calibri" w:cs="Arial"/>
          <w:color w:val="auto"/>
          <w:lang w:eastAsia="en-US"/>
        </w:rPr>
        <w:t xml:space="preserve">In aanvulling op de reguliere </w:t>
      </w:r>
      <w:proofErr w:type="spellStart"/>
      <w:r w:rsidRPr="027175A8">
        <w:rPr>
          <w:rFonts w:eastAsia="Calibri" w:cs="Arial"/>
          <w:color w:val="auto"/>
          <w:lang w:eastAsia="en-US"/>
        </w:rPr>
        <w:t>ekv</w:t>
      </w:r>
      <w:proofErr w:type="spellEnd"/>
      <w:r w:rsidRPr="027175A8">
        <w:rPr>
          <w:rFonts w:eastAsia="Calibri" w:cs="Arial"/>
          <w:color w:val="auto"/>
          <w:lang w:eastAsia="en-US"/>
        </w:rPr>
        <w:t xml:space="preserve">, voert ADSB ook enkele regelingen van het ministerie van </w:t>
      </w:r>
      <w:r w:rsidR="00EC18C6">
        <w:rPr>
          <w:rFonts w:eastAsia="Calibri" w:cs="Arial"/>
          <w:color w:val="auto"/>
          <w:lang w:eastAsia="en-US"/>
        </w:rPr>
        <w:t>Buitenlandse Zaken</w:t>
      </w:r>
      <w:r w:rsidRPr="027175A8" w:rsidR="00EC18C6">
        <w:rPr>
          <w:rFonts w:eastAsia="Calibri" w:cs="Arial"/>
          <w:color w:val="auto"/>
          <w:lang w:eastAsia="en-US"/>
        </w:rPr>
        <w:t xml:space="preserve"> </w:t>
      </w:r>
      <w:r w:rsidRPr="027175A8">
        <w:rPr>
          <w:rFonts w:eastAsia="Calibri" w:cs="Arial"/>
          <w:color w:val="auto"/>
          <w:lang w:eastAsia="en-US"/>
        </w:rPr>
        <w:t xml:space="preserve">uit. Het Dutch Trade </w:t>
      </w:r>
      <w:proofErr w:type="spellStart"/>
      <w:r w:rsidRPr="027175A8">
        <w:rPr>
          <w:rFonts w:eastAsia="Calibri" w:cs="Arial"/>
          <w:color w:val="auto"/>
          <w:lang w:eastAsia="en-US"/>
        </w:rPr>
        <w:t>and</w:t>
      </w:r>
      <w:proofErr w:type="spellEnd"/>
      <w:r w:rsidRPr="027175A8">
        <w:rPr>
          <w:rFonts w:eastAsia="Calibri" w:cs="Arial"/>
          <w:color w:val="auto"/>
          <w:lang w:eastAsia="en-US"/>
        </w:rPr>
        <w:t xml:space="preserve"> Investment Fund (DTIF) spoor 2 biedt mogelijkheden aan Nederlandse mkb-ondernemers om zaken te doen in het buitenland wanneer banken geen financiering op een leverancierskrediet kunnen verstrekken. </w:t>
      </w:r>
      <w:r w:rsidRPr="027175A8">
        <w:rPr>
          <w:rFonts w:eastAsia="Times New Roman"/>
          <w:color w:val="auto"/>
        </w:rPr>
        <w:t xml:space="preserve">In 2025 is onder DTIF2 één polis afgegeven van EUR 700.000. Dit is een daling ten opzichte van 2024, toen er twee polissen met een totale verzekeringswaarde van EUR 1,7 miljoen werden verstrekt. Daarnaast voert ADSB Dutch </w:t>
      </w:r>
      <w:proofErr w:type="spellStart"/>
      <w:r w:rsidRPr="027175A8">
        <w:rPr>
          <w:rFonts w:eastAsia="Times New Roman"/>
          <w:color w:val="auto"/>
        </w:rPr>
        <w:t>Good</w:t>
      </w:r>
      <w:proofErr w:type="spellEnd"/>
      <w:r w:rsidRPr="027175A8">
        <w:rPr>
          <w:rFonts w:eastAsia="Times New Roman"/>
          <w:color w:val="auto"/>
        </w:rPr>
        <w:t xml:space="preserve"> </w:t>
      </w:r>
      <w:proofErr w:type="spellStart"/>
      <w:r w:rsidRPr="027175A8">
        <w:rPr>
          <w:rFonts w:eastAsia="Times New Roman"/>
          <w:color w:val="auto"/>
        </w:rPr>
        <w:t>Growth</w:t>
      </w:r>
      <w:proofErr w:type="spellEnd"/>
      <w:r w:rsidRPr="027175A8">
        <w:rPr>
          <w:rFonts w:eastAsia="Times New Roman"/>
          <w:color w:val="auto"/>
        </w:rPr>
        <w:t xml:space="preserve"> Fund (DGGF) spoor 3 uit. Deze regeling is bedoeld</w:t>
      </w:r>
      <w:r w:rsidRPr="027175A8">
        <w:rPr>
          <w:rFonts w:eastAsia="Calibri" w:cs="Arial"/>
          <w:color w:val="auto"/>
          <w:lang w:eastAsia="en-US"/>
        </w:rPr>
        <w:t xml:space="preserve"> voor Nederlandse ondernemers die risicovolle exporttransacties in ontwikkelingslanden willen doen, waarvoor de reguliere </w:t>
      </w:r>
      <w:proofErr w:type="spellStart"/>
      <w:r w:rsidRPr="027175A8">
        <w:rPr>
          <w:rFonts w:eastAsia="Calibri" w:cs="Arial"/>
          <w:color w:val="auto"/>
          <w:lang w:eastAsia="en-US"/>
        </w:rPr>
        <w:t>ekv</w:t>
      </w:r>
      <w:proofErr w:type="spellEnd"/>
      <w:r w:rsidRPr="027175A8">
        <w:rPr>
          <w:rFonts w:eastAsia="Calibri" w:cs="Arial"/>
          <w:color w:val="auto"/>
          <w:lang w:eastAsia="en-US"/>
        </w:rPr>
        <w:t xml:space="preserve"> niet van toepassing is. Onder DG</w:t>
      </w:r>
      <w:r w:rsidR="00EC18C6">
        <w:rPr>
          <w:rFonts w:eastAsia="Calibri" w:cs="Arial"/>
          <w:color w:val="auto"/>
          <w:lang w:eastAsia="en-US"/>
        </w:rPr>
        <w:t>G</w:t>
      </w:r>
      <w:r w:rsidRPr="027175A8">
        <w:rPr>
          <w:rFonts w:eastAsia="Calibri" w:cs="Arial"/>
          <w:color w:val="auto"/>
          <w:lang w:eastAsia="en-US"/>
        </w:rPr>
        <w:t>F3 zijn 12 polissen afgegeven voor vijf verschillende bedrijven met een totale verzekeringswaarde van EUR 7,4 miljoen. Dit is in lijn met 2024.</w:t>
      </w:r>
    </w:p>
    <w:p w:rsidR="00A3657F" w:rsidP="027175A8" w:rsidRDefault="00A3657F" w14:paraId="534B500E" w14:textId="77777777">
      <w:pPr>
        <w:pStyle w:val="Geenafstand"/>
        <w:jc w:val="left"/>
        <w:rPr>
          <w:rFonts w:eastAsia="Calibri" w:cs="Arial"/>
          <w:color w:val="auto"/>
          <w:lang w:eastAsia="en-US"/>
        </w:rPr>
      </w:pPr>
    </w:p>
    <w:p w:rsidR="00A3657F" w:rsidP="027175A8" w:rsidRDefault="00A3657F" w14:paraId="0B4AFB83" w14:textId="77777777">
      <w:pPr>
        <w:pStyle w:val="Geenafstand"/>
        <w:jc w:val="left"/>
        <w:rPr>
          <w:rFonts w:eastAsia="Calibri" w:cs="Arial"/>
          <w:color w:val="auto"/>
          <w:lang w:eastAsia="en-US"/>
        </w:rPr>
      </w:pPr>
    </w:p>
    <w:p w:rsidRPr="00DA298C" w:rsidR="00A3657F" w:rsidP="027175A8" w:rsidRDefault="00A3657F" w14:paraId="569F7C92" w14:textId="77777777">
      <w:pPr>
        <w:pStyle w:val="Geenafstand"/>
        <w:jc w:val="left"/>
        <w:rPr>
          <w:rFonts w:eastAsia="Calibri" w:cs="Arial"/>
          <w:color w:val="auto"/>
          <w:lang w:eastAsia="en-US"/>
        </w:rPr>
      </w:pPr>
    </w:p>
    <w:p w:rsidRPr="009128E1" w:rsidR="00141109" w:rsidP="00D95D37" w:rsidRDefault="00141109" w14:paraId="3F7ADEC8" w14:textId="77777777">
      <w:pPr>
        <w:pStyle w:val="Geenafstand"/>
        <w:jc w:val="left"/>
        <w:rPr>
          <w:rFonts w:eastAsia="Times New Roman"/>
        </w:rPr>
      </w:pPr>
      <w:r w:rsidRPr="009128E1">
        <w:rPr>
          <w:rFonts w:eastAsia="Times New Roman"/>
          <w:b/>
          <w:bCs/>
        </w:rPr>
        <w:lastRenderedPageBreak/>
        <w:t xml:space="preserve">Update strategische </w:t>
      </w:r>
      <w:r w:rsidRPr="009128E1" w:rsidR="005678F5">
        <w:rPr>
          <w:rFonts w:eastAsia="Times New Roman"/>
          <w:b/>
          <w:bCs/>
        </w:rPr>
        <w:t xml:space="preserve">pilots </w:t>
      </w:r>
      <w:proofErr w:type="spellStart"/>
      <w:r w:rsidRPr="009128E1">
        <w:rPr>
          <w:rFonts w:eastAsia="Times New Roman"/>
          <w:b/>
          <w:bCs/>
        </w:rPr>
        <w:t>ekv</w:t>
      </w:r>
      <w:proofErr w:type="spellEnd"/>
    </w:p>
    <w:p w:rsidRPr="009128E1" w:rsidR="00F664E9" w:rsidP="027175A8" w:rsidRDefault="027175A8" w14:paraId="67C16E27" w14:textId="77777777">
      <w:pPr>
        <w:pStyle w:val="Geenafstand"/>
        <w:jc w:val="left"/>
        <w:rPr>
          <w:rFonts w:eastAsia="Times New Roman"/>
        </w:rPr>
      </w:pPr>
      <w:r w:rsidRPr="027175A8">
        <w:rPr>
          <w:rFonts w:eastAsia="Times New Roman"/>
        </w:rPr>
        <w:t xml:space="preserve">Sinds 2025 voert de </w:t>
      </w:r>
      <w:proofErr w:type="spellStart"/>
      <w:r w:rsidRPr="027175A8">
        <w:rPr>
          <w:rFonts w:eastAsia="Times New Roman"/>
        </w:rPr>
        <w:t>ekv</w:t>
      </w:r>
      <w:proofErr w:type="spellEnd"/>
      <w:r w:rsidRPr="027175A8">
        <w:rPr>
          <w:rFonts w:eastAsia="Times New Roman"/>
        </w:rPr>
        <w:t xml:space="preserve"> twee pilots uit: (1) de innovatiedekking en (2) strategische import. </w:t>
      </w:r>
    </w:p>
    <w:p w:rsidRPr="00CC5AF6" w:rsidR="00CC5AF6" w:rsidP="00A3657F" w:rsidRDefault="00F664E9" w14:paraId="02ABC3A9" w14:textId="77777777">
      <w:pPr>
        <w:pStyle w:val="Geenafstand"/>
        <w:jc w:val="left"/>
        <w:rPr>
          <w:rFonts w:eastAsia="Times New Roman"/>
          <w:b/>
          <w:bCs/>
          <w:i/>
          <w:iCs/>
        </w:rPr>
      </w:pPr>
      <w:bookmarkStart w:name="_Hlk231224297" w:id="0"/>
      <w:r w:rsidRPr="009128E1">
        <w:rPr>
          <w:rFonts w:eastAsia="Times New Roman"/>
        </w:rPr>
        <w:t xml:space="preserve">Met </w:t>
      </w:r>
      <w:r w:rsidRPr="009128E1" w:rsidR="00F901E5">
        <w:rPr>
          <w:rFonts w:eastAsia="Times New Roman"/>
        </w:rPr>
        <w:t>de</w:t>
      </w:r>
      <w:r w:rsidR="005B637A">
        <w:rPr>
          <w:rFonts w:eastAsia="Times New Roman"/>
        </w:rPr>
        <w:t xml:space="preserve"> innovatiedekking</w:t>
      </w:r>
      <w:r w:rsidRPr="009128E1">
        <w:rPr>
          <w:rFonts w:eastAsia="Times New Roman"/>
        </w:rPr>
        <w:t xml:space="preserve"> ondersteunt de </w:t>
      </w:r>
      <w:proofErr w:type="spellStart"/>
      <w:r w:rsidRPr="009128E1">
        <w:rPr>
          <w:rFonts w:eastAsia="Times New Roman"/>
        </w:rPr>
        <w:t>ekv</w:t>
      </w:r>
      <w:proofErr w:type="spellEnd"/>
      <w:r w:rsidRPr="009128E1">
        <w:rPr>
          <w:rFonts w:eastAsia="Times New Roman"/>
        </w:rPr>
        <w:t xml:space="preserve"> innovatieve bedrijven in </w:t>
      </w:r>
      <w:r w:rsidR="00D04972">
        <w:rPr>
          <w:rFonts w:eastAsia="Times New Roman"/>
        </w:rPr>
        <w:t xml:space="preserve">Nederland in </w:t>
      </w:r>
      <w:r w:rsidRPr="009128E1">
        <w:rPr>
          <w:rFonts w:eastAsia="Times New Roman"/>
        </w:rPr>
        <w:t xml:space="preserve">de opschalingsfase richting export. </w:t>
      </w:r>
      <w:bookmarkEnd w:id="0"/>
      <w:r w:rsidRPr="009128E1">
        <w:rPr>
          <w:rFonts w:eastAsia="Times New Roman"/>
        </w:rPr>
        <w:t xml:space="preserve">Er is </w:t>
      </w:r>
      <w:r w:rsidR="006E110B">
        <w:rPr>
          <w:rFonts w:eastAsia="Times New Roman"/>
        </w:rPr>
        <w:t>maximaal</w:t>
      </w:r>
      <w:r w:rsidRPr="009128E1">
        <w:rPr>
          <w:rFonts w:eastAsia="Times New Roman"/>
        </w:rPr>
        <w:t xml:space="preserve"> 80% dekking mogelijk op financiering voor investeringen voor ondernemingen in sleuteltechnologieën. Bedrijven komen in aanmerking als de technologie </w:t>
      </w:r>
      <w:r w:rsidR="00354CF3">
        <w:rPr>
          <w:rFonts w:eastAsia="Times New Roman"/>
        </w:rPr>
        <w:t>onder</w:t>
      </w:r>
      <w:r w:rsidR="00056D5D">
        <w:rPr>
          <w:rFonts w:eastAsia="Times New Roman"/>
        </w:rPr>
        <w:t xml:space="preserve"> </w:t>
      </w:r>
      <w:r w:rsidR="00354CF3">
        <w:rPr>
          <w:rFonts w:eastAsia="Times New Roman"/>
        </w:rPr>
        <w:t>éé</w:t>
      </w:r>
      <w:r w:rsidRPr="009128E1">
        <w:rPr>
          <w:rFonts w:eastAsia="Times New Roman"/>
        </w:rPr>
        <w:t xml:space="preserve">n </w:t>
      </w:r>
      <w:r w:rsidR="00354CF3">
        <w:rPr>
          <w:rFonts w:eastAsia="Times New Roman"/>
        </w:rPr>
        <w:t xml:space="preserve">of meerdere </w:t>
      </w:r>
      <w:r w:rsidRPr="009128E1">
        <w:rPr>
          <w:rFonts w:eastAsia="Times New Roman"/>
        </w:rPr>
        <w:t>van de tien prioritaire technologieën van de Nationale Technologie</w:t>
      </w:r>
      <w:r w:rsidR="00354CF3">
        <w:rPr>
          <w:rFonts w:eastAsia="Times New Roman"/>
        </w:rPr>
        <w:t>s</w:t>
      </w:r>
      <w:r w:rsidRPr="009128E1">
        <w:rPr>
          <w:rFonts w:eastAsia="Times New Roman"/>
        </w:rPr>
        <w:t>trategie (NTS) valt</w:t>
      </w:r>
      <w:r w:rsidRPr="009128E1" w:rsidR="001F4F70">
        <w:rPr>
          <w:rFonts w:eastAsia="Times New Roman"/>
        </w:rPr>
        <w:t xml:space="preserve">. </w:t>
      </w:r>
      <w:r w:rsidR="00126C83">
        <w:rPr>
          <w:rFonts w:eastAsia="Times New Roman"/>
        </w:rPr>
        <w:t>Met de innovatiedekking</w:t>
      </w:r>
      <w:r w:rsidR="002D5105">
        <w:rPr>
          <w:rFonts w:eastAsia="Times New Roman"/>
        </w:rPr>
        <w:t xml:space="preserve"> kunnen</w:t>
      </w:r>
      <w:r w:rsidRPr="001A2725" w:rsidR="002D5105">
        <w:rPr>
          <w:rFonts w:eastAsia="Times New Roman"/>
        </w:rPr>
        <w:t xml:space="preserve"> </w:t>
      </w:r>
      <w:r w:rsidR="00B916F3">
        <w:rPr>
          <w:rFonts w:eastAsia="Times New Roman"/>
        </w:rPr>
        <w:t xml:space="preserve">bijvoorbeeld </w:t>
      </w:r>
      <w:r w:rsidRPr="001A2725" w:rsidR="002D5105">
        <w:rPr>
          <w:rFonts w:eastAsia="Times New Roman"/>
        </w:rPr>
        <w:t xml:space="preserve">ondernemingen actief in </w:t>
      </w:r>
      <w:r w:rsidR="002D5105">
        <w:rPr>
          <w:rFonts w:eastAsia="Times New Roman"/>
        </w:rPr>
        <w:t>de</w:t>
      </w:r>
      <w:r w:rsidRPr="001A2725" w:rsidR="002D5105">
        <w:rPr>
          <w:rFonts w:eastAsia="Times New Roman"/>
        </w:rPr>
        <w:t xml:space="preserve"> (</w:t>
      </w:r>
      <w:proofErr w:type="spellStart"/>
      <w:r w:rsidRPr="001A2725" w:rsidR="002D5105">
        <w:rPr>
          <w:rFonts w:eastAsia="Times New Roman"/>
        </w:rPr>
        <w:t>fotonische</w:t>
      </w:r>
      <w:proofErr w:type="spellEnd"/>
      <w:r w:rsidRPr="001A2725" w:rsidR="002D5105">
        <w:rPr>
          <w:rFonts w:eastAsia="Times New Roman"/>
        </w:rPr>
        <w:t>) chipsector</w:t>
      </w:r>
      <w:r w:rsidR="002D5105">
        <w:rPr>
          <w:rFonts w:eastAsia="Times New Roman"/>
        </w:rPr>
        <w:t xml:space="preserve"> hun productiecapaciteit opbouwen.</w:t>
      </w:r>
      <w:r w:rsidRPr="001A2725" w:rsidR="002D5105">
        <w:rPr>
          <w:rFonts w:eastAsia="Times New Roman"/>
        </w:rPr>
        <w:t xml:space="preserve"> </w:t>
      </w:r>
      <w:r w:rsidR="00CE09BE">
        <w:rPr>
          <w:rFonts w:eastAsia="Times New Roman"/>
        </w:rPr>
        <w:t>In 2025</w:t>
      </w:r>
      <w:r w:rsidRPr="009128E1" w:rsidR="00CE09BE">
        <w:rPr>
          <w:rFonts w:eastAsia="Times New Roman"/>
        </w:rPr>
        <w:t xml:space="preserve"> </w:t>
      </w:r>
      <w:r w:rsidR="00CE09BE">
        <w:rPr>
          <w:rFonts w:eastAsia="Times New Roman"/>
        </w:rPr>
        <w:t>zijn</w:t>
      </w:r>
      <w:r w:rsidRPr="009128E1" w:rsidR="00CE09BE">
        <w:rPr>
          <w:rFonts w:eastAsia="Times New Roman"/>
        </w:rPr>
        <w:t xml:space="preserve"> de </w:t>
      </w:r>
      <w:r w:rsidR="00CE09BE">
        <w:rPr>
          <w:rFonts w:eastAsia="Times New Roman"/>
        </w:rPr>
        <w:t xml:space="preserve">dekkingsvoorwaarden van de </w:t>
      </w:r>
      <w:r w:rsidRPr="009128E1" w:rsidR="00CE09BE">
        <w:rPr>
          <w:rFonts w:eastAsia="Times New Roman"/>
        </w:rPr>
        <w:t>innovatiedekking</w:t>
      </w:r>
      <w:r w:rsidR="00CE09BE">
        <w:rPr>
          <w:rFonts w:eastAsia="Times New Roman"/>
        </w:rPr>
        <w:t xml:space="preserve"> verder uitgewerkt en onder de</w:t>
      </w:r>
      <w:r w:rsidRPr="009128E1" w:rsidR="00CE09BE">
        <w:rPr>
          <w:rFonts w:eastAsia="Times New Roman"/>
        </w:rPr>
        <w:t xml:space="preserve"> aandacht gebracht van het bedrijfsleven. </w:t>
      </w:r>
      <w:r w:rsidR="0028419A">
        <w:rPr>
          <w:rFonts w:eastAsia="Times New Roman"/>
        </w:rPr>
        <w:t>Onder d</w:t>
      </w:r>
      <w:r w:rsidR="00CC5AF6">
        <w:rPr>
          <w:rFonts w:eastAsia="Times New Roman"/>
        </w:rPr>
        <w:t>e pilot</w:t>
      </w:r>
      <w:r w:rsidRPr="009128E1" w:rsidR="00CC5AF6">
        <w:rPr>
          <w:rFonts w:eastAsia="Times New Roman"/>
        </w:rPr>
        <w:t xml:space="preserve"> </w:t>
      </w:r>
      <w:r w:rsidR="0028419A">
        <w:rPr>
          <w:rFonts w:eastAsia="Times New Roman"/>
        </w:rPr>
        <w:t>zijn op dit moment</w:t>
      </w:r>
      <w:r w:rsidRPr="009128E1" w:rsidR="001F4F70">
        <w:rPr>
          <w:rFonts w:eastAsia="Times New Roman"/>
        </w:rPr>
        <w:t xml:space="preserve"> </w:t>
      </w:r>
      <w:r w:rsidR="008E33B7">
        <w:rPr>
          <w:rFonts w:eastAsia="Times New Roman"/>
        </w:rPr>
        <w:t>twee</w:t>
      </w:r>
      <w:r w:rsidRPr="00DA298C" w:rsidR="004A04B9">
        <w:rPr>
          <w:rFonts w:eastAsia="Times New Roman"/>
        </w:rPr>
        <w:t xml:space="preserve"> </w:t>
      </w:r>
      <w:r w:rsidR="00F05A82">
        <w:rPr>
          <w:rFonts w:eastAsia="Times New Roman"/>
        </w:rPr>
        <w:t xml:space="preserve">aanvragen </w:t>
      </w:r>
      <w:r w:rsidR="0028419A">
        <w:rPr>
          <w:rFonts w:eastAsia="Times New Roman"/>
        </w:rPr>
        <w:t xml:space="preserve">in behandeling. </w:t>
      </w:r>
    </w:p>
    <w:p w:rsidRPr="009128E1" w:rsidR="00AE64F2" w:rsidP="00D95D37" w:rsidRDefault="00257D1E" w14:paraId="127DD6AE" w14:textId="77777777">
      <w:pPr>
        <w:pStyle w:val="Geenafstand"/>
        <w:jc w:val="left"/>
        <w:rPr>
          <w:rFonts w:eastAsia="Times New Roman"/>
          <w:b/>
          <w:bCs/>
        </w:rPr>
      </w:pPr>
      <w:r w:rsidRPr="009128E1">
        <w:rPr>
          <w:rFonts w:eastAsia="Times New Roman"/>
        </w:rPr>
        <w:t xml:space="preserve">Ook de pilot gericht op strategische import is afgelopen jaar </w:t>
      </w:r>
      <w:r w:rsidRPr="009128E1" w:rsidR="005678F5">
        <w:rPr>
          <w:rFonts w:eastAsia="Times New Roman"/>
        </w:rPr>
        <w:t xml:space="preserve">nader uitgewerkt en </w:t>
      </w:r>
      <w:r w:rsidRPr="009128E1">
        <w:rPr>
          <w:rFonts w:eastAsia="Times New Roman"/>
        </w:rPr>
        <w:t>brede</w:t>
      </w:r>
      <w:r w:rsidRPr="009128E1" w:rsidR="005678F5">
        <w:rPr>
          <w:rFonts w:eastAsia="Times New Roman"/>
        </w:rPr>
        <w:t>r</w:t>
      </w:r>
      <w:r w:rsidRPr="009128E1">
        <w:rPr>
          <w:rFonts w:eastAsia="Times New Roman"/>
        </w:rPr>
        <w:t xml:space="preserve"> </w:t>
      </w:r>
      <w:r w:rsidRPr="009128E1" w:rsidR="005678F5">
        <w:rPr>
          <w:rFonts w:eastAsia="Times New Roman"/>
        </w:rPr>
        <w:t xml:space="preserve">onder de </w:t>
      </w:r>
      <w:r w:rsidRPr="009128E1">
        <w:rPr>
          <w:rFonts w:eastAsia="Times New Roman"/>
        </w:rPr>
        <w:t xml:space="preserve">aandacht gebracht. </w:t>
      </w:r>
      <w:bookmarkStart w:name="_Hlk231224501" w:id="1"/>
      <w:r w:rsidRPr="009128E1">
        <w:rPr>
          <w:rFonts w:eastAsia="Times New Roman"/>
        </w:rPr>
        <w:t>Met deze pilot worden</w:t>
      </w:r>
      <w:r w:rsidRPr="009128E1" w:rsidR="00F664E9">
        <w:rPr>
          <w:rFonts w:eastAsia="Times New Roman"/>
        </w:rPr>
        <w:t xml:space="preserve"> projecten actief in de productie van kritieke grondstoffen en duurzame brandstoffen</w:t>
      </w:r>
      <w:r w:rsidRPr="009128E1">
        <w:rPr>
          <w:rFonts w:eastAsia="Times New Roman"/>
        </w:rPr>
        <w:t xml:space="preserve"> ondersteund</w:t>
      </w:r>
      <w:r w:rsidRPr="009128E1" w:rsidR="00F664E9">
        <w:rPr>
          <w:rFonts w:eastAsia="Times New Roman"/>
        </w:rPr>
        <w:t xml:space="preserve">. Het instrument doet dit door </w:t>
      </w:r>
      <w:r w:rsidR="00860E95">
        <w:rPr>
          <w:rFonts w:eastAsia="Times New Roman"/>
        </w:rPr>
        <w:t xml:space="preserve">het kredietrisico van </w:t>
      </w:r>
      <w:r w:rsidRPr="009128E1" w:rsidR="00F664E9">
        <w:rPr>
          <w:rFonts w:eastAsia="Times New Roman"/>
        </w:rPr>
        <w:t>de financiering</w:t>
      </w:r>
      <w:r w:rsidR="00860E95">
        <w:rPr>
          <w:rFonts w:eastAsia="Times New Roman"/>
        </w:rPr>
        <w:t xml:space="preserve"> te verzekeren</w:t>
      </w:r>
      <w:r w:rsidRPr="009128E1" w:rsidR="00F664E9">
        <w:rPr>
          <w:rFonts w:eastAsia="Times New Roman"/>
        </w:rPr>
        <w:t>. Het instrument helpt de Nederlandse industrie</w:t>
      </w:r>
      <w:r w:rsidR="00C70B8F">
        <w:rPr>
          <w:rFonts w:eastAsia="Times New Roman"/>
        </w:rPr>
        <w:t xml:space="preserve"> om kritieke grondstoffen of duurzame brandstoffen zeker te stellen</w:t>
      </w:r>
      <w:r w:rsidRPr="009128E1" w:rsidR="00F664E9">
        <w:rPr>
          <w:rFonts w:eastAsia="Times New Roman"/>
        </w:rPr>
        <w:t xml:space="preserve">, </w:t>
      </w:r>
      <w:bookmarkEnd w:id="1"/>
      <w:r w:rsidRPr="009128E1" w:rsidR="00F664E9">
        <w:rPr>
          <w:rFonts w:eastAsia="Times New Roman"/>
        </w:rPr>
        <w:t>o.a. via lange</w:t>
      </w:r>
      <w:r w:rsidR="004C13DF">
        <w:rPr>
          <w:rFonts w:eastAsia="Times New Roman"/>
        </w:rPr>
        <w:t xml:space="preserve"> </w:t>
      </w:r>
      <w:r w:rsidRPr="009128E1" w:rsidR="00F664E9">
        <w:rPr>
          <w:rFonts w:eastAsia="Times New Roman"/>
        </w:rPr>
        <w:t>termijn</w:t>
      </w:r>
      <w:r w:rsidR="004C13DF">
        <w:rPr>
          <w:rFonts w:eastAsia="Times New Roman"/>
        </w:rPr>
        <w:t xml:space="preserve"> </w:t>
      </w:r>
      <w:r w:rsidRPr="009128E1" w:rsidR="00F664E9">
        <w:rPr>
          <w:rFonts w:eastAsia="Times New Roman"/>
        </w:rPr>
        <w:t xml:space="preserve">afnamecontracten. </w:t>
      </w:r>
      <w:r w:rsidR="00860E95">
        <w:rPr>
          <w:rFonts w:eastAsia="Times New Roman"/>
        </w:rPr>
        <w:t>B</w:t>
      </w:r>
      <w:r w:rsidRPr="009128E1" w:rsidR="00F664E9">
        <w:rPr>
          <w:rFonts w:eastAsia="Times New Roman"/>
        </w:rPr>
        <w:t xml:space="preserve">uitenlandse én binnenlandse </w:t>
      </w:r>
      <w:r w:rsidR="00F66550">
        <w:rPr>
          <w:rFonts w:eastAsia="Times New Roman"/>
        </w:rPr>
        <w:t>projecten</w:t>
      </w:r>
      <w:r w:rsidR="00860E95">
        <w:rPr>
          <w:rFonts w:eastAsia="Times New Roman"/>
        </w:rPr>
        <w:t>komen</w:t>
      </w:r>
      <w:r w:rsidRPr="009128E1" w:rsidR="00F664E9">
        <w:rPr>
          <w:rFonts w:eastAsia="Times New Roman"/>
        </w:rPr>
        <w:t xml:space="preserve"> in aanmerking voor dekking. </w:t>
      </w:r>
      <w:r w:rsidR="00224FF9">
        <w:rPr>
          <w:rFonts w:eastAsia="Times New Roman"/>
        </w:rPr>
        <w:t xml:space="preserve">Dit kan bijvoorbeeld gaan om metaalrecycling, waarmee kritieke grondstoffen worden herwonnen uit schroot, wat bijdraagt aan de leveringszekerheid voor Nederland. </w:t>
      </w:r>
      <w:r w:rsidRPr="009128E1" w:rsidR="00F664E9">
        <w:rPr>
          <w:rFonts w:eastAsia="Times New Roman"/>
        </w:rPr>
        <w:t xml:space="preserve">Ook bij doorvoer en verwerking </w:t>
      </w:r>
      <w:r w:rsidR="000C766F">
        <w:rPr>
          <w:rFonts w:eastAsia="Times New Roman"/>
        </w:rPr>
        <w:t xml:space="preserve">in </w:t>
      </w:r>
      <w:r w:rsidRPr="004A04B9" w:rsidR="000C766F">
        <w:rPr>
          <w:rFonts w:eastAsia="Times New Roman"/>
        </w:rPr>
        <w:t xml:space="preserve">Nederland </w:t>
      </w:r>
      <w:r w:rsidRPr="004A04B9" w:rsidR="00F664E9">
        <w:rPr>
          <w:rFonts w:eastAsia="Times New Roman"/>
        </w:rPr>
        <w:t xml:space="preserve">komen projecten in aanmerking voor dekking. </w:t>
      </w:r>
      <w:r w:rsidRPr="004A04B9" w:rsidR="00AE64F2">
        <w:rPr>
          <w:rFonts w:eastAsia="Times New Roman"/>
        </w:rPr>
        <w:t xml:space="preserve">De inzet heeft </w:t>
      </w:r>
      <w:r w:rsidR="004A04B9">
        <w:rPr>
          <w:rFonts w:eastAsia="Times New Roman"/>
        </w:rPr>
        <w:t>sinds de start van de pilot</w:t>
      </w:r>
      <w:r w:rsidR="00CC5AF6">
        <w:rPr>
          <w:rFonts w:eastAsia="Times New Roman"/>
        </w:rPr>
        <w:t xml:space="preserve"> </w:t>
      </w:r>
      <w:r w:rsidRPr="004A04B9" w:rsidR="00CC5AF6">
        <w:rPr>
          <w:rFonts w:eastAsia="Times New Roman"/>
        </w:rPr>
        <w:t xml:space="preserve">geleid </w:t>
      </w:r>
      <w:r w:rsidRPr="009128E1" w:rsidR="00AE64F2">
        <w:rPr>
          <w:rFonts w:eastAsia="Times New Roman"/>
        </w:rPr>
        <w:t xml:space="preserve">tot </w:t>
      </w:r>
      <w:r w:rsidR="0026642A">
        <w:rPr>
          <w:rFonts w:eastAsia="Times New Roman"/>
        </w:rPr>
        <w:t>éé</w:t>
      </w:r>
      <w:r w:rsidRPr="009128E1" w:rsidR="00AE64F2">
        <w:rPr>
          <w:rFonts w:eastAsia="Times New Roman"/>
        </w:rPr>
        <w:t xml:space="preserve">n concrete aanvraag. </w:t>
      </w:r>
    </w:p>
    <w:p w:rsidRPr="009128E1" w:rsidR="00B70007" w:rsidP="00D95D37" w:rsidRDefault="004F7FCA" w14:paraId="00A1921B" w14:textId="77777777">
      <w:pPr>
        <w:pStyle w:val="Geenafstand"/>
        <w:jc w:val="left"/>
        <w:rPr>
          <w:rFonts w:eastAsia="Times New Roman"/>
          <w:b/>
          <w:bCs/>
        </w:rPr>
      </w:pPr>
      <w:proofErr w:type="spellStart"/>
      <w:r w:rsidRPr="009128E1">
        <w:rPr>
          <w:rFonts w:eastAsia="Times New Roman"/>
          <w:b/>
          <w:bCs/>
        </w:rPr>
        <w:t>Ekv</w:t>
      </w:r>
      <w:proofErr w:type="spellEnd"/>
      <w:r w:rsidRPr="009128E1">
        <w:rPr>
          <w:rFonts w:eastAsia="Times New Roman"/>
          <w:b/>
          <w:bCs/>
        </w:rPr>
        <w:t>-inzet d</w:t>
      </w:r>
      <w:r w:rsidRPr="009128E1" w:rsidR="00B70007">
        <w:rPr>
          <w:rFonts w:eastAsia="Times New Roman"/>
          <w:b/>
          <w:bCs/>
        </w:rPr>
        <w:t>efensie</w:t>
      </w:r>
    </w:p>
    <w:p w:rsidR="00B70007" w:rsidP="00D95D37" w:rsidRDefault="00CC706E" w14:paraId="516EC576" w14:textId="77777777">
      <w:pPr>
        <w:pStyle w:val="Geenafstand"/>
        <w:jc w:val="left"/>
        <w:rPr>
          <w:rFonts w:eastAsia="Times New Roman"/>
        </w:rPr>
      </w:pPr>
      <w:bookmarkStart w:name="_Hlk228532185" w:id="2"/>
      <w:r w:rsidRPr="009128E1">
        <w:rPr>
          <w:rFonts w:eastAsia="Times New Roman"/>
        </w:rPr>
        <w:t>Het kabinet zet in op de versterking van de Nederlandse defensiesector</w:t>
      </w:r>
      <w:r w:rsidRPr="009128E1" w:rsidR="00B70007">
        <w:rPr>
          <w:rFonts w:eastAsia="Times New Roman"/>
        </w:rPr>
        <w:t xml:space="preserve">. </w:t>
      </w:r>
      <w:r w:rsidRPr="027175A8" w:rsidR="000F657E">
        <w:rPr>
          <w:rStyle w:val="Verwijzingopmerking"/>
          <w:rFonts w:cs="Calibri" w:eastAsiaTheme="minorEastAsia"/>
          <w:color w:val="auto"/>
          <w:sz w:val="18"/>
          <w:szCs w:val="18"/>
          <w:lang w:eastAsia="en-US"/>
          <w14:ligatures w14:val="standardContextual"/>
        </w:rPr>
        <w:t>Vorig jaar heeft het kabinet de financieringsknelpunten voor de defensie-industrie in kaart gebracht.</w:t>
      </w:r>
      <w:r w:rsidRPr="027175A8" w:rsidR="000F657E">
        <w:rPr>
          <w:rStyle w:val="Voetnootmarkering"/>
          <w:rFonts w:cs="Calibri" w:eastAsiaTheme="minorEastAsia"/>
          <w:color w:val="auto"/>
          <w:lang w:eastAsia="en-US"/>
          <w14:ligatures w14:val="standardContextual"/>
        </w:rPr>
        <w:footnoteReference w:id="8"/>
      </w:r>
      <w:r w:rsidRPr="027175A8" w:rsidR="000F657E">
        <w:rPr>
          <w:rStyle w:val="Verwijzingopmerking"/>
          <w:rFonts w:cs="Calibri" w:eastAsiaTheme="minorEastAsia"/>
          <w:color w:val="auto"/>
          <w:sz w:val="18"/>
          <w:szCs w:val="18"/>
          <w:lang w:eastAsia="en-US"/>
          <w14:ligatures w14:val="standardContextual"/>
        </w:rPr>
        <w:t xml:space="preserve"> In dit kader </w:t>
      </w:r>
      <w:r w:rsidR="000F657E">
        <w:rPr>
          <w:rFonts w:eastAsia="Times New Roman"/>
        </w:rPr>
        <w:t>is</w:t>
      </w:r>
      <w:r w:rsidRPr="009128E1">
        <w:rPr>
          <w:rFonts w:eastAsia="Times New Roman"/>
        </w:rPr>
        <w:t xml:space="preserve"> onderzocht hoe de </w:t>
      </w:r>
      <w:proofErr w:type="spellStart"/>
      <w:r w:rsidRPr="009128E1">
        <w:rPr>
          <w:rFonts w:eastAsia="Times New Roman"/>
        </w:rPr>
        <w:t>ekv</w:t>
      </w:r>
      <w:proofErr w:type="spellEnd"/>
      <w:r w:rsidRPr="009128E1">
        <w:rPr>
          <w:rFonts w:eastAsia="Times New Roman"/>
        </w:rPr>
        <w:t xml:space="preserve"> ingezet kan worden om financieringsknelpunten in de defensiesector te verhelpen. Hieruit </w:t>
      </w:r>
      <w:r w:rsidRPr="009128E1" w:rsidR="007365A0">
        <w:rPr>
          <w:rFonts w:eastAsia="Times New Roman"/>
        </w:rPr>
        <w:t>volgt dat de</w:t>
      </w:r>
      <w:r w:rsidRPr="009128E1">
        <w:rPr>
          <w:rFonts w:eastAsia="Times New Roman"/>
        </w:rPr>
        <w:t xml:space="preserve"> </w:t>
      </w:r>
      <w:r w:rsidRPr="009128E1" w:rsidR="007365A0">
        <w:rPr>
          <w:rFonts w:eastAsia="Times New Roman"/>
        </w:rPr>
        <w:t>defensiebedrijven met name</w:t>
      </w:r>
      <w:r w:rsidRPr="009128E1" w:rsidR="00B70007">
        <w:rPr>
          <w:rFonts w:eastAsia="Times New Roman"/>
        </w:rPr>
        <w:t xml:space="preserve"> </w:t>
      </w:r>
      <w:r w:rsidRPr="009128E1" w:rsidR="007365A0">
        <w:rPr>
          <w:rFonts w:eastAsia="Times New Roman"/>
        </w:rPr>
        <w:t xml:space="preserve">behoefte hebben aan werkkapitaal en bankgarantiecapaciteit. Verschillende </w:t>
      </w:r>
      <w:proofErr w:type="spellStart"/>
      <w:r w:rsidRPr="009128E1" w:rsidR="007365A0">
        <w:rPr>
          <w:rFonts w:eastAsia="Times New Roman"/>
        </w:rPr>
        <w:t>ekv</w:t>
      </w:r>
      <w:proofErr w:type="spellEnd"/>
      <w:r w:rsidRPr="009128E1" w:rsidR="007365A0">
        <w:rPr>
          <w:rFonts w:eastAsia="Times New Roman"/>
        </w:rPr>
        <w:t xml:space="preserve">-instrumenten kunnen hierbij helpen, o.a. de </w:t>
      </w:r>
      <w:proofErr w:type="spellStart"/>
      <w:r w:rsidRPr="009128E1" w:rsidR="007365A0">
        <w:rPr>
          <w:rFonts w:eastAsia="Times New Roman"/>
        </w:rPr>
        <w:t>ekv</w:t>
      </w:r>
      <w:proofErr w:type="spellEnd"/>
      <w:r w:rsidRPr="009128E1" w:rsidR="007365A0">
        <w:rPr>
          <w:rFonts w:eastAsia="Times New Roman"/>
        </w:rPr>
        <w:t>-contragaranties en de werkkapitaaldekking.</w:t>
      </w:r>
      <w:r w:rsidR="0067690A">
        <w:rPr>
          <w:rFonts w:eastAsia="Times New Roman"/>
        </w:rPr>
        <w:t xml:space="preserve"> </w:t>
      </w:r>
      <w:bookmarkEnd w:id="2"/>
      <w:r w:rsidR="00810C8B">
        <w:rPr>
          <w:rFonts w:eastAsia="Times New Roman"/>
        </w:rPr>
        <w:t xml:space="preserve">Eerder </w:t>
      </w:r>
      <w:r w:rsidR="00CC5AF6">
        <w:rPr>
          <w:rFonts w:eastAsia="Times New Roman"/>
        </w:rPr>
        <w:t xml:space="preserve">is gebleken </w:t>
      </w:r>
      <w:r w:rsidR="002E4BA9">
        <w:rPr>
          <w:rFonts w:eastAsia="Times New Roman"/>
        </w:rPr>
        <w:t xml:space="preserve">dat </w:t>
      </w:r>
      <w:r w:rsidR="0043172E">
        <w:rPr>
          <w:rFonts w:eastAsia="Times New Roman"/>
        </w:rPr>
        <w:t xml:space="preserve">mkb-bedrijven in </w:t>
      </w:r>
      <w:r w:rsidR="002E4BA9">
        <w:rPr>
          <w:rFonts w:eastAsia="Times New Roman"/>
        </w:rPr>
        <w:t xml:space="preserve">de </w:t>
      </w:r>
      <w:r w:rsidR="0043172E">
        <w:rPr>
          <w:rFonts w:eastAsia="Times New Roman"/>
        </w:rPr>
        <w:t xml:space="preserve">Nederlandse defensiesector niet </w:t>
      </w:r>
      <w:r w:rsidR="002E4BA9">
        <w:rPr>
          <w:rFonts w:eastAsia="Times New Roman"/>
        </w:rPr>
        <w:t xml:space="preserve">altijd bekend </w:t>
      </w:r>
      <w:r w:rsidR="0043172E">
        <w:rPr>
          <w:rFonts w:eastAsia="Times New Roman"/>
        </w:rPr>
        <w:t xml:space="preserve">zijn met de </w:t>
      </w:r>
      <w:proofErr w:type="spellStart"/>
      <w:r w:rsidR="0043172E">
        <w:rPr>
          <w:rFonts w:eastAsia="Times New Roman"/>
        </w:rPr>
        <w:t>ekv</w:t>
      </w:r>
      <w:proofErr w:type="spellEnd"/>
      <w:r w:rsidR="002E4BA9">
        <w:rPr>
          <w:rFonts w:eastAsia="Times New Roman"/>
        </w:rPr>
        <w:t xml:space="preserve">, waardoor mogelijk kansen op export gemist worden. Daarom zal de </w:t>
      </w:r>
      <w:proofErr w:type="spellStart"/>
      <w:r w:rsidR="002E4BA9">
        <w:rPr>
          <w:rFonts w:eastAsia="Times New Roman"/>
        </w:rPr>
        <w:t>ekv</w:t>
      </w:r>
      <w:proofErr w:type="spellEnd"/>
      <w:r w:rsidR="002E4BA9">
        <w:rPr>
          <w:rFonts w:eastAsia="Times New Roman"/>
        </w:rPr>
        <w:t xml:space="preserve">-uitvoerder dit jaar de </w:t>
      </w:r>
      <w:proofErr w:type="spellStart"/>
      <w:r w:rsidR="002E4BA9">
        <w:rPr>
          <w:rFonts w:eastAsia="Times New Roman"/>
        </w:rPr>
        <w:t>ekv</w:t>
      </w:r>
      <w:proofErr w:type="spellEnd"/>
      <w:r w:rsidR="002E4BA9">
        <w:rPr>
          <w:rFonts w:eastAsia="Times New Roman"/>
        </w:rPr>
        <w:t xml:space="preserve"> actief onder de aandacht brengen bij defensiebedrijven.</w:t>
      </w:r>
    </w:p>
    <w:p w:rsidR="00A3657F" w:rsidP="00D95D37" w:rsidRDefault="00A3657F" w14:paraId="219A2DCA" w14:textId="77777777">
      <w:pPr>
        <w:pStyle w:val="Geenafstand"/>
        <w:jc w:val="left"/>
        <w:rPr>
          <w:rFonts w:eastAsia="Times New Roman"/>
        </w:rPr>
      </w:pPr>
    </w:p>
    <w:p w:rsidR="00A3657F" w:rsidP="00D95D37" w:rsidRDefault="00A3657F" w14:paraId="32DB6F3B" w14:textId="77777777">
      <w:pPr>
        <w:pStyle w:val="Geenafstand"/>
        <w:jc w:val="left"/>
        <w:rPr>
          <w:rFonts w:eastAsia="Times New Roman"/>
        </w:rPr>
      </w:pPr>
    </w:p>
    <w:p w:rsidRPr="009128E1" w:rsidR="00A3657F" w:rsidP="00D95D37" w:rsidRDefault="00A3657F" w14:paraId="274703E6" w14:textId="77777777">
      <w:pPr>
        <w:pStyle w:val="Geenafstand"/>
        <w:jc w:val="left"/>
        <w:rPr>
          <w:rFonts w:eastAsia="Times New Roman"/>
        </w:rPr>
      </w:pPr>
    </w:p>
    <w:p w:rsidRPr="009128E1" w:rsidR="001C3D58" w:rsidP="00D95D37" w:rsidRDefault="001C3D58" w14:paraId="6A6D63BF" w14:textId="77777777">
      <w:pPr>
        <w:pStyle w:val="Geenafstand"/>
        <w:jc w:val="left"/>
        <w:rPr>
          <w:rFonts w:eastAsia="Times New Roman"/>
        </w:rPr>
      </w:pPr>
      <w:r w:rsidRPr="009128E1">
        <w:rPr>
          <w:rFonts w:eastAsia="Times New Roman"/>
          <w:b/>
          <w:bCs/>
        </w:rPr>
        <w:lastRenderedPageBreak/>
        <w:t>Internationale beleidsontwikkelingen</w:t>
      </w:r>
    </w:p>
    <w:p w:rsidRPr="009128E1" w:rsidR="001C3D58" w:rsidP="027175A8" w:rsidRDefault="027175A8" w14:paraId="01988463" w14:textId="77777777">
      <w:pPr>
        <w:pStyle w:val="Geenafstand"/>
        <w:jc w:val="left"/>
        <w:rPr>
          <w:rFonts w:eastAsia="Times New Roman"/>
        </w:rPr>
      </w:pPr>
      <w:r w:rsidRPr="027175A8">
        <w:rPr>
          <w:rFonts w:eastAsia="Times New Roman"/>
        </w:rPr>
        <w:t xml:space="preserve">Samen met andere EU-lidstaten is het afgelopen jaar ingezet op het versterken van de samenwerking tussen exportkredietverzekeraars en nationale financieringsinstellingen in en buiten de EU. Dit draagt bij aan de sterkere positionering van Nederlandse en Europese bedrijven binnen de nieuwe geopolitieke context door betere aansluiting op projecten in opkomende markten en de financiering van export naar en investeringen in deze landen. Om Nederlandse bedrijven te helpen bij de aanvraag van EU-middelen en </w:t>
      </w:r>
      <w:r w:rsidR="003F217F">
        <w:rPr>
          <w:rFonts w:eastAsia="Times New Roman"/>
        </w:rPr>
        <w:t xml:space="preserve">het vinden van </w:t>
      </w:r>
      <w:r w:rsidRPr="027175A8">
        <w:rPr>
          <w:rFonts w:eastAsia="Times New Roman"/>
        </w:rPr>
        <w:t xml:space="preserve">zakenpartners uit de EU is er een eigen </w:t>
      </w:r>
      <w:r w:rsidRPr="027175A8">
        <w:rPr>
          <w:rFonts w:eastAsia="Times New Roman"/>
          <w:i/>
          <w:iCs/>
        </w:rPr>
        <w:t>Team National</w:t>
      </w:r>
      <w:r w:rsidRPr="027175A8">
        <w:rPr>
          <w:rFonts w:eastAsia="Times New Roman"/>
        </w:rPr>
        <w:t xml:space="preserve"> gelanceerd onder de </w:t>
      </w:r>
      <w:r w:rsidRPr="027175A8">
        <w:rPr>
          <w:rFonts w:eastAsia="Times New Roman"/>
          <w:i/>
          <w:iCs/>
        </w:rPr>
        <w:t>Global Gateway Investment</w:t>
      </w:r>
      <w:r w:rsidRPr="027175A8">
        <w:rPr>
          <w:rFonts w:eastAsia="Times New Roman"/>
        </w:rPr>
        <w:t xml:space="preserve"> </w:t>
      </w:r>
      <w:r w:rsidRPr="027175A8">
        <w:rPr>
          <w:rFonts w:eastAsia="Times New Roman"/>
          <w:i/>
          <w:iCs/>
        </w:rPr>
        <w:t xml:space="preserve">Hub </w:t>
      </w:r>
      <w:r w:rsidRPr="027175A8">
        <w:rPr>
          <w:rFonts w:eastAsia="Times New Roman"/>
        </w:rPr>
        <w:t xml:space="preserve">bestaande uit o.a. ADSB, </w:t>
      </w:r>
      <w:proofErr w:type="spellStart"/>
      <w:r w:rsidRPr="027175A8">
        <w:rPr>
          <w:rFonts w:eastAsia="Times New Roman"/>
        </w:rPr>
        <w:t>Invest</w:t>
      </w:r>
      <w:proofErr w:type="spellEnd"/>
      <w:r w:rsidRPr="027175A8">
        <w:rPr>
          <w:rFonts w:eastAsia="Times New Roman"/>
        </w:rPr>
        <w:t xml:space="preserve"> International, FMO en RVO.  </w:t>
      </w:r>
    </w:p>
    <w:p w:rsidRPr="009128E1" w:rsidR="001C3D58" w:rsidP="027175A8" w:rsidRDefault="027175A8" w14:paraId="531B6FF4" w14:textId="77777777">
      <w:pPr>
        <w:pStyle w:val="Geenafstand"/>
        <w:jc w:val="left"/>
        <w:rPr>
          <w:rFonts w:eastAsia="Times New Roman"/>
        </w:rPr>
      </w:pPr>
      <w:r w:rsidRPr="027175A8">
        <w:rPr>
          <w:rFonts w:eastAsia="Times New Roman"/>
        </w:rPr>
        <w:t xml:space="preserve">Daarnaast wordt er gewerkt aan een </w:t>
      </w:r>
      <w:r w:rsidR="003F217F">
        <w:rPr>
          <w:rFonts w:eastAsia="Times New Roman"/>
        </w:rPr>
        <w:t>modernisering</w:t>
      </w:r>
      <w:r w:rsidRPr="027175A8">
        <w:rPr>
          <w:rFonts w:eastAsia="Times New Roman"/>
        </w:rPr>
        <w:t xml:space="preserve"> van de </w:t>
      </w:r>
      <w:r w:rsidRPr="027175A8">
        <w:rPr>
          <w:rFonts w:eastAsia="Times New Roman"/>
          <w:i/>
          <w:iCs/>
        </w:rPr>
        <w:t xml:space="preserve">Arrangement on </w:t>
      </w:r>
      <w:proofErr w:type="spellStart"/>
      <w:r w:rsidRPr="027175A8">
        <w:rPr>
          <w:rFonts w:eastAsia="Times New Roman"/>
          <w:i/>
          <w:iCs/>
        </w:rPr>
        <w:t>Officially</w:t>
      </w:r>
      <w:proofErr w:type="spellEnd"/>
      <w:r w:rsidRPr="027175A8">
        <w:rPr>
          <w:rFonts w:eastAsia="Times New Roman"/>
          <w:i/>
          <w:iCs/>
        </w:rPr>
        <w:t xml:space="preserve"> </w:t>
      </w:r>
      <w:proofErr w:type="spellStart"/>
      <w:r w:rsidRPr="027175A8">
        <w:rPr>
          <w:rFonts w:eastAsia="Times New Roman"/>
          <w:i/>
          <w:iCs/>
        </w:rPr>
        <w:t>Supported</w:t>
      </w:r>
      <w:proofErr w:type="spellEnd"/>
      <w:r w:rsidRPr="027175A8">
        <w:rPr>
          <w:rFonts w:eastAsia="Times New Roman"/>
          <w:i/>
          <w:iCs/>
        </w:rPr>
        <w:t xml:space="preserve"> Export </w:t>
      </w:r>
      <w:proofErr w:type="spellStart"/>
      <w:r w:rsidRPr="027175A8">
        <w:rPr>
          <w:rFonts w:eastAsia="Times New Roman"/>
          <w:i/>
          <w:iCs/>
        </w:rPr>
        <w:t>Credits</w:t>
      </w:r>
      <w:proofErr w:type="spellEnd"/>
      <w:r w:rsidRPr="027175A8">
        <w:rPr>
          <w:rFonts w:eastAsia="Times New Roman"/>
          <w:i/>
          <w:iCs/>
        </w:rPr>
        <w:t xml:space="preserve">, </w:t>
      </w:r>
      <w:r w:rsidRPr="027175A8">
        <w:rPr>
          <w:rFonts w:eastAsia="Times New Roman"/>
        </w:rPr>
        <w:t xml:space="preserve">de internationale afspraken voor exportfinanciering. Onderwerp van de </w:t>
      </w:r>
      <w:r w:rsidR="003F217F">
        <w:rPr>
          <w:rFonts w:eastAsia="Times New Roman"/>
        </w:rPr>
        <w:t>modernisering</w:t>
      </w:r>
      <w:r w:rsidRPr="027175A8" w:rsidR="003F217F">
        <w:rPr>
          <w:rFonts w:eastAsia="Times New Roman"/>
        </w:rPr>
        <w:t xml:space="preserve"> </w:t>
      </w:r>
      <w:r w:rsidR="00787A02">
        <w:rPr>
          <w:rFonts w:eastAsia="Times New Roman"/>
        </w:rPr>
        <w:t>is het verbeteren van het internation</w:t>
      </w:r>
      <w:r w:rsidR="00EC18C6">
        <w:rPr>
          <w:rFonts w:eastAsia="Times New Roman"/>
        </w:rPr>
        <w:t>a</w:t>
      </w:r>
      <w:r w:rsidR="00787A02">
        <w:rPr>
          <w:rFonts w:eastAsia="Times New Roman"/>
        </w:rPr>
        <w:t>l</w:t>
      </w:r>
      <w:r w:rsidR="00EC18C6">
        <w:rPr>
          <w:rFonts w:eastAsia="Times New Roman"/>
        </w:rPr>
        <w:t>e</w:t>
      </w:r>
      <w:r w:rsidR="00787A02">
        <w:rPr>
          <w:rFonts w:eastAsia="Times New Roman"/>
        </w:rPr>
        <w:t xml:space="preserve"> gelijk</w:t>
      </w:r>
      <w:r w:rsidR="00EC18C6">
        <w:rPr>
          <w:rFonts w:eastAsia="Times New Roman"/>
        </w:rPr>
        <w:t>e</w:t>
      </w:r>
      <w:r w:rsidR="00787A02">
        <w:rPr>
          <w:rFonts w:eastAsia="Times New Roman"/>
        </w:rPr>
        <w:t xml:space="preserve"> speelveld door aanpassingen van </w:t>
      </w:r>
      <w:r w:rsidRPr="027175A8">
        <w:rPr>
          <w:rFonts w:eastAsia="Times New Roman"/>
        </w:rPr>
        <w:t xml:space="preserve">de regels voor </w:t>
      </w:r>
      <w:proofErr w:type="spellStart"/>
      <w:r w:rsidRPr="027175A8">
        <w:rPr>
          <w:rFonts w:eastAsia="Times New Roman"/>
        </w:rPr>
        <w:t>ekv</w:t>
      </w:r>
      <w:proofErr w:type="spellEnd"/>
      <w:r w:rsidRPr="027175A8">
        <w:rPr>
          <w:rFonts w:eastAsia="Times New Roman"/>
        </w:rPr>
        <w:t>-gedekte exportfinanciering, de regels voor gebonden hulp en verbeterde transparantie over de exportfinancieringsinstrumenten</w:t>
      </w:r>
      <w:r w:rsidR="00EB6C54">
        <w:rPr>
          <w:rFonts w:eastAsia="Times New Roman"/>
        </w:rPr>
        <w:t>.</w:t>
      </w:r>
    </w:p>
    <w:p w:rsidRPr="009128E1" w:rsidR="000206A4" w:rsidP="00D95D37" w:rsidRDefault="000206A4" w14:paraId="5EA2C100" w14:textId="77777777">
      <w:pPr>
        <w:pStyle w:val="Geenafstand"/>
        <w:jc w:val="left"/>
        <w:rPr>
          <w:rFonts w:eastAsia="Times New Roman"/>
        </w:rPr>
      </w:pPr>
      <w:r w:rsidRPr="009128E1">
        <w:rPr>
          <w:rFonts w:eastAsia="Times New Roman"/>
          <w:b/>
          <w:bCs/>
        </w:rPr>
        <w:t>Modernisering investeringsverzekering</w:t>
      </w:r>
    </w:p>
    <w:p w:rsidR="0067120A" w:rsidP="00D95D37" w:rsidRDefault="005A3EAE" w14:paraId="24D30EBE" w14:textId="77777777">
      <w:pPr>
        <w:pStyle w:val="Geenafstand"/>
        <w:jc w:val="left"/>
        <w:rPr>
          <w:rFonts w:eastAsia="Times New Roman"/>
        </w:rPr>
      </w:pPr>
      <w:r w:rsidRPr="009128E1">
        <w:rPr>
          <w:rFonts w:eastAsia="Times New Roman"/>
        </w:rPr>
        <w:t>In 2025 is gewerkt aan de modernisering van de investeringsverzekering</w:t>
      </w:r>
      <w:r w:rsidRPr="009128E1" w:rsidR="00AE64F2">
        <w:rPr>
          <w:rFonts w:eastAsia="Times New Roman"/>
        </w:rPr>
        <w:t xml:space="preserve">, </w:t>
      </w:r>
      <w:r w:rsidRPr="009128E1" w:rsidR="001E6D34">
        <w:rPr>
          <w:rFonts w:eastAsia="Times New Roman"/>
        </w:rPr>
        <w:t>d</w:t>
      </w:r>
      <w:r w:rsidR="00C20FB3">
        <w:rPr>
          <w:rFonts w:eastAsia="Times New Roman"/>
        </w:rPr>
        <w:t>ie</w:t>
      </w:r>
      <w:r w:rsidRPr="009128E1" w:rsidR="004D55FB">
        <w:rPr>
          <w:rFonts w:eastAsia="Times New Roman"/>
        </w:rPr>
        <w:t xml:space="preserve"> </w:t>
      </w:r>
      <w:r w:rsidRPr="009128E1" w:rsidR="001E6D34">
        <w:rPr>
          <w:rFonts w:eastAsia="Times New Roman"/>
        </w:rPr>
        <w:t>tot het Nederlandse</w:t>
      </w:r>
      <w:r w:rsidRPr="009128E1" w:rsidR="000206A4">
        <w:rPr>
          <w:rFonts w:eastAsia="Times New Roman"/>
        </w:rPr>
        <w:t xml:space="preserve"> </w:t>
      </w:r>
      <w:proofErr w:type="spellStart"/>
      <w:r w:rsidRPr="009128E1" w:rsidR="000206A4">
        <w:rPr>
          <w:rFonts w:eastAsia="Times New Roman"/>
        </w:rPr>
        <w:t>ekv</w:t>
      </w:r>
      <w:proofErr w:type="spellEnd"/>
      <w:r w:rsidRPr="009128E1" w:rsidR="000206A4">
        <w:rPr>
          <w:rFonts w:eastAsia="Times New Roman"/>
        </w:rPr>
        <w:t>-instrumentarium</w:t>
      </w:r>
      <w:r w:rsidRPr="009128E1" w:rsidR="001E6D34">
        <w:rPr>
          <w:rFonts w:eastAsia="Times New Roman"/>
        </w:rPr>
        <w:t xml:space="preserve"> behoort</w:t>
      </w:r>
      <w:r w:rsidRPr="009128E1" w:rsidR="00AE64F2">
        <w:rPr>
          <w:rFonts w:eastAsia="Times New Roman"/>
        </w:rPr>
        <w:t>. In andere landen, zoals Duitsland,</w:t>
      </w:r>
      <w:r w:rsidRPr="009128E1" w:rsidR="001E6D34">
        <w:rPr>
          <w:rFonts w:eastAsia="Times New Roman"/>
        </w:rPr>
        <w:t xml:space="preserve"> is de investeringsverzekering een populair product</w:t>
      </w:r>
      <w:r w:rsidRPr="009128E1" w:rsidR="000206A4">
        <w:rPr>
          <w:rFonts w:eastAsia="Times New Roman"/>
        </w:rPr>
        <w:t>. Ondernemingen kunnen zich met dit instrument verzekeren tegen politieke risico’s bij investeringen in het buitenland. Uit onderzoek</w:t>
      </w:r>
      <w:r w:rsidRPr="009128E1" w:rsidR="006F6F5C">
        <w:rPr>
          <w:rFonts w:eastAsia="Times New Roman"/>
        </w:rPr>
        <w:t xml:space="preserve"> </w:t>
      </w:r>
      <w:r w:rsidRPr="009128E1" w:rsidR="000206A4">
        <w:rPr>
          <w:rFonts w:eastAsia="Times New Roman"/>
        </w:rPr>
        <w:t>bl</w:t>
      </w:r>
      <w:r w:rsidRPr="009128E1">
        <w:rPr>
          <w:rFonts w:eastAsia="Times New Roman"/>
        </w:rPr>
        <w:t>eek</w:t>
      </w:r>
      <w:r w:rsidRPr="009128E1" w:rsidR="000206A4">
        <w:rPr>
          <w:rFonts w:eastAsia="Times New Roman"/>
        </w:rPr>
        <w:t xml:space="preserve"> dat de voorwaarden van de Nederlandse investeringsverzekering niet meer voldoende concurrerend </w:t>
      </w:r>
      <w:r w:rsidRPr="009128E1">
        <w:rPr>
          <w:rFonts w:eastAsia="Times New Roman"/>
        </w:rPr>
        <w:t>waren ten opzichte van andere landen</w:t>
      </w:r>
      <w:r w:rsidRPr="009128E1" w:rsidR="000206A4">
        <w:rPr>
          <w:rFonts w:eastAsia="Times New Roman"/>
        </w:rPr>
        <w:t>.</w:t>
      </w:r>
      <w:r w:rsidRPr="009128E1" w:rsidR="000206A4">
        <w:rPr>
          <w:rFonts w:eastAsia="Times New Roman"/>
          <w:vertAlign w:val="superscript"/>
        </w:rPr>
        <w:footnoteReference w:id="9"/>
      </w:r>
      <w:r w:rsidRPr="009128E1" w:rsidR="000206A4">
        <w:rPr>
          <w:rFonts w:eastAsia="Times New Roman"/>
        </w:rPr>
        <w:t xml:space="preserve"> De voorwaarden van de investeringsverzekering zijn vastgelegd in de </w:t>
      </w:r>
      <w:r w:rsidRPr="009128E1" w:rsidR="006D0D79">
        <w:rPr>
          <w:rFonts w:eastAsia="Times New Roman"/>
        </w:rPr>
        <w:t>R</w:t>
      </w:r>
      <w:r w:rsidRPr="009128E1" w:rsidR="000206A4">
        <w:rPr>
          <w:rFonts w:eastAsia="Times New Roman"/>
        </w:rPr>
        <w:t xml:space="preserve">egeling </w:t>
      </w:r>
      <w:r w:rsidRPr="009128E1" w:rsidR="006D0D79">
        <w:rPr>
          <w:rFonts w:eastAsia="Times New Roman"/>
        </w:rPr>
        <w:t>i</w:t>
      </w:r>
      <w:r w:rsidRPr="009128E1" w:rsidR="000206A4">
        <w:rPr>
          <w:rFonts w:eastAsia="Times New Roman"/>
        </w:rPr>
        <w:t>nvesteringsverzekering</w:t>
      </w:r>
      <w:r w:rsidRPr="009128E1" w:rsidR="006D0D79">
        <w:rPr>
          <w:rFonts w:eastAsia="Times New Roman"/>
        </w:rPr>
        <w:t>en</w:t>
      </w:r>
      <w:r w:rsidRPr="009128E1" w:rsidR="000206A4">
        <w:rPr>
          <w:rFonts w:eastAsia="Times New Roman"/>
        </w:rPr>
        <w:t xml:space="preserve">. </w:t>
      </w:r>
      <w:r w:rsidRPr="009128E1" w:rsidR="006F6F5C">
        <w:rPr>
          <w:rFonts w:eastAsia="Times New Roman"/>
        </w:rPr>
        <w:t xml:space="preserve">Deze regeling is </w:t>
      </w:r>
      <w:r w:rsidRPr="009128E1" w:rsidR="00341245">
        <w:rPr>
          <w:rFonts w:eastAsia="Times New Roman"/>
        </w:rPr>
        <w:t>dit voorjaar</w:t>
      </w:r>
      <w:r w:rsidRPr="009128E1" w:rsidR="006F6F5C">
        <w:rPr>
          <w:rFonts w:eastAsia="Times New Roman"/>
        </w:rPr>
        <w:t xml:space="preserve"> aangepast</w:t>
      </w:r>
      <w:r w:rsidRPr="009128E1" w:rsidR="000206A4">
        <w:rPr>
          <w:rFonts w:eastAsia="Times New Roman"/>
        </w:rPr>
        <w:t>.</w:t>
      </w:r>
      <w:r w:rsidRPr="009128E1" w:rsidR="000206A4">
        <w:rPr>
          <w:rFonts w:eastAsia="Times New Roman"/>
          <w:vertAlign w:val="superscript"/>
        </w:rPr>
        <w:footnoteReference w:id="10"/>
      </w:r>
      <w:r w:rsidRPr="009128E1" w:rsidR="000206A4">
        <w:rPr>
          <w:rFonts w:eastAsia="Times New Roman"/>
        </w:rPr>
        <w:t xml:space="preserve"> </w:t>
      </w:r>
      <w:r w:rsidRPr="009128E1">
        <w:rPr>
          <w:rFonts w:eastAsia="Times New Roman"/>
        </w:rPr>
        <w:t>Zo is</w:t>
      </w:r>
      <w:r w:rsidRPr="009128E1" w:rsidR="006F6F5C">
        <w:rPr>
          <w:rFonts w:eastAsia="Times New Roman"/>
        </w:rPr>
        <w:t xml:space="preserve"> o.a. het maximaal</w:t>
      </w:r>
      <w:r w:rsidRPr="009128E1" w:rsidR="000206A4">
        <w:rPr>
          <w:rFonts w:eastAsia="Times New Roman"/>
        </w:rPr>
        <w:t xml:space="preserve"> dekkingspercentage </w:t>
      </w:r>
      <w:r w:rsidRPr="009128E1">
        <w:rPr>
          <w:rFonts w:eastAsia="Times New Roman"/>
        </w:rPr>
        <w:t xml:space="preserve">verhoogd van </w:t>
      </w:r>
      <w:r w:rsidRPr="009128E1" w:rsidR="000206A4">
        <w:rPr>
          <w:rFonts w:eastAsia="Times New Roman"/>
        </w:rPr>
        <w:t>9</w:t>
      </w:r>
      <w:r w:rsidR="00F352C6">
        <w:rPr>
          <w:rFonts w:eastAsia="Times New Roman"/>
        </w:rPr>
        <w:t>0</w:t>
      </w:r>
      <w:r w:rsidRPr="009128E1" w:rsidR="000206A4">
        <w:rPr>
          <w:rFonts w:eastAsia="Times New Roman"/>
        </w:rPr>
        <w:t>%</w:t>
      </w:r>
      <w:r w:rsidRPr="009128E1">
        <w:rPr>
          <w:rFonts w:eastAsia="Times New Roman"/>
        </w:rPr>
        <w:t xml:space="preserve"> naar 98%</w:t>
      </w:r>
      <w:r w:rsidR="00590C44">
        <w:rPr>
          <w:rFonts w:eastAsia="Times New Roman"/>
        </w:rPr>
        <w:t>, zijn de verze</w:t>
      </w:r>
      <w:r w:rsidR="008D7CC9">
        <w:rPr>
          <w:rFonts w:eastAsia="Times New Roman"/>
        </w:rPr>
        <w:t>ke</w:t>
      </w:r>
      <w:r w:rsidR="00590C44">
        <w:rPr>
          <w:rFonts w:eastAsia="Times New Roman"/>
        </w:rPr>
        <w:t>rde risico</w:t>
      </w:r>
      <w:r w:rsidR="008D7CC9">
        <w:rPr>
          <w:rFonts w:eastAsia="Times New Roman"/>
        </w:rPr>
        <w:t>’</w:t>
      </w:r>
      <w:r w:rsidR="00590C44">
        <w:rPr>
          <w:rFonts w:eastAsia="Times New Roman"/>
        </w:rPr>
        <w:t xml:space="preserve">s </w:t>
      </w:r>
      <w:r w:rsidR="008D7CC9">
        <w:rPr>
          <w:rFonts w:eastAsia="Times New Roman"/>
        </w:rPr>
        <w:t>aangepast</w:t>
      </w:r>
      <w:r w:rsidRPr="009128E1" w:rsidR="000206A4">
        <w:rPr>
          <w:rFonts w:eastAsia="Times New Roman"/>
        </w:rPr>
        <w:t xml:space="preserve"> en </w:t>
      </w:r>
      <w:r w:rsidRPr="009128E1" w:rsidR="0031657C">
        <w:rPr>
          <w:rFonts w:eastAsia="Times New Roman"/>
        </w:rPr>
        <w:t>komen er nu meer</w:t>
      </w:r>
      <w:r w:rsidRPr="009128E1" w:rsidR="00341245">
        <w:rPr>
          <w:rFonts w:eastAsia="Times New Roman"/>
        </w:rPr>
        <w:t xml:space="preserve"> publieke (multilaterale) banken in aanmerking voor dekking.</w:t>
      </w:r>
    </w:p>
    <w:p w:rsidRPr="009128E1" w:rsidR="0031657C" w:rsidP="00D95D37" w:rsidRDefault="0067690A" w14:paraId="4FE95E86" w14:textId="77777777">
      <w:pPr>
        <w:pStyle w:val="Geenafstand"/>
        <w:jc w:val="left"/>
        <w:rPr>
          <w:rFonts w:eastAsia="Times New Roman"/>
          <w:b/>
          <w:bCs/>
        </w:rPr>
      </w:pPr>
      <w:bookmarkStart w:name="_Hlk228533159" w:id="3"/>
      <w:r>
        <w:rPr>
          <w:rFonts w:eastAsia="Times New Roman"/>
          <w:b/>
          <w:bCs/>
        </w:rPr>
        <w:t xml:space="preserve">Vergroening </w:t>
      </w:r>
      <w:proofErr w:type="spellStart"/>
      <w:r>
        <w:rPr>
          <w:rFonts w:eastAsia="Times New Roman"/>
          <w:b/>
          <w:bCs/>
        </w:rPr>
        <w:t>ekv</w:t>
      </w:r>
      <w:proofErr w:type="spellEnd"/>
      <w:r>
        <w:rPr>
          <w:rFonts w:eastAsia="Times New Roman"/>
          <w:b/>
          <w:bCs/>
        </w:rPr>
        <w:t xml:space="preserve"> en a</w:t>
      </w:r>
      <w:r w:rsidRPr="009128E1" w:rsidR="0031657C">
        <w:rPr>
          <w:rFonts w:eastAsia="Times New Roman"/>
          <w:b/>
          <w:bCs/>
        </w:rPr>
        <w:t>ctualisatie Groene Label</w:t>
      </w:r>
      <w:r w:rsidR="00A8741B">
        <w:rPr>
          <w:rFonts w:eastAsia="Times New Roman"/>
          <w:b/>
          <w:bCs/>
        </w:rPr>
        <w:t xml:space="preserve"> </w:t>
      </w:r>
    </w:p>
    <w:p w:rsidR="00CA7BF4" w:rsidP="027175A8" w:rsidRDefault="007F6B65" w14:paraId="46DC09CE" w14:textId="77777777">
      <w:pPr>
        <w:pStyle w:val="Geenafstand"/>
        <w:jc w:val="left"/>
        <w:rPr>
          <w:rFonts w:eastAsia="Times New Roman"/>
        </w:rPr>
      </w:pPr>
      <w:r w:rsidRPr="007F6B65">
        <w:rPr>
          <w:rFonts w:eastAsia="Times New Roman"/>
        </w:rPr>
        <w:t xml:space="preserve">Eén van de subdoelstellingen van de </w:t>
      </w:r>
      <w:proofErr w:type="spellStart"/>
      <w:r w:rsidRPr="007F6B65">
        <w:rPr>
          <w:rFonts w:eastAsia="Times New Roman"/>
        </w:rPr>
        <w:t>ekv</w:t>
      </w:r>
      <w:proofErr w:type="spellEnd"/>
      <w:r w:rsidRPr="007F6B65">
        <w:rPr>
          <w:rFonts w:eastAsia="Times New Roman"/>
        </w:rPr>
        <w:t>-faciliteit is het verhogen van het aantal groene transacties, zodat exporteurs ondersteund worden in de transitie van een fossiele naar een duurzame en toekomstbestendige economie. Om groene transacties te stimuleren, komen deze in aanmerking voor gunstigere verzekeringsvoorwaarden zoals uitgebreidere dekkingsmogelijkheden</w:t>
      </w:r>
      <w:r w:rsidR="00126C83">
        <w:rPr>
          <w:rFonts w:eastAsia="Times New Roman"/>
        </w:rPr>
        <w:t xml:space="preserve">. </w:t>
      </w:r>
      <w:r w:rsidRPr="00CA7BF4" w:rsidR="00CA7BF4">
        <w:rPr>
          <w:rFonts w:eastAsia="Times New Roman"/>
        </w:rPr>
        <w:t xml:space="preserve">Dit jaar is bijvoorbeeld </w:t>
      </w:r>
      <w:proofErr w:type="spellStart"/>
      <w:r w:rsidRPr="00CA7BF4" w:rsidR="00CA7BF4">
        <w:rPr>
          <w:rFonts w:eastAsia="Times New Roman"/>
        </w:rPr>
        <w:t>ekv</w:t>
      </w:r>
      <w:proofErr w:type="spellEnd"/>
      <w:r w:rsidRPr="00CA7BF4" w:rsidR="00CA7BF4">
        <w:rPr>
          <w:rFonts w:eastAsia="Times New Roman"/>
        </w:rPr>
        <w:t>-dekking afgegeven op de levering van een sorteerinstallatie voor recycling en op de installatie van windturbinefunderingen voor een windpark.</w:t>
      </w:r>
    </w:p>
    <w:p w:rsidR="0031657C" w:rsidP="027175A8" w:rsidRDefault="027175A8" w14:paraId="0270F67C" w14:textId="77777777">
      <w:pPr>
        <w:pStyle w:val="Geenafstand"/>
        <w:jc w:val="left"/>
        <w:rPr>
          <w:rFonts w:eastAsia="Times New Roman"/>
        </w:rPr>
      </w:pPr>
      <w:r w:rsidRPr="027175A8">
        <w:rPr>
          <w:rFonts w:eastAsia="Times New Roman"/>
        </w:rPr>
        <w:t xml:space="preserve">Sinds 2019 worden </w:t>
      </w:r>
      <w:proofErr w:type="spellStart"/>
      <w:r w:rsidRPr="027175A8">
        <w:rPr>
          <w:rFonts w:eastAsia="Times New Roman"/>
        </w:rPr>
        <w:t>ekv</w:t>
      </w:r>
      <w:proofErr w:type="spellEnd"/>
      <w:r w:rsidRPr="027175A8">
        <w:rPr>
          <w:rFonts w:eastAsia="Times New Roman"/>
        </w:rPr>
        <w:t xml:space="preserve">-gedekte transacties geclassificeerd als ‘groen’ via het Groene Label. </w:t>
      </w:r>
      <w:r w:rsidR="00126C83">
        <w:rPr>
          <w:rFonts w:eastAsia="Times New Roman"/>
        </w:rPr>
        <w:t xml:space="preserve">Het Groene Label is in 2025 geactualiseerd. </w:t>
      </w:r>
      <w:r w:rsidRPr="027175A8">
        <w:rPr>
          <w:rFonts w:eastAsia="Times New Roman"/>
        </w:rPr>
        <w:t xml:space="preserve">ADSB had eerder al als een van de eerste exportkredietverzekeraars een dergelijke methodiek ontwikkeld. Inmiddels zijn er in de afgelopen jaren internationale kaders gekomen voor het classificeren van groene transacties. Daarom is het Groene Label </w:t>
      </w:r>
      <w:r w:rsidRPr="027175A8">
        <w:rPr>
          <w:rFonts w:eastAsia="Times New Roman"/>
        </w:rPr>
        <w:lastRenderedPageBreak/>
        <w:t xml:space="preserve">geactualiseerd door het in lijn te brengen met deze internationale kaders die ook door andere landen worden gebruikt, zoals de </w:t>
      </w:r>
      <w:proofErr w:type="gramStart"/>
      <w:r w:rsidRPr="027175A8">
        <w:rPr>
          <w:rFonts w:eastAsia="Times New Roman"/>
        </w:rPr>
        <w:t>EU taxonomie</w:t>
      </w:r>
      <w:proofErr w:type="gramEnd"/>
      <w:r w:rsidRPr="027175A8">
        <w:rPr>
          <w:rFonts w:eastAsia="Times New Roman"/>
        </w:rPr>
        <w:t xml:space="preserve"> en de </w:t>
      </w:r>
      <w:proofErr w:type="spellStart"/>
      <w:r w:rsidRPr="027175A8">
        <w:rPr>
          <w:rFonts w:eastAsia="Times New Roman"/>
          <w:i/>
          <w:iCs/>
        </w:rPr>
        <w:t>Climate</w:t>
      </w:r>
      <w:proofErr w:type="spellEnd"/>
      <w:r w:rsidRPr="027175A8">
        <w:rPr>
          <w:rFonts w:eastAsia="Times New Roman"/>
          <w:i/>
          <w:iCs/>
        </w:rPr>
        <w:t xml:space="preserve"> Change Sector Understanding (CCSU)</w:t>
      </w:r>
      <w:r w:rsidRPr="027175A8">
        <w:rPr>
          <w:rFonts w:eastAsia="Times New Roman"/>
        </w:rPr>
        <w:t xml:space="preserve"> van de </w:t>
      </w:r>
      <w:r w:rsidRPr="027175A8">
        <w:rPr>
          <w:rFonts w:eastAsia="Times New Roman"/>
          <w:i/>
          <w:iCs/>
        </w:rPr>
        <w:t>Arrangement</w:t>
      </w:r>
      <w:r w:rsidRPr="027175A8">
        <w:rPr>
          <w:rFonts w:eastAsia="Times New Roman"/>
        </w:rPr>
        <w:t xml:space="preserve">. Onder het vernieuwde Groene Label is onder meer waterstofproductie toegevoegd als nieuwe groene activiteit. </w:t>
      </w:r>
    </w:p>
    <w:p w:rsidR="00A8741B" w:rsidP="027175A8" w:rsidRDefault="00A8741B" w14:paraId="42ACB3EF" w14:textId="77777777">
      <w:pPr>
        <w:pStyle w:val="Geenafstand"/>
        <w:jc w:val="left"/>
        <w:rPr>
          <w:rFonts w:eastAsia="Times New Roman"/>
        </w:rPr>
      </w:pPr>
      <w:bookmarkStart w:name="_Hlk228276325" w:id="4"/>
      <w:r>
        <w:rPr>
          <w:rFonts w:eastAsia="Times New Roman"/>
          <w:b/>
          <w:bCs/>
        </w:rPr>
        <w:t>F</w:t>
      </w:r>
      <w:r w:rsidRPr="009128E1">
        <w:rPr>
          <w:rFonts w:eastAsia="Times New Roman"/>
          <w:b/>
          <w:bCs/>
        </w:rPr>
        <w:t>ossiele transacties in 2025</w:t>
      </w:r>
    </w:p>
    <w:p w:rsidRPr="00A8741B" w:rsidR="00A8741B" w:rsidP="00E54273" w:rsidRDefault="00A8741B" w14:paraId="767FBD34" w14:textId="77777777">
      <w:pPr>
        <w:pStyle w:val="Geenafstand"/>
        <w:jc w:val="left"/>
        <w:rPr>
          <w:rFonts w:eastAsia="Times New Roman"/>
        </w:rPr>
      </w:pPr>
      <w:r w:rsidRPr="00AC12D3">
        <w:rPr>
          <w:rFonts w:eastAsia="Times New Roman"/>
        </w:rPr>
        <w:t xml:space="preserve">Onder het </w:t>
      </w:r>
      <w:r w:rsidR="00787A02">
        <w:rPr>
          <w:rFonts w:eastAsia="Times New Roman"/>
        </w:rPr>
        <w:t>fossiele uitsluitings</w:t>
      </w:r>
      <w:r w:rsidRPr="00AC12D3">
        <w:rPr>
          <w:rFonts w:eastAsia="Times New Roman"/>
        </w:rPr>
        <w:t xml:space="preserve">beleid </w:t>
      </w:r>
      <w:r w:rsidR="00787A02">
        <w:rPr>
          <w:rFonts w:eastAsia="Times New Roman"/>
        </w:rPr>
        <w:t xml:space="preserve">(COP26-beleid) </w:t>
      </w:r>
      <w:r w:rsidRPr="00AC12D3">
        <w:rPr>
          <w:rFonts w:eastAsia="Times New Roman"/>
        </w:rPr>
        <w:t xml:space="preserve">van de </w:t>
      </w:r>
      <w:proofErr w:type="spellStart"/>
      <w:r w:rsidRPr="00AC12D3">
        <w:rPr>
          <w:rFonts w:eastAsia="Times New Roman"/>
        </w:rPr>
        <w:t>ekv</w:t>
      </w:r>
      <w:proofErr w:type="spellEnd"/>
      <w:r w:rsidRPr="00AC12D3">
        <w:rPr>
          <w:rFonts w:eastAsia="Times New Roman"/>
        </w:rPr>
        <w:t xml:space="preserve"> is nieuwe </w:t>
      </w:r>
      <w:proofErr w:type="spellStart"/>
      <w:r w:rsidRPr="00AC12D3">
        <w:rPr>
          <w:rFonts w:eastAsia="Times New Roman"/>
        </w:rPr>
        <w:t>ekv</w:t>
      </w:r>
      <w:proofErr w:type="spellEnd"/>
      <w:r w:rsidRPr="00AC12D3">
        <w:rPr>
          <w:rFonts w:eastAsia="Times New Roman"/>
        </w:rPr>
        <w:t>-</w:t>
      </w:r>
      <w:r w:rsidR="00F10300">
        <w:rPr>
          <w:rFonts w:eastAsia="Times New Roman"/>
        </w:rPr>
        <w:t>dekking</w:t>
      </w:r>
      <w:r w:rsidRPr="00AC12D3">
        <w:rPr>
          <w:rFonts w:eastAsia="Times New Roman"/>
        </w:rPr>
        <w:t xml:space="preserve"> aan de fossiele energiesector per 1 januari 2023 beëindigd, </w:t>
      </w:r>
      <w:proofErr w:type="gramStart"/>
      <w:r w:rsidRPr="00AC12D3">
        <w:rPr>
          <w:rFonts w:eastAsia="Times New Roman"/>
        </w:rPr>
        <w:t>behoudens</w:t>
      </w:r>
      <w:proofErr w:type="gramEnd"/>
      <w:r w:rsidRPr="00AC12D3">
        <w:rPr>
          <w:rFonts w:eastAsia="Times New Roman"/>
        </w:rPr>
        <w:t xml:space="preserve"> beperkte en duidelijk gedefinieerde uitzonderingen die in lijn zijn met de 1,5°C doelstelling.</w:t>
      </w:r>
      <w:r w:rsidR="00A91C21">
        <w:rPr>
          <w:rFonts w:eastAsia="Times New Roman"/>
        </w:rPr>
        <w:t xml:space="preserve"> </w:t>
      </w:r>
      <w:r w:rsidRPr="009128E1" w:rsidR="00787A02">
        <w:rPr>
          <w:rFonts w:eastAsia="Times New Roman"/>
        </w:rPr>
        <w:t xml:space="preserve">Eerder is toegezegd om de Kamer via de jaarlijkse </w:t>
      </w:r>
      <w:proofErr w:type="spellStart"/>
      <w:r w:rsidRPr="009128E1" w:rsidR="00787A02">
        <w:rPr>
          <w:rFonts w:eastAsia="Times New Roman"/>
        </w:rPr>
        <w:t>ekv</w:t>
      </w:r>
      <w:proofErr w:type="spellEnd"/>
      <w:r w:rsidRPr="009128E1" w:rsidR="00787A02">
        <w:rPr>
          <w:rFonts w:eastAsia="Times New Roman"/>
        </w:rPr>
        <w:t xml:space="preserve">-monitor te informeren over verleende </w:t>
      </w:r>
      <w:proofErr w:type="spellStart"/>
      <w:r w:rsidRPr="009128E1" w:rsidR="00787A02">
        <w:rPr>
          <w:rFonts w:eastAsia="Times New Roman"/>
        </w:rPr>
        <w:t>ekv</w:t>
      </w:r>
      <w:proofErr w:type="spellEnd"/>
      <w:r w:rsidRPr="009128E1" w:rsidR="00787A02">
        <w:rPr>
          <w:rFonts w:eastAsia="Times New Roman"/>
        </w:rPr>
        <w:t xml:space="preserve">-dekking aan fossiele projecten onder de uitzonderingen binnen het COP26-beleid van de </w:t>
      </w:r>
      <w:proofErr w:type="spellStart"/>
      <w:r w:rsidRPr="009128E1" w:rsidR="00787A02">
        <w:rPr>
          <w:rFonts w:eastAsia="Times New Roman"/>
        </w:rPr>
        <w:t>ekv</w:t>
      </w:r>
      <w:proofErr w:type="spellEnd"/>
      <w:r w:rsidRPr="009128E1" w:rsidR="00787A02">
        <w:rPr>
          <w:rFonts w:eastAsia="Times New Roman"/>
        </w:rPr>
        <w:t>.</w:t>
      </w:r>
      <w:r w:rsidRPr="009128E1" w:rsidR="00787A02">
        <w:rPr>
          <w:rStyle w:val="Voetnootmarkering"/>
          <w:rFonts w:eastAsia="Times New Roman"/>
        </w:rPr>
        <w:footnoteReference w:id="11"/>
      </w:r>
      <w:r w:rsidR="00787A02">
        <w:rPr>
          <w:rFonts w:eastAsia="Times New Roman"/>
        </w:rPr>
        <w:t xml:space="preserve"> Deze informatie is nu opgenomen in het jaaroverzicht van ADSB. </w:t>
      </w:r>
      <w:r w:rsidR="00C050F4">
        <w:rPr>
          <w:rFonts w:eastAsia="Times New Roman"/>
        </w:rPr>
        <w:t xml:space="preserve">In 2025 is </w:t>
      </w:r>
      <w:r w:rsidRPr="00A8741B">
        <w:rPr>
          <w:rFonts w:eastAsia="Times New Roman"/>
        </w:rPr>
        <w:t xml:space="preserve">aan tien fossiele </w:t>
      </w:r>
      <w:r w:rsidR="00C050F4">
        <w:rPr>
          <w:rFonts w:eastAsia="Times New Roman"/>
        </w:rPr>
        <w:t>transacties</w:t>
      </w:r>
      <w:r w:rsidRPr="00A8741B">
        <w:rPr>
          <w:rFonts w:eastAsia="Times New Roman"/>
        </w:rPr>
        <w:t xml:space="preserve"> </w:t>
      </w:r>
      <w:proofErr w:type="spellStart"/>
      <w:r w:rsidRPr="00A8741B">
        <w:rPr>
          <w:rFonts w:eastAsia="Times New Roman"/>
        </w:rPr>
        <w:t>ekv</w:t>
      </w:r>
      <w:proofErr w:type="spellEnd"/>
      <w:r w:rsidRPr="00A8741B">
        <w:rPr>
          <w:rFonts w:eastAsia="Times New Roman"/>
        </w:rPr>
        <w:t xml:space="preserve">-dekking verleend. Acht van deze </w:t>
      </w:r>
      <w:r w:rsidR="00C050F4">
        <w:rPr>
          <w:rFonts w:eastAsia="Times New Roman"/>
        </w:rPr>
        <w:t>transacties</w:t>
      </w:r>
      <w:r w:rsidRPr="00A8741B">
        <w:rPr>
          <w:rFonts w:eastAsia="Times New Roman"/>
        </w:rPr>
        <w:t xml:space="preserve"> </w:t>
      </w:r>
      <w:r w:rsidR="00F10300">
        <w:rPr>
          <w:rFonts w:eastAsia="Times New Roman"/>
        </w:rPr>
        <w:t>vallen binnen</w:t>
      </w:r>
      <w:r w:rsidRPr="00A8741B">
        <w:rPr>
          <w:rFonts w:eastAsia="Times New Roman"/>
        </w:rPr>
        <w:t xml:space="preserve"> de uitzonderingsgronden </w:t>
      </w:r>
      <w:r w:rsidR="00F10300">
        <w:rPr>
          <w:rFonts w:eastAsia="Times New Roman"/>
        </w:rPr>
        <w:t>van</w:t>
      </w:r>
      <w:r w:rsidRPr="00A8741B">
        <w:rPr>
          <w:rFonts w:eastAsia="Times New Roman"/>
        </w:rPr>
        <w:t xml:space="preserve"> het COP26-beleid die gelden voor ondersteunende diensten voor </w:t>
      </w:r>
      <w:proofErr w:type="gramStart"/>
      <w:r w:rsidRPr="00A8741B">
        <w:rPr>
          <w:rFonts w:eastAsia="Times New Roman"/>
        </w:rPr>
        <w:t>reeds</w:t>
      </w:r>
      <w:proofErr w:type="gramEnd"/>
      <w:r w:rsidRPr="00A8741B">
        <w:rPr>
          <w:rFonts w:eastAsia="Times New Roman"/>
        </w:rPr>
        <w:t xml:space="preserve"> bestaande fossiele infrastructuur</w:t>
      </w:r>
      <w:r w:rsidRPr="00AC12D3" w:rsidR="00AC12D3">
        <w:rPr>
          <w:rFonts w:eastAsia="Times New Roman"/>
        </w:rPr>
        <w:t>, waarvan zes voor specifieke vaar</w:t>
      </w:r>
      <w:r w:rsidR="00AC12D3">
        <w:rPr>
          <w:rFonts w:eastAsia="Times New Roman"/>
        </w:rPr>
        <w:t>-</w:t>
      </w:r>
      <w:r w:rsidRPr="00AC12D3" w:rsidR="00AC12D3">
        <w:rPr>
          <w:rFonts w:eastAsia="Times New Roman"/>
        </w:rPr>
        <w:t xml:space="preserve"> en voertuigen en twee voor toeleveranciers van ondersteunende diensten of kapitaalgoederen met verbeterde milieuprestaties. Daarnaast vallen </w:t>
      </w:r>
      <w:r w:rsidR="00AC12D3">
        <w:rPr>
          <w:rFonts w:eastAsia="Times New Roman"/>
        </w:rPr>
        <w:t>twee</w:t>
      </w:r>
      <w:r w:rsidRPr="00AC12D3" w:rsidR="00AC12D3">
        <w:rPr>
          <w:rFonts w:eastAsia="Times New Roman"/>
        </w:rPr>
        <w:t xml:space="preserve"> transacties buiten de reikwijdte van het COP</w:t>
      </w:r>
      <w:r w:rsidR="00AC12D3">
        <w:rPr>
          <w:rFonts w:eastAsia="Times New Roman"/>
        </w:rPr>
        <w:t>-</w:t>
      </w:r>
      <w:r w:rsidRPr="00AC12D3" w:rsidR="00AC12D3">
        <w:rPr>
          <w:rFonts w:eastAsia="Times New Roman"/>
        </w:rPr>
        <w:t>26 beleid</w:t>
      </w:r>
      <w:r w:rsidR="00126C83">
        <w:rPr>
          <w:rFonts w:eastAsia="Times New Roman"/>
        </w:rPr>
        <w:t>, omdat deze verkoop en gebruik van fossiele brandstoffen betreffen.</w:t>
      </w:r>
      <w:r w:rsidR="00126C83">
        <w:rPr>
          <w:rStyle w:val="Voetnootmarkering"/>
          <w:rFonts w:eastAsia="Times New Roman"/>
        </w:rPr>
        <w:footnoteReference w:id="12"/>
      </w:r>
    </w:p>
    <w:p w:rsidR="00AE0597" w:rsidP="00D95D37" w:rsidRDefault="00787A02" w14:paraId="1D8A5B85" w14:textId="77777777">
      <w:pPr>
        <w:pStyle w:val="Geenafstand"/>
        <w:jc w:val="left"/>
        <w:rPr>
          <w:rFonts w:eastAsia="Times New Roman"/>
        </w:rPr>
      </w:pPr>
      <w:r>
        <w:rPr>
          <w:rFonts w:eastAsia="Times New Roman"/>
        </w:rPr>
        <w:t xml:space="preserve">Nederland en </w:t>
      </w:r>
      <w:r w:rsidRPr="009128E1" w:rsidR="0031657C">
        <w:rPr>
          <w:rFonts w:eastAsia="Times New Roman"/>
        </w:rPr>
        <w:t xml:space="preserve">andere landen rapporteren </w:t>
      </w:r>
      <w:r w:rsidR="00715111">
        <w:rPr>
          <w:rFonts w:eastAsia="Times New Roman"/>
        </w:rPr>
        <w:t xml:space="preserve">ook </w:t>
      </w:r>
      <w:r w:rsidRPr="009128E1" w:rsidR="0031657C">
        <w:rPr>
          <w:rFonts w:eastAsia="Times New Roman"/>
        </w:rPr>
        <w:t xml:space="preserve">over de afgegeven </w:t>
      </w:r>
      <w:proofErr w:type="spellStart"/>
      <w:r w:rsidRPr="009128E1" w:rsidR="0031657C">
        <w:rPr>
          <w:rFonts w:eastAsia="Times New Roman"/>
        </w:rPr>
        <w:t>ekv</w:t>
      </w:r>
      <w:proofErr w:type="spellEnd"/>
      <w:r w:rsidRPr="009128E1" w:rsidR="0031657C">
        <w:rPr>
          <w:rFonts w:eastAsia="Times New Roman"/>
        </w:rPr>
        <w:t xml:space="preserve">-dekking aan fossiele transacties via de jaarlijkse rapportage van de Export Finance </w:t>
      </w:r>
      <w:proofErr w:type="spellStart"/>
      <w:r w:rsidRPr="009128E1" w:rsidR="0031657C">
        <w:rPr>
          <w:rFonts w:eastAsia="Times New Roman"/>
        </w:rPr>
        <w:t>for</w:t>
      </w:r>
      <w:proofErr w:type="spellEnd"/>
      <w:r w:rsidRPr="009128E1" w:rsidR="0031657C">
        <w:rPr>
          <w:rFonts w:eastAsia="Times New Roman"/>
        </w:rPr>
        <w:t xml:space="preserve"> </w:t>
      </w:r>
      <w:proofErr w:type="spellStart"/>
      <w:r w:rsidRPr="009128E1" w:rsidR="0031657C">
        <w:rPr>
          <w:rFonts w:eastAsia="Times New Roman"/>
        </w:rPr>
        <w:t>Future</w:t>
      </w:r>
      <w:proofErr w:type="spellEnd"/>
      <w:r w:rsidRPr="009128E1" w:rsidR="0031657C">
        <w:rPr>
          <w:rFonts w:eastAsia="Times New Roman"/>
        </w:rPr>
        <w:t xml:space="preserve"> (E3F) coalitie</w:t>
      </w:r>
      <w:bookmarkEnd w:id="4"/>
      <w:r w:rsidRPr="009128E1" w:rsidR="0031657C">
        <w:rPr>
          <w:rFonts w:eastAsia="Times New Roman"/>
        </w:rPr>
        <w:t>.</w:t>
      </w:r>
      <w:r w:rsidR="0067120A">
        <w:rPr>
          <w:rStyle w:val="Voetnootmarkering"/>
          <w:rFonts w:eastAsia="Times New Roman"/>
        </w:rPr>
        <w:footnoteReference w:id="13"/>
      </w:r>
      <w:r w:rsidR="00082315">
        <w:rPr>
          <w:rFonts w:eastAsia="Times New Roman"/>
        </w:rPr>
        <w:t xml:space="preserve"> </w:t>
      </w:r>
      <w:r w:rsidRPr="009128E1" w:rsidR="0031657C">
        <w:rPr>
          <w:rFonts w:eastAsia="Times New Roman"/>
        </w:rPr>
        <w:t xml:space="preserve">Alle afgegeven </w:t>
      </w:r>
      <w:proofErr w:type="spellStart"/>
      <w:r w:rsidRPr="009128E1" w:rsidR="0031657C">
        <w:rPr>
          <w:rFonts w:eastAsia="Times New Roman"/>
        </w:rPr>
        <w:t>ekv</w:t>
      </w:r>
      <w:proofErr w:type="spellEnd"/>
      <w:r w:rsidRPr="009128E1" w:rsidR="0031657C">
        <w:rPr>
          <w:rFonts w:eastAsia="Times New Roman"/>
        </w:rPr>
        <w:t>-polissen met classificatie ‘groen’, ‘fossiel’ en ‘overig’ zijn tevens te raadplegen op de website van ADSB.</w:t>
      </w:r>
      <w:r w:rsidRPr="009128E1" w:rsidR="00AE64F2">
        <w:rPr>
          <w:rStyle w:val="Voetnootmarkering"/>
          <w:rFonts w:eastAsia="Times New Roman"/>
        </w:rPr>
        <w:footnoteReference w:id="14"/>
      </w:r>
      <w:r w:rsidRPr="009128E1" w:rsidR="0031657C">
        <w:rPr>
          <w:rFonts w:eastAsia="Times New Roman"/>
        </w:rPr>
        <w:t xml:space="preserve"> </w:t>
      </w:r>
    </w:p>
    <w:bookmarkEnd w:id="3"/>
    <w:p w:rsidRPr="009128E1" w:rsidR="00AA72B2" w:rsidP="00D95D37" w:rsidRDefault="00AA72B2" w14:paraId="5FE5B8E2" w14:textId="77777777">
      <w:pPr>
        <w:pStyle w:val="Geenafstand"/>
        <w:jc w:val="left"/>
        <w:rPr>
          <w:rFonts w:eastAsia="Times New Roman"/>
        </w:rPr>
      </w:pPr>
      <w:r w:rsidRPr="009128E1">
        <w:rPr>
          <w:rFonts w:eastAsia="Times New Roman"/>
          <w:b/>
          <w:bCs/>
        </w:rPr>
        <w:t>Aanbesteding</w:t>
      </w:r>
    </w:p>
    <w:p w:rsidRPr="009128E1" w:rsidR="006D0D79" w:rsidP="027175A8" w:rsidRDefault="00AA72B2" w14:paraId="0AF29F74" w14:textId="77777777">
      <w:pPr>
        <w:pStyle w:val="Geenafstand"/>
        <w:jc w:val="left"/>
        <w:rPr>
          <w:rFonts w:eastAsia="Times New Roman"/>
        </w:rPr>
      </w:pPr>
      <w:r w:rsidRPr="009128E1">
        <w:rPr>
          <w:rFonts w:eastAsia="Times New Roman"/>
        </w:rPr>
        <w:t xml:space="preserve">De aanbesteding </w:t>
      </w:r>
      <w:r w:rsidR="00093340">
        <w:rPr>
          <w:rFonts w:eastAsia="Times New Roman"/>
        </w:rPr>
        <w:t xml:space="preserve">van de uitvoering van de </w:t>
      </w:r>
      <w:proofErr w:type="spellStart"/>
      <w:r w:rsidR="00093340">
        <w:rPr>
          <w:rFonts w:eastAsia="Times New Roman"/>
        </w:rPr>
        <w:t>ekv</w:t>
      </w:r>
      <w:proofErr w:type="spellEnd"/>
      <w:r w:rsidR="00093340">
        <w:rPr>
          <w:rFonts w:eastAsia="Times New Roman"/>
        </w:rPr>
        <w:t xml:space="preserve"> </w:t>
      </w:r>
      <w:r w:rsidRPr="009128E1">
        <w:rPr>
          <w:rFonts w:eastAsia="Times New Roman"/>
        </w:rPr>
        <w:t xml:space="preserve">loopt </w:t>
      </w:r>
      <w:proofErr w:type="gramStart"/>
      <w:r w:rsidRPr="009128E1">
        <w:rPr>
          <w:rFonts w:eastAsia="Times New Roman"/>
        </w:rPr>
        <w:t>conform</w:t>
      </w:r>
      <w:proofErr w:type="gramEnd"/>
      <w:r w:rsidRPr="009128E1">
        <w:rPr>
          <w:rFonts w:eastAsia="Times New Roman"/>
        </w:rPr>
        <w:t xml:space="preserve"> planning. In september 2025 is een markt- en stakeholderconsultatie doorlopen, waarin belangrijke stakeholders (zoals </w:t>
      </w:r>
      <w:proofErr w:type="spellStart"/>
      <w:r w:rsidRPr="009128E1" w:rsidR="002C1E30">
        <w:rPr>
          <w:rFonts w:eastAsia="Times New Roman"/>
        </w:rPr>
        <w:t>ekv</w:t>
      </w:r>
      <w:proofErr w:type="spellEnd"/>
      <w:r w:rsidRPr="009128E1">
        <w:rPr>
          <w:rFonts w:eastAsia="Times New Roman"/>
        </w:rPr>
        <w:t>-gebruikers, ngo’s en belangenorganisaties, zoals VNO-NCW/MKB-Nederland) zijn geconsulteerd over de concept</w:t>
      </w:r>
      <w:r w:rsidRPr="009128E1" w:rsidR="006F6F5C">
        <w:rPr>
          <w:rFonts w:eastAsia="Times New Roman"/>
        </w:rPr>
        <w:t>-</w:t>
      </w:r>
      <w:r w:rsidRPr="009128E1">
        <w:rPr>
          <w:rFonts w:eastAsia="Times New Roman"/>
        </w:rPr>
        <w:t>aanbestedingsstukken. In januari van dit jaar is vervolgens de aanbesteding, vormgegeven als een mededingingsprocedure met onderhandeling, formeel begonnen.</w:t>
      </w:r>
      <w:r w:rsidRPr="009128E1">
        <w:rPr>
          <w:rStyle w:val="Voetnootmarkering"/>
          <w:rFonts w:eastAsia="Times New Roman"/>
        </w:rPr>
        <w:footnoteReference w:id="15"/>
      </w:r>
      <w:r w:rsidRPr="009128E1">
        <w:rPr>
          <w:rFonts w:eastAsia="Times New Roman"/>
        </w:rPr>
        <w:t xml:space="preserve"> </w:t>
      </w:r>
    </w:p>
    <w:p w:rsidRPr="009128E1" w:rsidR="00AA72B2" w:rsidP="00D95D37" w:rsidRDefault="00AA72B2" w14:paraId="18DBE774" w14:textId="77777777">
      <w:pPr>
        <w:pStyle w:val="Geenafstand"/>
        <w:jc w:val="left"/>
        <w:rPr>
          <w:rFonts w:eastAsia="Times New Roman"/>
        </w:rPr>
      </w:pPr>
      <w:r w:rsidRPr="009128E1">
        <w:rPr>
          <w:rFonts w:eastAsia="Times New Roman"/>
        </w:rPr>
        <w:lastRenderedPageBreak/>
        <w:t>In de daaropvolgende selectiefase hebben potentiële inschrijvers zich aangemeld om deel te nemen aan het verdere aanbestedingsproces na de selectiefase</w:t>
      </w:r>
      <w:r w:rsidR="004F3C85">
        <w:rPr>
          <w:rFonts w:eastAsia="Times New Roman"/>
        </w:rPr>
        <w:t>.</w:t>
      </w:r>
      <w:r w:rsidRPr="009128E1">
        <w:rPr>
          <w:rFonts w:eastAsia="Times New Roman"/>
        </w:rPr>
        <w:t xml:space="preserve"> </w:t>
      </w:r>
      <w:r w:rsidRPr="009128E1" w:rsidR="004F3C85">
        <w:rPr>
          <w:rFonts w:eastAsia="Times New Roman"/>
        </w:rPr>
        <w:t>Na beoordeling van hun aanmelding, zijn deze partijen ook uitgenodigd om deel te nemen aan deze gunningsfase</w:t>
      </w:r>
      <w:r w:rsidR="004F3C85">
        <w:rPr>
          <w:rFonts w:eastAsia="Times New Roman"/>
        </w:rPr>
        <w:t xml:space="preserve">. Tijdens de </w:t>
      </w:r>
      <w:r w:rsidRPr="009128E1">
        <w:rPr>
          <w:rFonts w:eastAsia="Times New Roman"/>
        </w:rPr>
        <w:t>gunningsfase</w:t>
      </w:r>
      <w:r w:rsidR="004F3C85">
        <w:rPr>
          <w:rFonts w:eastAsia="Times New Roman"/>
        </w:rPr>
        <w:t xml:space="preserve"> </w:t>
      </w:r>
      <w:r w:rsidR="0026642A">
        <w:rPr>
          <w:rFonts w:eastAsia="Times New Roman"/>
        </w:rPr>
        <w:t>kunnen</w:t>
      </w:r>
      <w:r w:rsidRPr="009128E1" w:rsidR="0026642A">
        <w:rPr>
          <w:rFonts w:eastAsia="Times New Roman"/>
        </w:rPr>
        <w:t xml:space="preserve"> </w:t>
      </w:r>
      <w:r w:rsidRPr="009128E1">
        <w:rPr>
          <w:rFonts w:eastAsia="Times New Roman"/>
        </w:rPr>
        <w:t>potentiële inschrijvers uiteindelijk een definitieve inschrijving in</w:t>
      </w:r>
      <w:r w:rsidR="0026642A">
        <w:rPr>
          <w:rFonts w:eastAsia="Times New Roman"/>
        </w:rPr>
        <w:t>dienen</w:t>
      </w:r>
      <w:r w:rsidRPr="009128E1">
        <w:rPr>
          <w:rFonts w:eastAsia="Times New Roman"/>
        </w:rPr>
        <w:t xml:space="preserve"> die door de Staat wordt beoordeeld. De gunningsfase is begonnen in april van dit jaar en wordt momenteel doorlopen. De gunningsfase biedt ruimte voor dialoog met inschrijvers om hun voorstellen te optimaliseren. Er is een onafhankelijke expert met marktkennis ingehuurd om de Staat te ondersteunen bij de beoordeling van de verschillende inschrijvingen. </w:t>
      </w:r>
      <w:r w:rsidR="0026642A">
        <w:rPr>
          <w:rFonts w:eastAsia="Times New Roman"/>
        </w:rPr>
        <w:t>Het streven is om na</w:t>
      </w:r>
      <w:r w:rsidRPr="009128E1" w:rsidR="0026642A">
        <w:rPr>
          <w:rFonts w:eastAsia="Times New Roman"/>
        </w:rPr>
        <w:t xml:space="preserve"> </w:t>
      </w:r>
      <w:r w:rsidRPr="009128E1">
        <w:rPr>
          <w:rFonts w:eastAsia="Times New Roman"/>
        </w:rPr>
        <w:t>afloop van de rechtsbeschermingstermijn</w:t>
      </w:r>
      <w:r w:rsidRPr="009128E1">
        <w:rPr>
          <w:rStyle w:val="Voetnootmarkering"/>
          <w:rFonts w:eastAsia="Times New Roman"/>
        </w:rPr>
        <w:footnoteReference w:id="16"/>
      </w:r>
      <w:r w:rsidRPr="009128E1">
        <w:rPr>
          <w:rFonts w:eastAsia="Times New Roman"/>
        </w:rPr>
        <w:t xml:space="preserve"> de opdrachtverlening nog dit jaar </w:t>
      </w:r>
      <w:r w:rsidR="0026642A">
        <w:rPr>
          <w:rFonts w:eastAsia="Times New Roman"/>
        </w:rPr>
        <w:t xml:space="preserve">te laten </w:t>
      </w:r>
      <w:r w:rsidRPr="009128E1">
        <w:rPr>
          <w:rFonts w:eastAsia="Times New Roman"/>
        </w:rPr>
        <w:t xml:space="preserve">plaatsvinden. Daarmee </w:t>
      </w:r>
      <w:r w:rsidRPr="009128E1" w:rsidR="006D0D79">
        <w:rPr>
          <w:rFonts w:eastAsia="Times New Roman"/>
        </w:rPr>
        <w:t>wordt</w:t>
      </w:r>
      <w:r w:rsidRPr="009128E1" w:rsidR="000042A6">
        <w:rPr>
          <w:rFonts w:eastAsia="Times New Roman"/>
        </w:rPr>
        <w:t xml:space="preserve"> </w:t>
      </w:r>
      <w:r w:rsidRPr="009128E1">
        <w:rPr>
          <w:rFonts w:eastAsia="Times New Roman"/>
        </w:rPr>
        <w:t xml:space="preserve">de aanbesteding afgerond. </w:t>
      </w:r>
    </w:p>
    <w:p w:rsidRPr="009128E1" w:rsidR="00AA72B2" w:rsidP="00D95D37" w:rsidRDefault="00AA72B2" w14:paraId="474B1D77" w14:textId="77777777">
      <w:pPr>
        <w:pStyle w:val="Geenafstand"/>
        <w:jc w:val="left"/>
        <w:rPr>
          <w:rFonts w:eastAsia="Times New Roman"/>
        </w:rPr>
      </w:pPr>
      <w:r w:rsidRPr="009128E1">
        <w:rPr>
          <w:rFonts w:eastAsia="Times New Roman"/>
        </w:rPr>
        <w:t xml:space="preserve">De continuïteit van de dienstverlening door ADSB is geborgd. De lopende overeenkomst tussen de Staat en de huidige uitvoerder ADSB </w:t>
      </w:r>
      <w:r w:rsidRPr="009128E1" w:rsidR="00291311">
        <w:rPr>
          <w:rFonts w:eastAsia="Times New Roman"/>
        </w:rPr>
        <w:t xml:space="preserve">blijft </w:t>
      </w:r>
      <w:r w:rsidRPr="009128E1">
        <w:rPr>
          <w:rFonts w:eastAsia="Times New Roman"/>
        </w:rPr>
        <w:t xml:space="preserve">juridisch geldig en </w:t>
      </w:r>
      <w:r w:rsidRPr="009128E1" w:rsidR="00291311">
        <w:rPr>
          <w:rFonts w:eastAsia="Times New Roman"/>
        </w:rPr>
        <w:t xml:space="preserve">wordt </w:t>
      </w:r>
      <w:r w:rsidRPr="009128E1">
        <w:rPr>
          <w:rFonts w:eastAsia="Times New Roman"/>
        </w:rPr>
        <w:t>nagekomen. Dat geldt ook voor alle polissen die namens de Staat zijn of worden afgesloten. De huidige samenwerkingsovereenkomst met ADSB wordt pas opgezegd nadat de aanbesteding is afgerond. Gezien de contractuele opzegtermijn van drie kalenderjaren blijft de uitvoering ten minste tot en met 2029 bij ADSB, tenzij beide partijen anders overeenkomen.</w:t>
      </w:r>
    </w:p>
    <w:p w:rsidRPr="009128E1" w:rsidR="00E47AE2" w:rsidP="00D95D37" w:rsidRDefault="00AA72B2" w14:paraId="27B62D48" w14:textId="77777777">
      <w:pPr>
        <w:pStyle w:val="Geenafstand"/>
        <w:jc w:val="left"/>
        <w:rPr>
          <w:rFonts w:eastAsia="Times New Roman"/>
        </w:rPr>
      </w:pPr>
      <w:r w:rsidRPr="009128E1">
        <w:rPr>
          <w:rFonts w:eastAsia="Times New Roman"/>
        </w:rPr>
        <w:t>Ik zal uw Kamer opnieuw informeren na afronding van de</w:t>
      </w:r>
      <w:r w:rsidRPr="009128E1" w:rsidR="00291311">
        <w:rPr>
          <w:rFonts w:eastAsia="Times New Roman"/>
        </w:rPr>
        <w:t xml:space="preserve"> </w:t>
      </w:r>
      <w:r w:rsidRPr="009128E1">
        <w:rPr>
          <w:rFonts w:eastAsia="Times New Roman"/>
        </w:rPr>
        <w:t xml:space="preserve">aanbestedingsprocedure. </w:t>
      </w:r>
    </w:p>
    <w:p w:rsidRPr="009128E1" w:rsidR="006E3A61" w:rsidP="00D95D37" w:rsidRDefault="006E3A61" w14:paraId="12F3EED6" w14:textId="77777777">
      <w:pPr>
        <w:pStyle w:val="Geenafstand"/>
        <w:jc w:val="left"/>
        <w:rPr>
          <w:rFonts w:eastAsia="Times New Roman"/>
          <w:b/>
          <w:bCs/>
        </w:rPr>
      </w:pPr>
      <w:r w:rsidRPr="009128E1">
        <w:rPr>
          <w:rFonts w:eastAsia="Times New Roman"/>
          <w:b/>
          <w:bCs/>
        </w:rPr>
        <w:t>Toetsingskader risicoregelingen</w:t>
      </w:r>
    </w:p>
    <w:p w:rsidR="0016715F" w:rsidP="00D95D37" w:rsidRDefault="00F8739D" w14:paraId="331E4CC1" w14:textId="77777777">
      <w:pPr>
        <w:pStyle w:val="Geenafstand"/>
        <w:jc w:val="left"/>
        <w:rPr>
          <w:rFonts w:eastAsia="Times New Roman"/>
        </w:rPr>
      </w:pPr>
      <w:bookmarkStart w:name="_Hlk228529920" w:id="5"/>
      <w:r>
        <w:rPr>
          <w:rFonts w:eastAsia="Times New Roman"/>
        </w:rPr>
        <w:t xml:space="preserve">Als bijlage bij deze brief </w:t>
      </w:r>
      <w:r w:rsidRPr="00F8739D">
        <w:rPr>
          <w:rFonts w:eastAsia="Times New Roman"/>
        </w:rPr>
        <w:t>bied ik u het toetsingskader risicoregelingen voor de exportkredietverzekering (</w:t>
      </w:r>
      <w:proofErr w:type="spellStart"/>
      <w:r w:rsidRPr="00F8739D">
        <w:rPr>
          <w:rFonts w:eastAsia="Times New Roman"/>
        </w:rPr>
        <w:t>ekv</w:t>
      </w:r>
      <w:proofErr w:type="spellEnd"/>
      <w:r w:rsidRPr="00F8739D">
        <w:rPr>
          <w:rFonts w:eastAsia="Times New Roman"/>
        </w:rPr>
        <w:t>) aan</w:t>
      </w:r>
      <w:r>
        <w:rPr>
          <w:rFonts w:eastAsia="Times New Roman"/>
        </w:rPr>
        <w:t xml:space="preserve">. </w:t>
      </w:r>
      <w:r w:rsidRPr="009128E1" w:rsidR="005E7414">
        <w:rPr>
          <w:rFonts w:eastAsia="Times New Roman"/>
        </w:rPr>
        <w:t>Besluitvorming over een nieuwe risicoregeling of aanpassing van een bestaande risicoregeling vindt plaats aan de hand van het toetsingskader risicoregelingen.</w:t>
      </w:r>
      <w:r w:rsidRPr="009128E1" w:rsidR="005E7414">
        <w:rPr>
          <w:rStyle w:val="Voetnootmarkering"/>
          <w:rFonts w:eastAsia="Times New Roman"/>
        </w:rPr>
        <w:footnoteReference w:id="17"/>
      </w:r>
      <w:r w:rsidR="005E7414">
        <w:rPr>
          <w:rFonts w:eastAsia="Times New Roman"/>
        </w:rPr>
        <w:t xml:space="preserve"> Hoewel de </w:t>
      </w:r>
      <w:proofErr w:type="spellStart"/>
      <w:r w:rsidR="005E7414">
        <w:rPr>
          <w:rFonts w:eastAsia="Times New Roman"/>
        </w:rPr>
        <w:t>ekv</w:t>
      </w:r>
      <w:proofErr w:type="spellEnd"/>
      <w:r w:rsidR="005E7414">
        <w:rPr>
          <w:rFonts w:eastAsia="Times New Roman"/>
        </w:rPr>
        <w:t xml:space="preserve"> een </w:t>
      </w:r>
      <w:proofErr w:type="gramStart"/>
      <w:r w:rsidR="005E7414">
        <w:rPr>
          <w:rFonts w:eastAsia="Times New Roman"/>
        </w:rPr>
        <w:t>reeds</w:t>
      </w:r>
      <w:proofErr w:type="gramEnd"/>
      <w:r w:rsidR="005E7414">
        <w:rPr>
          <w:rFonts w:eastAsia="Times New Roman"/>
        </w:rPr>
        <w:t xml:space="preserve"> lang bestaande regeling is,</w:t>
      </w:r>
      <w:r w:rsidRPr="009128E1" w:rsidR="005E7414">
        <w:rPr>
          <w:rFonts w:eastAsia="Times New Roman"/>
        </w:rPr>
        <w:t xml:space="preserve"> </w:t>
      </w:r>
      <w:r w:rsidRPr="009128E1" w:rsidR="00845085">
        <w:rPr>
          <w:rFonts w:eastAsia="Times New Roman"/>
        </w:rPr>
        <w:t xml:space="preserve">is </w:t>
      </w:r>
      <w:r w:rsidR="00B452DB">
        <w:rPr>
          <w:rFonts w:eastAsia="Times New Roman"/>
        </w:rPr>
        <w:t xml:space="preserve">het </w:t>
      </w:r>
      <w:r w:rsidRPr="009128E1" w:rsidR="00845085">
        <w:rPr>
          <w:rFonts w:eastAsia="Times New Roman"/>
        </w:rPr>
        <w:t>van belang dat</w:t>
      </w:r>
      <w:r w:rsidR="005E7414">
        <w:rPr>
          <w:rFonts w:eastAsia="Times New Roman"/>
        </w:rPr>
        <w:t xml:space="preserve"> ook</w:t>
      </w:r>
      <w:r w:rsidRPr="009128E1" w:rsidR="00845085">
        <w:rPr>
          <w:rFonts w:eastAsia="Times New Roman"/>
        </w:rPr>
        <w:t xml:space="preserve"> de risico’s van de </w:t>
      </w:r>
      <w:proofErr w:type="spellStart"/>
      <w:r w:rsidRPr="009128E1" w:rsidR="00845085">
        <w:rPr>
          <w:rFonts w:eastAsia="Times New Roman"/>
        </w:rPr>
        <w:t>ekv</w:t>
      </w:r>
      <w:proofErr w:type="spellEnd"/>
      <w:r w:rsidRPr="009128E1" w:rsidR="00845085">
        <w:rPr>
          <w:rFonts w:eastAsia="Times New Roman"/>
        </w:rPr>
        <w:t xml:space="preserve"> inzichtelijk zijn voor de Kamer. Daarom heb ik het toetsingskader risicoregelingen opgesteld. </w:t>
      </w:r>
      <w:r w:rsidR="005E7414">
        <w:rPr>
          <w:rFonts w:eastAsia="Times New Roman"/>
        </w:rPr>
        <w:t>Er zijn</w:t>
      </w:r>
      <w:r w:rsidRPr="005D007A" w:rsidR="005D007A">
        <w:rPr>
          <w:rFonts w:eastAsia="Times New Roman"/>
        </w:rPr>
        <w:t xml:space="preserve"> geen inhoudelijke wijzigingen in de </w:t>
      </w:r>
      <w:proofErr w:type="spellStart"/>
      <w:r w:rsidRPr="005D007A" w:rsidR="005D007A">
        <w:rPr>
          <w:rFonts w:eastAsia="Times New Roman"/>
        </w:rPr>
        <w:t>ekv</w:t>
      </w:r>
      <w:proofErr w:type="spellEnd"/>
      <w:r w:rsidRPr="005D007A" w:rsidR="005D007A">
        <w:rPr>
          <w:rFonts w:eastAsia="Times New Roman"/>
        </w:rPr>
        <w:t xml:space="preserve"> zelf aangebracht. </w:t>
      </w:r>
      <w:bookmarkEnd w:id="5"/>
    </w:p>
    <w:p w:rsidRPr="009128E1" w:rsidR="00514744" w:rsidP="00D95D37" w:rsidRDefault="00341245" w14:paraId="2C7346C1" w14:textId="77777777">
      <w:pPr>
        <w:pStyle w:val="Geenafstand"/>
        <w:jc w:val="left"/>
        <w:rPr>
          <w:rFonts w:eastAsia="Times New Roman"/>
          <w:b/>
          <w:bCs/>
        </w:rPr>
      </w:pPr>
      <w:r w:rsidRPr="009128E1">
        <w:rPr>
          <w:rFonts w:eastAsia="Times New Roman"/>
          <w:b/>
          <w:bCs/>
        </w:rPr>
        <w:t>Motie lid Ceder</w:t>
      </w:r>
    </w:p>
    <w:p w:rsidR="00514744" w:rsidP="027175A8" w:rsidRDefault="007E0899" w14:paraId="5D6E2E42" w14:textId="77777777">
      <w:pPr>
        <w:pStyle w:val="Geenafstand"/>
        <w:jc w:val="left"/>
        <w:rPr>
          <w:rFonts w:eastAsia="Times New Roman"/>
        </w:rPr>
      </w:pPr>
      <w:r w:rsidRPr="009128E1">
        <w:rPr>
          <w:rFonts w:eastAsia="Times New Roman"/>
        </w:rPr>
        <w:t>Ten</w:t>
      </w:r>
      <w:r w:rsidR="0069471B">
        <w:rPr>
          <w:rFonts w:eastAsia="Times New Roman"/>
        </w:rPr>
        <w:t xml:space="preserve"> </w:t>
      </w:r>
      <w:r w:rsidRPr="009128E1">
        <w:rPr>
          <w:rFonts w:eastAsia="Times New Roman"/>
        </w:rPr>
        <w:t xml:space="preserve">slotte wil ik terugkomen op </w:t>
      </w:r>
      <w:r w:rsidRPr="009128E1" w:rsidR="00FF65A2">
        <w:rPr>
          <w:rFonts w:eastAsia="Times New Roman"/>
        </w:rPr>
        <w:t>een motie aangenomen door uw Kamer</w:t>
      </w:r>
      <w:r w:rsidRPr="009128E1" w:rsidR="00F06B34">
        <w:rPr>
          <w:rFonts w:eastAsia="Times New Roman"/>
        </w:rPr>
        <w:t xml:space="preserve">. </w:t>
      </w:r>
      <w:r w:rsidRPr="009128E1" w:rsidR="00514744">
        <w:rPr>
          <w:rFonts w:eastAsia="Times New Roman"/>
        </w:rPr>
        <w:t>In juni 2025 heeft de Kamer een motie aangenomen waarin wordt verzocht de mogelijkheden te onderzoeken om Suriname in aanmerking te laten komen voor exportkredietgaranties</w:t>
      </w:r>
      <w:r w:rsidR="00E91F66">
        <w:rPr>
          <w:rFonts w:eastAsia="Times New Roman"/>
        </w:rPr>
        <w:t xml:space="preserve"> en </w:t>
      </w:r>
      <w:r w:rsidR="0037468B">
        <w:rPr>
          <w:rFonts w:eastAsia="Times New Roman"/>
        </w:rPr>
        <w:t>-</w:t>
      </w:r>
      <w:r w:rsidR="00E91F66">
        <w:rPr>
          <w:rFonts w:eastAsia="Times New Roman"/>
        </w:rPr>
        <w:t>verzekeringen</w:t>
      </w:r>
      <w:r w:rsidRPr="009128E1" w:rsidR="006D0D79">
        <w:rPr>
          <w:rFonts w:eastAsia="Times New Roman"/>
        </w:rPr>
        <w:t>.</w:t>
      </w:r>
      <w:r w:rsidRPr="009128E1" w:rsidR="00514744">
        <w:rPr>
          <w:rStyle w:val="Voetnootmarkering"/>
          <w:rFonts w:eastAsia="Times New Roman"/>
        </w:rPr>
        <w:footnoteReference w:id="18"/>
      </w:r>
      <w:r w:rsidRPr="009128E1" w:rsidR="00514744">
        <w:rPr>
          <w:rFonts w:eastAsia="Times New Roman"/>
        </w:rPr>
        <w:t xml:space="preserve"> Naar aanleiding hiervan is in november </w:t>
      </w:r>
      <w:r w:rsidRPr="009128E1" w:rsidR="006D0D79">
        <w:rPr>
          <w:rFonts w:eastAsia="Times New Roman"/>
        </w:rPr>
        <w:t xml:space="preserve">2025 </w:t>
      </w:r>
      <w:r w:rsidRPr="009128E1" w:rsidR="00514744">
        <w:rPr>
          <w:rFonts w:eastAsia="Times New Roman"/>
        </w:rPr>
        <w:t xml:space="preserve">het landenbeleid ten aanzien van Suriname </w:t>
      </w:r>
      <w:r w:rsidRPr="009128E1">
        <w:rPr>
          <w:rFonts w:eastAsia="Times New Roman"/>
        </w:rPr>
        <w:t>opnieuw bekeken</w:t>
      </w:r>
      <w:r w:rsidRPr="009128E1" w:rsidR="00514744">
        <w:rPr>
          <w:rFonts w:eastAsia="Times New Roman"/>
        </w:rPr>
        <w:t xml:space="preserve">. </w:t>
      </w:r>
      <w:r w:rsidRPr="009128E1">
        <w:rPr>
          <w:rFonts w:eastAsia="Times New Roman"/>
        </w:rPr>
        <w:t xml:space="preserve">Er </w:t>
      </w:r>
      <w:r w:rsidRPr="009128E1" w:rsidR="00514744">
        <w:rPr>
          <w:rFonts w:eastAsia="Times New Roman"/>
        </w:rPr>
        <w:t>is besloten dat op dit moment alleen private partijen</w:t>
      </w:r>
      <w:r w:rsidRPr="009128E1">
        <w:rPr>
          <w:rFonts w:eastAsia="Times New Roman"/>
        </w:rPr>
        <w:t xml:space="preserve"> in aanmerking kunnen komen voor</w:t>
      </w:r>
      <w:r w:rsidRPr="009128E1" w:rsidR="00514744">
        <w:rPr>
          <w:rFonts w:eastAsia="Times New Roman"/>
        </w:rPr>
        <w:t xml:space="preserve"> </w:t>
      </w:r>
      <w:proofErr w:type="spellStart"/>
      <w:r w:rsidRPr="009128E1">
        <w:rPr>
          <w:rFonts w:eastAsia="Times New Roman"/>
        </w:rPr>
        <w:t>ekv</w:t>
      </w:r>
      <w:proofErr w:type="spellEnd"/>
      <w:r w:rsidRPr="009128E1" w:rsidR="00514744">
        <w:rPr>
          <w:rFonts w:eastAsia="Times New Roman"/>
        </w:rPr>
        <w:t xml:space="preserve">. Risico’s om verzekeringen af te geven op de Surinaamse overheid blijven vooralsnog te hoog. Samen met ADSB wordt de risicosituatie in landen als Suriname nauw gemonitord. </w:t>
      </w:r>
      <w:proofErr w:type="gramStart"/>
      <w:r w:rsidRPr="009128E1" w:rsidR="00514744">
        <w:rPr>
          <w:rFonts w:eastAsia="Times New Roman"/>
        </w:rPr>
        <w:t>Indien</w:t>
      </w:r>
      <w:proofErr w:type="gramEnd"/>
      <w:r w:rsidRPr="009128E1" w:rsidR="00514744">
        <w:rPr>
          <w:rFonts w:eastAsia="Times New Roman"/>
        </w:rPr>
        <w:t xml:space="preserve"> de omstandigheden zich verbeteren, zal het </w:t>
      </w:r>
      <w:r w:rsidRPr="009128E1" w:rsidR="006F6F5C">
        <w:rPr>
          <w:rFonts w:eastAsia="Times New Roman"/>
        </w:rPr>
        <w:t xml:space="preserve">kabinet het </w:t>
      </w:r>
      <w:r w:rsidRPr="009128E1" w:rsidR="00514744">
        <w:rPr>
          <w:rFonts w:eastAsia="Times New Roman"/>
        </w:rPr>
        <w:t>beleid heroverw</w:t>
      </w:r>
      <w:r w:rsidRPr="009128E1" w:rsidR="006F6F5C">
        <w:rPr>
          <w:rFonts w:eastAsia="Times New Roman"/>
        </w:rPr>
        <w:t>e</w:t>
      </w:r>
      <w:r w:rsidRPr="009128E1" w:rsidR="00514744">
        <w:rPr>
          <w:rFonts w:eastAsia="Times New Roman"/>
        </w:rPr>
        <w:t>gen en al dan niet aanpas</w:t>
      </w:r>
      <w:r w:rsidRPr="009128E1" w:rsidR="006F6F5C">
        <w:rPr>
          <w:rFonts w:eastAsia="Times New Roman"/>
        </w:rPr>
        <w:t>sen</w:t>
      </w:r>
      <w:r w:rsidRPr="009128E1" w:rsidR="00514744">
        <w:rPr>
          <w:rFonts w:eastAsia="Times New Roman"/>
        </w:rPr>
        <w:t>.</w:t>
      </w:r>
    </w:p>
    <w:p w:rsidRPr="009128E1" w:rsidR="00370A1F" w:rsidP="027175A8" w:rsidRDefault="027175A8" w14:paraId="66F17324" w14:textId="77777777">
      <w:pPr>
        <w:pStyle w:val="Geenafstand"/>
        <w:jc w:val="left"/>
        <w:rPr>
          <w:rFonts w:eastAsia="Times New Roman"/>
        </w:rPr>
      </w:pPr>
      <w:r w:rsidRPr="027175A8">
        <w:rPr>
          <w:rFonts w:eastAsia="Times New Roman"/>
        </w:rPr>
        <w:lastRenderedPageBreak/>
        <w:t xml:space="preserve">Ik vertrouw erop uw Kamer een goed overzicht van de beleidsmatige en financiële ontwikkelingen op </w:t>
      </w:r>
      <w:proofErr w:type="spellStart"/>
      <w:r w:rsidRPr="027175A8">
        <w:rPr>
          <w:rFonts w:eastAsia="Times New Roman"/>
        </w:rPr>
        <w:t>ekv</w:t>
      </w:r>
      <w:proofErr w:type="spellEnd"/>
      <w:r w:rsidRPr="027175A8">
        <w:rPr>
          <w:rFonts w:eastAsia="Times New Roman"/>
        </w:rPr>
        <w:t>-gebied te hebben gegeven.</w:t>
      </w:r>
    </w:p>
    <w:p w:rsidRPr="009128E1" w:rsidR="00370A1F" w:rsidP="00D95D37" w:rsidRDefault="00370A1F" w14:paraId="57DB0BC3" w14:textId="77777777">
      <w:pPr>
        <w:pStyle w:val="Geenafstand"/>
        <w:jc w:val="left"/>
        <w:rPr>
          <w:rFonts w:eastAsia="Times New Roman"/>
        </w:rPr>
      </w:pPr>
    </w:p>
    <w:p w:rsidRPr="009128E1" w:rsidR="00850654" w:rsidP="00D95D37" w:rsidRDefault="005602CA" w14:paraId="095F0FF6" w14:textId="77777777">
      <w:pPr>
        <w:pStyle w:val="StandaardSlotzin"/>
        <w:spacing w:line="276" w:lineRule="auto"/>
      </w:pPr>
      <w:r w:rsidRPr="009128E1">
        <w:t>Hoogachtend,</w:t>
      </w:r>
    </w:p>
    <w:p w:rsidRPr="009128E1" w:rsidR="00850654" w:rsidP="00D95D37" w:rsidRDefault="00850654" w14:paraId="1EF3F4DC" w14:textId="77777777">
      <w:pPr>
        <w:spacing w:line="276" w:lineRule="auto"/>
      </w:pPr>
    </w:p>
    <w:p w:rsidRPr="009128E1" w:rsidR="00850654" w:rsidP="00D95D37" w:rsidRDefault="00850654" w14:paraId="10056102" w14:textId="77777777">
      <w:pPr>
        <w:spacing w:line="276" w:lineRule="auto"/>
      </w:pPr>
      <w:r w:rsidRPr="009128E1">
        <w:t xml:space="preserve">De </w:t>
      </w:r>
      <w:r w:rsidRPr="009128E1" w:rsidR="00FB6023">
        <w:t>staatssecretaris</w:t>
      </w:r>
      <w:r w:rsidRPr="009128E1">
        <w:t xml:space="preserve"> van Financiën</w:t>
      </w:r>
    </w:p>
    <w:p w:rsidRPr="009128E1" w:rsidR="00850654" w:rsidP="00D95D37" w:rsidRDefault="00850654" w14:paraId="39674F56" w14:textId="77777777">
      <w:pPr>
        <w:spacing w:line="276" w:lineRule="auto"/>
      </w:pPr>
    </w:p>
    <w:p w:rsidRPr="009128E1" w:rsidR="00850654" w:rsidP="00D95D37" w:rsidRDefault="00850654" w14:paraId="4B5B6644" w14:textId="77777777">
      <w:pPr>
        <w:spacing w:line="276" w:lineRule="auto"/>
      </w:pPr>
    </w:p>
    <w:p w:rsidRPr="009128E1" w:rsidR="00850654" w:rsidP="00D95D37" w:rsidRDefault="00850654" w14:paraId="0C6F183F" w14:textId="77777777">
      <w:pPr>
        <w:spacing w:line="276" w:lineRule="auto"/>
      </w:pPr>
    </w:p>
    <w:p w:rsidRPr="009128E1" w:rsidR="00850654" w:rsidP="00D95D37" w:rsidRDefault="00850654" w14:paraId="1D01DEB0" w14:textId="77777777">
      <w:pPr>
        <w:spacing w:line="276" w:lineRule="auto"/>
      </w:pPr>
    </w:p>
    <w:p w:rsidRPr="009128E1" w:rsidR="00850654" w:rsidP="00D95D37" w:rsidRDefault="00850654" w14:paraId="6BC8C972" w14:textId="77777777">
      <w:pPr>
        <w:spacing w:line="276" w:lineRule="auto"/>
      </w:pPr>
    </w:p>
    <w:tbl>
      <w:tblPr>
        <w:tblStyle w:val="Tabelzonderranden"/>
        <w:tblW w:w="7484" w:type="dxa"/>
        <w:tblInd w:w="0" w:type="dxa"/>
        <w:tblLayout w:type="fixed"/>
        <w:tblLook w:val="07E0" w:firstRow="1" w:lastRow="1" w:firstColumn="1" w:lastColumn="1" w:noHBand="1" w:noVBand="1"/>
      </w:tblPr>
      <w:tblGrid>
        <w:gridCol w:w="3592"/>
        <w:gridCol w:w="3892"/>
      </w:tblGrid>
      <w:tr w:rsidRPr="009128E1" w:rsidR="006A10DB" w14:paraId="4E1CB610" w14:textId="77777777">
        <w:tc>
          <w:tcPr>
            <w:tcW w:w="3592" w:type="dxa"/>
          </w:tcPr>
          <w:p w:rsidRPr="009128E1" w:rsidR="006A10DB" w:rsidP="00D95D37" w:rsidRDefault="00FB6023" w14:paraId="10E50D82" w14:textId="77777777">
            <w:pPr>
              <w:spacing w:line="276" w:lineRule="auto"/>
            </w:pPr>
            <w:r w:rsidRPr="009128E1">
              <w:t>E</w:t>
            </w:r>
            <w:r w:rsidR="00D1529F">
              <w:t>elco</w:t>
            </w:r>
            <w:r w:rsidRPr="009128E1" w:rsidR="00850654">
              <w:t xml:space="preserve"> </w:t>
            </w:r>
            <w:proofErr w:type="spellStart"/>
            <w:r w:rsidRPr="009128E1">
              <w:t>Eerenberg</w:t>
            </w:r>
            <w:proofErr w:type="spellEnd"/>
          </w:p>
        </w:tc>
        <w:tc>
          <w:tcPr>
            <w:tcW w:w="3892" w:type="dxa"/>
          </w:tcPr>
          <w:p w:rsidRPr="009128E1" w:rsidR="006A10DB" w:rsidP="00D95D37" w:rsidRDefault="006A10DB" w14:paraId="3E43E7B4" w14:textId="77777777">
            <w:pPr>
              <w:spacing w:line="276" w:lineRule="auto"/>
            </w:pPr>
          </w:p>
        </w:tc>
      </w:tr>
      <w:tr w:rsidRPr="009128E1" w:rsidR="006A10DB" w14:paraId="787DE4A6" w14:textId="77777777">
        <w:tc>
          <w:tcPr>
            <w:tcW w:w="3592" w:type="dxa"/>
          </w:tcPr>
          <w:p w:rsidRPr="009128E1" w:rsidR="006A10DB" w:rsidP="00D95D37" w:rsidRDefault="006A10DB" w14:paraId="3E815D34" w14:textId="77777777">
            <w:pPr>
              <w:spacing w:line="276" w:lineRule="auto"/>
            </w:pPr>
          </w:p>
        </w:tc>
        <w:tc>
          <w:tcPr>
            <w:tcW w:w="3892" w:type="dxa"/>
          </w:tcPr>
          <w:p w:rsidRPr="009128E1" w:rsidR="006A10DB" w:rsidP="00D95D37" w:rsidRDefault="006A10DB" w14:paraId="03E1621F" w14:textId="77777777">
            <w:pPr>
              <w:spacing w:line="276" w:lineRule="auto"/>
            </w:pPr>
          </w:p>
        </w:tc>
      </w:tr>
      <w:tr w:rsidRPr="009128E1" w:rsidR="006A10DB" w14:paraId="18087AEA" w14:textId="77777777">
        <w:tc>
          <w:tcPr>
            <w:tcW w:w="3592" w:type="dxa"/>
          </w:tcPr>
          <w:p w:rsidRPr="009128E1" w:rsidR="006A10DB" w:rsidP="00D95D37" w:rsidRDefault="006A10DB" w14:paraId="10B9A6A6" w14:textId="77777777">
            <w:pPr>
              <w:spacing w:line="276" w:lineRule="auto"/>
            </w:pPr>
          </w:p>
        </w:tc>
        <w:tc>
          <w:tcPr>
            <w:tcW w:w="3892" w:type="dxa"/>
          </w:tcPr>
          <w:p w:rsidRPr="009128E1" w:rsidR="006A10DB" w:rsidP="00D95D37" w:rsidRDefault="006A10DB" w14:paraId="3D3AE8F9" w14:textId="77777777">
            <w:pPr>
              <w:spacing w:line="276" w:lineRule="auto"/>
            </w:pPr>
          </w:p>
        </w:tc>
      </w:tr>
    </w:tbl>
    <w:p w:rsidRPr="009128E1" w:rsidR="00E07CA6" w:rsidP="00D95D37" w:rsidRDefault="00E07CA6" w14:paraId="18603069" w14:textId="77777777">
      <w:pPr>
        <w:spacing w:line="276" w:lineRule="auto"/>
      </w:pPr>
    </w:p>
    <w:sectPr w:rsidRPr="009128E1" w:rsidR="00E07CA6" w:rsidSect="00E54273">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BA240" w14:textId="77777777" w:rsidR="00CF6DEE" w:rsidRDefault="00CF6DEE">
      <w:pPr>
        <w:spacing w:line="240" w:lineRule="auto"/>
      </w:pPr>
      <w:r>
        <w:separator/>
      </w:r>
    </w:p>
  </w:endnote>
  <w:endnote w:type="continuationSeparator" w:id="0">
    <w:p w14:paraId="3E9B1345" w14:textId="77777777" w:rsidR="00CF6DEE" w:rsidRDefault="00CF6DEE">
      <w:pPr>
        <w:spacing w:line="240" w:lineRule="auto"/>
      </w:pPr>
      <w:r>
        <w:continuationSeparator/>
      </w:r>
    </w:p>
  </w:endnote>
  <w:endnote w:type="continuationNotice" w:id="1">
    <w:p w14:paraId="365107C6" w14:textId="77777777" w:rsidR="00CF6DEE" w:rsidRDefault="00CF6D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C1FF" w14:textId="77777777" w:rsidR="002E5421" w:rsidRDefault="002E54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F577" w14:textId="77777777" w:rsidR="002E5421" w:rsidRDefault="002E54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66C3" w14:textId="77777777" w:rsidR="002E5421" w:rsidRDefault="002E54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824C4" w14:textId="77777777" w:rsidR="00CF6DEE" w:rsidRDefault="00CF6DEE">
      <w:pPr>
        <w:spacing w:line="240" w:lineRule="auto"/>
      </w:pPr>
      <w:r>
        <w:separator/>
      </w:r>
    </w:p>
  </w:footnote>
  <w:footnote w:type="continuationSeparator" w:id="0">
    <w:p w14:paraId="345B78F2" w14:textId="77777777" w:rsidR="00CF6DEE" w:rsidRDefault="00CF6DEE">
      <w:pPr>
        <w:spacing w:line="240" w:lineRule="auto"/>
      </w:pPr>
      <w:r>
        <w:continuationSeparator/>
      </w:r>
    </w:p>
  </w:footnote>
  <w:footnote w:type="continuationNotice" w:id="1">
    <w:p w14:paraId="70EF47D6" w14:textId="77777777" w:rsidR="00CF6DEE" w:rsidRDefault="00CF6DEE">
      <w:pPr>
        <w:spacing w:line="240" w:lineRule="auto"/>
      </w:pPr>
    </w:p>
  </w:footnote>
  <w:footnote w:id="2">
    <w:p w14:paraId="145F2EB3" w14:textId="77777777" w:rsidR="00F05120" w:rsidRDefault="00F05120">
      <w:pPr>
        <w:pStyle w:val="Voetnoottekst"/>
      </w:pPr>
      <w:r>
        <w:rPr>
          <w:rStyle w:val="Voetnootmarkering"/>
        </w:rPr>
        <w:footnoteRef/>
      </w:r>
      <w:r>
        <w:t xml:space="preserve"> </w:t>
      </w:r>
      <w:hyperlink r:id="rId1" w:history="1">
        <w:r w:rsidRPr="00F05120">
          <w:rPr>
            <w:rStyle w:val="Hyperlink"/>
          </w:rPr>
          <w:t>Afbakening van de verzekeringsactiviteiten NL</w:t>
        </w:r>
      </w:hyperlink>
    </w:p>
  </w:footnote>
  <w:footnote w:id="3">
    <w:p w14:paraId="228F38E9" w14:textId="77777777" w:rsidR="008C20CD" w:rsidRPr="00D95D37" w:rsidRDefault="008C20CD">
      <w:pPr>
        <w:pStyle w:val="Voetnoottekst"/>
        <w:rPr>
          <w:szCs w:val="16"/>
        </w:rPr>
      </w:pPr>
      <w:r w:rsidRPr="00DA298C">
        <w:rPr>
          <w:rStyle w:val="Voetnootmarkering"/>
          <w:color w:val="auto"/>
          <w:szCs w:val="16"/>
        </w:rPr>
        <w:footnoteRef/>
      </w:r>
      <w:r w:rsidRPr="00DA298C">
        <w:rPr>
          <w:color w:val="auto"/>
          <w:szCs w:val="16"/>
        </w:rPr>
        <w:t xml:space="preserve"> Een dekkingstoezegging </w:t>
      </w:r>
      <w:r w:rsidRPr="00D95D37">
        <w:rPr>
          <w:szCs w:val="16"/>
        </w:rPr>
        <w:t xml:space="preserve">is de voorloper van </w:t>
      </w:r>
      <w:r w:rsidR="00AE2397">
        <w:rPr>
          <w:szCs w:val="16"/>
        </w:rPr>
        <w:t>een</w:t>
      </w:r>
      <w:r w:rsidR="00AE2397" w:rsidRPr="00D95D37">
        <w:rPr>
          <w:szCs w:val="16"/>
        </w:rPr>
        <w:t xml:space="preserve"> </w:t>
      </w:r>
      <w:r w:rsidRPr="00D95D37">
        <w:rPr>
          <w:szCs w:val="16"/>
        </w:rPr>
        <w:t>polis.</w:t>
      </w:r>
    </w:p>
  </w:footnote>
  <w:footnote w:id="4">
    <w:p w14:paraId="6B86F8BE" w14:textId="77777777" w:rsidR="00605639" w:rsidRPr="00DA298C" w:rsidRDefault="00605639">
      <w:pPr>
        <w:pStyle w:val="Voetnoottekst"/>
        <w:rPr>
          <w:szCs w:val="16"/>
          <w:highlight w:val="yellow"/>
        </w:rPr>
      </w:pPr>
      <w:r w:rsidRPr="00D95D37">
        <w:rPr>
          <w:rStyle w:val="Voetnootmarkering"/>
          <w:szCs w:val="16"/>
        </w:rPr>
        <w:footnoteRef/>
      </w:r>
      <w:r w:rsidRPr="00D95D37">
        <w:rPr>
          <w:szCs w:val="16"/>
        </w:rPr>
        <w:t xml:space="preserve"> </w:t>
      </w:r>
      <w:r w:rsidR="00807823" w:rsidRPr="00D95D37">
        <w:rPr>
          <w:szCs w:val="16"/>
        </w:rPr>
        <w:t>ADSB</w:t>
      </w:r>
      <w:r w:rsidRPr="00D95D37">
        <w:rPr>
          <w:szCs w:val="16"/>
        </w:rPr>
        <w:t xml:space="preserve"> rapporteert in haar jaaroverzicht op factuurbasis en verschilt van de </w:t>
      </w:r>
      <w:r w:rsidRPr="0026642A">
        <w:rPr>
          <w:szCs w:val="16"/>
        </w:rPr>
        <w:t xml:space="preserve">verantwoordingswijze van de Staat, die op kasbasis is. De cijfers op kasbasis van </w:t>
      </w:r>
      <w:r w:rsidRPr="003C72BF">
        <w:rPr>
          <w:szCs w:val="16"/>
        </w:rPr>
        <w:t xml:space="preserve">artikel </w:t>
      </w:r>
      <w:r w:rsidR="0026642A" w:rsidRPr="003C72BF">
        <w:rPr>
          <w:szCs w:val="16"/>
        </w:rPr>
        <w:t>5</w:t>
      </w:r>
      <w:r w:rsidRPr="0026642A">
        <w:rPr>
          <w:szCs w:val="16"/>
        </w:rPr>
        <w:t xml:space="preserve"> zijn te vinden op Rijksfinancien.nl</w:t>
      </w:r>
      <w:r w:rsidR="00D37D1E" w:rsidRPr="0026642A">
        <w:rPr>
          <w:szCs w:val="16"/>
        </w:rPr>
        <w:t>.</w:t>
      </w:r>
      <w:r w:rsidR="00D37D1E">
        <w:rPr>
          <w:szCs w:val="16"/>
        </w:rPr>
        <w:t xml:space="preserve"> </w:t>
      </w:r>
    </w:p>
  </w:footnote>
  <w:footnote w:id="5">
    <w:p w14:paraId="34017069" w14:textId="77777777" w:rsidR="00911134" w:rsidRPr="00D95D37" w:rsidRDefault="00911134">
      <w:pPr>
        <w:pStyle w:val="Voetnoottekst"/>
        <w:rPr>
          <w:szCs w:val="16"/>
        </w:rPr>
      </w:pPr>
      <w:r w:rsidRPr="00D95D37">
        <w:rPr>
          <w:rStyle w:val="Voetnootmarkering"/>
          <w:szCs w:val="16"/>
        </w:rPr>
        <w:footnoteRef/>
      </w:r>
      <w:r w:rsidRPr="00D95D37">
        <w:rPr>
          <w:szCs w:val="16"/>
        </w:rPr>
        <w:t xml:space="preserve"> Kamerstukken II 2023/24, 26 485, nr. 438.</w:t>
      </w:r>
    </w:p>
  </w:footnote>
  <w:footnote w:id="6">
    <w:p w14:paraId="36422876" w14:textId="77777777" w:rsidR="00B062D4" w:rsidRPr="00B062D4" w:rsidRDefault="00B062D4">
      <w:pPr>
        <w:pStyle w:val="Voetnoottekst"/>
      </w:pPr>
      <w:r>
        <w:rPr>
          <w:rStyle w:val="Voetnootmarkering"/>
        </w:rPr>
        <w:footnoteRef/>
      </w:r>
      <w:r w:rsidRPr="00B062D4">
        <w:t xml:space="preserve"> </w:t>
      </w:r>
      <w:r w:rsidRPr="0026642A">
        <w:t xml:space="preserve">Het aantal </w:t>
      </w:r>
      <w:r w:rsidR="00CE09BE">
        <w:t xml:space="preserve">nieuwe </w:t>
      </w:r>
      <w:r w:rsidRPr="0026642A">
        <w:t>transacties bestaat u</w:t>
      </w:r>
      <w:r>
        <w:t xml:space="preserve">it het totaal aan afgegeven dekkingstoezeggingen en polissen. Hierbij worden dekkingstoezeggingen die in 2025 zijn omgezet in polissen niet dubbel meegeteld.  </w:t>
      </w:r>
    </w:p>
  </w:footnote>
  <w:footnote w:id="7">
    <w:p w14:paraId="2317192D" w14:textId="77777777" w:rsidR="00FA0C9E" w:rsidRPr="00013AC9" w:rsidRDefault="00FA0C9E" w:rsidP="00FA0C9E">
      <w:pPr>
        <w:pStyle w:val="Voetnoottekst"/>
        <w:rPr>
          <w:szCs w:val="16"/>
          <w:lang w:val="en-US"/>
        </w:rPr>
      </w:pPr>
      <w:r w:rsidRPr="008C20CD">
        <w:rPr>
          <w:rStyle w:val="Voetnootmarkering"/>
          <w:szCs w:val="16"/>
        </w:rPr>
        <w:footnoteRef/>
      </w:r>
      <w:r w:rsidRPr="008C20CD">
        <w:rPr>
          <w:szCs w:val="16"/>
          <w:lang w:val="en-US"/>
        </w:rPr>
        <w:t xml:space="preserve"> Policies issued by </w:t>
      </w:r>
      <w:r w:rsidR="00D1529F">
        <w:rPr>
          <w:szCs w:val="16"/>
          <w:lang w:val="en-US"/>
        </w:rPr>
        <w:t>ADSB</w:t>
      </w:r>
      <w:r w:rsidRPr="008C20CD">
        <w:rPr>
          <w:szCs w:val="16"/>
          <w:lang w:val="en-US"/>
        </w:rPr>
        <w:t xml:space="preserve"> (https://atradiusdutchstatebusiness.nl/nl/)</w:t>
      </w:r>
    </w:p>
  </w:footnote>
  <w:footnote w:id="8">
    <w:p w14:paraId="482D92D0" w14:textId="77777777" w:rsidR="000F657E" w:rsidRPr="00D95D37" w:rsidRDefault="000F657E">
      <w:pPr>
        <w:pStyle w:val="Voetnoottekst"/>
        <w:rPr>
          <w:sz w:val="18"/>
          <w:szCs w:val="18"/>
        </w:rPr>
      </w:pPr>
      <w:r w:rsidRPr="00D95D37">
        <w:rPr>
          <w:rStyle w:val="Voetnootmarkering"/>
          <w:szCs w:val="16"/>
        </w:rPr>
        <w:footnoteRef/>
      </w:r>
      <w:r w:rsidRPr="00D95D37">
        <w:rPr>
          <w:sz w:val="18"/>
          <w:szCs w:val="18"/>
        </w:rPr>
        <w:t xml:space="preserve"> </w:t>
      </w:r>
      <w:r w:rsidRPr="00D95D37">
        <w:rPr>
          <w:szCs w:val="16"/>
        </w:rPr>
        <w:t>Kamerstukken</w:t>
      </w:r>
      <w:r w:rsidRPr="003239CB">
        <w:rPr>
          <w:szCs w:val="16"/>
        </w:rPr>
        <w:t xml:space="preserve"> II</w:t>
      </w:r>
      <w:r w:rsidRPr="00D95D37">
        <w:rPr>
          <w:szCs w:val="16"/>
        </w:rPr>
        <w:t xml:space="preserve"> 2024/25, 31 125, nr. 133</w:t>
      </w:r>
      <w:r w:rsidR="003239CB" w:rsidRPr="00D95D37">
        <w:rPr>
          <w:szCs w:val="16"/>
        </w:rPr>
        <w:t>.</w:t>
      </w:r>
    </w:p>
  </w:footnote>
  <w:footnote w:id="9">
    <w:p w14:paraId="176609A3" w14:textId="77777777" w:rsidR="000206A4" w:rsidRPr="00D95D37" w:rsidRDefault="000206A4" w:rsidP="000206A4">
      <w:pPr>
        <w:pStyle w:val="Voetnoottekst"/>
        <w:rPr>
          <w:szCs w:val="16"/>
        </w:rPr>
      </w:pPr>
      <w:r w:rsidRPr="00D95D37">
        <w:rPr>
          <w:rStyle w:val="Voetnootmarkering"/>
          <w:szCs w:val="16"/>
        </w:rPr>
        <w:footnoteRef/>
      </w:r>
      <w:r w:rsidRPr="00D95D37">
        <w:rPr>
          <w:szCs w:val="16"/>
        </w:rPr>
        <w:t xml:space="preserve"> </w:t>
      </w:r>
      <w:r w:rsidR="00D37D1E" w:rsidRPr="00385E83">
        <w:rPr>
          <w:szCs w:val="16"/>
        </w:rPr>
        <w:t>Kamerstukken II 2024/2025, 26 485, nr. 452.</w:t>
      </w:r>
    </w:p>
  </w:footnote>
  <w:footnote w:id="10">
    <w:p w14:paraId="408C5E0C" w14:textId="77777777" w:rsidR="000206A4" w:rsidRPr="00D95D37" w:rsidRDefault="000206A4" w:rsidP="000206A4">
      <w:pPr>
        <w:pStyle w:val="Voetnoottekst"/>
        <w:rPr>
          <w:szCs w:val="16"/>
        </w:rPr>
      </w:pPr>
      <w:r w:rsidRPr="00D95D37">
        <w:rPr>
          <w:rStyle w:val="Voetnootmarkering"/>
          <w:szCs w:val="16"/>
        </w:rPr>
        <w:footnoteRef/>
      </w:r>
      <w:r w:rsidRPr="00D95D37">
        <w:rPr>
          <w:szCs w:val="16"/>
        </w:rPr>
        <w:t xml:space="preserve"> Staatscourant 2026, 14212.</w:t>
      </w:r>
    </w:p>
  </w:footnote>
  <w:footnote w:id="11">
    <w:p w14:paraId="6400D629" w14:textId="77777777" w:rsidR="00787A02" w:rsidRPr="00D95D37" w:rsidRDefault="00787A02" w:rsidP="00787A02">
      <w:pPr>
        <w:pStyle w:val="Voetnoottekst"/>
        <w:rPr>
          <w:szCs w:val="16"/>
        </w:rPr>
      </w:pPr>
      <w:r w:rsidRPr="00D95D37">
        <w:rPr>
          <w:rStyle w:val="Voetnootmarkering"/>
          <w:szCs w:val="16"/>
        </w:rPr>
        <w:footnoteRef/>
      </w:r>
      <w:r w:rsidRPr="00D95D37">
        <w:rPr>
          <w:szCs w:val="16"/>
        </w:rPr>
        <w:t xml:space="preserve"> </w:t>
      </w:r>
      <w:r>
        <w:rPr>
          <w:szCs w:val="16"/>
        </w:rPr>
        <w:t>Kamerstukken</w:t>
      </w:r>
      <w:r w:rsidRPr="00D95D37">
        <w:rPr>
          <w:szCs w:val="16"/>
        </w:rPr>
        <w:t xml:space="preserve"> II 2022/23, </w:t>
      </w:r>
      <w:r>
        <w:rPr>
          <w:szCs w:val="16"/>
        </w:rPr>
        <w:t xml:space="preserve">26 485, nr. 413. </w:t>
      </w:r>
    </w:p>
  </w:footnote>
  <w:footnote w:id="12">
    <w:p w14:paraId="0F24E101" w14:textId="77777777" w:rsidR="00126C83" w:rsidRDefault="00126C83">
      <w:pPr>
        <w:pStyle w:val="Voetnoottekst"/>
      </w:pPr>
      <w:r>
        <w:rPr>
          <w:rStyle w:val="Voetnootmarkering"/>
        </w:rPr>
        <w:footnoteRef/>
      </w:r>
      <w:r>
        <w:t xml:space="preserve"> </w:t>
      </w:r>
      <w:r w:rsidRPr="00126C83">
        <w:t>Het COP26-beleid is erop gericht om conform de COP26-verklaring getekend in Glasgow met ingang van 1 januari 2023 nieuwe publieke steun via de ekv voor de fossiele energiesector in het buitenland te beëindigen. Dit betreft activiteiten gericht op exploratie en winning, verwerking, op- en overslag en transport van fossiele brandstoffen en elektriciteitsopwekking middels fossiele brandstoffen. Verkoop en gebruik van fossiele brandstoffen in gebouwde omgeving, fossiel gedreven transportmiddelen (voer- en vaartuigen), landbouw en industrie (inclusief staal en plastics) vallen buiten de definitie van de fossiele energiesector. Ekv-steun in deze sectoren, die ook klimaattransities doormaken, blijft daarmee mogelijk.</w:t>
      </w:r>
    </w:p>
  </w:footnote>
  <w:footnote w:id="13">
    <w:p w14:paraId="14D88B61" w14:textId="77777777" w:rsidR="0067120A" w:rsidRPr="0067120A" w:rsidRDefault="0067120A" w:rsidP="0067120A">
      <w:pPr>
        <w:pStyle w:val="Voetnoottekst"/>
      </w:pPr>
      <w:r>
        <w:rPr>
          <w:rStyle w:val="Voetnootmarkering"/>
        </w:rPr>
        <w:footnoteRef/>
      </w:r>
      <w:r w:rsidRPr="0067120A">
        <w:t xml:space="preserve"> </w:t>
      </w:r>
      <w:hyperlink r:id="rId2" w:history="1">
        <w:r w:rsidRPr="0067120A">
          <w:rPr>
            <w:rStyle w:val="Hyperlink"/>
          </w:rPr>
          <w:t>https://atradiusdutchstatebusiness.nl/nl_NL/dam/jcr:35a7f3fb-8c32-4309-8f8e-46e8e438c64f/e3f-annual-transparency-report-2025.pdf</w:t>
        </w:r>
      </w:hyperlink>
    </w:p>
    <w:p w14:paraId="5267BB90" w14:textId="77777777" w:rsidR="0067120A" w:rsidRPr="000932DC" w:rsidRDefault="0067120A">
      <w:pPr>
        <w:pStyle w:val="Voetnoottekst"/>
      </w:pPr>
      <w:hyperlink r:id="rId3" w:history="1">
        <w:r w:rsidRPr="0067120A">
          <w:rPr>
            <w:rStyle w:val="Hyperlink"/>
          </w:rPr>
          <w:t>https://atradiusdutchstatebusiness.nl/nl_NL/climate</w:t>
        </w:r>
      </w:hyperlink>
    </w:p>
  </w:footnote>
  <w:footnote w:id="14">
    <w:p w14:paraId="70936D69" w14:textId="77777777" w:rsidR="00AE64F2" w:rsidRPr="00D95D37" w:rsidRDefault="00AE64F2">
      <w:pPr>
        <w:pStyle w:val="Voetnoottekst"/>
        <w:rPr>
          <w:szCs w:val="16"/>
          <w:lang w:val="en-US"/>
        </w:rPr>
      </w:pPr>
      <w:r w:rsidRPr="00D95D37">
        <w:rPr>
          <w:rStyle w:val="Voetnootmarkering"/>
          <w:szCs w:val="16"/>
        </w:rPr>
        <w:footnoteRef/>
      </w:r>
      <w:r w:rsidRPr="00D95D37">
        <w:rPr>
          <w:szCs w:val="16"/>
          <w:lang w:val="en-US"/>
        </w:rPr>
        <w:t xml:space="preserve"> Policies issued by </w:t>
      </w:r>
      <w:r w:rsidR="00D1529F">
        <w:rPr>
          <w:szCs w:val="16"/>
          <w:lang w:val="en-US"/>
        </w:rPr>
        <w:t>ADSB</w:t>
      </w:r>
      <w:r w:rsidRPr="00D95D37">
        <w:rPr>
          <w:szCs w:val="16"/>
          <w:lang w:val="en-US"/>
        </w:rPr>
        <w:t xml:space="preserve"> (https://atradiusdutchstatebusiness.nl/nl/)</w:t>
      </w:r>
    </w:p>
  </w:footnote>
  <w:footnote w:id="15">
    <w:p w14:paraId="62D936C6" w14:textId="77777777" w:rsidR="00AA72B2" w:rsidRPr="00DA298C" w:rsidRDefault="00AA72B2" w:rsidP="00D95D37">
      <w:pPr>
        <w:pStyle w:val="Geenafstand"/>
        <w:spacing w:after="0"/>
        <w:rPr>
          <w:sz w:val="16"/>
          <w:szCs w:val="16"/>
        </w:rPr>
      </w:pPr>
      <w:r w:rsidRPr="00D95D37">
        <w:rPr>
          <w:rStyle w:val="Voetnootmarkering"/>
          <w:sz w:val="14"/>
          <w:szCs w:val="14"/>
        </w:rPr>
        <w:footnoteRef/>
      </w:r>
      <w:r w:rsidRPr="00DA298C">
        <w:rPr>
          <w:sz w:val="16"/>
          <w:szCs w:val="16"/>
        </w:rPr>
        <w:t xml:space="preserve"> Kamerstukken II 2025/26, 26 485, nr. 460.</w:t>
      </w:r>
    </w:p>
  </w:footnote>
  <w:footnote w:id="16">
    <w:p w14:paraId="42173DD8" w14:textId="77777777" w:rsidR="00AA72B2" w:rsidRPr="00DA298C" w:rsidRDefault="00AA72B2">
      <w:pPr>
        <w:pStyle w:val="Voetnoottekst"/>
        <w:rPr>
          <w:szCs w:val="16"/>
        </w:rPr>
      </w:pPr>
      <w:r w:rsidRPr="00D95D37">
        <w:rPr>
          <w:rStyle w:val="Voetnootmarkering"/>
          <w:szCs w:val="16"/>
        </w:rPr>
        <w:footnoteRef/>
      </w:r>
      <w:r w:rsidRPr="00DA298C">
        <w:rPr>
          <w:szCs w:val="16"/>
        </w:rPr>
        <w:t xml:space="preserve"> Termijn voor andere partijen aan wie de opdracht niet is gegund om in bezwaar te gaan.</w:t>
      </w:r>
    </w:p>
  </w:footnote>
  <w:footnote w:id="17">
    <w:p w14:paraId="10AC613C" w14:textId="77777777" w:rsidR="005E7414" w:rsidRPr="00D95D37" w:rsidRDefault="005E7414" w:rsidP="005E7414">
      <w:pPr>
        <w:pStyle w:val="Voetnoottekst"/>
        <w:rPr>
          <w:szCs w:val="16"/>
        </w:rPr>
      </w:pPr>
      <w:r w:rsidRPr="00D95D37">
        <w:rPr>
          <w:rStyle w:val="Voetnootmarkering"/>
          <w:szCs w:val="16"/>
        </w:rPr>
        <w:footnoteRef/>
      </w:r>
      <w:r w:rsidRPr="00D95D37">
        <w:rPr>
          <w:szCs w:val="16"/>
        </w:rPr>
        <w:t xml:space="preserve"> </w:t>
      </w:r>
      <w:hyperlink r:id="rId4" w:history="1">
        <w:r w:rsidRPr="00D95D37">
          <w:rPr>
            <w:rStyle w:val="Hyperlink"/>
            <w:szCs w:val="16"/>
          </w:rPr>
          <w:t>Toetsingskader-risicoregelingen-rijksoverheid-2022.pdf</w:t>
        </w:r>
      </w:hyperlink>
    </w:p>
  </w:footnote>
  <w:footnote w:id="18">
    <w:p w14:paraId="401B0580" w14:textId="77777777" w:rsidR="00514744" w:rsidRPr="003D442D" w:rsidRDefault="00514744">
      <w:pPr>
        <w:pStyle w:val="Voetnoottekst"/>
        <w:rPr>
          <w:sz w:val="18"/>
          <w:szCs w:val="18"/>
        </w:rPr>
      </w:pPr>
      <w:r w:rsidRPr="00D95D37">
        <w:rPr>
          <w:rStyle w:val="Voetnootmarkering"/>
          <w:szCs w:val="16"/>
        </w:rPr>
        <w:footnoteRef/>
      </w:r>
      <w:r w:rsidRPr="00D95D37">
        <w:rPr>
          <w:szCs w:val="16"/>
        </w:rPr>
        <w:t xml:space="preserve"> </w:t>
      </w:r>
      <w:r w:rsidR="0069471B" w:rsidRPr="0069471B">
        <w:rPr>
          <w:szCs w:val="16"/>
        </w:rPr>
        <w:t>K</w:t>
      </w:r>
      <w:r w:rsidR="0069471B">
        <w:rPr>
          <w:szCs w:val="16"/>
        </w:rPr>
        <w:t>amerstukken II 2024/25 20 361, nr. 228</w:t>
      </w:r>
      <w:r w:rsidR="00D37D1E">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286F1" w14:textId="77777777" w:rsidR="002E5421" w:rsidRDefault="002E54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60EB" w14:textId="77777777" w:rsidR="006A10DB" w:rsidRDefault="005602CA">
    <w:r>
      <w:rPr>
        <w:noProof/>
      </w:rPr>
      <mc:AlternateContent>
        <mc:Choice Requires="wps">
          <w:drawing>
            <wp:anchor distT="0" distB="0" distL="0" distR="0" simplePos="0" relativeHeight="251652096" behindDoc="0" locked="1" layoutInCell="1" allowOverlap="1" wp14:anchorId="6CA5A646" wp14:editId="29E8C125">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A6189F1" w14:textId="77777777" w:rsidR="006A10DB" w:rsidRDefault="005602CA">
                          <w:pPr>
                            <w:pStyle w:val="StandaardReferentiegegevensKop"/>
                          </w:pPr>
                          <w:r>
                            <w:t>Directie Buitenlandse Financiële Betrekkingen</w:t>
                          </w:r>
                        </w:p>
                        <w:p w14:paraId="4AF5B1D3" w14:textId="77777777" w:rsidR="006A10DB" w:rsidRDefault="006A10DB">
                          <w:pPr>
                            <w:pStyle w:val="WitregelW1"/>
                          </w:pPr>
                        </w:p>
                        <w:p w14:paraId="4EB3CC3C" w14:textId="77777777" w:rsidR="006A10DB" w:rsidRDefault="005602CA">
                          <w:pPr>
                            <w:pStyle w:val="StandaardReferentiegegevensKop"/>
                          </w:pPr>
                          <w:r>
                            <w:t>Ons kenmerk</w:t>
                          </w:r>
                        </w:p>
                        <w:p w14:paraId="62AEF8CE" w14:textId="6FDFC067" w:rsidR="00A47F58" w:rsidRDefault="00BB5E01">
                          <w:pPr>
                            <w:pStyle w:val="StandaardReferentiegegevens"/>
                          </w:pPr>
                          <w:fldSimple w:instr=" DOCPROPERTY  &quot;Kenmerk&quot;  \* MERGEFORMAT ">
                            <w:r w:rsidR="002E5421">
                              <w:t>2026-0000267859</w:t>
                            </w:r>
                          </w:fldSimple>
                        </w:p>
                      </w:txbxContent>
                    </wps:txbx>
                    <wps:bodyPr vert="horz" wrap="square" lIns="0" tIns="0" rIns="0" bIns="0" anchor="t" anchorCtr="0"/>
                  </wps:wsp>
                </a:graphicData>
              </a:graphic>
            </wp:anchor>
          </w:drawing>
        </mc:Choice>
        <mc:Fallback>
          <w:pict>
            <v:shapetype w14:anchorId="6CA5A64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A6189F1" w14:textId="77777777" w:rsidR="006A10DB" w:rsidRDefault="005602CA">
                    <w:pPr>
                      <w:pStyle w:val="StandaardReferentiegegevensKop"/>
                    </w:pPr>
                    <w:r>
                      <w:t>Directie Buitenlandse Financiële Betrekkingen</w:t>
                    </w:r>
                  </w:p>
                  <w:p w14:paraId="4AF5B1D3" w14:textId="77777777" w:rsidR="006A10DB" w:rsidRDefault="006A10DB">
                    <w:pPr>
                      <w:pStyle w:val="WitregelW1"/>
                    </w:pPr>
                  </w:p>
                  <w:p w14:paraId="4EB3CC3C" w14:textId="77777777" w:rsidR="006A10DB" w:rsidRDefault="005602CA">
                    <w:pPr>
                      <w:pStyle w:val="StandaardReferentiegegevensKop"/>
                    </w:pPr>
                    <w:r>
                      <w:t>Ons kenmerk</w:t>
                    </w:r>
                  </w:p>
                  <w:p w14:paraId="62AEF8CE" w14:textId="6FDFC067" w:rsidR="00A47F58" w:rsidRDefault="00BB5E01">
                    <w:pPr>
                      <w:pStyle w:val="StandaardReferentiegegevens"/>
                    </w:pPr>
                    <w:fldSimple w:instr=" DOCPROPERTY  &quot;Kenmerk&quot;  \* MERGEFORMAT ">
                      <w:r w:rsidR="002E5421">
                        <w:t>2026-0000267859</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14669B4" wp14:editId="6552003F">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9A8B950" w14:textId="77777777" w:rsidR="00881282" w:rsidRDefault="00DC59D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14669B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9A8B950" w14:textId="77777777" w:rsidR="00881282" w:rsidRDefault="00DC59D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5E05345" wp14:editId="59E7447F">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C6F97F9" w14:textId="701C69A6" w:rsidR="00881282" w:rsidRDefault="00DC59D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5E05345"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C6F97F9" w14:textId="701C69A6" w:rsidR="00881282" w:rsidRDefault="00DC59D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0DAA" w14:textId="77777777" w:rsidR="006A10DB" w:rsidRDefault="005602CA">
    <w:pPr>
      <w:spacing w:after="7029" w:line="14" w:lineRule="exact"/>
    </w:pPr>
    <w:r>
      <w:rPr>
        <w:noProof/>
      </w:rPr>
      <mc:AlternateContent>
        <mc:Choice Requires="wps">
          <w:drawing>
            <wp:anchor distT="0" distB="0" distL="0" distR="0" simplePos="0" relativeHeight="251655168" behindDoc="0" locked="1" layoutInCell="1" allowOverlap="1" wp14:anchorId="183BB274" wp14:editId="4539B859">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FBCAE4E" w14:textId="77777777" w:rsidR="006A10DB" w:rsidRDefault="005602CA">
                          <w:pPr>
                            <w:spacing w:line="240" w:lineRule="auto"/>
                          </w:pPr>
                          <w:r>
                            <w:rPr>
                              <w:noProof/>
                            </w:rPr>
                            <w:drawing>
                              <wp:inline distT="0" distB="0" distL="0" distR="0" wp14:anchorId="54D5ACF4" wp14:editId="2458FA30">
                                <wp:extent cx="2339975" cy="1582834"/>
                                <wp:effectExtent l="0" t="0" r="0" b="0"/>
                                <wp:docPr id="915415531"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83BB27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FBCAE4E" w14:textId="77777777" w:rsidR="006A10DB" w:rsidRDefault="005602CA">
                    <w:pPr>
                      <w:spacing w:line="240" w:lineRule="auto"/>
                    </w:pPr>
                    <w:r>
                      <w:rPr>
                        <w:noProof/>
                      </w:rPr>
                      <w:drawing>
                        <wp:inline distT="0" distB="0" distL="0" distR="0" wp14:anchorId="54D5ACF4" wp14:editId="2458FA30">
                          <wp:extent cx="2339975" cy="1582834"/>
                          <wp:effectExtent l="0" t="0" r="0" b="0"/>
                          <wp:docPr id="915415531"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2620E9D" wp14:editId="16D78689">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C6B65B1" w14:textId="77777777" w:rsidR="005602CA" w:rsidRDefault="005602CA"/>
                      </w:txbxContent>
                    </wps:txbx>
                    <wps:bodyPr vert="horz" wrap="square" lIns="0" tIns="0" rIns="0" bIns="0" anchor="t" anchorCtr="0"/>
                  </wps:wsp>
                </a:graphicData>
              </a:graphic>
            </wp:anchor>
          </w:drawing>
        </mc:Choice>
        <mc:Fallback>
          <w:pict>
            <v:shape w14:anchorId="52620E9D"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C6B65B1" w14:textId="77777777" w:rsidR="005602CA" w:rsidRDefault="005602CA"/>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5510604" wp14:editId="7060B5E5">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3082055" w14:textId="77777777" w:rsidR="006A10DB" w:rsidRDefault="005602CA">
                          <w:pPr>
                            <w:pStyle w:val="StandaardReferentiegegevensKop"/>
                          </w:pPr>
                          <w:r>
                            <w:t>Directie Buitenlandse Financiële Betrekkingen</w:t>
                          </w:r>
                        </w:p>
                        <w:p w14:paraId="29CD2C4E" w14:textId="77777777" w:rsidR="006A10DB" w:rsidRDefault="006A10DB">
                          <w:pPr>
                            <w:pStyle w:val="WitregelW1"/>
                          </w:pPr>
                        </w:p>
                        <w:p w14:paraId="3F29747E" w14:textId="77777777" w:rsidR="006A10DB" w:rsidRDefault="005602CA">
                          <w:pPr>
                            <w:pStyle w:val="StandaardReferentiegegevens"/>
                          </w:pPr>
                          <w:r>
                            <w:t>Korte Voorhout 7</w:t>
                          </w:r>
                        </w:p>
                        <w:p w14:paraId="3466DC8B" w14:textId="77777777" w:rsidR="006A10DB" w:rsidRDefault="005602CA">
                          <w:pPr>
                            <w:pStyle w:val="StandaardReferentiegegevens"/>
                          </w:pPr>
                          <w:r>
                            <w:t>2511 CW  'S-GRAVENHAGE</w:t>
                          </w:r>
                        </w:p>
                        <w:p w14:paraId="69278102" w14:textId="77777777" w:rsidR="006A10DB" w:rsidRDefault="005602CA">
                          <w:pPr>
                            <w:pStyle w:val="StandaardReferentiegegevens"/>
                          </w:pPr>
                          <w:r>
                            <w:t>POSTBUS 20201</w:t>
                          </w:r>
                        </w:p>
                        <w:p w14:paraId="2B8D12A1" w14:textId="77777777" w:rsidR="006A10DB" w:rsidRDefault="005602CA">
                          <w:pPr>
                            <w:pStyle w:val="StandaardReferentiegegevens"/>
                          </w:pPr>
                          <w:r>
                            <w:t>2500 EE  'S-GRAVENHAGE</w:t>
                          </w:r>
                        </w:p>
                        <w:p w14:paraId="5E10695A" w14:textId="77777777" w:rsidR="006A10DB" w:rsidRDefault="005602CA">
                          <w:pPr>
                            <w:pStyle w:val="StandaardReferentiegegevens"/>
                          </w:pPr>
                          <w:proofErr w:type="gramStart"/>
                          <w:r>
                            <w:t>www.rijksoverheid.nl/fin</w:t>
                          </w:r>
                          <w:proofErr w:type="gramEnd"/>
                        </w:p>
                        <w:p w14:paraId="36A68ABF" w14:textId="77777777" w:rsidR="006A10DB" w:rsidRDefault="006A10DB">
                          <w:pPr>
                            <w:pStyle w:val="WitregelW2"/>
                          </w:pPr>
                        </w:p>
                        <w:p w14:paraId="2E258E31" w14:textId="77777777" w:rsidR="006A10DB" w:rsidRDefault="005602CA">
                          <w:pPr>
                            <w:pStyle w:val="StandaardReferentiegegevensKop"/>
                          </w:pPr>
                          <w:r>
                            <w:t>Ons kenmerk</w:t>
                          </w:r>
                        </w:p>
                        <w:p w14:paraId="71CCA83E" w14:textId="6DEA9E7D" w:rsidR="00D007D9" w:rsidRDefault="00BB5E01">
                          <w:pPr>
                            <w:pStyle w:val="StandaardReferentiegegevens"/>
                          </w:pPr>
                          <w:fldSimple w:instr=" DOCPROPERTY  &quot;Kenmerk&quot;  \* MERGEFORMAT ">
                            <w:r w:rsidR="002E5421">
                              <w:t>2026-0000267859</w:t>
                            </w:r>
                          </w:fldSimple>
                        </w:p>
                        <w:p w14:paraId="535F4670" w14:textId="77777777" w:rsidR="006A10DB" w:rsidRDefault="006A10DB">
                          <w:pPr>
                            <w:pStyle w:val="WitregelW1"/>
                          </w:pPr>
                        </w:p>
                        <w:p w14:paraId="091E1088" w14:textId="77777777" w:rsidR="006A10DB" w:rsidRDefault="005602CA">
                          <w:pPr>
                            <w:pStyle w:val="StandaardReferentiegegevensKop"/>
                          </w:pPr>
                          <w:r>
                            <w:t>Uw brief (kenmerk)</w:t>
                          </w:r>
                        </w:p>
                        <w:p w14:paraId="616CDCB7" w14:textId="0EFC105F" w:rsidR="00881282" w:rsidRDefault="00DC59DB">
                          <w:pPr>
                            <w:pStyle w:val="StandaardReferentiegegevens"/>
                          </w:pPr>
                          <w:r>
                            <w:fldChar w:fldCharType="begin"/>
                          </w:r>
                          <w:r>
                            <w:instrText xml:space="preserve"> DOCPROPERTY  "UwKenmerk"  \* MERGEFORMAT </w:instrText>
                          </w:r>
                          <w:r>
                            <w:fldChar w:fldCharType="end"/>
                          </w:r>
                        </w:p>
                        <w:p w14:paraId="285C31DF" w14:textId="77777777" w:rsidR="006A10DB" w:rsidRDefault="006A10DB">
                          <w:pPr>
                            <w:pStyle w:val="WitregelW1"/>
                          </w:pPr>
                        </w:p>
                        <w:p w14:paraId="73F2063C" w14:textId="77777777" w:rsidR="006A10DB" w:rsidRDefault="005602CA">
                          <w:pPr>
                            <w:pStyle w:val="StandaardReferentiegegevensKop"/>
                          </w:pPr>
                          <w:r w:rsidRPr="00D95D37">
                            <w:t>Bijlagen</w:t>
                          </w:r>
                        </w:p>
                        <w:p w14:paraId="26E61DEA" w14:textId="77777777" w:rsidR="003C72BF" w:rsidRDefault="003C72BF" w:rsidP="003C72BF">
                          <w:pPr>
                            <w:pStyle w:val="StandaardReferentiegegevens"/>
                            <w:numPr>
                              <w:ilvl w:val="0"/>
                              <w:numId w:val="8"/>
                            </w:numPr>
                          </w:pPr>
                          <w:r>
                            <w:t>Jaaroverzicht ADSB</w:t>
                          </w:r>
                          <w:r w:rsidR="0069157E">
                            <w:t xml:space="preserve"> 2025</w:t>
                          </w:r>
                        </w:p>
                        <w:p w14:paraId="6516660F" w14:textId="77777777" w:rsidR="001E6D34" w:rsidRDefault="00FB6023" w:rsidP="00FB6023">
                          <w:pPr>
                            <w:pStyle w:val="StandaardReferentiegegevens"/>
                            <w:numPr>
                              <w:ilvl w:val="0"/>
                              <w:numId w:val="8"/>
                            </w:numPr>
                          </w:pPr>
                          <w:r>
                            <w:t>Toetsingskader</w:t>
                          </w:r>
                          <w:r w:rsidR="00851976">
                            <w:t xml:space="preserve"> risicoregelingen voor de </w:t>
                          </w:r>
                          <w:proofErr w:type="spellStart"/>
                          <w:r w:rsidR="00851976">
                            <w:t>ekv</w:t>
                          </w:r>
                          <w:proofErr w:type="spellEnd"/>
                        </w:p>
                        <w:p w14:paraId="2756354D" w14:textId="77777777" w:rsidR="00115BDA" w:rsidRPr="00FB6023" w:rsidRDefault="00115BDA" w:rsidP="003C72BF">
                          <w:pPr>
                            <w:pStyle w:val="StandaardReferentiegegevens"/>
                            <w:ind w:left="360"/>
                          </w:pPr>
                        </w:p>
                      </w:txbxContent>
                    </wps:txbx>
                    <wps:bodyPr vert="horz" wrap="square" lIns="0" tIns="0" rIns="0" bIns="0" anchor="t" anchorCtr="0"/>
                  </wps:wsp>
                </a:graphicData>
              </a:graphic>
            </wp:anchor>
          </w:drawing>
        </mc:Choice>
        <mc:Fallback>
          <w:pict>
            <v:shape w14:anchorId="6551060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3082055" w14:textId="77777777" w:rsidR="006A10DB" w:rsidRDefault="005602CA">
                    <w:pPr>
                      <w:pStyle w:val="StandaardReferentiegegevensKop"/>
                    </w:pPr>
                    <w:r>
                      <w:t>Directie Buitenlandse Financiële Betrekkingen</w:t>
                    </w:r>
                  </w:p>
                  <w:p w14:paraId="29CD2C4E" w14:textId="77777777" w:rsidR="006A10DB" w:rsidRDefault="006A10DB">
                    <w:pPr>
                      <w:pStyle w:val="WitregelW1"/>
                    </w:pPr>
                  </w:p>
                  <w:p w14:paraId="3F29747E" w14:textId="77777777" w:rsidR="006A10DB" w:rsidRDefault="005602CA">
                    <w:pPr>
                      <w:pStyle w:val="StandaardReferentiegegevens"/>
                    </w:pPr>
                    <w:r>
                      <w:t>Korte Voorhout 7</w:t>
                    </w:r>
                  </w:p>
                  <w:p w14:paraId="3466DC8B" w14:textId="77777777" w:rsidR="006A10DB" w:rsidRDefault="005602CA">
                    <w:pPr>
                      <w:pStyle w:val="StandaardReferentiegegevens"/>
                    </w:pPr>
                    <w:r>
                      <w:t>2511 CW  'S-GRAVENHAGE</w:t>
                    </w:r>
                  </w:p>
                  <w:p w14:paraId="69278102" w14:textId="77777777" w:rsidR="006A10DB" w:rsidRDefault="005602CA">
                    <w:pPr>
                      <w:pStyle w:val="StandaardReferentiegegevens"/>
                    </w:pPr>
                    <w:r>
                      <w:t>POSTBUS 20201</w:t>
                    </w:r>
                  </w:p>
                  <w:p w14:paraId="2B8D12A1" w14:textId="77777777" w:rsidR="006A10DB" w:rsidRDefault="005602CA">
                    <w:pPr>
                      <w:pStyle w:val="StandaardReferentiegegevens"/>
                    </w:pPr>
                    <w:r>
                      <w:t>2500 EE  'S-GRAVENHAGE</w:t>
                    </w:r>
                  </w:p>
                  <w:p w14:paraId="5E10695A" w14:textId="77777777" w:rsidR="006A10DB" w:rsidRDefault="005602CA">
                    <w:pPr>
                      <w:pStyle w:val="StandaardReferentiegegevens"/>
                    </w:pPr>
                    <w:proofErr w:type="gramStart"/>
                    <w:r>
                      <w:t>www.rijksoverheid.nl/fin</w:t>
                    </w:r>
                    <w:proofErr w:type="gramEnd"/>
                  </w:p>
                  <w:p w14:paraId="36A68ABF" w14:textId="77777777" w:rsidR="006A10DB" w:rsidRDefault="006A10DB">
                    <w:pPr>
                      <w:pStyle w:val="WitregelW2"/>
                    </w:pPr>
                  </w:p>
                  <w:p w14:paraId="2E258E31" w14:textId="77777777" w:rsidR="006A10DB" w:rsidRDefault="005602CA">
                    <w:pPr>
                      <w:pStyle w:val="StandaardReferentiegegevensKop"/>
                    </w:pPr>
                    <w:r>
                      <w:t>Ons kenmerk</w:t>
                    </w:r>
                  </w:p>
                  <w:p w14:paraId="71CCA83E" w14:textId="6DEA9E7D" w:rsidR="00D007D9" w:rsidRDefault="00BB5E01">
                    <w:pPr>
                      <w:pStyle w:val="StandaardReferentiegegevens"/>
                    </w:pPr>
                    <w:fldSimple w:instr=" DOCPROPERTY  &quot;Kenmerk&quot;  \* MERGEFORMAT ">
                      <w:r w:rsidR="002E5421">
                        <w:t>2026-0000267859</w:t>
                      </w:r>
                    </w:fldSimple>
                  </w:p>
                  <w:p w14:paraId="535F4670" w14:textId="77777777" w:rsidR="006A10DB" w:rsidRDefault="006A10DB">
                    <w:pPr>
                      <w:pStyle w:val="WitregelW1"/>
                    </w:pPr>
                  </w:p>
                  <w:p w14:paraId="091E1088" w14:textId="77777777" w:rsidR="006A10DB" w:rsidRDefault="005602CA">
                    <w:pPr>
                      <w:pStyle w:val="StandaardReferentiegegevensKop"/>
                    </w:pPr>
                    <w:r>
                      <w:t>Uw brief (kenmerk)</w:t>
                    </w:r>
                  </w:p>
                  <w:p w14:paraId="616CDCB7" w14:textId="0EFC105F" w:rsidR="00881282" w:rsidRDefault="00DC59DB">
                    <w:pPr>
                      <w:pStyle w:val="StandaardReferentiegegevens"/>
                    </w:pPr>
                    <w:r>
                      <w:fldChar w:fldCharType="begin"/>
                    </w:r>
                    <w:r>
                      <w:instrText xml:space="preserve"> DOCPROPERTY  "UwKenmerk"  \* MERGEFORMAT </w:instrText>
                    </w:r>
                    <w:r>
                      <w:fldChar w:fldCharType="end"/>
                    </w:r>
                  </w:p>
                  <w:p w14:paraId="285C31DF" w14:textId="77777777" w:rsidR="006A10DB" w:rsidRDefault="006A10DB">
                    <w:pPr>
                      <w:pStyle w:val="WitregelW1"/>
                    </w:pPr>
                  </w:p>
                  <w:p w14:paraId="73F2063C" w14:textId="77777777" w:rsidR="006A10DB" w:rsidRDefault="005602CA">
                    <w:pPr>
                      <w:pStyle w:val="StandaardReferentiegegevensKop"/>
                    </w:pPr>
                    <w:r w:rsidRPr="00D95D37">
                      <w:t>Bijlagen</w:t>
                    </w:r>
                  </w:p>
                  <w:p w14:paraId="26E61DEA" w14:textId="77777777" w:rsidR="003C72BF" w:rsidRDefault="003C72BF" w:rsidP="003C72BF">
                    <w:pPr>
                      <w:pStyle w:val="StandaardReferentiegegevens"/>
                      <w:numPr>
                        <w:ilvl w:val="0"/>
                        <w:numId w:val="8"/>
                      </w:numPr>
                    </w:pPr>
                    <w:r>
                      <w:t>Jaaroverzicht ADSB</w:t>
                    </w:r>
                    <w:r w:rsidR="0069157E">
                      <w:t xml:space="preserve"> 2025</w:t>
                    </w:r>
                  </w:p>
                  <w:p w14:paraId="6516660F" w14:textId="77777777" w:rsidR="001E6D34" w:rsidRDefault="00FB6023" w:rsidP="00FB6023">
                    <w:pPr>
                      <w:pStyle w:val="StandaardReferentiegegevens"/>
                      <w:numPr>
                        <w:ilvl w:val="0"/>
                        <w:numId w:val="8"/>
                      </w:numPr>
                    </w:pPr>
                    <w:r>
                      <w:t>Toetsingskader</w:t>
                    </w:r>
                    <w:r w:rsidR="00851976">
                      <w:t xml:space="preserve"> risicoregelingen voor de </w:t>
                    </w:r>
                    <w:proofErr w:type="spellStart"/>
                    <w:r w:rsidR="00851976">
                      <w:t>ekv</w:t>
                    </w:r>
                    <w:proofErr w:type="spellEnd"/>
                  </w:p>
                  <w:p w14:paraId="2756354D" w14:textId="77777777" w:rsidR="00115BDA" w:rsidRPr="00FB6023" w:rsidRDefault="00115BDA" w:rsidP="003C72BF">
                    <w:pPr>
                      <w:pStyle w:val="StandaardReferentiegegevens"/>
                      <w:ind w:left="360"/>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92F085A" wp14:editId="2C604FC5">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3206188" w14:textId="77777777" w:rsidR="006A10DB" w:rsidRDefault="005602C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92F085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3206188" w14:textId="77777777" w:rsidR="006A10DB" w:rsidRDefault="005602CA">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5E101B3" wp14:editId="240AEE4B">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D367A1D" w14:textId="77777777" w:rsidR="005C46F6" w:rsidRDefault="005C46F6" w:rsidP="005C46F6">
                          <w:r>
                            <w:t xml:space="preserve">Aan de Voorzitter van de Tweede Kamer </w:t>
                          </w:r>
                        </w:p>
                        <w:p w14:paraId="6DF78C04" w14:textId="77777777" w:rsidR="005C46F6" w:rsidRDefault="005C46F6" w:rsidP="005C46F6">
                          <w:proofErr w:type="gramStart"/>
                          <w:r>
                            <w:t>der</w:t>
                          </w:r>
                          <w:proofErr w:type="gramEnd"/>
                          <w:r>
                            <w:t xml:space="preserve"> Staten-Generaal</w:t>
                          </w:r>
                        </w:p>
                        <w:p w14:paraId="4CC35B5B" w14:textId="77777777" w:rsidR="005C46F6" w:rsidRDefault="005C46F6" w:rsidP="005C46F6">
                          <w:r>
                            <w:t>Postbus 20018</w:t>
                          </w:r>
                        </w:p>
                        <w:p w14:paraId="7D948D18" w14:textId="77777777" w:rsidR="005C46F6" w:rsidRDefault="005C46F6" w:rsidP="005C46F6">
                          <w:r>
                            <w:t>2500 EA  DEN HAAG</w:t>
                          </w:r>
                        </w:p>
                        <w:p w14:paraId="46F5C628" w14:textId="415325E2" w:rsidR="00881282" w:rsidRDefault="00DC59D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5E101B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D367A1D" w14:textId="77777777" w:rsidR="005C46F6" w:rsidRDefault="005C46F6" w:rsidP="005C46F6">
                    <w:r>
                      <w:t xml:space="preserve">Aan de Voorzitter van de Tweede Kamer </w:t>
                    </w:r>
                  </w:p>
                  <w:p w14:paraId="6DF78C04" w14:textId="77777777" w:rsidR="005C46F6" w:rsidRDefault="005C46F6" w:rsidP="005C46F6">
                    <w:proofErr w:type="gramStart"/>
                    <w:r>
                      <w:t>der</w:t>
                    </w:r>
                    <w:proofErr w:type="gramEnd"/>
                    <w:r>
                      <w:t xml:space="preserve"> Staten-Generaal</w:t>
                    </w:r>
                  </w:p>
                  <w:p w14:paraId="4CC35B5B" w14:textId="77777777" w:rsidR="005C46F6" w:rsidRDefault="005C46F6" w:rsidP="005C46F6">
                    <w:r>
                      <w:t>Postbus 20018</w:t>
                    </w:r>
                  </w:p>
                  <w:p w14:paraId="7D948D18" w14:textId="77777777" w:rsidR="005C46F6" w:rsidRDefault="005C46F6" w:rsidP="005C46F6">
                    <w:r>
                      <w:t>2500 EA  DEN HAAG</w:t>
                    </w:r>
                  </w:p>
                  <w:p w14:paraId="46F5C628" w14:textId="415325E2" w:rsidR="00881282" w:rsidRDefault="00DC59D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2648AE9" wp14:editId="7631FA69">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2BC6A14" w14:textId="77777777" w:rsidR="00881282" w:rsidRDefault="00DC59D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2648AE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2BC6A14" w14:textId="77777777" w:rsidR="00881282" w:rsidRDefault="00DC59D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6609251" wp14:editId="71DA1726">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A10DB" w14:paraId="0912F5DC" w14:textId="77777777" w:rsidTr="00D95D37">
                            <w:trPr>
                              <w:trHeight w:val="200"/>
                            </w:trPr>
                            <w:tc>
                              <w:tcPr>
                                <w:tcW w:w="1140" w:type="dxa"/>
                                <w:shd w:val="clear" w:color="auto" w:fill="auto"/>
                              </w:tcPr>
                              <w:p w14:paraId="3FEF2FD8" w14:textId="77777777" w:rsidR="006A10DB" w:rsidRPr="00D95D37" w:rsidRDefault="006A10DB"/>
                            </w:tc>
                            <w:tc>
                              <w:tcPr>
                                <w:tcW w:w="5400" w:type="dxa"/>
                                <w:shd w:val="clear" w:color="auto" w:fill="auto"/>
                              </w:tcPr>
                              <w:p w14:paraId="560B42EA" w14:textId="77777777" w:rsidR="006A10DB" w:rsidRPr="00D95D37" w:rsidRDefault="006A10DB"/>
                            </w:tc>
                          </w:tr>
                          <w:tr w:rsidR="006A10DB" w14:paraId="7DDB59DD" w14:textId="77777777" w:rsidTr="00D95D37">
                            <w:trPr>
                              <w:trHeight w:val="240"/>
                            </w:trPr>
                            <w:tc>
                              <w:tcPr>
                                <w:tcW w:w="1140" w:type="dxa"/>
                                <w:shd w:val="clear" w:color="auto" w:fill="auto"/>
                              </w:tcPr>
                              <w:p w14:paraId="376EAD26" w14:textId="77777777" w:rsidR="006A10DB" w:rsidRPr="00D95D37" w:rsidRDefault="005602CA">
                                <w:r w:rsidRPr="00D95D37">
                                  <w:t>Datum</w:t>
                                </w:r>
                              </w:p>
                            </w:tc>
                            <w:tc>
                              <w:tcPr>
                                <w:tcW w:w="5400" w:type="dxa"/>
                                <w:shd w:val="clear" w:color="auto" w:fill="auto"/>
                              </w:tcPr>
                              <w:p w14:paraId="2BF5556F" w14:textId="77777777" w:rsidR="006A10DB" w:rsidRPr="00D95D37" w:rsidRDefault="00C54773">
                                <w:r>
                                  <w:t>2</w:t>
                                </w:r>
                                <w:r w:rsidR="002857AC">
                                  <w:t>4</w:t>
                                </w:r>
                                <w:r>
                                  <w:t xml:space="preserve"> juni 2026</w:t>
                                </w:r>
                              </w:p>
                            </w:tc>
                          </w:tr>
                          <w:tr w:rsidR="006A10DB" w:rsidRPr="00AE2397" w14:paraId="5CC4D43D" w14:textId="77777777" w:rsidTr="00D95D37">
                            <w:trPr>
                              <w:trHeight w:val="240"/>
                            </w:trPr>
                            <w:tc>
                              <w:tcPr>
                                <w:tcW w:w="1140" w:type="dxa"/>
                                <w:shd w:val="clear" w:color="auto" w:fill="auto"/>
                              </w:tcPr>
                              <w:p w14:paraId="63136B9E" w14:textId="77777777" w:rsidR="006A10DB" w:rsidRPr="00D95D37" w:rsidRDefault="005602CA">
                                <w:r w:rsidRPr="00D95D37">
                                  <w:t>Betreft</w:t>
                                </w:r>
                              </w:p>
                            </w:tc>
                            <w:tc>
                              <w:tcPr>
                                <w:tcW w:w="5400" w:type="dxa"/>
                                <w:shd w:val="clear" w:color="auto" w:fill="auto"/>
                              </w:tcPr>
                              <w:p w14:paraId="7B1481CF" w14:textId="77777777" w:rsidR="006A10DB" w:rsidRPr="0026642A" w:rsidRDefault="00AE2397">
                                <w:r w:rsidRPr="0026642A">
                                  <w:rPr>
                                    <w:rFonts w:eastAsia="Times New Roman"/>
                                  </w:rPr>
                                  <w:t xml:space="preserve">Jaarlijkse </w:t>
                                </w:r>
                                <w:r>
                                  <w:rPr>
                                    <w:rFonts w:eastAsia="Times New Roman"/>
                                  </w:rPr>
                                  <w:t>overzicht</w:t>
                                </w:r>
                                <w:r w:rsidRPr="0026642A">
                                  <w:rPr>
                                    <w:rFonts w:eastAsia="Times New Roman"/>
                                  </w:rPr>
                                  <w:t xml:space="preserve"> exportkredietverzekering (</w:t>
                                </w:r>
                                <w:proofErr w:type="spellStart"/>
                                <w:r w:rsidRPr="0026642A">
                                  <w:rPr>
                                    <w:rFonts w:eastAsia="Times New Roman"/>
                                  </w:rPr>
                                  <w:t>ekv</w:t>
                                </w:r>
                                <w:proofErr w:type="spellEnd"/>
                                <w:r w:rsidRPr="0026642A">
                                  <w:rPr>
                                    <w:rFonts w:eastAsia="Times New Roman"/>
                                  </w:rPr>
                                  <w:t>)</w:t>
                                </w:r>
                                <w:r w:rsidR="00CA5B29" w:rsidRPr="0026642A">
                                  <w:rPr>
                                    <w:rFonts w:eastAsia="Times New Roman"/>
                                  </w:rPr>
                                  <w:t xml:space="preserve"> </w:t>
                                </w:r>
                                <w:r w:rsidR="00FB6023" w:rsidRPr="0026642A">
                                  <w:rPr>
                                    <w:rFonts w:eastAsia="Times New Roman"/>
                                  </w:rPr>
                                  <w:t>2025</w:t>
                                </w:r>
                                <w:r w:rsidR="00D417DB" w:rsidRPr="0026642A">
                                  <w:rPr>
                                    <w:rFonts w:eastAsia="Times New Roman"/>
                                  </w:rPr>
                                  <w:t xml:space="preserve"> </w:t>
                                </w:r>
                              </w:p>
                            </w:tc>
                          </w:tr>
                          <w:tr w:rsidR="006A10DB" w:rsidRPr="00AE2397" w14:paraId="5300BD12" w14:textId="77777777">
                            <w:trPr>
                              <w:trHeight w:val="200"/>
                            </w:trPr>
                            <w:tc>
                              <w:tcPr>
                                <w:tcW w:w="1140" w:type="dxa"/>
                              </w:tcPr>
                              <w:p w14:paraId="060F13B0" w14:textId="77777777" w:rsidR="006A10DB" w:rsidRPr="0026642A" w:rsidRDefault="006A10DB"/>
                            </w:tc>
                            <w:tc>
                              <w:tcPr>
                                <w:tcW w:w="4738" w:type="dxa"/>
                              </w:tcPr>
                              <w:p w14:paraId="0B72ED28" w14:textId="77777777" w:rsidR="006A10DB" w:rsidRPr="0026642A" w:rsidRDefault="006A10DB"/>
                            </w:tc>
                          </w:tr>
                        </w:tbl>
                        <w:p w14:paraId="5E623574" w14:textId="77777777" w:rsidR="005602CA" w:rsidRPr="0026642A" w:rsidRDefault="005602CA"/>
                      </w:txbxContent>
                    </wps:txbx>
                    <wps:bodyPr vert="horz" wrap="square" lIns="0" tIns="0" rIns="0" bIns="0" anchor="t" anchorCtr="0"/>
                  </wps:wsp>
                </a:graphicData>
              </a:graphic>
            </wp:anchor>
          </w:drawing>
        </mc:Choice>
        <mc:Fallback>
          <w:pict>
            <v:shape w14:anchorId="76609251"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A10DB" w14:paraId="0912F5DC" w14:textId="77777777" w:rsidTr="00D95D37">
                      <w:trPr>
                        <w:trHeight w:val="200"/>
                      </w:trPr>
                      <w:tc>
                        <w:tcPr>
                          <w:tcW w:w="1140" w:type="dxa"/>
                          <w:shd w:val="clear" w:color="auto" w:fill="auto"/>
                        </w:tcPr>
                        <w:p w14:paraId="3FEF2FD8" w14:textId="77777777" w:rsidR="006A10DB" w:rsidRPr="00D95D37" w:rsidRDefault="006A10DB"/>
                      </w:tc>
                      <w:tc>
                        <w:tcPr>
                          <w:tcW w:w="5400" w:type="dxa"/>
                          <w:shd w:val="clear" w:color="auto" w:fill="auto"/>
                        </w:tcPr>
                        <w:p w14:paraId="560B42EA" w14:textId="77777777" w:rsidR="006A10DB" w:rsidRPr="00D95D37" w:rsidRDefault="006A10DB"/>
                      </w:tc>
                    </w:tr>
                    <w:tr w:rsidR="006A10DB" w14:paraId="7DDB59DD" w14:textId="77777777" w:rsidTr="00D95D37">
                      <w:trPr>
                        <w:trHeight w:val="240"/>
                      </w:trPr>
                      <w:tc>
                        <w:tcPr>
                          <w:tcW w:w="1140" w:type="dxa"/>
                          <w:shd w:val="clear" w:color="auto" w:fill="auto"/>
                        </w:tcPr>
                        <w:p w14:paraId="376EAD26" w14:textId="77777777" w:rsidR="006A10DB" w:rsidRPr="00D95D37" w:rsidRDefault="005602CA">
                          <w:r w:rsidRPr="00D95D37">
                            <w:t>Datum</w:t>
                          </w:r>
                        </w:p>
                      </w:tc>
                      <w:tc>
                        <w:tcPr>
                          <w:tcW w:w="5400" w:type="dxa"/>
                          <w:shd w:val="clear" w:color="auto" w:fill="auto"/>
                        </w:tcPr>
                        <w:p w14:paraId="2BF5556F" w14:textId="77777777" w:rsidR="006A10DB" w:rsidRPr="00D95D37" w:rsidRDefault="00C54773">
                          <w:r>
                            <w:t>2</w:t>
                          </w:r>
                          <w:r w:rsidR="002857AC">
                            <w:t>4</w:t>
                          </w:r>
                          <w:r>
                            <w:t xml:space="preserve"> juni 2026</w:t>
                          </w:r>
                        </w:p>
                      </w:tc>
                    </w:tr>
                    <w:tr w:rsidR="006A10DB" w:rsidRPr="00AE2397" w14:paraId="5CC4D43D" w14:textId="77777777" w:rsidTr="00D95D37">
                      <w:trPr>
                        <w:trHeight w:val="240"/>
                      </w:trPr>
                      <w:tc>
                        <w:tcPr>
                          <w:tcW w:w="1140" w:type="dxa"/>
                          <w:shd w:val="clear" w:color="auto" w:fill="auto"/>
                        </w:tcPr>
                        <w:p w14:paraId="63136B9E" w14:textId="77777777" w:rsidR="006A10DB" w:rsidRPr="00D95D37" w:rsidRDefault="005602CA">
                          <w:r w:rsidRPr="00D95D37">
                            <w:t>Betreft</w:t>
                          </w:r>
                        </w:p>
                      </w:tc>
                      <w:tc>
                        <w:tcPr>
                          <w:tcW w:w="5400" w:type="dxa"/>
                          <w:shd w:val="clear" w:color="auto" w:fill="auto"/>
                        </w:tcPr>
                        <w:p w14:paraId="7B1481CF" w14:textId="77777777" w:rsidR="006A10DB" w:rsidRPr="0026642A" w:rsidRDefault="00AE2397">
                          <w:r w:rsidRPr="0026642A">
                            <w:rPr>
                              <w:rFonts w:eastAsia="Times New Roman"/>
                            </w:rPr>
                            <w:t xml:space="preserve">Jaarlijkse </w:t>
                          </w:r>
                          <w:r>
                            <w:rPr>
                              <w:rFonts w:eastAsia="Times New Roman"/>
                            </w:rPr>
                            <w:t>overzicht</w:t>
                          </w:r>
                          <w:r w:rsidRPr="0026642A">
                            <w:rPr>
                              <w:rFonts w:eastAsia="Times New Roman"/>
                            </w:rPr>
                            <w:t xml:space="preserve"> exportkredietverzekering (</w:t>
                          </w:r>
                          <w:proofErr w:type="spellStart"/>
                          <w:r w:rsidRPr="0026642A">
                            <w:rPr>
                              <w:rFonts w:eastAsia="Times New Roman"/>
                            </w:rPr>
                            <w:t>ekv</w:t>
                          </w:r>
                          <w:proofErr w:type="spellEnd"/>
                          <w:r w:rsidRPr="0026642A">
                            <w:rPr>
                              <w:rFonts w:eastAsia="Times New Roman"/>
                            </w:rPr>
                            <w:t>)</w:t>
                          </w:r>
                          <w:r w:rsidR="00CA5B29" w:rsidRPr="0026642A">
                            <w:rPr>
                              <w:rFonts w:eastAsia="Times New Roman"/>
                            </w:rPr>
                            <w:t xml:space="preserve"> </w:t>
                          </w:r>
                          <w:r w:rsidR="00FB6023" w:rsidRPr="0026642A">
                            <w:rPr>
                              <w:rFonts w:eastAsia="Times New Roman"/>
                            </w:rPr>
                            <w:t>2025</w:t>
                          </w:r>
                          <w:r w:rsidR="00D417DB" w:rsidRPr="0026642A">
                            <w:rPr>
                              <w:rFonts w:eastAsia="Times New Roman"/>
                            </w:rPr>
                            <w:t xml:space="preserve"> </w:t>
                          </w:r>
                        </w:p>
                      </w:tc>
                    </w:tr>
                    <w:tr w:rsidR="006A10DB" w:rsidRPr="00AE2397" w14:paraId="5300BD12" w14:textId="77777777">
                      <w:trPr>
                        <w:trHeight w:val="200"/>
                      </w:trPr>
                      <w:tc>
                        <w:tcPr>
                          <w:tcW w:w="1140" w:type="dxa"/>
                        </w:tcPr>
                        <w:p w14:paraId="060F13B0" w14:textId="77777777" w:rsidR="006A10DB" w:rsidRPr="0026642A" w:rsidRDefault="006A10DB"/>
                      </w:tc>
                      <w:tc>
                        <w:tcPr>
                          <w:tcW w:w="4738" w:type="dxa"/>
                        </w:tcPr>
                        <w:p w14:paraId="0B72ED28" w14:textId="77777777" w:rsidR="006A10DB" w:rsidRPr="0026642A" w:rsidRDefault="006A10DB"/>
                      </w:tc>
                    </w:tr>
                  </w:tbl>
                  <w:p w14:paraId="5E623574" w14:textId="77777777" w:rsidR="005602CA" w:rsidRPr="0026642A" w:rsidRDefault="005602CA"/>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6B6F208" wp14:editId="43700608">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8FE7CED" w14:textId="2EE45A24" w:rsidR="00881282" w:rsidRDefault="00DC59D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6B6F20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8FE7CED" w14:textId="2EE45A24" w:rsidR="00881282" w:rsidRDefault="00DC59D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BA434AD" wp14:editId="2585AD89">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D428100" w14:textId="77777777" w:rsidR="005602CA" w:rsidRDefault="005602CA"/>
                      </w:txbxContent>
                    </wps:txbx>
                    <wps:bodyPr vert="horz" wrap="square" lIns="0" tIns="0" rIns="0" bIns="0" anchor="t" anchorCtr="0"/>
                  </wps:wsp>
                </a:graphicData>
              </a:graphic>
            </wp:anchor>
          </w:drawing>
        </mc:Choice>
        <mc:Fallback>
          <w:pict>
            <v:shape w14:anchorId="3BA434A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D428100" w14:textId="77777777" w:rsidR="005602CA" w:rsidRDefault="005602C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05D730"/>
    <w:multiLevelType w:val="multilevel"/>
    <w:tmpl w:val="1C6642C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09E3A73"/>
    <w:multiLevelType w:val="multilevel"/>
    <w:tmpl w:val="4EB4AB8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6D1E46C"/>
    <w:multiLevelType w:val="multilevel"/>
    <w:tmpl w:val="2C3C269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49328E8"/>
    <w:multiLevelType w:val="hybridMultilevel"/>
    <w:tmpl w:val="A70856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967763"/>
    <w:multiLevelType w:val="multilevel"/>
    <w:tmpl w:val="F663951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746405"/>
    <w:multiLevelType w:val="hybridMultilevel"/>
    <w:tmpl w:val="BBE25D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E0EAC4"/>
    <w:multiLevelType w:val="multilevel"/>
    <w:tmpl w:val="9ED1D0D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1D2A66"/>
    <w:multiLevelType w:val="hybridMultilevel"/>
    <w:tmpl w:val="6C72AEB0"/>
    <w:lvl w:ilvl="0" w:tplc="111495B4">
      <w:start w:val="1"/>
      <w:numFmt w:val="decimal"/>
      <w:lvlText w:val="%1."/>
      <w:lvlJc w:val="left"/>
      <w:pPr>
        <w:ind w:left="1020" w:hanging="360"/>
      </w:pPr>
    </w:lvl>
    <w:lvl w:ilvl="1" w:tplc="AD7E645E">
      <w:start w:val="1"/>
      <w:numFmt w:val="decimal"/>
      <w:lvlText w:val="%2."/>
      <w:lvlJc w:val="left"/>
      <w:pPr>
        <w:ind w:left="1020" w:hanging="360"/>
      </w:pPr>
    </w:lvl>
    <w:lvl w:ilvl="2" w:tplc="E4A4E572">
      <w:start w:val="1"/>
      <w:numFmt w:val="decimal"/>
      <w:lvlText w:val="%3."/>
      <w:lvlJc w:val="left"/>
      <w:pPr>
        <w:ind w:left="1020" w:hanging="360"/>
      </w:pPr>
    </w:lvl>
    <w:lvl w:ilvl="3" w:tplc="F0626376">
      <w:start w:val="1"/>
      <w:numFmt w:val="decimal"/>
      <w:lvlText w:val="%4."/>
      <w:lvlJc w:val="left"/>
      <w:pPr>
        <w:ind w:left="1020" w:hanging="360"/>
      </w:pPr>
    </w:lvl>
    <w:lvl w:ilvl="4" w:tplc="32740264">
      <w:start w:val="1"/>
      <w:numFmt w:val="decimal"/>
      <w:lvlText w:val="%5."/>
      <w:lvlJc w:val="left"/>
      <w:pPr>
        <w:ind w:left="1020" w:hanging="360"/>
      </w:pPr>
    </w:lvl>
    <w:lvl w:ilvl="5" w:tplc="319819AC">
      <w:start w:val="1"/>
      <w:numFmt w:val="decimal"/>
      <w:lvlText w:val="%6."/>
      <w:lvlJc w:val="left"/>
      <w:pPr>
        <w:ind w:left="1020" w:hanging="360"/>
      </w:pPr>
    </w:lvl>
    <w:lvl w:ilvl="6" w:tplc="521ED6F6">
      <w:start w:val="1"/>
      <w:numFmt w:val="decimal"/>
      <w:lvlText w:val="%7."/>
      <w:lvlJc w:val="left"/>
      <w:pPr>
        <w:ind w:left="1020" w:hanging="360"/>
      </w:pPr>
    </w:lvl>
    <w:lvl w:ilvl="7" w:tplc="2F785462">
      <w:start w:val="1"/>
      <w:numFmt w:val="decimal"/>
      <w:lvlText w:val="%8."/>
      <w:lvlJc w:val="left"/>
      <w:pPr>
        <w:ind w:left="1020" w:hanging="360"/>
      </w:pPr>
    </w:lvl>
    <w:lvl w:ilvl="8" w:tplc="9B5A4A78">
      <w:start w:val="1"/>
      <w:numFmt w:val="decimal"/>
      <w:lvlText w:val="%9."/>
      <w:lvlJc w:val="left"/>
      <w:pPr>
        <w:ind w:left="1020" w:hanging="360"/>
      </w:pPr>
    </w:lvl>
  </w:abstractNum>
  <w:abstractNum w:abstractNumId="8" w15:restartNumberingAfterBreak="0">
    <w:nsid w:val="54A21142"/>
    <w:multiLevelType w:val="hybridMultilevel"/>
    <w:tmpl w:val="8F08A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A8204DC"/>
    <w:multiLevelType w:val="hybridMultilevel"/>
    <w:tmpl w:val="2B72231E"/>
    <w:lvl w:ilvl="0" w:tplc="ADAE85FC">
      <w:start w:val="1"/>
      <w:numFmt w:val="bullet"/>
      <w:lvlText w:val=""/>
      <w:lvlJc w:val="left"/>
      <w:pPr>
        <w:ind w:left="1440" w:hanging="360"/>
      </w:pPr>
      <w:rPr>
        <w:rFonts w:ascii="Symbol" w:hAnsi="Symbol"/>
      </w:rPr>
    </w:lvl>
    <w:lvl w:ilvl="1" w:tplc="7512C2A6">
      <w:start w:val="1"/>
      <w:numFmt w:val="bullet"/>
      <w:lvlText w:val=""/>
      <w:lvlJc w:val="left"/>
      <w:pPr>
        <w:ind w:left="1440" w:hanging="360"/>
      </w:pPr>
      <w:rPr>
        <w:rFonts w:ascii="Symbol" w:hAnsi="Symbol"/>
      </w:rPr>
    </w:lvl>
    <w:lvl w:ilvl="2" w:tplc="D026E466">
      <w:start w:val="1"/>
      <w:numFmt w:val="bullet"/>
      <w:lvlText w:val=""/>
      <w:lvlJc w:val="left"/>
      <w:pPr>
        <w:ind w:left="1440" w:hanging="360"/>
      </w:pPr>
      <w:rPr>
        <w:rFonts w:ascii="Symbol" w:hAnsi="Symbol"/>
      </w:rPr>
    </w:lvl>
    <w:lvl w:ilvl="3" w:tplc="984E8AA0">
      <w:start w:val="1"/>
      <w:numFmt w:val="bullet"/>
      <w:lvlText w:val=""/>
      <w:lvlJc w:val="left"/>
      <w:pPr>
        <w:ind w:left="1440" w:hanging="360"/>
      </w:pPr>
      <w:rPr>
        <w:rFonts w:ascii="Symbol" w:hAnsi="Symbol"/>
      </w:rPr>
    </w:lvl>
    <w:lvl w:ilvl="4" w:tplc="B39E2ADA">
      <w:start w:val="1"/>
      <w:numFmt w:val="bullet"/>
      <w:lvlText w:val=""/>
      <w:lvlJc w:val="left"/>
      <w:pPr>
        <w:ind w:left="1440" w:hanging="360"/>
      </w:pPr>
      <w:rPr>
        <w:rFonts w:ascii="Symbol" w:hAnsi="Symbol"/>
      </w:rPr>
    </w:lvl>
    <w:lvl w:ilvl="5" w:tplc="4C28F0DE">
      <w:start w:val="1"/>
      <w:numFmt w:val="bullet"/>
      <w:lvlText w:val=""/>
      <w:lvlJc w:val="left"/>
      <w:pPr>
        <w:ind w:left="1440" w:hanging="360"/>
      </w:pPr>
      <w:rPr>
        <w:rFonts w:ascii="Symbol" w:hAnsi="Symbol"/>
      </w:rPr>
    </w:lvl>
    <w:lvl w:ilvl="6" w:tplc="0F08FAB6">
      <w:start w:val="1"/>
      <w:numFmt w:val="bullet"/>
      <w:lvlText w:val=""/>
      <w:lvlJc w:val="left"/>
      <w:pPr>
        <w:ind w:left="1440" w:hanging="360"/>
      </w:pPr>
      <w:rPr>
        <w:rFonts w:ascii="Symbol" w:hAnsi="Symbol"/>
      </w:rPr>
    </w:lvl>
    <w:lvl w:ilvl="7" w:tplc="A81CDDE6">
      <w:start w:val="1"/>
      <w:numFmt w:val="bullet"/>
      <w:lvlText w:val=""/>
      <w:lvlJc w:val="left"/>
      <w:pPr>
        <w:ind w:left="1440" w:hanging="360"/>
      </w:pPr>
      <w:rPr>
        <w:rFonts w:ascii="Symbol" w:hAnsi="Symbol"/>
      </w:rPr>
    </w:lvl>
    <w:lvl w:ilvl="8" w:tplc="6772D5EA">
      <w:start w:val="1"/>
      <w:numFmt w:val="bullet"/>
      <w:lvlText w:val=""/>
      <w:lvlJc w:val="left"/>
      <w:pPr>
        <w:ind w:left="1440" w:hanging="360"/>
      </w:pPr>
      <w:rPr>
        <w:rFonts w:ascii="Symbol" w:hAnsi="Symbol"/>
      </w:rPr>
    </w:lvl>
  </w:abstractNum>
  <w:abstractNum w:abstractNumId="10" w15:restartNumberingAfterBreak="0">
    <w:nsid w:val="6169ECD8"/>
    <w:multiLevelType w:val="multilevel"/>
    <w:tmpl w:val="1CBDFFF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816429"/>
    <w:multiLevelType w:val="hybridMultilevel"/>
    <w:tmpl w:val="964EC9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30960423">
    <w:abstractNumId w:val="10"/>
  </w:num>
  <w:num w:numId="2" w16cid:durableId="1225414139">
    <w:abstractNumId w:val="4"/>
  </w:num>
  <w:num w:numId="3" w16cid:durableId="434206188">
    <w:abstractNumId w:val="2"/>
  </w:num>
  <w:num w:numId="4" w16cid:durableId="2123760625">
    <w:abstractNumId w:val="1"/>
  </w:num>
  <w:num w:numId="5" w16cid:durableId="1800950827">
    <w:abstractNumId w:val="0"/>
  </w:num>
  <w:num w:numId="6" w16cid:durableId="790981754">
    <w:abstractNumId w:val="6"/>
  </w:num>
  <w:num w:numId="7" w16cid:durableId="907040036">
    <w:abstractNumId w:val="7"/>
  </w:num>
  <w:num w:numId="8" w16cid:durableId="557328822">
    <w:abstractNumId w:val="3"/>
  </w:num>
  <w:num w:numId="9" w16cid:durableId="1949269893">
    <w:abstractNumId w:val="9"/>
  </w:num>
  <w:num w:numId="10" w16cid:durableId="489096777">
    <w:abstractNumId w:val="8"/>
  </w:num>
  <w:num w:numId="11" w16cid:durableId="1484618033">
    <w:abstractNumId w:val="5"/>
  </w:num>
  <w:num w:numId="12" w16cid:durableId="2010196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0DB"/>
    <w:rsid w:val="000042A6"/>
    <w:rsid w:val="000062DE"/>
    <w:rsid w:val="000063EF"/>
    <w:rsid w:val="000068AB"/>
    <w:rsid w:val="00007B47"/>
    <w:rsid w:val="00012940"/>
    <w:rsid w:val="000152E1"/>
    <w:rsid w:val="00016FF4"/>
    <w:rsid w:val="000206A4"/>
    <w:rsid w:val="00022CCF"/>
    <w:rsid w:val="000248AD"/>
    <w:rsid w:val="000265C2"/>
    <w:rsid w:val="000273C9"/>
    <w:rsid w:val="00035D87"/>
    <w:rsid w:val="0003663C"/>
    <w:rsid w:val="0004129E"/>
    <w:rsid w:val="0004200C"/>
    <w:rsid w:val="00044A4D"/>
    <w:rsid w:val="000470F4"/>
    <w:rsid w:val="00052E42"/>
    <w:rsid w:val="00056D5D"/>
    <w:rsid w:val="00066A63"/>
    <w:rsid w:val="00067912"/>
    <w:rsid w:val="00070F1B"/>
    <w:rsid w:val="00081F0C"/>
    <w:rsid w:val="00082315"/>
    <w:rsid w:val="00085788"/>
    <w:rsid w:val="00086F22"/>
    <w:rsid w:val="00091095"/>
    <w:rsid w:val="000913F0"/>
    <w:rsid w:val="000932DC"/>
    <w:rsid w:val="00093340"/>
    <w:rsid w:val="000A06C6"/>
    <w:rsid w:val="000A0C8C"/>
    <w:rsid w:val="000A2049"/>
    <w:rsid w:val="000A6540"/>
    <w:rsid w:val="000A6C3E"/>
    <w:rsid w:val="000A7805"/>
    <w:rsid w:val="000B1EF8"/>
    <w:rsid w:val="000B4F5D"/>
    <w:rsid w:val="000B7373"/>
    <w:rsid w:val="000C0438"/>
    <w:rsid w:val="000C22DD"/>
    <w:rsid w:val="000C766F"/>
    <w:rsid w:val="000D0893"/>
    <w:rsid w:val="000D3933"/>
    <w:rsid w:val="000D481C"/>
    <w:rsid w:val="000D498D"/>
    <w:rsid w:val="000D5377"/>
    <w:rsid w:val="000E2FE4"/>
    <w:rsid w:val="000E5BD8"/>
    <w:rsid w:val="000E71C6"/>
    <w:rsid w:val="000E7A46"/>
    <w:rsid w:val="000F2EFB"/>
    <w:rsid w:val="000F444C"/>
    <w:rsid w:val="000F657E"/>
    <w:rsid w:val="000F69BC"/>
    <w:rsid w:val="00102611"/>
    <w:rsid w:val="0010558F"/>
    <w:rsid w:val="001063A5"/>
    <w:rsid w:val="00106BC9"/>
    <w:rsid w:val="00106C31"/>
    <w:rsid w:val="00111BA6"/>
    <w:rsid w:val="00115BDA"/>
    <w:rsid w:val="00116914"/>
    <w:rsid w:val="00120778"/>
    <w:rsid w:val="001229DA"/>
    <w:rsid w:val="00126C83"/>
    <w:rsid w:val="00127490"/>
    <w:rsid w:val="001274DC"/>
    <w:rsid w:val="001275B1"/>
    <w:rsid w:val="00130F10"/>
    <w:rsid w:val="001333C9"/>
    <w:rsid w:val="001400DA"/>
    <w:rsid w:val="00141109"/>
    <w:rsid w:val="00144270"/>
    <w:rsid w:val="00146723"/>
    <w:rsid w:val="00156894"/>
    <w:rsid w:val="0016715F"/>
    <w:rsid w:val="001710AA"/>
    <w:rsid w:val="001761F6"/>
    <w:rsid w:val="0017644E"/>
    <w:rsid w:val="00181D78"/>
    <w:rsid w:val="00182150"/>
    <w:rsid w:val="00182B57"/>
    <w:rsid w:val="00185F46"/>
    <w:rsid w:val="00191D38"/>
    <w:rsid w:val="00194F50"/>
    <w:rsid w:val="00197C01"/>
    <w:rsid w:val="001A2725"/>
    <w:rsid w:val="001A47F6"/>
    <w:rsid w:val="001A4A41"/>
    <w:rsid w:val="001A7351"/>
    <w:rsid w:val="001A74B2"/>
    <w:rsid w:val="001B6E8D"/>
    <w:rsid w:val="001C0AC4"/>
    <w:rsid w:val="001C1213"/>
    <w:rsid w:val="001C1720"/>
    <w:rsid w:val="001C3D58"/>
    <w:rsid w:val="001D2684"/>
    <w:rsid w:val="001D2B4E"/>
    <w:rsid w:val="001D3905"/>
    <w:rsid w:val="001D4644"/>
    <w:rsid w:val="001E1B88"/>
    <w:rsid w:val="001E269A"/>
    <w:rsid w:val="001E613F"/>
    <w:rsid w:val="001E6D34"/>
    <w:rsid w:val="001E6EE1"/>
    <w:rsid w:val="001F260D"/>
    <w:rsid w:val="001F4597"/>
    <w:rsid w:val="001F4F70"/>
    <w:rsid w:val="001F51F6"/>
    <w:rsid w:val="001F60E5"/>
    <w:rsid w:val="001F6DFA"/>
    <w:rsid w:val="002003BD"/>
    <w:rsid w:val="002012A2"/>
    <w:rsid w:val="00207892"/>
    <w:rsid w:val="002103C2"/>
    <w:rsid w:val="002156BF"/>
    <w:rsid w:val="00215C0E"/>
    <w:rsid w:val="00220DFB"/>
    <w:rsid w:val="00224839"/>
    <w:rsid w:val="00224FF9"/>
    <w:rsid w:val="00232C20"/>
    <w:rsid w:val="00235792"/>
    <w:rsid w:val="00246875"/>
    <w:rsid w:val="0024702A"/>
    <w:rsid w:val="00252561"/>
    <w:rsid w:val="00257D1E"/>
    <w:rsid w:val="00257E37"/>
    <w:rsid w:val="0026642A"/>
    <w:rsid w:val="002675B9"/>
    <w:rsid w:val="00267A2E"/>
    <w:rsid w:val="00270111"/>
    <w:rsid w:val="002715F6"/>
    <w:rsid w:val="002733DE"/>
    <w:rsid w:val="00277127"/>
    <w:rsid w:val="00277B20"/>
    <w:rsid w:val="00282F1E"/>
    <w:rsid w:val="00283238"/>
    <w:rsid w:val="0028419A"/>
    <w:rsid w:val="002857AC"/>
    <w:rsid w:val="002902D6"/>
    <w:rsid w:val="002906FC"/>
    <w:rsid w:val="00290807"/>
    <w:rsid w:val="00291311"/>
    <w:rsid w:val="00291B57"/>
    <w:rsid w:val="00293247"/>
    <w:rsid w:val="002965B9"/>
    <w:rsid w:val="002A1691"/>
    <w:rsid w:val="002A1983"/>
    <w:rsid w:val="002C0040"/>
    <w:rsid w:val="002C1E30"/>
    <w:rsid w:val="002C3E1B"/>
    <w:rsid w:val="002C5B98"/>
    <w:rsid w:val="002D1979"/>
    <w:rsid w:val="002D5105"/>
    <w:rsid w:val="002D7920"/>
    <w:rsid w:val="002E4BA9"/>
    <w:rsid w:val="002E5421"/>
    <w:rsid w:val="002E7482"/>
    <w:rsid w:val="002F20F4"/>
    <w:rsid w:val="00302226"/>
    <w:rsid w:val="00303CD4"/>
    <w:rsid w:val="00307083"/>
    <w:rsid w:val="00311B07"/>
    <w:rsid w:val="00312B45"/>
    <w:rsid w:val="003131EC"/>
    <w:rsid w:val="0031657C"/>
    <w:rsid w:val="00317100"/>
    <w:rsid w:val="003207D4"/>
    <w:rsid w:val="00321523"/>
    <w:rsid w:val="003239CB"/>
    <w:rsid w:val="00326B20"/>
    <w:rsid w:val="0033758C"/>
    <w:rsid w:val="00340FB8"/>
    <w:rsid w:val="00341245"/>
    <w:rsid w:val="00343010"/>
    <w:rsid w:val="00354CF3"/>
    <w:rsid w:val="00370A1F"/>
    <w:rsid w:val="00372658"/>
    <w:rsid w:val="00372D88"/>
    <w:rsid w:val="003733CD"/>
    <w:rsid w:val="0037468B"/>
    <w:rsid w:val="003772F0"/>
    <w:rsid w:val="003837C5"/>
    <w:rsid w:val="003854A8"/>
    <w:rsid w:val="00385E83"/>
    <w:rsid w:val="00387CA1"/>
    <w:rsid w:val="003920C5"/>
    <w:rsid w:val="003935B8"/>
    <w:rsid w:val="00394DBC"/>
    <w:rsid w:val="0039610B"/>
    <w:rsid w:val="003A0694"/>
    <w:rsid w:val="003A165B"/>
    <w:rsid w:val="003A393E"/>
    <w:rsid w:val="003B146A"/>
    <w:rsid w:val="003B1C10"/>
    <w:rsid w:val="003C32D5"/>
    <w:rsid w:val="003C6479"/>
    <w:rsid w:val="003C72BF"/>
    <w:rsid w:val="003D0521"/>
    <w:rsid w:val="003D153E"/>
    <w:rsid w:val="003D3491"/>
    <w:rsid w:val="003D37D1"/>
    <w:rsid w:val="003D442D"/>
    <w:rsid w:val="003D52A6"/>
    <w:rsid w:val="003D5ED4"/>
    <w:rsid w:val="003E21BC"/>
    <w:rsid w:val="003E3826"/>
    <w:rsid w:val="003E67C6"/>
    <w:rsid w:val="003F2089"/>
    <w:rsid w:val="003F217F"/>
    <w:rsid w:val="003F4224"/>
    <w:rsid w:val="004004BF"/>
    <w:rsid w:val="00404A39"/>
    <w:rsid w:val="00407EDC"/>
    <w:rsid w:val="004102FE"/>
    <w:rsid w:val="00413127"/>
    <w:rsid w:val="004146F5"/>
    <w:rsid w:val="004217F4"/>
    <w:rsid w:val="00422E0E"/>
    <w:rsid w:val="004308D6"/>
    <w:rsid w:val="0043172E"/>
    <w:rsid w:val="004420B0"/>
    <w:rsid w:val="004510FE"/>
    <w:rsid w:val="00456987"/>
    <w:rsid w:val="00457ADB"/>
    <w:rsid w:val="00460E02"/>
    <w:rsid w:val="00483B78"/>
    <w:rsid w:val="00483E3F"/>
    <w:rsid w:val="0048698A"/>
    <w:rsid w:val="00487BB0"/>
    <w:rsid w:val="00490D26"/>
    <w:rsid w:val="00493CFC"/>
    <w:rsid w:val="004A04B9"/>
    <w:rsid w:val="004A31E6"/>
    <w:rsid w:val="004A5C03"/>
    <w:rsid w:val="004B4EDF"/>
    <w:rsid w:val="004B50F3"/>
    <w:rsid w:val="004C1070"/>
    <w:rsid w:val="004C13DF"/>
    <w:rsid w:val="004C318A"/>
    <w:rsid w:val="004C518A"/>
    <w:rsid w:val="004C7A53"/>
    <w:rsid w:val="004D3310"/>
    <w:rsid w:val="004D55FB"/>
    <w:rsid w:val="004D7266"/>
    <w:rsid w:val="004D7858"/>
    <w:rsid w:val="004E04E3"/>
    <w:rsid w:val="004E3E98"/>
    <w:rsid w:val="004E6B77"/>
    <w:rsid w:val="004E7FA8"/>
    <w:rsid w:val="004F158D"/>
    <w:rsid w:val="004F348E"/>
    <w:rsid w:val="004F3C85"/>
    <w:rsid w:val="004F7C42"/>
    <w:rsid w:val="004F7FCA"/>
    <w:rsid w:val="00502116"/>
    <w:rsid w:val="00503F4E"/>
    <w:rsid w:val="0051132D"/>
    <w:rsid w:val="00511CB5"/>
    <w:rsid w:val="005133A8"/>
    <w:rsid w:val="00514744"/>
    <w:rsid w:val="00515A6A"/>
    <w:rsid w:val="00515CF1"/>
    <w:rsid w:val="0052096C"/>
    <w:rsid w:val="00522FAF"/>
    <w:rsid w:val="005263D2"/>
    <w:rsid w:val="00532CDF"/>
    <w:rsid w:val="005360D5"/>
    <w:rsid w:val="0053725F"/>
    <w:rsid w:val="005443FC"/>
    <w:rsid w:val="00556189"/>
    <w:rsid w:val="005602CA"/>
    <w:rsid w:val="0056429C"/>
    <w:rsid w:val="005678F5"/>
    <w:rsid w:val="00567D7C"/>
    <w:rsid w:val="00570C49"/>
    <w:rsid w:val="00570E22"/>
    <w:rsid w:val="00573C67"/>
    <w:rsid w:val="00582E65"/>
    <w:rsid w:val="00584938"/>
    <w:rsid w:val="00584BD2"/>
    <w:rsid w:val="00590C44"/>
    <w:rsid w:val="00590E51"/>
    <w:rsid w:val="005956CF"/>
    <w:rsid w:val="005956EC"/>
    <w:rsid w:val="00597AC5"/>
    <w:rsid w:val="005A07F0"/>
    <w:rsid w:val="005A097A"/>
    <w:rsid w:val="005A3EAE"/>
    <w:rsid w:val="005A536F"/>
    <w:rsid w:val="005B0423"/>
    <w:rsid w:val="005B26D7"/>
    <w:rsid w:val="005B2AF6"/>
    <w:rsid w:val="005B637A"/>
    <w:rsid w:val="005C3903"/>
    <w:rsid w:val="005C435F"/>
    <w:rsid w:val="005C46F6"/>
    <w:rsid w:val="005C5483"/>
    <w:rsid w:val="005C5E10"/>
    <w:rsid w:val="005D007A"/>
    <w:rsid w:val="005D098E"/>
    <w:rsid w:val="005D0DA3"/>
    <w:rsid w:val="005D2AD1"/>
    <w:rsid w:val="005D6DAA"/>
    <w:rsid w:val="005E141B"/>
    <w:rsid w:val="005E1A4C"/>
    <w:rsid w:val="005E1B42"/>
    <w:rsid w:val="005E25B2"/>
    <w:rsid w:val="005E3FBE"/>
    <w:rsid w:val="005E492D"/>
    <w:rsid w:val="005E4AC8"/>
    <w:rsid w:val="005E7414"/>
    <w:rsid w:val="005F167E"/>
    <w:rsid w:val="005F75D8"/>
    <w:rsid w:val="00600B15"/>
    <w:rsid w:val="00605639"/>
    <w:rsid w:val="00607737"/>
    <w:rsid w:val="00616282"/>
    <w:rsid w:val="00622815"/>
    <w:rsid w:val="00625B76"/>
    <w:rsid w:val="006265CC"/>
    <w:rsid w:val="00626F55"/>
    <w:rsid w:val="0063093A"/>
    <w:rsid w:val="0063240B"/>
    <w:rsid w:val="0063441A"/>
    <w:rsid w:val="00634FF9"/>
    <w:rsid w:val="0064061F"/>
    <w:rsid w:val="006427AF"/>
    <w:rsid w:val="00642A14"/>
    <w:rsid w:val="0065126C"/>
    <w:rsid w:val="00655D58"/>
    <w:rsid w:val="00656076"/>
    <w:rsid w:val="00656656"/>
    <w:rsid w:val="0066416C"/>
    <w:rsid w:val="00666A92"/>
    <w:rsid w:val="006670FB"/>
    <w:rsid w:val="0067120A"/>
    <w:rsid w:val="0067690A"/>
    <w:rsid w:val="00677478"/>
    <w:rsid w:val="00677A14"/>
    <w:rsid w:val="006811F9"/>
    <w:rsid w:val="00684347"/>
    <w:rsid w:val="006871E4"/>
    <w:rsid w:val="0069120E"/>
    <w:rsid w:val="0069157E"/>
    <w:rsid w:val="00691CA1"/>
    <w:rsid w:val="0069265B"/>
    <w:rsid w:val="00693E81"/>
    <w:rsid w:val="0069471B"/>
    <w:rsid w:val="006A10DB"/>
    <w:rsid w:val="006A3955"/>
    <w:rsid w:val="006A4CE1"/>
    <w:rsid w:val="006A4DC9"/>
    <w:rsid w:val="006A7D21"/>
    <w:rsid w:val="006A7E5C"/>
    <w:rsid w:val="006B20BE"/>
    <w:rsid w:val="006B3A55"/>
    <w:rsid w:val="006B4514"/>
    <w:rsid w:val="006B4599"/>
    <w:rsid w:val="006B7139"/>
    <w:rsid w:val="006C4F6E"/>
    <w:rsid w:val="006C6049"/>
    <w:rsid w:val="006D0D79"/>
    <w:rsid w:val="006D2224"/>
    <w:rsid w:val="006D2623"/>
    <w:rsid w:val="006D6247"/>
    <w:rsid w:val="006E01BC"/>
    <w:rsid w:val="006E0A0E"/>
    <w:rsid w:val="006E110B"/>
    <w:rsid w:val="006E141C"/>
    <w:rsid w:val="006E1743"/>
    <w:rsid w:val="006E31C8"/>
    <w:rsid w:val="006E32A2"/>
    <w:rsid w:val="006E3A61"/>
    <w:rsid w:val="006E588B"/>
    <w:rsid w:val="006F45A7"/>
    <w:rsid w:val="006F5926"/>
    <w:rsid w:val="006F6AD4"/>
    <w:rsid w:val="006F6F5C"/>
    <w:rsid w:val="006F7440"/>
    <w:rsid w:val="00704E53"/>
    <w:rsid w:val="0070638E"/>
    <w:rsid w:val="00706636"/>
    <w:rsid w:val="00707EF0"/>
    <w:rsid w:val="007106F9"/>
    <w:rsid w:val="00715111"/>
    <w:rsid w:val="00720151"/>
    <w:rsid w:val="00720963"/>
    <w:rsid w:val="00731F6C"/>
    <w:rsid w:val="00732DB2"/>
    <w:rsid w:val="00734F5A"/>
    <w:rsid w:val="007365A0"/>
    <w:rsid w:val="00736EDC"/>
    <w:rsid w:val="007439C4"/>
    <w:rsid w:val="00744932"/>
    <w:rsid w:val="00744D40"/>
    <w:rsid w:val="00747137"/>
    <w:rsid w:val="00750A4F"/>
    <w:rsid w:val="00751B5A"/>
    <w:rsid w:val="00774CC6"/>
    <w:rsid w:val="00776A26"/>
    <w:rsid w:val="007830D1"/>
    <w:rsid w:val="0078356C"/>
    <w:rsid w:val="007849D3"/>
    <w:rsid w:val="00785711"/>
    <w:rsid w:val="0078654A"/>
    <w:rsid w:val="00787A02"/>
    <w:rsid w:val="007950C2"/>
    <w:rsid w:val="0079674B"/>
    <w:rsid w:val="00796EAC"/>
    <w:rsid w:val="007A356C"/>
    <w:rsid w:val="007A5589"/>
    <w:rsid w:val="007A5D18"/>
    <w:rsid w:val="007A73A6"/>
    <w:rsid w:val="007B29DD"/>
    <w:rsid w:val="007B3C0A"/>
    <w:rsid w:val="007B4E5F"/>
    <w:rsid w:val="007B5D2D"/>
    <w:rsid w:val="007B6654"/>
    <w:rsid w:val="007B70E9"/>
    <w:rsid w:val="007B76A4"/>
    <w:rsid w:val="007C58B7"/>
    <w:rsid w:val="007C7956"/>
    <w:rsid w:val="007D12E5"/>
    <w:rsid w:val="007D4FA7"/>
    <w:rsid w:val="007D6181"/>
    <w:rsid w:val="007E0899"/>
    <w:rsid w:val="007E1E1E"/>
    <w:rsid w:val="007E38A7"/>
    <w:rsid w:val="007F150B"/>
    <w:rsid w:val="007F2234"/>
    <w:rsid w:val="007F321F"/>
    <w:rsid w:val="007F55A2"/>
    <w:rsid w:val="007F64D7"/>
    <w:rsid w:val="007F6B65"/>
    <w:rsid w:val="008010A8"/>
    <w:rsid w:val="00801499"/>
    <w:rsid w:val="00801FA6"/>
    <w:rsid w:val="008043F4"/>
    <w:rsid w:val="00807823"/>
    <w:rsid w:val="008100EB"/>
    <w:rsid w:val="00810414"/>
    <w:rsid w:val="00810C8B"/>
    <w:rsid w:val="00814847"/>
    <w:rsid w:val="00822981"/>
    <w:rsid w:val="00834880"/>
    <w:rsid w:val="00844DE0"/>
    <w:rsid w:val="00845085"/>
    <w:rsid w:val="008452B3"/>
    <w:rsid w:val="00845487"/>
    <w:rsid w:val="00847674"/>
    <w:rsid w:val="00847FD5"/>
    <w:rsid w:val="00850654"/>
    <w:rsid w:val="00851976"/>
    <w:rsid w:val="008607E1"/>
    <w:rsid w:val="00860E95"/>
    <w:rsid w:val="00865965"/>
    <w:rsid w:val="00866CDA"/>
    <w:rsid w:val="00867FBB"/>
    <w:rsid w:val="0087008E"/>
    <w:rsid w:val="00875BC2"/>
    <w:rsid w:val="00876626"/>
    <w:rsid w:val="00881282"/>
    <w:rsid w:val="00881F17"/>
    <w:rsid w:val="0088260A"/>
    <w:rsid w:val="00883317"/>
    <w:rsid w:val="00887442"/>
    <w:rsid w:val="0089335E"/>
    <w:rsid w:val="008938F9"/>
    <w:rsid w:val="00893E5E"/>
    <w:rsid w:val="00895B0D"/>
    <w:rsid w:val="008A31C2"/>
    <w:rsid w:val="008A5F7A"/>
    <w:rsid w:val="008A67EA"/>
    <w:rsid w:val="008A6B4E"/>
    <w:rsid w:val="008B190E"/>
    <w:rsid w:val="008B239F"/>
    <w:rsid w:val="008B4214"/>
    <w:rsid w:val="008B568A"/>
    <w:rsid w:val="008B7434"/>
    <w:rsid w:val="008B78AE"/>
    <w:rsid w:val="008B7AB6"/>
    <w:rsid w:val="008C0FC7"/>
    <w:rsid w:val="008C20CD"/>
    <w:rsid w:val="008C38E4"/>
    <w:rsid w:val="008C67B9"/>
    <w:rsid w:val="008D0B1D"/>
    <w:rsid w:val="008D1BD1"/>
    <w:rsid w:val="008D2AF7"/>
    <w:rsid w:val="008D2B22"/>
    <w:rsid w:val="008D3440"/>
    <w:rsid w:val="008D7CC9"/>
    <w:rsid w:val="008E2E8C"/>
    <w:rsid w:val="008E33B7"/>
    <w:rsid w:val="008E4D3B"/>
    <w:rsid w:val="008F0296"/>
    <w:rsid w:val="00903AFB"/>
    <w:rsid w:val="009042B8"/>
    <w:rsid w:val="009050EC"/>
    <w:rsid w:val="00905F09"/>
    <w:rsid w:val="00906D3F"/>
    <w:rsid w:val="00907DBE"/>
    <w:rsid w:val="0091102B"/>
    <w:rsid w:val="00911134"/>
    <w:rsid w:val="009128E1"/>
    <w:rsid w:val="00913AED"/>
    <w:rsid w:val="00916F3C"/>
    <w:rsid w:val="00917A5A"/>
    <w:rsid w:val="009218D6"/>
    <w:rsid w:val="009239E5"/>
    <w:rsid w:val="0092487E"/>
    <w:rsid w:val="0092545A"/>
    <w:rsid w:val="0092759B"/>
    <w:rsid w:val="00931498"/>
    <w:rsid w:val="009425A8"/>
    <w:rsid w:val="009440EC"/>
    <w:rsid w:val="00944174"/>
    <w:rsid w:val="009503A7"/>
    <w:rsid w:val="00951D89"/>
    <w:rsid w:val="00954470"/>
    <w:rsid w:val="00954CFE"/>
    <w:rsid w:val="00957C08"/>
    <w:rsid w:val="00957C17"/>
    <w:rsid w:val="00963A48"/>
    <w:rsid w:val="009709B3"/>
    <w:rsid w:val="0097100A"/>
    <w:rsid w:val="00973F28"/>
    <w:rsid w:val="009758D4"/>
    <w:rsid w:val="00977B12"/>
    <w:rsid w:val="0098033E"/>
    <w:rsid w:val="0098156E"/>
    <w:rsid w:val="00982D50"/>
    <w:rsid w:val="009902C7"/>
    <w:rsid w:val="00991EEE"/>
    <w:rsid w:val="0099340B"/>
    <w:rsid w:val="009A36FC"/>
    <w:rsid w:val="009A6025"/>
    <w:rsid w:val="009B70C2"/>
    <w:rsid w:val="009C0B9A"/>
    <w:rsid w:val="009C3A3A"/>
    <w:rsid w:val="009C3AB5"/>
    <w:rsid w:val="009C3F3C"/>
    <w:rsid w:val="009C430A"/>
    <w:rsid w:val="009C6097"/>
    <w:rsid w:val="009C6EC2"/>
    <w:rsid w:val="009C7B05"/>
    <w:rsid w:val="009D171E"/>
    <w:rsid w:val="009D1B1F"/>
    <w:rsid w:val="009D393A"/>
    <w:rsid w:val="009D3B1B"/>
    <w:rsid w:val="009E1863"/>
    <w:rsid w:val="009E27CE"/>
    <w:rsid w:val="009E589D"/>
    <w:rsid w:val="009E5C44"/>
    <w:rsid w:val="009E6D99"/>
    <w:rsid w:val="009F498E"/>
    <w:rsid w:val="009F6B18"/>
    <w:rsid w:val="00A02928"/>
    <w:rsid w:val="00A05882"/>
    <w:rsid w:val="00A11CCC"/>
    <w:rsid w:val="00A14E71"/>
    <w:rsid w:val="00A15A6E"/>
    <w:rsid w:val="00A16D95"/>
    <w:rsid w:val="00A17851"/>
    <w:rsid w:val="00A22317"/>
    <w:rsid w:val="00A250A5"/>
    <w:rsid w:val="00A27A39"/>
    <w:rsid w:val="00A30CEA"/>
    <w:rsid w:val="00A33F99"/>
    <w:rsid w:val="00A3657F"/>
    <w:rsid w:val="00A47F58"/>
    <w:rsid w:val="00A54381"/>
    <w:rsid w:val="00A57366"/>
    <w:rsid w:val="00A62995"/>
    <w:rsid w:val="00A662E8"/>
    <w:rsid w:val="00A70642"/>
    <w:rsid w:val="00A72BA7"/>
    <w:rsid w:val="00A81DC9"/>
    <w:rsid w:val="00A85FE2"/>
    <w:rsid w:val="00A8741B"/>
    <w:rsid w:val="00A91C21"/>
    <w:rsid w:val="00A92D10"/>
    <w:rsid w:val="00A9411B"/>
    <w:rsid w:val="00AA1DE3"/>
    <w:rsid w:val="00AA5953"/>
    <w:rsid w:val="00AA72B2"/>
    <w:rsid w:val="00AB594A"/>
    <w:rsid w:val="00AB7A95"/>
    <w:rsid w:val="00AC10F3"/>
    <w:rsid w:val="00AC12D3"/>
    <w:rsid w:val="00AC1F30"/>
    <w:rsid w:val="00AC4570"/>
    <w:rsid w:val="00AC49E9"/>
    <w:rsid w:val="00AD145F"/>
    <w:rsid w:val="00AD2890"/>
    <w:rsid w:val="00AD3DDD"/>
    <w:rsid w:val="00AD52E4"/>
    <w:rsid w:val="00AD6EFE"/>
    <w:rsid w:val="00AE0597"/>
    <w:rsid w:val="00AE1604"/>
    <w:rsid w:val="00AE2397"/>
    <w:rsid w:val="00AE3B7F"/>
    <w:rsid w:val="00AE64F2"/>
    <w:rsid w:val="00AE68B3"/>
    <w:rsid w:val="00AF2A46"/>
    <w:rsid w:val="00AF34FC"/>
    <w:rsid w:val="00AF62C9"/>
    <w:rsid w:val="00B01FCE"/>
    <w:rsid w:val="00B0201E"/>
    <w:rsid w:val="00B028EE"/>
    <w:rsid w:val="00B05D2E"/>
    <w:rsid w:val="00B062D4"/>
    <w:rsid w:val="00B070FD"/>
    <w:rsid w:val="00B12EBA"/>
    <w:rsid w:val="00B1775E"/>
    <w:rsid w:val="00B21303"/>
    <w:rsid w:val="00B21EBB"/>
    <w:rsid w:val="00B25546"/>
    <w:rsid w:val="00B260AA"/>
    <w:rsid w:val="00B31F4F"/>
    <w:rsid w:val="00B3534F"/>
    <w:rsid w:val="00B452DB"/>
    <w:rsid w:val="00B46E95"/>
    <w:rsid w:val="00B52CBC"/>
    <w:rsid w:val="00B52F2F"/>
    <w:rsid w:val="00B57BC9"/>
    <w:rsid w:val="00B6428A"/>
    <w:rsid w:val="00B6647F"/>
    <w:rsid w:val="00B70007"/>
    <w:rsid w:val="00B724B3"/>
    <w:rsid w:val="00B72946"/>
    <w:rsid w:val="00B739FC"/>
    <w:rsid w:val="00B75C75"/>
    <w:rsid w:val="00B800B8"/>
    <w:rsid w:val="00B84CDF"/>
    <w:rsid w:val="00B90F33"/>
    <w:rsid w:val="00B911EA"/>
    <w:rsid w:val="00B916F3"/>
    <w:rsid w:val="00B96CC4"/>
    <w:rsid w:val="00B97646"/>
    <w:rsid w:val="00BA591A"/>
    <w:rsid w:val="00BA78E9"/>
    <w:rsid w:val="00BB22A1"/>
    <w:rsid w:val="00BB2D76"/>
    <w:rsid w:val="00BB5E01"/>
    <w:rsid w:val="00BB6F8B"/>
    <w:rsid w:val="00BB7C65"/>
    <w:rsid w:val="00BC4482"/>
    <w:rsid w:val="00BC6B52"/>
    <w:rsid w:val="00BD1B39"/>
    <w:rsid w:val="00BD5398"/>
    <w:rsid w:val="00BD6753"/>
    <w:rsid w:val="00BE5AE3"/>
    <w:rsid w:val="00BF1E54"/>
    <w:rsid w:val="00BF76F9"/>
    <w:rsid w:val="00C03C68"/>
    <w:rsid w:val="00C050F4"/>
    <w:rsid w:val="00C12545"/>
    <w:rsid w:val="00C20FB3"/>
    <w:rsid w:val="00C21046"/>
    <w:rsid w:val="00C22E17"/>
    <w:rsid w:val="00C248FC"/>
    <w:rsid w:val="00C42E18"/>
    <w:rsid w:val="00C441D8"/>
    <w:rsid w:val="00C45A74"/>
    <w:rsid w:val="00C46E70"/>
    <w:rsid w:val="00C47BD6"/>
    <w:rsid w:val="00C50297"/>
    <w:rsid w:val="00C52E9D"/>
    <w:rsid w:val="00C52ECA"/>
    <w:rsid w:val="00C54773"/>
    <w:rsid w:val="00C57062"/>
    <w:rsid w:val="00C61F51"/>
    <w:rsid w:val="00C63342"/>
    <w:rsid w:val="00C649AB"/>
    <w:rsid w:val="00C64C03"/>
    <w:rsid w:val="00C70B8F"/>
    <w:rsid w:val="00C7126D"/>
    <w:rsid w:val="00C76AD5"/>
    <w:rsid w:val="00C87738"/>
    <w:rsid w:val="00C907AC"/>
    <w:rsid w:val="00C90BF0"/>
    <w:rsid w:val="00C9374B"/>
    <w:rsid w:val="00C96E7D"/>
    <w:rsid w:val="00CA0746"/>
    <w:rsid w:val="00CA5B29"/>
    <w:rsid w:val="00CA676C"/>
    <w:rsid w:val="00CA7086"/>
    <w:rsid w:val="00CA7BF4"/>
    <w:rsid w:val="00CB0CE9"/>
    <w:rsid w:val="00CB51F7"/>
    <w:rsid w:val="00CB6548"/>
    <w:rsid w:val="00CB7932"/>
    <w:rsid w:val="00CC26FF"/>
    <w:rsid w:val="00CC5AF6"/>
    <w:rsid w:val="00CC6F92"/>
    <w:rsid w:val="00CC706E"/>
    <w:rsid w:val="00CD0EB4"/>
    <w:rsid w:val="00CD119F"/>
    <w:rsid w:val="00CD1391"/>
    <w:rsid w:val="00CD1F8A"/>
    <w:rsid w:val="00CD2854"/>
    <w:rsid w:val="00CD5F7C"/>
    <w:rsid w:val="00CE0212"/>
    <w:rsid w:val="00CE09BE"/>
    <w:rsid w:val="00CE09DA"/>
    <w:rsid w:val="00CE5519"/>
    <w:rsid w:val="00CE6E09"/>
    <w:rsid w:val="00CF2677"/>
    <w:rsid w:val="00CF6C15"/>
    <w:rsid w:val="00CF6DEE"/>
    <w:rsid w:val="00CF78E6"/>
    <w:rsid w:val="00D007D9"/>
    <w:rsid w:val="00D04972"/>
    <w:rsid w:val="00D05FD7"/>
    <w:rsid w:val="00D066B4"/>
    <w:rsid w:val="00D1529F"/>
    <w:rsid w:val="00D1709F"/>
    <w:rsid w:val="00D177F3"/>
    <w:rsid w:val="00D17EFF"/>
    <w:rsid w:val="00D20056"/>
    <w:rsid w:val="00D2157F"/>
    <w:rsid w:val="00D219F3"/>
    <w:rsid w:val="00D2239C"/>
    <w:rsid w:val="00D265FF"/>
    <w:rsid w:val="00D33077"/>
    <w:rsid w:val="00D34EF0"/>
    <w:rsid w:val="00D3537C"/>
    <w:rsid w:val="00D36AD8"/>
    <w:rsid w:val="00D379B6"/>
    <w:rsid w:val="00D37D1E"/>
    <w:rsid w:val="00D417DB"/>
    <w:rsid w:val="00D43F24"/>
    <w:rsid w:val="00D46732"/>
    <w:rsid w:val="00D474AD"/>
    <w:rsid w:val="00D52F32"/>
    <w:rsid w:val="00D576A6"/>
    <w:rsid w:val="00D60B21"/>
    <w:rsid w:val="00D61DB6"/>
    <w:rsid w:val="00D72529"/>
    <w:rsid w:val="00D72924"/>
    <w:rsid w:val="00D74E22"/>
    <w:rsid w:val="00D8278D"/>
    <w:rsid w:val="00D848CC"/>
    <w:rsid w:val="00D921A8"/>
    <w:rsid w:val="00D92CC3"/>
    <w:rsid w:val="00D95D37"/>
    <w:rsid w:val="00D97ABC"/>
    <w:rsid w:val="00D97BB7"/>
    <w:rsid w:val="00DA0458"/>
    <w:rsid w:val="00DA0D97"/>
    <w:rsid w:val="00DA298C"/>
    <w:rsid w:val="00DA47D8"/>
    <w:rsid w:val="00DA494D"/>
    <w:rsid w:val="00DA53DD"/>
    <w:rsid w:val="00DA7717"/>
    <w:rsid w:val="00DB067C"/>
    <w:rsid w:val="00DB1018"/>
    <w:rsid w:val="00DB3708"/>
    <w:rsid w:val="00DB75AA"/>
    <w:rsid w:val="00DC3718"/>
    <w:rsid w:val="00DC59DB"/>
    <w:rsid w:val="00DD01AD"/>
    <w:rsid w:val="00DD36B0"/>
    <w:rsid w:val="00DD581C"/>
    <w:rsid w:val="00DE1017"/>
    <w:rsid w:val="00DE2135"/>
    <w:rsid w:val="00DF1644"/>
    <w:rsid w:val="00DF2A9C"/>
    <w:rsid w:val="00E07AFC"/>
    <w:rsid w:val="00E07CA6"/>
    <w:rsid w:val="00E12BAD"/>
    <w:rsid w:val="00E1727A"/>
    <w:rsid w:val="00E232D1"/>
    <w:rsid w:val="00E30456"/>
    <w:rsid w:val="00E30C14"/>
    <w:rsid w:val="00E31205"/>
    <w:rsid w:val="00E3333D"/>
    <w:rsid w:val="00E43C62"/>
    <w:rsid w:val="00E47AE2"/>
    <w:rsid w:val="00E52EC2"/>
    <w:rsid w:val="00E54273"/>
    <w:rsid w:val="00E547E7"/>
    <w:rsid w:val="00E549A0"/>
    <w:rsid w:val="00E60BE8"/>
    <w:rsid w:val="00E63AF9"/>
    <w:rsid w:val="00E64DDD"/>
    <w:rsid w:val="00E70779"/>
    <w:rsid w:val="00E740ED"/>
    <w:rsid w:val="00E76B83"/>
    <w:rsid w:val="00E8765F"/>
    <w:rsid w:val="00E91F66"/>
    <w:rsid w:val="00E94E7E"/>
    <w:rsid w:val="00EA39DA"/>
    <w:rsid w:val="00EA3B7B"/>
    <w:rsid w:val="00EB1F3F"/>
    <w:rsid w:val="00EB2D96"/>
    <w:rsid w:val="00EB6C54"/>
    <w:rsid w:val="00EB7070"/>
    <w:rsid w:val="00EC18C6"/>
    <w:rsid w:val="00EC5FC8"/>
    <w:rsid w:val="00EC5FD1"/>
    <w:rsid w:val="00EC605D"/>
    <w:rsid w:val="00EC75BC"/>
    <w:rsid w:val="00ED2AE8"/>
    <w:rsid w:val="00ED391E"/>
    <w:rsid w:val="00ED56E2"/>
    <w:rsid w:val="00EE153D"/>
    <w:rsid w:val="00EE455F"/>
    <w:rsid w:val="00EE536B"/>
    <w:rsid w:val="00EE55D9"/>
    <w:rsid w:val="00EE5B1A"/>
    <w:rsid w:val="00EE6406"/>
    <w:rsid w:val="00EF13EC"/>
    <w:rsid w:val="00F022D6"/>
    <w:rsid w:val="00F05120"/>
    <w:rsid w:val="00F05A82"/>
    <w:rsid w:val="00F065B2"/>
    <w:rsid w:val="00F06B34"/>
    <w:rsid w:val="00F07F42"/>
    <w:rsid w:val="00F10300"/>
    <w:rsid w:val="00F14D69"/>
    <w:rsid w:val="00F15B8C"/>
    <w:rsid w:val="00F1663A"/>
    <w:rsid w:val="00F2089C"/>
    <w:rsid w:val="00F22F93"/>
    <w:rsid w:val="00F259A4"/>
    <w:rsid w:val="00F25B7C"/>
    <w:rsid w:val="00F27099"/>
    <w:rsid w:val="00F317BE"/>
    <w:rsid w:val="00F352C6"/>
    <w:rsid w:val="00F36347"/>
    <w:rsid w:val="00F37835"/>
    <w:rsid w:val="00F41D2E"/>
    <w:rsid w:val="00F42098"/>
    <w:rsid w:val="00F4300D"/>
    <w:rsid w:val="00F43591"/>
    <w:rsid w:val="00F45D31"/>
    <w:rsid w:val="00F4674D"/>
    <w:rsid w:val="00F508A1"/>
    <w:rsid w:val="00F6199D"/>
    <w:rsid w:val="00F664E9"/>
    <w:rsid w:val="00F66550"/>
    <w:rsid w:val="00F67181"/>
    <w:rsid w:val="00F67A35"/>
    <w:rsid w:val="00F7266C"/>
    <w:rsid w:val="00F7645C"/>
    <w:rsid w:val="00F767CD"/>
    <w:rsid w:val="00F81DEE"/>
    <w:rsid w:val="00F823F4"/>
    <w:rsid w:val="00F82C7D"/>
    <w:rsid w:val="00F847EC"/>
    <w:rsid w:val="00F84995"/>
    <w:rsid w:val="00F8739D"/>
    <w:rsid w:val="00F901E5"/>
    <w:rsid w:val="00F92BBC"/>
    <w:rsid w:val="00FA0C9E"/>
    <w:rsid w:val="00FA178B"/>
    <w:rsid w:val="00FA1A13"/>
    <w:rsid w:val="00FA2520"/>
    <w:rsid w:val="00FA43EF"/>
    <w:rsid w:val="00FB46A0"/>
    <w:rsid w:val="00FB4B29"/>
    <w:rsid w:val="00FB6023"/>
    <w:rsid w:val="00FB6234"/>
    <w:rsid w:val="00FC066C"/>
    <w:rsid w:val="00FC218F"/>
    <w:rsid w:val="00FC5059"/>
    <w:rsid w:val="00FD42C4"/>
    <w:rsid w:val="00FD4AF3"/>
    <w:rsid w:val="00FE0E5E"/>
    <w:rsid w:val="00FE1A53"/>
    <w:rsid w:val="00FE218E"/>
    <w:rsid w:val="00FE5B65"/>
    <w:rsid w:val="00FF1267"/>
    <w:rsid w:val="00FF65A2"/>
    <w:rsid w:val="00FF68B6"/>
    <w:rsid w:val="027175A8"/>
    <w:rsid w:val="27560223"/>
    <w:rsid w:val="421513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13955"/>
  <w15:docId w15:val="{53FA1007-0DDD-4C0C-AE2A-FD7391F0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4061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4061F"/>
    <w:rPr>
      <w:rFonts w:ascii="Verdana" w:hAnsi="Verdana"/>
      <w:color w:val="000000"/>
      <w:sz w:val="18"/>
      <w:szCs w:val="18"/>
    </w:rPr>
  </w:style>
  <w:style w:type="paragraph" w:styleId="Voettekst">
    <w:name w:val="footer"/>
    <w:basedOn w:val="Standaard"/>
    <w:link w:val="VoettekstChar"/>
    <w:uiPriority w:val="99"/>
    <w:unhideWhenUsed/>
    <w:rsid w:val="0064061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4061F"/>
    <w:rPr>
      <w:rFonts w:ascii="Verdana" w:hAnsi="Verdana"/>
      <w:color w:val="000000"/>
      <w:sz w:val="18"/>
      <w:szCs w:val="18"/>
    </w:rPr>
  </w:style>
  <w:style w:type="paragraph" w:styleId="Geenafstand">
    <w:name w:val="No Spacing"/>
    <w:basedOn w:val="Standaard"/>
    <w:uiPriority w:val="1"/>
    <w:qFormat/>
    <w:rsid w:val="0064061F"/>
    <w:pPr>
      <w:spacing w:after="240" w:line="276" w:lineRule="auto"/>
      <w:jc w:val="both"/>
    </w:pPr>
  </w:style>
  <w:style w:type="paragraph" w:styleId="Voetnoottekst">
    <w:name w:val="footnote text"/>
    <w:basedOn w:val="Standaard"/>
    <w:link w:val="VoetnoottekstChar"/>
    <w:uiPriority w:val="99"/>
    <w:unhideWhenUsed/>
    <w:rsid w:val="000C22DD"/>
    <w:pPr>
      <w:spacing w:line="240" w:lineRule="auto"/>
    </w:pPr>
    <w:rPr>
      <w:sz w:val="16"/>
      <w:szCs w:val="20"/>
    </w:rPr>
  </w:style>
  <w:style w:type="character" w:customStyle="1" w:styleId="VoetnoottekstChar">
    <w:name w:val="Voetnoottekst Char"/>
    <w:basedOn w:val="Standaardalinea-lettertype"/>
    <w:link w:val="Voetnoottekst"/>
    <w:uiPriority w:val="99"/>
    <w:rsid w:val="000C22DD"/>
    <w:rPr>
      <w:rFonts w:ascii="Verdana" w:hAnsi="Verdana"/>
      <w:color w:val="000000"/>
      <w:sz w:val="16"/>
    </w:rPr>
  </w:style>
  <w:style w:type="character" w:styleId="Voetnootmarkering">
    <w:name w:val="footnote reference"/>
    <w:basedOn w:val="Standaardalinea-lettertype"/>
    <w:uiPriority w:val="99"/>
    <w:semiHidden/>
    <w:unhideWhenUsed/>
    <w:rsid w:val="00EA39DA"/>
    <w:rPr>
      <w:vertAlign w:val="superscript"/>
    </w:rPr>
  </w:style>
  <w:style w:type="character" w:styleId="Verwijzingopmerking">
    <w:name w:val="annotation reference"/>
    <w:basedOn w:val="Standaardalinea-lettertype"/>
    <w:uiPriority w:val="99"/>
    <w:semiHidden/>
    <w:unhideWhenUsed/>
    <w:rsid w:val="004F158D"/>
    <w:rPr>
      <w:sz w:val="16"/>
      <w:szCs w:val="16"/>
    </w:rPr>
  </w:style>
  <w:style w:type="paragraph" w:styleId="Tekstopmerking">
    <w:name w:val="annotation text"/>
    <w:basedOn w:val="Standaard"/>
    <w:link w:val="TekstopmerkingChar"/>
    <w:uiPriority w:val="99"/>
    <w:unhideWhenUsed/>
    <w:rsid w:val="004F158D"/>
    <w:pPr>
      <w:autoSpaceDN/>
      <w:spacing w:line="240" w:lineRule="auto"/>
      <w:textAlignment w:val="auto"/>
    </w:pPr>
    <w:rPr>
      <w:rFonts w:ascii="Calibri" w:eastAsiaTheme="minorHAnsi" w:hAnsi="Calibri" w:cs="Calibri"/>
      <w:color w:val="auto"/>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4F158D"/>
    <w:rPr>
      <w:rFonts w:ascii="Calibri" w:eastAsiaTheme="minorHAnsi" w:hAnsi="Calibri" w:cs="Calibri"/>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4F158D"/>
    <w:pPr>
      <w:autoSpaceDN w:val="0"/>
      <w:textAlignment w:val="baseline"/>
    </w:pPr>
    <w:rPr>
      <w:rFonts w:ascii="Verdana" w:eastAsia="DejaVu Sans" w:hAnsi="Verdana" w:cs="Lohit Hindi"/>
      <w:b/>
      <w:bCs/>
      <w:color w:val="000000"/>
      <w:lang w:eastAsia="nl-NL"/>
      <w14:ligatures w14:val="none"/>
    </w:rPr>
  </w:style>
  <w:style w:type="character" w:customStyle="1" w:styleId="OnderwerpvanopmerkingChar">
    <w:name w:val="Onderwerp van opmerking Char"/>
    <w:basedOn w:val="TekstopmerkingChar"/>
    <w:link w:val="Onderwerpvanopmerking"/>
    <w:uiPriority w:val="99"/>
    <w:semiHidden/>
    <w:rsid w:val="004F158D"/>
    <w:rPr>
      <w:rFonts w:ascii="Verdana" w:eastAsiaTheme="minorHAnsi" w:hAnsi="Verdana" w:cs="Calibri"/>
      <w:b/>
      <w:bCs/>
      <w:color w:val="000000"/>
      <w:lang w:eastAsia="en-US"/>
      <w14:ligatures w14:val="standardContextual"/>
    </w:rPr>
  </w:style>
  <w:style w:type="paragraph" w:styleId="Revisie">
    <w:name w:val="Revision"/>
    <w:hidden/>
    <w:uiPriority w:val="99"/>
    <w:semiHidden/>
    <w:rsid w:val="00C9374B"/>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291B57"/>
    <w:rPr>
      <w:color w:val="605E5C"/>
      <w:shd w:val="clear" w:color="auto" w:fill="E1DFDD"/>
    </w:rPr>
  </w:style>
  <w:style w:type="paragraph" w:styleId="Lijstalinea">
    <w:name w:val="List Paragraph"/>
    <w:basedOn w:val="Standaard"/>
    <w:uiPriority w:val="34"/>
    <w:semiHidden/>
    <w:rsid w:val="00115BDA"/>
    <w:pPr>
      <w:ind w:left="720"/>
      <w:contextualSpacing/>
    </w:pPr>
  </w:style>
  <w:style w:type="table" w:styleId="Tabelraster">
    <w:name w:val="Table Grid"/>
    <w:basedOn w:val="Standaardtabel"/>
    <w:uiPriority w:val="39"/>
    <w:rsid w:val="00E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5E7414"/>
    <w:rPr>
      <w:color w:val="96607D" w:themeColor="followedHyperlink"/>
      <w:u w:val="single"/>
    </w:rPr>
  </w:style>
  <w:style w:type="table" w:styleId="Rastertabel4-Accent1">
    <w:name w:val="Grid Table 4 Accent 1"/>
    <w:basedOn w:val="Standaardtabel"/>
    <w:uiPriority w:val="49"/>
    <w:rsid w:val="00AF34FC"/>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4">
    <w:name w:val="Grid Table 4"/>
    <w:basedOn w:val="Standaardtabel"/>
    <w:uiPriority w:val="49"/>
    <w:rsid w:val="00AF34F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3-Accent6">
    <w:name w:val="Grid Table 3 Accent 6"/>
    <w:basedOn w:val="Standaardtabel"/>
    <w:uiPriority w:val="48"/>
    <w:rsid w:val="00AF34FC"/>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Rastertabel3-Accent4">
    <w:name w:val="Grid Table 3 Accent 4"/>
    <w:basedOn w:val="Standaardtabel"/>
    <w:uiPriority w:val="48"/>
    <w:rsid w:val="00AF34FC"/>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Lijsttabel7kleurrijk-Accent1">
    <w:name w:val="List Table 7 Colorful Accent 1"/>
    <w:basedOn w:val="Standaardtabel"/>
    <w:uiPriority w:val="52"/>
    <w:rsid w:val="00AF34FC"/>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6kleurrijk-Accent4">
    <w:name w:val="List Table 6 Colorful Accent 4"/>
    <w:basedOn w:val="Standaardtabel"/>
    <w:uiPriority w:val="51"/>
    <w:rsid w:val="00AF34FC"/>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1licht-Accent1">
    <w:name w:val="Grid Table 1 Light Accent 1"/>
    <w:basedOn w:val="Standaardtabel"/>
    <w:uiPriority w:val="46"/>
    <w:rsid w:val="00AF34FC"/>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jsttabel3-Accent4">
    <w:name w:val="List Table 3 Accent 4"/>
    <w:basedOn w:val="Standaardtabel"/>
    <w:uiPriority w:val="48"/>
    <w:rsid w:val="00AF34FC"/>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1781">
      <w:bodyDiv w:val="1"/>
      <w:marLeft w:val="0"/>
      <w:marRight w:val="0"/>
      <w:marTop w:val="0"/>
      <w:marBottom w:val="0"/>
      <w:divBdr>
        <w:top w:val="none" w:sz="0" w:space="0" w:color="auto"/>
        <w:left w:val="none" w:sz="0" w:space="0" w:color="auto"/>
        <w:bottom w:val="none" w:sz="0" w:space="0" w:color="auto"/>
        <w:right w:val="none" w:sz="0" w:space="0" w:color="auto"/>
      </w:divBdr>
    </w:div>
    <w:div w:id="60449653">
      <w:bodyDiv w:val="1"/>
      <w:marLeft w:val="0"/>
      <w:marRight w:val="0"/>
      <w:marTop w:val="0"/>
      <w:marBottom w:val="0"/>
      <w:divBdr>
        <w:top w:val="none" w:sz="0" w:space="0" w:color="auto"/>
        <w:left w:val="none" w:sz="0" w:space="0" w:color="auto"/>
        <w:bottom w:val="none" w:sz="0" w:space="0" w:color="auto"/>
        <w:right w:val="none" w:sz="0" w:space="0" w:color="auto"/>
      </w:divBdr>
    </w:div>
    <w:div w:id="80219624">
      <w:bodyDiv w:val="1"/>
      <w:marLeft w:val="0"/>
      <w:marRight w:val="0"/>
      <w:marTop w:val="0"/>
      <w:marBottom w:val="0"/>
      <w:divBdr>
        <w:top w:val="none" w:sz="0" w:space="0" w:color="auto"/>
        <w:left w:val="none" w:sz="0" w:space="0" w:color="auto"/>
        <w:bottom w:val="none" w:sz="0" w:space="0" w:color="auto"/>
        <w:right w:val="none" w:sz="0" w:space="0" w:color="auto"/>
      </w:divBdr>
    </w:div>
    <w:div w:id="87511337">
      <w:bodyDiv w:val="1"/>
      <w:marLeft w:val="0"/>
      <w:marRight w:val="0"/>
      <w:marTop w:val="0"/>
      <w:marBottom w:val="0"/>
      <w:divBdr>
        <w:top w:val="none" w:sz="0" w:space="0" w:color="auto"/>
        <w:left w:val="none" w:sz="0" w:space="0" w:color="auto"/>
        <w:bottom w:val="none" w:sz="0" w:space="0" w:color="auto"/>
        <w:right w:val="none" w:sz="0" w:space="0" w:color="auto"/>
      </w:divBdr>
    </w:div>
    <w:div w:id="175314592">
      <w:bodyDiv w:val="1"/>
      <w:marLeft w:val="0"/>
      <w:marRight w:val="0"/>
      <w:marTop w:val="0"/>
      <w:marBottom w:val="0"/>
      <w:divBdr>
        <w:top w:val="none" w:sz="0" w:space="0" w:color="auto"/>
        <w:left w:val="none" w:sz="0" w:space="0" w:color="auto"/>
        <w:bottom w:val="none" w:sz="0" w:space="0" w:color="auto"/>
        <w:right w:val="none" w:sz="0" w:space="0" w:color="auto"/>
      </w:divBdr>
    </w:div>
    <w:div w:id="180320623">
      <w:bodyDiv w:val="1"/>
      <w:marLeft w:val="0"/>
      <w:marRight w:val="0"/>
      <w:marTop w:val="0"/>
      <w:marBottom w:val="0"/>
      <w:divBdr>
        <w:top w:val="none" w:sz="0" w:space="0" w:color="auto"/>
        <w:left w:val="none" w:sz="0" w:space="0" w:color="auto"/>
        <w:bottom w:val="none" w:sz="0" w:space="0" w:color="auto"/>
        <w:right w:val="none" w:sz="0" w:space="0" w:color="auto"/>
      </w:divBdr>
    </w:div>
    <w:div w:id="257369724">
      <w:bodyDiv w:val="1"/>
      <w:marLeft w:val="0"/>
      <w:marRight w:val="0"/>
      <w:marTop w:val="0"/>
      <w:marBottom w:val="0"/>
      <w:divBdr>
        <w:top w:val="none" w:sz="0" w:space="0" w:color="auto"/>
        <w:left w:val="none" w:sz="0" w:space="0" w:color="auto"/>
        <w:bottom w:val="none" w:sz="0" w:space="0" w:color="auto"/>
        <w:right w:val="none" w:sz="0" w:space="0" w:color="auto"/>
      </w:divBdr>
    </w:div>
    <w:div w:id="272245669">
      <w:bodyDiv w:val="1"/>
      <w:marLeft w:val="0"/>
      <w:marRight w:val="0"/>
      <w:marTop w:val="0"/>
      <w:marBottom w:val="0"/>
      <w:divBdr>
        <w:top w:val="none" w:sz="0" w:space="0" w:color="auto"/>
        <w:left w:val="none" w:sz="0" w:space="0" w:color="auto"/>
        <w:bottom w:val="none" w:sz="0" w:space="0" w:color="auto"/>
        <w:right w:val="none" w:sz="0" w:space="0" w:color="auto"/>
      </w:divBdr>
    </w:div>
    <w:div w:id="319387164">
      <w:bodyDiv w:val="1"/>
      <w:marLeft w:val="0"/>
      <w:marRight w:val="0"/>
      <w:marTop w:val="0"/>
      <w:marBottom w:val="0"/>
      <w:divBdr>
        <w:top w:val="none" w:sz="0" w:space="0" w:color="auto"/>
        <w:left w:val="none" w:sz="0" w:space="0" w:color="auto"/>
        <w:bottom w:val="none" w:sz="0" w:space="0" w:color="auto"/>
        <w:right w:val="none" w:sz="0" w:space="0" w:color="auto"/>
      </w:divBdr>
    </w:div>
    <w:div w:id="320891825">
      <w:bodyDiv w:val="1"/>
      <w:marLeft w:val="0"/>
      <w:marRight w:val="0"/>
      <w:marTop w:val="0"/>
      <w:marBottom w:val="0"/>
      <w:divBdr>
        <w:top w:val="none" w:sz="0" w:space="0" w:color="auto"/>
        <w:left w:val="none" w:sz="0" w:space="0" w:color="auto"/>
        <w:bottom w:val="none" w:sz="0" w:space="0" w:color="auto"/>
        <w:right w:val="none" w:sz="0" w:space="0" w:color="auto"/>
      </w:divBdr>
      <w:divsChild>
        <w:div w:id="97991439">
          <w:marLeft w:val="0"/>
          <w:marRight w:val="0"/>
          <w:marTop w:val="0"/>
          <w:marBottom w:val="0"/>
          <w:divBdr>
            <w:top w:val="none" w:sz="0" w:space="0" w:color="auto"/>
            <w:left w:val="none" w:sz="0" w:space="0" w:color="auto"/>
            <w:bottom w:val="none" w:sz="0" w:space="0" w:color="auto"/>
            <w:right w:val="none" w:sz="0" w:space="0" w:color="auto"/>
          </w:divBdr>
        </w:div>
        <w:div w:id="156196434">
          <w:marLeft w:val="0"/>
          <w:marRight w:val="0"/>
          <w:marTop w:val="0"/>
          <w:marBottom w:val="0"/>
          <w:divBdr>
            <w:top w:val="none" w:sz="0" w:space="0" w:color="auto"/>
            <w:left w:val="none" w:sz="0" w:space="0" w:color="auto"/>
            <w:bottom w:val="none" w:sz="0" w:space="0" w:color="auto"/>
            <w:right w:val="none" w:sz="0" w:space="0" w:color="auto"/>
          </w:divBdr>
        </w:div>
        <w:div w:id="200289479">
          <w:marLeft w:val="0"/>
          <w:marRight w:val="0"/>
          <w:marTop w:val="0"/>
          <w:marBottom w:val="0"/>
          <w:divBdr>
            <w:top w:val="none" w:sz="0" w:space="0" w:color="auto"/>
            <w:left w:val="none" w:sz="0" w:space="0" w:color="auto"/>
            <w:bottom w:val="none" w:sz="0" w:space="0" w:color="auto"/>
            <w:right w:val="none" w:sz="0" w:space="0" w:color="auto"/>
          </w:divBdr>
        </w:div>
        <w:div w:id="727338597">
          <w:marLeft w:val="0"/>
          <w:marRight w:val="0"/>
          <w:marTop w:val="0"/>
          <w:marBottom w:val="0"/>
          <w:divBdr>
            <w:top w:val="none" w:sz="0" w:space="0" w:color="auto"/>
            <w:left w:val="none" w:sz="0" w:space="0" w:color="auto"/>
            <w:bottom w:val="none" w:sz="0" w:space="0" w:color="auto"/>
            <w:right w:val="none" w:sz="0" w:space="0" w:color="auto"/>
          </w:divBdr>
        </w:div>
        <w:div w:id="918444842">
          <w:marLeft w:val="0"/>
          <w:marRight w:val="0"/>
          <w:marTop w:val="0"/>
          <w:marBottom w:val="0"/>
          <w:divBdr>
            <w:top w:val="none" w:sz="0" w:space="0" w:color="auto"/>
            <w:left w:val="none" w:sz="0" w:space="0" w:color="auto"/>
            <w:bottom w:val="none" w:sz="0" w:space="0" w:color="auto"/>
            <w:right w:val="none" w:sz="0" w:space="0" w:color="auto"/>
          </w:divBdr>
        </w:div>
        <w:div w:id="1109273001">
          <w:marLeft w:val="0"/>
          <w:marRight w:val="0"/>
          <w:marTop w:val="0"/>
          <w:marBottom w:val="0"/>
          <w:divBdr>
            <w:top w:val="none" w:sz="0" w:space="0" w:color="auto"/>
            <w:left w:val="none" w:sz="0" w:space="0" w:color="auto"/>
            <w:bottom w:val="none" w:sz="0" w:space="0" w:color="auto"/>
            <w:right w:val="none" w:sz="0" w:space="0" w:color="auto"/>
          </w:divBdr>
        </w:div>
        <w:div w:id="1536498810">
          <w:marLeft w:val="0"/>
          <w:marRight w:val="0"/>
          <w:marTop w:val="0"/>
          <w:marBottom w:val="0"/>
          <w:divBdr>
            <w:top w:val="none" w:sz="0" w:space="0" w:color="auto"/>
            <w:left w:val="none" w:sz="0" w:space="0" w:color="auto"/>
            <w:bottom w:val="none" w:sz="0" w:space="0" w:color="auto"/>
            <w:right w:val="none" w:sz="0" w:space="0" w:color="auto"/>
          </w:divBdr>
        </w:div>
        <w:div w:id="1943873178">
          <w:marLeft w:val="0"/>
          <w:marRight w:val="0"/>
          <w:marTop w:val="0"/>
          <w:marBottom w:val="0"/>
          <w:divBdr>
            <w:top w:val="none" w:sz="0" w:space="0" w:color="auto"/>
            <w:left w:val="none" w:sz="0" w:space="0" w:color="auto"/>
            <w:bottom w:val="none" w:sz="0" w:space="0" w:color="auto"/>
            <w:right w:val="none" w:sz="0" w:space="0" w:color="auto"/>
          </w:divBdr>
        </w:div>
        <w:div w:id="2120102823">
          <w:marLeft w:val="0"/>
          <w:marRight w:val="0"/>
          <w:marTop w:val="0"/>
          <w:marBottom w:val="0"/>
          <w:divBdr>
            <w:top w:val="none" w:sz="0" w:space="0" w:color="auto"/>
            <w:left w:val="none" w:sz="0" w:space="0" w:color="auto"/>
            <w:bottom w:val="none" w:sz="0" w:space="0" w:color="auto"/>
            <w:right w:val="none" w:sz="0" w:space="0" w:color="auto"/>
          </w:divBdr>
        </w:div>
        <w:div w:id="2124880501">
          <w:marLeft w:val="0"/>
          <w:marRight w:val="0"/>
          <w:marTop w:val="0"/>
          <w:marBottom w:val="0"/>
          <w:divBdr>
            <w:top w:val="none" w:sz="0" w:space="0" w:color="auto"/>
            <w:left w:val="none" w:sz="0" w:space="0" w:color="auto"/>
            <w:bottom w:val="none" w:sz="0" w:space="0" w:color="auto"/>
            <w:right w:val="none" w:sz="0" w:space="0" w:color="auto"/>
          </w:divBdr>
        </w:div>
      </w:divsChild>
    </w:div>
    <w:div w:id="472061328">
      <w:bodyDiv w:val="1"/>
      <w:marLeft w:val="0"/>
      <w:marRight w:val="0"/>
      <w:marTop w:val="0"/>
      <w:marBottom w:val="0"/>
      <w:divBdr>
        <w:top w:val="none" w:sz="0" w:space="0" w:color="auto"/>
        <w:left w:val="none" w:sz="0" w:space="0" w:color="auto"/>
        <w:bottom w:val="none" w:sz="0" w:space="0" w:color="auto"/>
        <w:right w:val="none" w:sz="0" w:space="0" w:color="auto"/>
      </w:divBdr>
    </w:div>
    <w:div w:id="475999373">
      <w:bodyDiv w:val="1"/>
      <w:marLeft w:val="0"/>
      <w:marRight w:val="0"/>
      <w:marTop w:val="0"/>
      <w:marBottom w:val="0"/>
      <w:divBdr>
        <w:top w:val="none" w:sz="0" w:space="0" w:color="auto"/>
        <w:left w:val="none" w:sz="0" w:space="0" w:color="auto"/>
        <w:bottom w:val="none" w:sz="0" w:space="0" w:color="auto"/>
        <w:right w:val="none" w:sz="0" w:space="0" w:color="auto"/>
      </w:divBdr>
    </w:div>
    <w:div w:id="493302033">
      <w:bodyDiv w:val="1"/>
      <w:marLeft w:val="0"/>
      <w:marRight w:val="0"/>
      <w:marTop w:val="0"/>
      <w:marBottom w:val="0"/>
      <w:divBdr>
        <w:top w:val="none" w:sz="0" w:space="0" w:color="auto"/>
        <w:left w:val="none" w:sz="0" w:space="0" w:color="auto"/>
        <w:bottom w:val="none" w:sz="0" w:space="0" w:color="auto"/>
        <w:right w:val="none" w:sz="0" w:space="0" w:color="auto"/>
      </w:divBdr>
    </w:div>
    <w:div w:id="571504859">
      <w:bodyDiv w:val="1"/>
      <w:marLeft w:val="0"/>
      <w:marRight w:val="0"/>
      <w:marTop w:val="0"/>
      <w:marBottom w:val="0"/>
      <w:divBdr>
        <w:top w:val="none" w:sz="0" w:space="0" w:color="auto"/>
        <w:left w:val="none" w:sz="0" w:space="0" w:color="auto"/>
        <w:bottom w:val="none" w:sz="0" w:space="0" w:color="auto"/>
        <w:right w:val="none" w:sz="0" w:space="0" w:color="auto"/>
      </w:divBdr>
    </w:div>
    <w:div w:id="671027216">
      <w:bodyDiv w:val="1"/>
      <w:marLeft w:val="0"/>
      <w:marRight w:val="0"/>
      <w:marTop w:val="0"/>
      <w:marBottom w:val="0"/>
      <w:divBdr>
        <w:top w:val="none" w:sz="0" w:space="0" w:color="auto"/>
        <w:left w:val="none" w:sz="0" w:space="0" w:color="auto"/>
        <w:bottom w:val="none" w:sz="0" w:space="0" w:color="auto"/>
        <w:right w:val="none" w:sz="0" w:space="0" w:color="auto"/>
      </w:divBdr>
    </w:div>
    <w:div w:id="751127020">
      <w:bodyDiv w:val="1"/>
      <w:marLeft w:val="0"/>
      <w:marRight w:val="0"/>
      <w:marTop w:val="0"/>
      <w:marBottom w:val="0"/>
      <w:divBdr>
        <w:top w:val="none" w:sz="0" w:space="0" w:color="auto"/>
        <w:left w:val="none" w:sz="0" w:space="0" w:color="auto"/>
        <w:bottom w:val="none" w:sz="0" w:space="0" w:color="auto"/>
        <w:right w:val="none" w:sz="0" w:space="0" w:color="auto"/>
      </w:divBdr>
    </w:div>
    <w:div w:id="792165282">
      <w:bodyDiv w:val="1"/>
      <w:marLeft w:val="0"/>
      <w:marRight w:val="0"/>
      <w:marTop w:val="0"/>
      <w:marBottom w:val="0"/>
      <w:divBdr>
        <w:top w:val="none" w:sz="0" w:space="0" w:color="auto"/>
        <w:left w:val="none" w:sz="0" w:space="0" w:color="auto"/>
        <w:bottom w:val="none" w:sz="0" w:space="0" w:color="auto"/>
        <w:right w:val="none" w:sz="0" w:space="0" w:color="auto"/>
      </w:divBdr>
    </w:div>
    <w:div w:id="794256254">
      <w:bodyDiv w:val="1"/>
      <w:marLeft w:val="0"/>
      <w:marRight w:val="0"/>
      <w:marTop w:val="0"/>
      <w:marBottom w:val="0"/>
      <w:divBdr>
        <w:top w:val="none" w:sz="0" w:space="0" w:color="auto"/>
        <w:left w:val="none" w:sz="0" w:space="0" w:color="auto"/>
        <w:bottom w:val="none" w:sz="0" w:space="0" w:color="auto"/>
        <w:right w:val="none" w:sz="0" w:space="0" w:color="auto"/>
      </w:divBdr>
    </w:div>
    <w:div w:id="817919362">
      <w:bodyDiv w:val="1"/>
      <w:marLeft w:val="0"/>
      <w:marRight w:val="0"/>
      <w:marTop w:val="0"/>
      <w:marBottom w:val="0"/>
      <w:divBdr>
        <w:top w:val="none" w:sz="0" w:space="0" w:color="auto"/>
        <w:left w:val="none" w:sz="0" w:space="0" w:color="auto"/>
        <w:bottom w:val="none" w:sz="0" w:space="0" w:color="auto"/>
        <w:right w:val="none" w:sz="0" w:space="0" w:color="auto"/>
      </w:divBdr>
    </w:div>
    <w:div w:id="843977470">
      <w:bodyDiv w:val="1"/>
      <w:marLeft w:val="0"/>
      <w:marRight w:val="0"/>
      <w:marTop w:val="0"/>
      <w:marBottom w:val="0"/>
      <w:divBdr>
        <w:top w:val="none" w:sz="0" w:space="0" w:color="auto"/>
        <w:left w:val="none" w:sz="0" w:space="0" w:color="auto"/>
        <w:bottom w:val="none" w:sz="0" w:space="0" w:color="auto"/>
        <w:right w:val="none" w:sz="0" w:space="0" w:color="auto"/>
      </w:divBdr>
    </w:div>
    <w:div w:id="869418677">
      <w:bodyDiv w:val="1"/>
      <w:marLeft w:val="0"/>
      <w:marRight w:val="0"/>
      <w:marTop w:val="0"/>
      <w:marBottom w:val="0"/>
      <w:divBdr>
        <w:top w:val="none" w:sz="0" w:space="0" w:color="auto"/>
        <w:left w:val="none" w:sz="0" w:space="0" w:color="auto"/>
        <w:bottom w:val="none" w:sz="0" w:space="0" w:color="auto"/>
        <w:right w:val="none" w:sz="0" w:space="0" w:color="auto"/>
      </w:divBdr>
    </w:div>
    <w:div w:id="893009468">
      <w:bodyDiv w:val="1"/>
      <w:marLeft w:val="0"/>
      <w:marRight w:val="0"/>
      <w:marTop w:val="0"/>
      <w:marBottom w:val="0"/>
      <w:divBdr>
        <w:top w:val="none" w:sz="0" w:space="0" w:color="auto"/>
        <w:left w:val="none" w:sz="0" w:space="0" w:color="auto"/>
        <w:bottom w:val="none" w:sz="0" w:space="0" w:color="auto"/>
        <w:right w:val="none" w:sz="0" w:space="0" w:color="auto"/>
      </w:divBdr>
    </w:div>
    <w:div w:id="979189217">
      <w:bodyDiv w:val="1"/>
      <w:marLeft w:val="0"/>
      <w:marRight w:val="0"/>
      <w:marTop w:val="0"/>
      <w:marBottom w:val="0"/>
      <w:divBdr>
        <w:top w:val="none" w:sz="0" w:space="0" w:color="auto"/>
        <w:left w:val="none" w:sz="0" w:space="0" w:color="auto"/>
        <w:bottom w:val="none" w:sz="0" w:space="0" w:color="auto"/>
        <w:right w:val="none" w:sz="0" w:space="0" w:color="auto"/>
      </w:divBdr>
    </w:div>
    <w:div w:id="1060399977">
      <w:bodyDiv w:val="1"/>
      <w:marLeft w:val="0"/>
      <w:marRight w:val="0"/>
      <w:marTop w:val="0"/>
      <w:marBottom w:val="0"/>
      <w:divBdr>
        <w:top w:val="none" w:sz="0" w:space="0" w:color="auto"/>
        <w:left w:val="none" w:sz="0" w:space="0" w:color="auto"/>
        <w:bottom w:val="none" w:sz="0" w:space="0" w:color="auto"/>
        <w:right w:val="none" w:sz="0" w:space="0" w:color="auto"/>
      </w:divBdr>
    </w:div>
    <w:div w:id="1066494122">
      <w:bodyDiv w:val="1"/>
      <w:marLeft w:val="0"/>
      <w:marRight w:val="0"/>
      <w:marTop w:val="0"/>
      <w:marBottom w:val="0"/>
      <w:divBdr>
        <w:top w:val="none" w:sz="0" w:space="0" w:color="auto"/>
        <w:left w:val="none" w:sz="0" w:space="0" w:color="auto"/>
        <w:bottom w:val="none" w:sz="0" w:space="0" w:color="auto"/>
        <w:right w:val="none" w:sz="0" w:space="0" w:color="auto"/>
      </w:divBdr>
    </w:div>
    <w:div w:id="1072505543">
      <w:bodyDiv w:val="1"/>
      <w:marLeft w:val="0"/>
      <w:marRight w:val="0"/>
      <w:marTop w:val="0"/>
      <w:marBottom w:val="0"/>
      <w:divBdr>
        <w:top w:val="none" w:sz="0" w:space="0" w:color="auto"/>
        <w:left w:val="none" w:sz="0" w:space="0" w:color="auto"/>
        <w:bottom w:val="none" w:sz="0" w:space="0" w:color="auto"/>
        <w:right w:val="none" w:sz="0" w:space="0" w:color="auto"/>
      </w:divBdr>
    </w:div>
    <w:div w:id="1085685844">
      <w:bodyDiv w:val="1"/>
      <w:marLeft w:val="0"/>
      <w:marRight w:val="0"/>
      <w:marTop w:val="0"/>
      <w:marBottom w:val="0"/>
      <w:divBdr>
        <w:top w:val="none" w:sz="0" w:space="0" w:color="auto"/>
        <w:left w:val="none" w:sz="0" w:space="0" w:color="auto"/>
        <w:bottom w:val="none" w:sz="0" w:space="0" w:color="auto"/>
        <w:right w:val="none" w:sz="0" w:space="0" w:color="auto"/>
      </w:divBdr>
    </w:div>
    <w:div w:id="1097287801">
      <w:bodyDiv w:val="1"/>
      <w:marLeft w:val="0"/>
      <w:marRight w:val="0"/>
      <w:marTop w:val="0"/>
      <w:marBottom w:val="0"/>
      <w:divBdr>
        <w:top w:val="none" w:sz="0" w:space="0" w:color="auto"/>
        <w:left w:val="none" w:sz="0" w:space="0" w:color="auto"/>
        <w:bottom w:val="none" w:sz="0" w:space="0" w:color="auto"/>
        <w:right w:val="none" w:sz="0" w:space="0" w:color="auto"/>
      </w:divBdr>
    </w:div>
    <w:div w:id="1153982781">
      <w:bodyDiv w:val="1"/>
      <w:marLeft w:val="0"/>
      <w:marRight w:val="0"/>
      <w:marTop w:val="0"/>
      <w:marBottom w:val="0"/>
      <w:divBdr>
        <w:top w:val="none" w:sz="0" w:space="0" w:color="auto"/>
        <w:left w:val="none" w:sz="0" w:space="0" w:color="auto"/>
        <w:bottom w:val="none" w:sz="0" w:space="0" w:color="auto"/>
        <w:right w:val="none" w:sz="0" w:space="0" w:color="auto"/>
      </w:divBdr>
    </w:div>
    <w:div w:id="1196309296">
      <w:bodyDiv w:val="1"/>
      <w:marLeft w:val="0"/>
      <w:marRight w:val="0"/>
      <w:marTop w:val="0"/>
      <w:marBottom w:val="0"/>
      <w:divBdr>
        <w:top w:val="none" w:sz="0" w:space="0" w:color="auto"/>
        <w:left w:val="none" w:sz="0" w:space="0" w:color="auto"/>
        <w:bottom w:val="none" w:sz="0" w:space="0" w:color="auto"/>
        <w:right w:val="none" w:sz="0" w:space="0" w:color="auto"/>
      </w:divBdr>
    </w:div>
    <w:div w:id="1219786124">
      <w:bodyDiv w:val="1"/>
      <w:marLeft w:val="0"/>
      <w:marRight w:val="0"/>
      <w:marTop w:val="0"/>
      <w:marBottom w:val="0"/>
      <w:divBdr>
        <w:top w:val="none" w:sz="0" w:space="0" w:color="auto"/>
        <w:left w:val="none" w:sz="0" w:space="0" w:color="auto"/>
        <w:bottom w:val="none" w:sz="0" w:space="0" w:color="auto"/>
        <w:right w:val="none" w:sz="0" w:space="0" w:color="auto"/>
      </w:divBdr>
    </w:div>
    <w:div w:id="1294478212">
      <w:bodyDiv w:val="1"/>
      <w:marLeft w:val="0"/>
      <w:marRight w:val="0"/>
      <w:marTop w:val="0"/>
      <w:marBottom w:val="0"/>
      <w:divBdr>
        <w:top w:val="none" w:sz="0" w:space="0" w:color="auto"/>
        <w:left w:val="none" w:sz="0" w:space="0" w:color="auto"/>
        <w:bottom w:val="none" w:sz="0" w:space="0" w:color="auto"/>
        <w:right w:val="none" w:sz="0" w:space="0" w:color="auto"/>
      </w:divBdr>
    </w:div>
    <w:div w:id="1295788387">
      <w:bodyDiv w:val="1"/>
      <w:marLeft w:val="0"/>
      <w:marRight w:val="0"/>
      <w:marTop w:val="0"/>
      <w:marBottom w:val="0"/>
      <w:divBdr>
        <w:top w:val="none" w:sz="0" w:space="0" w:color="auto"/>
        <w:left w:val="none" w:sz="0" w:space="0" w:color="auto"/>
        <w:bottom w:val="none" w:sz="0" w:space="0" w:color="auto"/>
        <w:right w:val="none" w:sz="0" w:space="0" w:color="auto"/>
      </w:divBdr>
      <w:divsChild>
        <w:div w:id="181432075">
          <w:marLeft w:val="0"/>
          <w:marRight w:val="0"/>
          <w:marTop w:val="0"/>
          <w:marBottom w:val="0"/>
          <w:divBdr>
            <w:top w:val="none" w:sz="0" w:space="0" w:color="auto"/>
            <w:left w:val="none" w:sz="0" w:space="0" w:color="auto"/>
            <w:bottom w:val="none" w:sz="0" w:space="0" w:color="auto"/>
            <w:right w:val="none" w:sz="0" w:space="0" w:color="auto"/>
          </w:divBdr>
        </w:div>
        <w:div w:id="379937196">
          <w:marLeft w:val="0"/>
          <w:marRight w:val="0"/>
          <w:marTop w:val="0"/>
          <w:marBottom w:val="0"/>
          <w:divBdr>
            <w:top w:val="none" w:sz="0" w:space="0" w:color="auto"/>
            <w:left w:val="none" w:sz="0" w:space="0" w:color="auto"/>
            <w:bottom w:val="none" w:sz="0" w:space="0" w:color="auto"/>
            <w:right w:val="none" w:sz="0" w:space="0" w:color="auto"/>
          </w:divBdr>
        </w:div>
        <w:div w:id="618992849">
          <w:marLeft w:val="0"/>
          <w:marRight w:val="0"/>
          <w:marTop w:val="0"/>
          <w:marBottom w:val="0"/>
          <w:divBdr>
            <w:top w:val="none" w:sz="0" w:space="0" w:color="auto"/>
            <w:left w:val="none" w:sz="0" w:space="0" w:color="auto"/>
            <w:bottom w:val="none" w:sz="0" w:space="0" w:color="auto"/>
            <w:right w:val="none" w:sz="0" w:space="0" w:color="auto"/>
          </w:divBdr>
        </w:div>
        <w:div w:id="706762350">
          <w:marLeft w:val="0"/>
          <w:marRight w:val="0"/>
          <w:marTop w:val="0"/>
          <w:marBottom w:val="0"/>
          <w:divBdr>
            <w:top w:val="none" w:sz="0" w:space="0" w:color="auto"/>
            <w:left w:val="none" w:sz="0" w:space="0" w:color="auto"/>
            <w:bottom w:val="none" w:sz="0" w:space="0" w:color="auto"/>
            <w:right w:val="none" w:sz="0" w:space="0" w:color="auto"/>
          </w:divBdr>
        </w:div>
        <w:div w:id="752051449">
          <w:marLeft w:val="0"/>
          <w:marRight w:val="0"/>
          <w:marTop w:val="0"/>
          <w:marBottom w:val="0"/>
          <w:divBdr>
            <w:top w:val="none" w:sz="0" w:space="0" w:color="auto"/>
            <w:left w:val="none" w:sz="0" w:space="0" w:color="auto"/>
            <w:bottom w:val="none" w:sz="0" w:space="0" w:color="auto"/>
            <w:right w:val="none" w:sz="0" w:space="0" w:color="auto"/>
          </w:divBdr>
        </w:div>
        <w:div w:id="1018970910">
          <w:marLeft w:val="0"/>
          <w:marRight w:val="0"/>
          <w:marTop w:val="0"/>
          <w:marBottom w:val="0"/>
          <w:divBdr>
            <w:top w:val="none" w:sz="0" w:space="0" w:color="auto"/>
            <w:left w:val="none" w:sz="0" w:space="0" w:color="auto"/>
            <w:bottom w:val="none" w:sz="0" w:space="0" w:color="auto"/>
            <w:right w:val="none" w:sz="0" w:space="0" w:color="auto"/>
          </w:divBdr>
        </w:div>
        <w:div w:id="1126047298">
          <w:marLeft w:val="0"/>
          <w:marRight w:val="0"/>
          <w:marTop w:val="0"/>
          <w:marBottom w:val="0"/>
          <w:divBdr>
            <w:top w:val="none" w:sz="0" w:space="0" w:color="auto"/>
            <w:left w:val="none" w:sz="0" w:space="0" w:color="auto"/>
            <w:bottom w:val="none" w:sz="0" w:space="0" w:color="auto"/>
            <w:right w:val="none" w:sz="0" w:space="0" w:color="auto"/>
          </w:divBdr>
        </w:div>
        <w:div w:id="1247302076">
          <w:marLeft w:val="0"/>
          <w:marRight w:val="0"/>
          <w:marTop w:val="0"/>
          <w:marBottom w:val="0"/>
          <w:divBdr>
            <w:top w:val="none" w:sz="0" w:space="0" w:color="auto"/>
            <w:left w:val="none" w:sz="0" w:space="0" w:color="auto"/>
            <w:bottom w:val="none" w:sz="0" w:space="0" w:color="auto"/>
            <w:right w:val="none" w:sz="0" w:space="0" w:color="auto"/>
          </w:divBdr>
        </w:div>
        <w:div w:id="1335567874">
          <w:marLeft w:val="0"/>
          <w:marRight w:val="0"/>
          <w:marTop w:val="0"/>
          <w:marBottom w:val="0"/>
          <w:divBdr>
            <w:top w:val="none" w:sz="0" w:space="0" w:color="auto"/>
            <w:left w:val="none" w:sz="0" w:space="0" w:color="auto"/>
            <w:bottom w:val="none" w:sz="0" w:space="0" w:color="auto"/>
            <w:right w:val="none" w:sz="0" w:space="0" w:color="auto"/>
          </w:divBdr>
        </w:div>
        <w:div w:id="2114325849">
          <w:marLeft w:val="0"/>
          <w:marRight w:val="0"/>
          <w:marTop w:val="0"/>
          <w:marBottom w:val="0"/>
          <w:divBdr>
            <w:top w:val="none" w:sz="0" w:space="0" w:color="auto"/>
            <w:left w:val="none" w:sz="0" w:space="0" w:color="auto"/>
            <w:bottom w:val="none" w:sz="0" w:space="0" w:color="auto"/>
            <w:right w:val="none" w:sz="0" w:space="0" w:color="auto"/>
          </w:divBdr>
        </w:div>
      </w:divsChild>
    </w:div>
    <w:div w:id="1368794670">
      <w:bodyDiv w:val="1"/>
      <w:marLeft w:val="0"/>
      <w:marRight w:val="0"/>
      <w:marTop w:val="0"/>
      <w:marBottom w:val="0"/>
      <w:divBdr>
        <w:top w:val="none" w:sz="0" w:space="0" w:color="auto"/>
        <w:left w:val="none" w:sz="0" w:space="0" w:color="auto"/>
        <w:bottom w:val="none" w:sz="0" w:space="0" w:color="auto"/>
        <w:right w:val="none" w:sz="0" w:space="0" w:color="auto"/>
      </w:divBdr>
    </w:div>
    <w:div w:id="1406536120">
      <w:bodyDiv w:val="1"/>
      <w:marLeft w:val="0"/>
      <w:marRight w:val="0"/>
      <w:marTop w:val="0"/>
      <w:marBottom w:val="0"/>
      <w:divBdr>
        <w:top w:val="none" w:sz="0" w:space="0" w:color="auto"/>
        <w:left w:val="none" w:sz="0" w:space="0" w:color="auto"/>
        <w:bottom w:val="none" w:sz="0" w:space="0" w:color="auto"/>
        <w:right w:val="none" w:sz="0" w:space="0" w:color="auto"/>
      </w:divBdr>
    </w:div>
    <w:div w:id="1437020614">
      <w:bodyDiv w:val="1"/>
      <w:marLeft w:val="0"/>
      <w:marRight w:val="0"/>
      <w:marTop w:val="0"/>
      <w:marBottom w:val="0"/>
      <w:divBdr>
        <w:top w:val="none" w:sz="0" w:space="0" w:color="auto"/>
        <w:left w:val="none" w:sz="0" w:space="0" w:color="auto"/>
        <w:bottom w:val="none" w:sz="0" w:space="0" w:color="auto"/>
        <w:right w:val="none" w:sz="0" w:space="0" w:color="auto"/>
      </w:divBdr>
    </w:div>
    <w:div w:id="1454666428">
      <w:bodyDiv w:val="1"/>
      <w:marLeft w:val="0"/>
      <w:marRight w:val="0"/>
      <w:marTop w:val="0"/>
      <w:marBottom w:val="0"/>
      <w:divBdr>
        <w:top w:val="none" w:sz="0" w:space="0" w:color="auto"/>
        <w:left w:val="none" w:sz="0" w:space="0" w:color="auto"/>
        <w:bottom w:val="none" w:sz="0" w:space="0" w:color="auto"/>
        <w:right w:val="none" w:sz="0" w:space="0" w:color="auto"/>
      </w:divBdr>
    </w:div>
    <w:div w:id="1474760127">
      <w:bodyDiv w:val="1"/>
      <w:marLeft w:val="0"/>
      <w:marRight w:val="0"/>
      <w:marTop w:val="0"/>
      <w:marBottom w:val="0"/>
      <w:divBdr>
        <w:top w:val="none" w:sz="0" w:space="0" w:color="auto"/>
        <w:left w:val="none" w:sz="0" w:space="0" w:color="auto"/>
        <w:bottom w:val="none" w:sz="0" w:space="0" w:color="auto"/>
        <w:right w:val="none" w:sz="0" w:space="0" w:color="auto"/>
      </w:divBdr>
    </w:div>
    <w:div w:id="1475176689">
      <w:bodyDiv w:val="1"/>
      <w:marLeft w:val="0"/>
      <w:marRight w:val="0"/>
      <w:marTop w:val="0"/>
      <w:marBottom w:val="0"/>
      <w:divBdr>
        <w:top w:val="none" w:sz="0" w:space="0" w:color="auto"/>
        <w:left w:val="none" w:sz="0" w:space="0" w:color="auto"/>
        <w:bottom w:val="none" w:sz="0" w:space="0" w:color="auto"/>
        <w:right w:val="none" w:sz="0" w:space="0" w:color="auto"/>
      </w:divBdr>
    </w:div>
    <w:div w:id="1475374289">
      <w:bodyDiv w:val="1"/>
      <w:marLeft w:val="0"/>
      <w:marRight w:val="0"/>
      <w:marTop w:val="0"/>
      <w:marBottom w:val="0"/>
      <w:divBdr>
        <w:top w:val="none" w:sz="0" w:space="0" w:color="auto"/>
        <w:left w:val="none" w:sz="0" w:space="0" w:color="auto"/>
        <w:bottom w:val="none" w:sz="0" w:space="0" w:color="auto"/>
        <w:right w:val="none" w:sz="0" w:space="0" w:color="auto"/>
      </w:divBdr>
    </w:div>
    <w:div w:id="1550144828">
      <w:bodyDiv w:val="1"/>
      <w:marLeft w:val="0"/>
      <w:marRight w:val="0"/>
      <w:marTop w:val="0"/>
      <w:marBottom w:val="0"/>
      <w:divBdr>
        <w:top w:val="none" w:sz="0" w:space="0" w:color="auto"/>
        <w:left w:val="none" w:sz="0" w:space="0" w:color="auto"/>
        <w:bottom w:val="none" w:sz="0" w:space="0" w:color="auto"/>
        <w:right w:val="none" w:sz="0" w:space="0" w:color="auto"/>
      </w:divBdr>
    </w:div>
    <w:div w:id="1557929323">
      <w:bodyDiv w:val="1"/>
      <w:marLeft w:val="0"/>
      <w:marRight w:val="0"/>
      <w:marTop w:val="0"/>
      <w:marBottom w:val="0"/>
      <w:divBdr>
        <w:top w:val="none" w:sz="0" w:space="0" w:color="auto"/>
        <w:left w:val="none" w:sz="0" w:space="0" w:color="auto"/>
        <w:bottom w:val="none" w:sz="0" w:space="0" w:color="auto"/>
        <w:right w:val="none" w:sz="0" w:space="0" w:color="auto"/>
      </w:divBdr>
    </w:div>
    <w:div w:id="1613980148">
      <w:bodyDiv w:val="1"/>
      <w:marLeft w:val="0"/>
      <w:marRight w:val="0"/>
      <w:marTop w:val="0"/>
      <w:marBottom w:val="0"/>
      <w:divBdr>
        <w:top w:val="none" w:sz="0" w:space="0" w:color="auto"/>
        <w:left w:val="none" w:sz="0" w:space="0" w:color="auto"/>
        <w:bottom w:val="none" w:sz="0" w:space="0" w:color="auto"/>
        <w:right w:val="none" w:sz="0" w:space="0" w:color="auto"/>
      </w:divBdr>
    </w:div>
    <w:div w:id="1627076035">
      <w:bodyDiv w:val="1"/>
      <w:marLeft w:val="0"/>
      <w:marRight w:val="0"/>
      <w:marTop w:val="0"/>
      <w:marBottom w:val="0"/>
      <w:divBdr>
        <w:top w:val="none" w:sz="0" w:space="0" w:color="auto"/>
        <w:left w:val="none" w:sz="0" w:space="0" w:color="auto"/>
        <w:bottom w:val="none" w:sz="0" w:space="0" w:color="auto"/>
        <w:right w:val="none" w:sz="0" w:space="0" w:color="auto"/>
      </w:divBdr>
    </w:div>
    <w:div w:id="1628925634">
      <w:bodyDiv w:val="1"/>
      <w:marLeft w:val="0"/>
      <w:marRight w:val="0"/>
      <w:marTop w:val="0"/>
      <w:marBottom w:val="0"/>
      <w:divBdr>
        <w:top w:val="none" w:sz="0" w:space="0" w:color="auto"/>
        <w:left w:val="none" w:sz="0" w:space="0" w:color="auto"/>
        <w:bottom w:val="none" w:sz="0" w:space="0" w:color="auto"/>
        <w:right w:val="none" w:sz="0" w:space="0" w:color="auto"/>
      </w:divBdr>
    </w:div>
    <w:div w:id="1639727577">
      <w:bodyDiv w:val="1"/>
      <w:marLeft w:val="0"/>
      <w:marRight w:val="0"/>
      <w:marTop w:val="0"/>
      <w:marBottom w:val="0"/>
      <w:divBdr>
        <w:top w:val="none" w:sz="0" w:space="0" w:color="auto"/>
        <w:left w:val="none" w:sz="0" w:space="0" w:color="auto"/>
        <w:bottom w:val="none" w:sz="0" w:space="0" w:color="auto"/>
        <w:right w:val="none" w:sz="0" w:space="0" w:color="auto"/>
      </w:divBdr>
    </w:div>
    <w:div w:id="1669939942">
      <w:bodyDiv w:val="1"/>
      <w:marLeft w:val="0"/>
      <w:marRight w:val="0"/>
      <w:marTop w:val="0"/>
      <w:marBottom w:val="0"/>
      <w:divBdr>
        <w:top w:val="none" w:sz="0" w:space="0" w:color="auto"/>
        <w:left w:val="none" w:sz="0" w:space="0" w:color="auto"/>
        <w:bottom w:val="none" w:sz="0" w:space="0" w:color="auto"/>
        <w:right w:val="none" w:sz="0" w:space="0" w:color="auto"/>
      </w:divBdr>
    </w:div>
    <w:div w:id="1727139717">
      <w:bodyDiv w:val="1"/>
      <w:marLeft w:val="0"/>
      <w:marRight w:val="0"/>
      <w:marTop w:val="0"/>
      <w:marBottom w:val="0"/>
      <w:divBdr>
        <w:top w:val="none" w:sz="0" w:space="0" w:color="auto"/>
        <w:left w:val="none" w:sz="0" w:space="0" w:color="auto"/>
        <w:bottom w:val="none" w:sz="0" w:space="0" w:color="auto"/>
        <w:right w:val="none" w:sz="0" w:space="0" w:color="auto"/>
      </w:divBdr>
    </w:div>
    <w:div w:id="1757238691">
      <w:bodyDiv w:val="1"/>
      <w:marLeft w:val="0"/>
      <w:marRight w:val="0"/>
      <w:marTop w:val="0"/>
      <w:marBottom w:val="0"/>
      <w:divBdr>
        <w:top w:val="none" w:sz="0" w:space="0" w:color="auto"/>
        <w:left w:val="none" w:sz="0" w:space="0" w:color="auto"/>
        <w:bottom w:val="none" w:sz="0" w:space="0" w:color="auto"/>
        <w:right w:val="none" w:sz="0" w:space="0" w:color="auto"/>
      </w:divBdr>
    </w:div>
    <w:div w:id="1841306660">
      <w:bodyDiv w:val="1"/>
      <w:marLeft w:val="0"/>
      <w:marRight w:val="0"/>
      <w:marTop w:val="0"/>
      <w:marBottom w:val="0"/>
      <w:divBdr>
        <w:top w:val="none" w:sz="0" w:space="0" w:color="auto"/>
        <w:left w:val="none" w:sz="0" w:space="0" w:color="auto"/>
        <w:bottom w:val="none" w:sz="0" w:space="0" w:color="auto"/>
        <w:right w:val="none" w:sz="0" w:space="0" w:color="auto"/>
      </w:divBdr>
    </w:div>
    <w:div w:id="1947544633">
      <w:bodyDiv w:val="1"/>
      <w:marLeft w:val="0"/>
      <w:marRight w:val="0"/>
      <w:marTop w:val="0"/>
      <w:marBottom w:val="0"/>
      <w:divBdr>
        <w:top w:val="none" w:sz="0" w:space="0" w:color="auto"/>
        <w:left w:val="none" w:sz="0" w:space="0" w:color="auto"/>
        <w:bottom w:val="none" w:sz="0" w:space="0" w:color="auto"/>
        <w:right w:val="none" w:sz="0" w:space="0" w:color="auto"/>
      </w:divBdr>
    </w:div>
    <w:div w:id="2076859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5"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tradiusdutchstatebusiness.nl/nl_NL/climate" TargetMode="External"/><Relationship Id="rId2" Type="http://schemas.openxmlformats.org/officeDocument/2006/relationships/hyperlink" Target="https://atradiusdutchstatebusiness.nl/nl_NL/dam/jcr:35a7f3fb-8c32-4309-8f8e-46e8e438c64f/e3f-annual-transparency-report-2025.pdf" TargetMode="External"/><Relationship Id="rId1" Type="http://schemas.openxmlformats.org/officeDocument/2006/relationships/hyperlink" Target="https://atradiusdutchstatebusiness.nl/dam/jcr:7fe6ce44-6e2c-42a5-bb7c-86adc7e3d03d/Afbakening%20van%20de%20verzekeringsactiviteiten%20NL.pdf" TargetMode="External"/><Relationship Id="rId4" Type="http://schemas.openxmlformats.org/officeDocument/2006/relationships/hyperlink" Target="https://www.rijksfinancien.nl/sites/default/files/hafir/bestuurlijke-regels/Toetsingskader-risicoregelingen-rijksoverheid-202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2632</ap:Words>
  <ap:Characters>14480</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Brief aan Eerste of Tweede Kamer - EKV-monitor 2024</vt:lpstr>
    </vt:vector>
  </ap:TitlesOfParts>
  <ap:LinksUpToDate>false</ap:LinksUpToDate>
  <ap:CharactersWithSpaces>17078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2026-05-08T12:12:00.0000000Z</lastPrinted>
  <dcterms:created xsi:type="dcterms:W3CDTF">2026-06-24T14:57:00.0000000Z</dcterms:created>
  <dcterms:modified xsi:type="dcterms:W3CDTF">2026-06-24T14:57:00.0000000Z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EKV-monitor 2024</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23 april 2025</vt:lpwstr>
  </property>
  <property fmtid="{D5CDD505-2E9C-101B-9397-08002B2CF9AE}" pid="13" name="Opgesteld door, Naam">
    <vt:lpwstr/>
  </property>
  <property fmtid="{D5CDD505-2E9C-101B-9397-08002B2CF9AE}" pid="14" name="Opgesteld door, Telefoonnummer">
    <vt:lpwstr>088-4428917</vt:lpwstr>
  </property>
  <property fmtid="{D5CDD505-2E9C-101B-9397-08002B2CF9AE}" pid="15" name="Kenmerk">
    <vt:lpwstr>2026-0000267859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EKV-monitor 2024</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2025-04-23T09:52:46Z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fa4aa776-404f-43ae-abad-d32cb29649fd</vt:lpwstr>
  </property>
  <property fmtid="{D5CDD505-2E9C-101B-9397-08002B2CF9AE}" pid="37" name="MSIP_Label_6800fede-0e59-47ad-af95-4e63bbdb932d_ContentBits">
    <vt:lpwstr>0</vt:lpwstr>
  </property>
  <property fmtid="{D5CDD505-2E9C-101B-9397-08002B2CF9AE}" pid="38" name="ContentTypeId">
    <vt:lpwstr>0x010100C0B8A959F3A3154BA7A71D42ACC1182C</vt:lpwstr>
  </property>
  <property fmtid="{D5CDD505-2E9C-101B-9397-08002B2CF9AE}" pid="39" name="ga509c7afcac4f5cb939db754ffece25">
    <vt:lpwstr>NO MARKING|879e64ec-6597-483b-94db-f5f70afd7299</vt:lpwstr>
  </property>
  <property fmtid="{D5CDD505-2E9C-101B-9397-08002B2CF9AE}" pid="40" name="a45510494d1a450e9cee6905c7ad8168">
    <vt:lpwstr>The Netherlands|7f69a7bb-478c-499d-a6cf-5869916dfee4</vt:lpwstr>
  </property>
  <property fmtid="{D5CDD505-2E9C-101B-9397-08002B2CF9AE}" pid="41" name="ge4bd621e46a403e97baf402a410deb5">
    <vt:lpwstr>Not applicable|0049e722-bfb1-4a3f-9d08-af7366a9af40</vt:lpwstr>
  </property>
  <property fmtid="{D5CDD505-2E9C-101B-9397-08002B2CF9AE}" pid="42" name="nf4434b3fae540fe847866e45672fb3a">
    <vt:lpwstr>Export promotion|e435561c-1aeb-4fcf-b7be-788c86a59747</vt:lpwstr>
  </property>
  <property fmtid="{D5CDD505-2E9C-101B-9397-08002B2CF9AE}" pid="43" name="BZForumOrganisation">
    <vt:lpwstr>4;#Not applicable|0049e722-bfb1-4a3f-9d08-af7366a9af40</vt:lpwstr>
  </property>
  <property fmtid="{D5CDD505-2E9C-101B-9397-08002B2CF9AE}" pid="44" name="BZTheme">
    <vt:lpwstr>1;#Internationalisation of industry and multinationals|68c27688-1b4b-43d2-9d0b-52c961d3ce22;#2;#International financing|717c7741-8fcb-4ef7-8d83-0b42c991ba41;#3;#Export promotion|e435561c-1aeb-4fcf-b7be-788c86a59747</vt:lpwstr>
  </property>
  <property fmtid="{D5CDD505-2E9C-101B-9397-08002B2CF9AE}" pid="45" name="BZ_Classification">
    <vt:lpwstr>11;#NO MARKING|879e64ec-6597-483b-94db-f5f70afd7299</vt:lpwstr>
  </property>
  <property fmtid="{D5CDD505-2E9C-101B-9397-08002B2CF9AE}" pid="46" name="BZ_Forum">
    <vt:lpwstr>4;#Not applicable|0049e722-bfb1-4a3f-9d08-af7366a9af40</vt:lpwstr>
  </property>
  <property fmtid="{D5CDD505-2E9C-101B-9397-08002B2CF9AE}" pid="47" name="BZCountryState">
    <vt:lpwstr>5;#The Netherlands|7f69a7bb-478c-499d-a6cf-5869916dfee4</vt:lpwstr>
  </property>
  <property fmtid="{D5CDD505-2E9C-101B-9397-08002B2CF9AE}" pid="48" name="BZMarking">
    <vt:lpwstr>7;#NO MARKING|0a4eb9ae-69eb-4d9e-b573-43ab99ef8592</vt:lpwstr>
  </property>
  <property fmtid="{D5CDD505-2E9C-101B-9397-08002B2CF9AE}" pid="49" name="BZ_Theme">
    <vt:lpwstr>3;#Export promotion|e435561c-1aeb-4fcf-b7be-788c86a59747</vt:lpwstr>
  </property>
  <property fmtid="{D5CDD505-2E9C-101B-9397-08002B2CF9AE}" pid="50" name="BZClassification">
    <vt:lpwstr>6;#UNCLASSIFIED (U)|284e6a62-15ab-4017-be27-a1e965f4e940</vt:lpwstr>
  </property>
  <property fmtid="{D5CDD505-2E9C-101B-9397-08002B2CF9AE}" pid="51" name="BZ_Country">
    <vt:lpwstr>5;#The Netherlands|7f69a7bb-478c-499d-a6cf-5869916dfee4</vt:lpwstr>
  </property>
  <property fmtid="{D5CDD505-2E9C-101B-9397-08002B2CF9AE}" pid="52" name="MediaServiceImageTags">
    <vt:lpwstr/>
  </property>
</Properties>
</file>