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059DF" w:rsidTr="00D9561B" w14:paraId="3EF5B22F" w14:textId="77777777">
        <w:trPr>
          <w:trHeight w:val="1514"/>
        </w:trPr>
        <w:tc>
          <w:tcPr>
            <w:tcW w:w="7522" w:type="dxa"/>
            <w:tcBorders>
              <w:top w:val="nil"/>
              <w:left w:val="nil"/>
              <w:bottom w:val="nil"/>
              <w:right w:val="nil"/>
            </w:tcBorders>
            <w:tcMar>
              <w:left w:w="0" w:type="dxa"/>
              <w:right w:w="0" w:type="dxa"/>
            </w:tcMar>
          </w:tcPr>
          <w:p w:rsidR="00374412" w:rsidP="00D9561B" w:rsidRDefault="002E45AA" w14:paraId="65F41D4D" w14:textId="77777777">
            <w:r>
              <w:t>De v</w:t>
            </w:r>
            <w:r w:rsidR="008E3932">
              <w:t>oorzitter van de Tweede Kamer der Staten-Generaal</w:t>
            </w:r>
          </w:p>
          <w:p w:rsidR="00374412" w:rsidP="00D9561B" w:rsidRDefault="002E45AA" w14:paraId="6114FB29" w14:textId="77777777">
            <w:r>
              <w:t>Postbus 20018</w:t>
            </w:r>
          </w:p>
          <w:p w:rsidR="008E3932" w:rsidP="00D9561B" w:rsidRDefault="002E45AA" w14:paraId="7CF4308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059DF" w:rsidTr="00FF66F9" w14:paraId="7B19D3DF" w14:textId="77777777">
        <w:trPr>
          <w:trHeight w:val="289" w:hRule="exact"/>
        </w:trPr>
        <w:tc>
          <w:tcPr>
            <w:tcW w:w="929" w:type="dxa"/>
          </w:tcPr>
          <w:p w:rsidRPr="00434042" w:rsidR="0005404B" w:rsidP="00FF66F9" w:rsidRDefault="002E45AA" w14:paraId="72C18F83" w14:textId="77777777">
            <w:pPr>
              <w:rPr>
                <w:lang w:eastAsia="en-US"/>
              </w:rPr>
            </w:pPr>
            <w:r>
              <w:rPr>
                <w:lang w:eastAsia="en-US"/>
              </w:rPr>
              <w:t>Datum</w:t>
            </w:r>
          </w:p>
        </w:tc>
        <w:tc>
          <w:tcPr>
            <w:tcW w:w="6581" w:type="dxa"/>
          </w:tcPr>
          <w:p w:rsidRPr="00434042" w:rsidR="0005404B" w:rsidP="00FF66F9" w:rsidRDefault="00EF774D" w14:paraId="06AB77A6" w14:textId="34851553">
            <w:pPr>
              <w:rPr>
                <w:lang w:eastAsia="en-US"/>
              </w:rPr>
            </w:pPr>
            <w:r>
              <w:rPr>
                <w:lang w:eastAsia="en-US"/>
              </w:rPr>
              <w:t>24 juni 2026</w:t>
            </w:r>
          </w:p>
        </w:tc>
      </w:tr>
      <w:tr w:rsidR="008059DF" w:rsidTr="00FF66F9" w14:paraId="165D930A" w14:textId="77777777">
        <w:trPr>
          <w:trHeight w:val="368"/>
        </w:trPr>
        <w:tc>
          <w:tcPr>
            <w:tcW w:w="929" w:type="dxa"/>
          </w:tcPr>
          <w:p w:rsidR="0005404B" w:rsidP="00FF66F9" w:rsidRDefault="002E45AA" w14:paraId="28E21789" w14:textId="77777777">
            <w:pPr>
              <w:rPr>
                <w:lang w:eastAsia="en-US"/>
              </w:rPr>
            </w:pPr>
            <w:r>
              <w:rPr>
                <w:lang w:eastAsia="en-US"/>
              </w:rPr>
              <w:t>Betreft</w:t>
            </w:r>
          </w:p>
        </w:tc>
        <w:tc>
          <w:tcPr>
            <w:tcW w:w="6581" w:type="dxa"/>
          </w:tcPr>
          <w:p w:rsidR="0005404B" w:rsidP="00FF66F9" w:rsidRDefault="002F125B" w14:paraId="04ADB0A0" w14:textId="6AE9F8CC">
            <w:pPr>
              <w:rPr>
                <w:lang w:eastAsia="en-US"/>
              </w:rPr>
            </w:pPr>
            <w:r>
              <w:rPr>
                <w:lang w:eastAsia="en-US"/>
              </w:rPr>
              <w:t>Reactie</w:t>
            </w:r>
            <w:r w:rsidR="002E45AA">
              <w:rPr>
                <w:lang w:eastAsia="en-US"/>
              </w:rPr>
              <w:t xml:space="preserve"> op openstaande </w:t>
            </w:r>
            <w:r w:rsidR="00372094">
              <w:rPr>
                <w:lang w:eastAsia="en-US"/>
              </w:rPr>
              <w:t>feitelijke</w:t>
            </w:r>
            <w:r w:rsidR="002E45AA">
              <w:rPr>
                <w:lang w:eastAsia="en-US"/>
              </w:rPr>
              <w:t xml:space="preserve"> vragen over het Jaarverslag 2025 </w:t>
            </w:r>
          </w:p>
        </w:tc>
      </w:tr>
    </w:tbl>
    <w:p w:rsidR="008059DF" w:rsidRDefault="001C2C36" w14:paraId="1EDEA0DB"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D1D31" w:rsidR="008059DF" w:rsidTr="00A421A1" w14:paraId="088BC037" w14:textId="77777777">
        <w:tc>
          <w:tcPr>
            <w:tcW w:w="2160" w:type="dxa"/>
          </w:tcPr>
          <w:p w:rsidRPr="00F53C9D" w:rsidR="006205C0" w:rsidP="00686AED" w:rsidRDefault="002E45AA" w14:paraId="5DCDAA34" w14:textId="77777777">
            <w:pPr>
              <w:pStyle w:val="Colofonkop"/>
              <w:framePr w:hSpace="0" w:wrap="auto" w:hAnchor="text" w:vAnchor="margin" w:xAlign="left" w:yAlign="inline"/>
            </w:pPr>
            <w:r>
              <w:t>Onderzoek en Wetenschapsbeleid</w:t>
            </w:r>
          </w:p>
          <w:p w:rsidR="006205C0" w:rsidP="00A421A1" w:rsidRDefault="002E45AA" w14:paraId="36077305" w14:textId="77777777">
            <w:pPr>
              <w:pStyle w:val="Huisstijl-Gegeven"/>
              <w:spacing w:after="0"/>
            </w:pPr>
            <w:r>
              <w:t xml:space="preserve">Rijnstraat 50 </w:t>
            </w:r>
          </w:p>
          <w:p w:rsidR="004425A7" w:rsidP="00E972A2" w:rsidRDefault="002E45AA" w14:paraId="56D45065" w14:textId="77777777">
            <w:pPr>
              <w:pStyle w:val="Huisstijl-Gegeven"/>
              <w:spacing w:after="0"/>
            </w:pPr>
            <w:r>
              <w:t>Den Haag</w:t>
            </w:r>
          </w:p>
          <w:p w:rsidR="004425A7" w:rsidP="00E972A2" w:rsidRDefault="002E45AA" w14:paraId="2A1D1AC5" w14:textId="77777777">
            <w:pPr>
              <w:pStyle w:val="Huisstijl-Gegeven"/>
              <w:spacing w:after="0"/>
            </w:pPr>
            <w:r>
              <w:t>Postbus 16375</w:t>
            </w:r>
          </w:p>
          <w:p w:rsidR="004425A7" w:rsidP="00E972A2" w:rsidRDefault="002E45AA" w14:paraId="3998B682" w14:textId="77777777">
            <w:pPr>
              <w:pStyle w:val="Huisstijl-Gegeven"/>
              <w:spacing w:after="0"/>
            </w:pPr>
            <w:r>
              <w:t>2500 BJ Den Haag</w:t>
            </w:r>
          </w:p>
          <w:p w:rsidR="004425A7" w:rsidP="00E972A2" w:rsidRDefault="002E45AA" w14:paraId="329E62E2" w14:textId="77777777">
            <w:pPr>
              <w:pStyle w:val="Huisstijl-Gegeven"/>
              <w:spacing w:after="90"/>
            </w:pPr>
            <w:r>
              <w:t>www.rijksoverheid.nl</w:t>
            </w:r>
          </w:p>
          <w:p w:rsidRPr="00D86CC6" w:rsidR="006205C0" w:rsidP="00A421A1" w:rsidRDefault="002E45AA" w14:paraId="014440C9" w14:textId="77777777">
            <w:pPr>
              <w:spacing w:line="180" w:lineRule="exact"/>
              <w:rPr>
                <w:b/>
                <w:sz w:val="13"/>
                <w:szCs w:val="13"/>
              </w:rPr>
            </w:pPr>
            <w:r>
              <w:rPr>
                <w:b/>
                <w:sz w:val="13"/>
                <w:szCs w:val="13"/>
              </w:rPr>
              <w:t>Contactpersoon</w:t>
            </w:r>
          </w:p>
          <w:p w:rsidR="006205C0" w:rsidP="00A421A1" w:rsidRDefault="006205C0" w14:paraId="3B108CAF" w14:textId="77777777">
            <w:pPr>
              <w:spacing w:line="180" w:lineRule="exact"/>
              <w:rPr>
                <w:sz w:val="13"/>
                <w:szCs w:val="13"/>
              </w:rPr>
            </w:pPr>
          </w:p>
          <w:p w:rsidRPr="002F125B" w:rsidR="00EF774D" w:rsidP="00A421A1" w:rsidRDefault="00EF774D" w14:paraId="1EE66A61" w14:textId="4C9A69FA">
            <w:pPr>
              <w:spacing w:line="180" w:lineRule="exact"/>
              <w:rPr>
                <w:sz w:val="13"/>
                <w:szCs w:val="13"/>
                <w:lang w:val="en-US"/>
              </w:rPr>
            </w:pPr>
          </w:p>
        </w:tc>
      </w:tr>
      <w:tr w:rsidRPr="001D1D31" w:rsidR="008059DF" w:rsidTr="00A421A1" w14:paraId="3263AB5F" w14:textId="77777777">
        <w:trPr>
          <w:trHeight w:val="200" w:hRule="exact"/>
        </w:trPr>
        <w:tc>
          <w:tcPr>
            <w:tcW w:w="2160" w:type="dxa"/>
          </w:tcPr>
          <w:p w:rsidRPr="002F125B" w:rsidR="006205C0" w:rsidP="00A421A1" w:rsidRDefault="006205C0" w14:paraId="7459C190" w14:textId="77777777">
            <w:pPr>
              <w:spacing w:after="90" w:line="180" w:lineRule="exact"/>
              <w:rPr>
                <w:sz w:val="13"/>
                <w:szCs w:val="13"/>
                <w:lang w:val="en-US"/>
              </w:rPr>
            </w:pPr>
          </w:p>
        </w:tc>
      </w:tr>
      <w:tr w:rsidR="008059DF" w:rsidTr="00A421A1" w14:paraId="146F8C72" w14:textId="77777777">
        <w:trPr>
          <w:trHeight w:val="450"/>
        </w:trPr>
        <w:tc>
          <w:tcPr>
            <w:tcW w:w="2160" w:type="dxa"/>
          </w:tcPr>
          <w:p w:rsidR="00F51A76" w:rsidP="00A421A1" w:rsidRDefault="002E45AA" w14:paraId="34B2314E" w14:textId="77777777">
            <w:pPr>
              <w:spacing w:line="180" w:lineRule="exact"/>
              <w:rPr>
                <w:b/>
                <w:sz w:val="13"/>
                <w:szCs w:val="13"/>
              </w:rPr>
            </w:pPr>
            <w:r>
              <w:rPr>
                <w:b/>
                <w:sz w:val="13"/>
                <w:szCs w:val="13"/>
              </w:rPr>
              <w:t>Onze referentie</w:t>
            </w:r>
          </w:p>
          <w:p w:rsidRPr="00FA7882" w:rsidR="006205C0" w:rsidP="00215356" w:rsidRDefault="002E45AA" w14:paraId="331A565A" w14:textId="77777777">
            <w:pPr>
              <w:spacing w:line="180" w:lineRule="exact"/>
              <w:rPr>
                <w:sz w:val="13"/>
                <w:szCs w:val="13"/>
              </w:rPr>
            </w:pPr>
            <w:r>
              <w:rPr>
                <w:sz w:val="13"/>
                <w:szCs w:val="13"/>
              </w:rPr>
              <w:t>64449221</w:t>
            </w:r>
          </w:p>
        </w:tc>
      </w:tr>
      <w:tr w:rsidR="008059DF" w:rsidTr="00A421A1" w14:paraId="5D1F5460" w14:textId="77777777">
        <w:trPr>
          <w:trHeight w:val="136"/>
        </w:trPr>
        <w:tc>
          <w:tcPr>
            <w:tcW w:w="2160" w:type="dxa"/>
          </w:tcPr>
          <w:p w:rsidRPr="00C5333A" w:rsidR="006205C0" w:rsidP="00A421A1" w:rsidRDefault="002E45AA" w14:paraId="166BAB69" w14:textId="77777777">
            <w:pPr>
              <w:tabs>
                <w:tab w:val="left" w:pos="1890"/>
              </w:tabs>
              <w:spacing w:line="180" w:lineRule="exact"/>
              <w:rPr>
                <w:b/>
                <w:sz w:val="13"/>
                <w:szCs w:val="13"/>
              </w:rPr>
            </w:pPr>
            <w:r w:rsidRPr="00003544">
              <w:rPr>
                <w:b/>
                <w:sz w:val="13"/>
                <w:szCs w:val="13"/>
              </w:rPr>
              <w:t>Uw brief</w:t>
            </w:r>
          </w:p>
          <w:p w:rsidRPr="00E06CD4" w:rsidR="00E91674" w:rsidP="00E210E0" w:rsidRDefault="002E45AA" w14:paraId="3B9BA540" w14:textId="77777777">
            <w:pPr>
              <w:tabs>
                <w:tab w:val="left" w:pos="1890"/>
              </w:tabs>
              <w:spacing w:after="92" w:line="180" w:lineRule="exact"/>
              <w:rPr>
                <w:sz w:val="13"/>
                <w:szCs w:val="13"/>
              </w:rPr>
            </w:pPr>
            <w:r>
              <w:rPr>
                <w:sz w:val="13"/>
                <w:szCs w:val="13"/>
              </w:rPr>
              <w:t>12 juni 2026</w:t>
            </w:r>
          </w:p>
        </w:tc>
      </w:tr>
      <w:tr w:rsidR="008059DF" w:rsidTr="00A421A1" w14:paraId="3DD3C8F2" w14:textId="77777777">
        <w:trPr>
          <w:trHeight w:val="227"/>
        </w:trPr>
        <w:tc>
          <w:tcPr>
            <w:tcW w:w="2160" w:type="dxa"/>
          </w:tcPr>
          <w:p w:rsidRPr="004A65A5" w:rsidR="006205C0" w:rsidP="00A421A1" w:rsidRDefault="002E45AA" w14:paraId="15F4D5B2" w14:textId="77777777">
            <w:pPr>
              <w:spacing w:line="180" w:lineRule="exact"/>
              <w:rPr>
                <w:b/>
                <w:sz w:val="13"/>
                <w:szCs w:val="13"/>
              </w:rPr>
            </w:pPr>
            <w:r>
              <w:rPr>
                <w:b/>
                <w:sz w:val="13"/>
                <w:szCs w:val="13"/>
              </w:rPr>
              <w:t>Uw referentie</w:t>
            </w:r>
          </w:p>
          <w:p w:rsidRPr="00D74F66" w:rsidR="006205C0" w:rsidP="00A421A1" w:rsidRDefault="006205C0" w14:paraId="6CB6D9F0" w14:textId="77777777">
            <w:pPr>
              <w:spacing w:after="90" w:line="180" w:lineRule="exact"/>
              <w:rPr>
                <w:sz w:val="13"/>
              </w:rPr>
            </w:pPr>
          </w:p>
        </w:tc>
      </w:tr>
    </w:tbl>
    <w:p w:rsidR="00215356" w:rsidRDefault="00215356" w14:paraId="00D0B007" w14:textId="77777777"/>
    <w:p w:rsidR="006205C0" w:rsidP="00A421A1" w:rsidRDefault="006205C0" w14:paraId="60FDB44A" w14:textId="77777777"/>
    <w:p w:rsidR="00CA35E4" w:rsidP="00CA35E4" w:rsidRDefault="00437472" w14:paraId="7FFA5A1D" w14:textId="1FB3FEAC">
      <w:r>
        <w:t xml:space="preserve">Hierbij </w:t>
      </w:r>
      <w:r w:rsidR="00372094">
        <w:t xml:space="preserve">ontvangt uw Kamer de antwoorden op de nog openstaande feitelijke vragen van de </w:t>
      </w:r>
      <w:r w:rsidRPr="002F125B" w:rsidR="00372094">
        <w:t>vaste commissie voor Onderwijs, Cultuur en Wetenschap</w:t>
      </w:r>
      <w:r w:rsidR="00372094">
        <w:t xml:space="preserve"> over het J</w:t>
      </w:r>
      <w:r w:rsidR="002E45AA">
        <w:t xml:space="preserve">aarverslag </w:t>
      </w:r>
      <w:r w:rsidR="00372094">
        <w:t>2025</w:t>
      </w:r>
      <w:r w:rsidR="00633951">
        <w:t xml:space="preserve"> </w:t>
      </w:r>
      <w:r w:rsidRPr="00C719A5" w:rsidR="00633951">
        <w:t>ministerie van Onderwijs, Cultuur en Wetenschap 2025 (36945-VIII, nr. 1)</w:t>
      </w:r>
      <w:r w:rsidR="00372094">
        <w:t>.</w:t>
      </w:r>
      <w:r w:rsidR="007A132C">
        <w:t xml:space="preserve"> Het gaat om</w:t>
      </w:r>
      <w:r w:rsidR="003F6721">
        <w:t xml:space="preserve"> het antwoord op</w:t>
      </w:r>
      <w:r w:rsidR="007A132C">
        <w:t xml:space="preserve"> vraag nummer 64, 66 en 67.</w:t>
      </w:r>
    </w:p>
    <w:p w:rsidR="00CA35E4" w:rsidP="00CA35E4" w:rsidRDefault="00CA35E4" w14:paraId="42601108" w14:textId="77777777"/>
    <w:p w:rsidR="00105677" w:rsidP="00CA35E4" w:rsidRDefault="00105677" w14:paraId="6388D45D" w14:textId="77777777"/>
    <w:p w:rsidR="00372094" w:rsidP="00CA35E4" w:rsidRDefault="00372094" w14:paraId="62D73CEB" w14:textId="77777777"/>
    <w:p w:rsidR="00372094" w:rsidP="00372094" w:rsidRDefault="00372094" w14:paraId="1526E81E" w14:textId="77777777">
      <w:r>
        <w:t>De minister van Onderwijs, Cultuur en Wetenschap,</w:t>
      </w:r>
    </w:p>
    <w:p w:rsidR="00372094" w:rsidP="00372094" w:rsidRDefault="00372094" w14:paraId="10A38B50" w14:textId="77777777"/>
    <w:p w:rsidR="00372094" w:rsidP="00372094" w:rsidRDefault="00372094" w14:paraId="6D242951" w14:textId="77777777"/>
    <w:p w:rsidR="00372094" w:rsidP="00372094" w:rsidRDefault="00372094" w14:paraId="1F51FD8B" w14:textId="77777777"/>
    <w:p w:rsidR="00372094" w:rsidP="00372094" w:rsidRDefault="00372094" w14:paraId="27786D61" w14:textId="77777777"/>
    <w:p w:rsidR="00372094" w:rsidP="00372094" w:rsidRDefault="00372094" w14:paraId="5208D856" w14:textId="77777777">
      <w:r w:rsidRPr="006C6CF8">
        <w:rPr>
          <w:lang w:eastAsia="en-US"/>
        </w:rPr>
        <w:t>Rianne Letschert</w:t>
      </w:r>
    </w:p>
    <w:p w:rsidR="00372094" w:rsidP="00372094" w:rsidRDefault="00372094" w14:paraId="38603AA0" w14:textId="77777777"/>
    <w:p w:rsidR="00372094" w:rsidP="00372094" w:rsidRDefault="00372094" w14:paraId="5EB5EEBB" w14:textId="77777777"/>
    <w:p w:rsidR="00372094" w:rsidP="00372094" w:rsidRDefault="00372094" w14:paraId="04945746" w14:textId="77777777"/>
    <w:p w:rsidR="00372094" w:rsidP="00372094" w:rsidRDefault="00372094" w14:paraId="49E4DC04" w14:textId="77777777"/>
    <w:p w:rsidR="00372094" w:rsidP="00372094" w:rsidRDefault="00372094" w14:paraId="6BD95925" w14:textId="77777777"/>
    <w:p w:rsidR="00881E8D" w:rsidP="00881E8D" w:rsidRDefault="00881E8D" w14:paraId="15BB1140" w14:textId="77777777"/>
    <w:p w:rsidR="00930C09" w:rsidRDefault="002E45AA" w14:paraId="2F1F4E3A" w14:textId="77777777">
      <w:pPr>
        <w:spacing w:line="240" w:lineRule="auto"/>
      </w:pPr>
      <w:r>
        <w:br w:type="page"/>
      </w:r>
    </w:p>
    <w:p w:rsidRPr="003D1A2A" w:rsidR="003D1A2A" w:rsidP="00F578DE" w:rsidRDefault="003D1A2A" w14:paraId="10F382AC" w14:textId="7DDF3758">
      <w:pPr>
        <w:pStyle w:val="standaard-tekst"/>
      </w:pPr>
      <w:r>
        <w:lastRenderedPageBreak/>
        <w:t>Nr. 64</w:t>
      </w:r>
      <w:r w:rsidR="002E45AA">
        <w:tab/>
      </w:r>
      <w:r>
        <w:t>Vraag</w:t>
      </w:r>
    </w:p>
    <w:p w:rsidR="003D1A2A" w:rsidP="00F578DE" w:rsidRDefault="003D1A2A" w14:paraId="309C5D40" w14:textId="77777777">
      <w:pPr>
        <w:pStyle w:val="standaard-tekst"/>
        <w:rPr>
          <w:i/>
          <w:iCs/>
        </w:rPr>
      </w:pPr>
    </w:p>
    <w:p w:rsidR="003D1A2A" w:rsidP="002E45AA" w:rsidRDefault="00F578DE" w14:paraId="13A4B1EB" w14:textId="297AD774">
      <w:pPr>
        <w:pStyle w:val="standaard-tekst"/>
        <w:ind w:left="680"/>
      </w:pPr>
      <w:r w:rsidRPr="00F578DE">
        <w:t>Kunt u aangeven welke samenwerkingen het</w:t>
      </w:r>
      <w:r w:rsidR="00C45789">
        <w:t xml:space="preserve"> </w:t>
      </w:r>
      <w:proofErr w:type="spellStart"/>
      <w:r w:rsidR="00C45789">
        <w:t>Biomedical</w:t>
      </w:r>
      <w:proofErr w:type="spellEnd"/>
      <w:r w:rsidR="00C45789">
        <w:t xml:space="preserve"> </w:t>
      </w:r>
      <w:proofErr w:type="spellStart"/>
      <w:r w:rsidR="00C45789">
        <w:t>Primate</w:t>
      </w:r>
      <w:proofErr w:type="spellEnd"/>
      <w:r w:rsidR="00C45789">
        <w:t xml:space="preserve"> Research Centre (</w:t>
      </w:r>
      <w:r w:rsidRPr="00F578DE">
        <w:t>BPRC</w:t>
      </w:r>
      <w:r w:rsidR="00C45789">
        <w:t>)</w:t>
      </w:r>
      <w:r w:rsidRPr="00F578DE">
        <w:t xml:space="preserve"> de afgelopen vijf jaar, uitgesplitst naar jaar, is aangegaan met andere Nederlandse onderzoeksinstellingen en universiteiten?</w:t>
      </w:r>
    </w:p>
    <w:p w:rsidRPr="00F578DE" w:rsidR="00F578DE" w:rsidP="002E45AA" w:rsidRDefault="00F578DE" w14:paraId="36580570" w14:textId="22B84E68">
      <w:pPr>
        <w:pStyle w:val="standaard-tekst"/>
        <w:ind w:left="680"/>
      </w:pPr>
      <w:r w:rsidRPr="00F578DE">
        <w:tab/>
      </w:r>
    </w:p>
    <w:p w:rsidR="00F578DE" w:rsidP="00D452AA" w:rsidRDefault="003871DC" w14:paraId="39093E65" w14:textId="46771823">
      <w:pPr>
        <w:pStyle w:val="standaard-tekst"/>
        <w:ind w:left="680"/>
      </w:pPr>
      <w:r>
        <w:t>Het BPRC geeft aan dat o</w:t>
      </w:r>
      <w:r w:rsidRPr="00F578DE" w:rsidR="00F578DE">
        <w:t>p basis van de auteurs op de publicatielijst van de afgelopen jaren</w:t>
      </w:r>
      <w:r>
        <w:t xml:space="preserve">, het </w:t>
      </w:r>
      <w:r w:rsidRPr="00F578DE" w:rsidR="00F578DE">
        <w:t xml:space="preserve">BPRC in ieder geval samenwerkingen </w:t>
      </w:r>
      <w:r>
        <w:t xml:space="preserve">heeft gehad </w:t>
      </w:r>
      <w:r w:rsidRPr="00F578DE" w:rsidR="00F578DE">
        <w:t xml:space="preserve">met: Amsterdam UMC/VU, Leiden UMC/Universiteit Leiden, UMC Utrecht/Universiteit Utrecht, Erasmus MC, </w:t>
      </w:r>
      <w:proofErr w:type="spellStart"/>
      <w:r w:rsidRPr="00F578DE" w:rsidR="00F578DE">
        <w:t>Radboudumc</w:t>
      </w:r>
      <w:proofErr w:type="spellEnd"/>
      <w:r w:rsidRPr="00F578DE" w:rsidR="00F578DE">
        <w:t xml:space="preserve">/Radboud Universiteit, Rijksuniversiteit Groningen/UMCG, Wageningen UR, RIVM, </w:t>
      </w:r>
      <w:proofErr w:type="spellStart"/>
      <w:r w:rsidRPr="00F578DE" w:rsidR="00F578DE">
        <w:t>Sanquin</w:t>
      </w:r>
      <w:proofErr w:type="spellEnd"/>
      <w:r w:rsidRPr="00F578DE" w:rsidR="00F578DE">
        <w:t xml:space="preserve">, Nederlands Herseninstituut, </w:t>
      </w:r>
      <w:proofErr w:type="spellStart"/>
      <w:r w:rsidRPr="00F578DE" w:rsidR="00F578DE">
        <w:t>Hubrecht</w:t>
      </w:r>
      <w:proofErr w:type="spellEnd"/>
      <w:r w:rsidRPr="00F578DE" w:rsidR="00F578DE">
        <w:t xml:space="preserve"> </w:t>
      </w:r>
      <w:proofErr w:type="spellStart"/>
      <w:r w:rsidRPr="00F578DE" w:rsidR="00F578DE">
        <w:t>Institute</w:t>
      </w:r>
      <w:proofErr w:type="spellEnd"/>
      <w:r w:rsidRPr="00F578DE" w:rsidR="00F578DE">
        <w:t>, Diergaarde Blijdorp/Rotterdam Zoo en diverse Nederlandse universitaire onderzoeksgroepen.</w:t>
      </w:r>
      <w:r w:rsidR="00D452AA">
        <w:t xml:space="preserve"> </w:t>
      </w:r>
      <w:r w:rsidRPr="00F578DE" w:rsidR="00F578DE">
        <w:t>De</w:t>
      </w:r>
      <w:r w:rsidR="00D452AA">
        <w:t>ze laatste categorie (</w:t>
      </w:r>
      <w:r w:rsidRPr="00F578DE" w:rsidR="00F578DE">
        <w:t>diverse Nederlandse universitaire onderzoeksgroepen</w:t>
      </w:r>
      <w:r w:rsidR="00D452AA">
        <w:t>) is</w:t>
      </w:r>
      <w:r w:rsidRPr="00F578DE" w:rsidR="00F578DE">
        <w:t xml:space="preserve"> groter in aantal dan de auteurslijst op publicaties. Voor het aanvragen van nationale en internationale subsidies werkt het BPRC namelijk met anderen samen in consortiumverband. Aangezien niet alle subsidieaanvragen worden gehonoreerd, zal er uit deze samenwerkingen vaak geen onderzoek en dus geen publicaties volgen.</w:t>
      </w:r>
    </w:p>
    <w:p w:rsidR="003D1A2A" w:rsidP="00F578DE" w:rsidRDefault="003D1A2A" w14:paraId="6E98865C" w14:textId="77777777">
      <w:pPr>
        <w:pStyle w:val="standaard-tekst"/>
      </w:pPr>
    </w:p>
    <w:p w:rsidRPr="00F578DE" w:rsidR="003D1A2A" w:rsidP="00F578DE" w:rsidRDefault="003D1A2A" w14:paraId="5E6E57F7" w14:textId="1DDAFAE9">
      <w:pPr>
        <w:pStyle w:val="standaard-tekst"/>
      </w:pPr>
      <w:r>
        <w:t>Nr. 66</w:t>
      </w:r>
      <w:r w:rsidR="002E45AA">
        <w:tab/>
      </w:r>
      <w:r>
        <w:t>Vraag</w:t>
      </w:r>
    </w:p>
    <w:p w:rsidRPr="00F578DE" w:rsidR="00F578DE" w:rsidP="002E45AA" w:rsidRDefault="00F578DE" w14:paraId="32AB6CF4" w14:textId="4980ACDC">
      <w:pPr>
        <w:pStyle w:val="standaard-tekst"/>
        <w:ind w:left="680"/>
      </w:pPr>
      <w:r w:rsidRPr="00F578DE">
        <w:rPr>
          <w:i/>
          <w:iCs/>
        </w:rPr>
        <w:br/>
      </w:r>
      <w:r w:rsidRPr="00F578DE">
        <w:t>Kunt u een lijst verschaffen van alle alternatieven voor apenproeven die het BPRC in de afgelopen twintig jaar zelf heeft ontwikkeld?</w:t>
      </w:r>
      <w:r w:rsidRPr="00F578DE">
        <w:tab/>
      </w:r>
    </w:p>
    <w:p w:rsidR="003D1A2A" w:rsidP="002E45AA" w:rsidRDefault="003D1A2A" w14:paraId="387C3DFF" w14:textId="77777777">
      <w:pPr>
        <w:pStyle w:val="standaard-tekst"/>
        <w:ind w:left="680"/>
      </w:pPr>
    </w:p>
    <w:p w:rsidRPr="00F578DE" w:rsidR="00F578DE" w:rsidP="002E45AA" w:rsidRDefault="004F0152" w14:paraId="757F9252" w14:textId="7CE583D1">
      <w:pPr>
        <w:pStyle w:val="standaard-tekst"/>
        <w:ind w:left="680"/>
      </w:pPr>
      <w:r>
        <w:t>Het BPRC geeft aan dat he</w:t>
      </w:r>
      <w:r w:rsidR="00C45789">
        <w:t xml:space="preserve">t helaas niet mogelijk </w:t>
      </w:r>
      <w:r>
        <w:t xml:space="preserve">is </w:t>
      </w:r>
      <w:r w:rsidR="00C45789">
        <w:t xml:space="preserve">om daar een volledige lijst van op te stellen. </w:t>
      </w:r>
      <w:r w:rsidRPr="00F578DE" w:rsidR="00F578DE">
        <w:t xml:space="preserve">Het BPRC heeft altijd sterk ingezet op de </w:t>
      </w:r>
      <w:r w:rsidR="00C45789">
        <w:t xml:space="preserve">drie </w:t>
      </w:r>
      <w:r w:rsidRPr="00F578DE" w:rsidR="00F578DE">
        <w:t>V</w:t>
      </w:r>
      <w:r w:rsidR="00C45789">
        <w:t>’s (</w:t>
      </w:r>
      <w:r w:rsidRPr="00C45789" w:rsidR="00C45789">
        <w:t>Vervanging, Vermindering en Verfijning</w:t>
      </w:r>
      <w:r w:rsidR="00C45789">
        <w:t>)</w:t>
      </w:r>
      <w:r w:rsidRPr="00F578DE" w:rsidR="00F578DE">
        <w:t xml:space="preserve">. Een heel belangrijk onderdeel hiervan, en van meer kennis met minder dieren, is de inrichting van de </w:t>
      </w:r>
      <w:proofErr w:type="spellStart"/>
      <w:r w:rsidRPr="00F578DE" w:rsidR="00F578DE">
        <w:t>biobank</w:t>
      </w:r>
      <w:proofErr w:type="spellEnd"/>
      <w:r w:rsidRPr="00F578DE" w:rsidR="00F578DE">
        <w:t xml:space="preserve">. Wetenschappers van het BPRC en de internationale </w:t>
      </w:r>
      <w:proofErr w:type="spellStart"/>
      <w:r w:rsidRPr="00F578DE" w:rsidR="00F578DE">
        <w:t>onderzoeksgemeenschap</w:t>
      </w:r>
      <w:proofErr w:type="spellEnd"/>
      <w:r w:rsidRPr="00F578DE" w:rsidR="00F578DE">
        <w:t xml:space="preserve"> gebruiken hier materiaal uit, variërend van volbloed of witte bloedcellen tot weefsels</w:t>
      </w:r>
      <w:r w:rsidR="00DC5650">
        <w:t>,</w:t>
      </w:r>
      <w:r w:rsidRPr="00F578DE" w:rsidR="00F578DE">
        <w:t xml:space="preserve"> organen, hersenen</w:t>
      </w:r>
      <w:r w:rsidR="00DC5650">
        <w:t xml:space="preserve"> en </w:t>
      </w:r>
      <w:proofErr w:type="spellStart"/>
      <w:r w:rsidRPr="00F578DE" w:rsidR="00F578DE">
        <w:t>darmorganoïden</w:t>
      </w:r>
      <w:proofErr w:type="spellEnd"/>
      <w:r w:rsidR="00214889">
        <w:t xml:space="preserve">. Hiermee wordt </w:t>
      </w:r>
      <w:r w:rsidRPr="00F578DE" w:rsidR="00F578DE">
        <w:t xml:space="preserve">proefdiervrij onderzoek </w:t>
      </w:r>
      <w:r w:rsidR="00214889">
        <w:t>gedaan</w:t>
      </w:r>
      <w:r w:rsidRPr="00F578DE" w:rsidR="00F578DE">
        <w:t xml:space="preserve"> en in sommige gevallen</w:t>
      </w:r>
      <w:r w:rsidR="00214889">
        <w:t xml:space="preserve"> worden</w:t>
      </w:r>
      <w:r w:rsidRPr="00F578DE" w:rsidR="00F578DE">
        <w:t xml:space="preserve"> alternatieven voor apenproeven ontwikkel</w:t>
      </w:r>
      <w:r w:rsidR="00214889">
        <w:t>d</w:t>
      </w:r>
      <w:r w:rsidRPr="00F578DE" w:rsidR="00F578DE">
        <w:t xml:space="preserve">. Deze alternatieven worden meestal ontwikkeld en gepubliceerd als onderdeel van breder ziektegericht onderzoek, en niet als afzonderlijke activiteit. Het BPRC heeft bijvoorbeeld voor het malariaonderzoek </w:t>
      </w:r>
      <w:r w:rsidR="00214889">
        <w:t xml:space="preserve">de afgelopen tien jaar </w:t>
      </w:r>
      <w:r w:rsidRPr="00F578DE" w:rsidR="00F578DE">
        <w:t xml:space="preserve">veel tijd besteed aan het ontwikkelen van een methode om malariaparasieten te kunnen onderzoeken in levercellen in een kweekbakje, als alternatief voor grootschalige screening van nieuwe medicijnen in apen. Ook zijn er methodes ontwikkeld om medicijnen toe te dienen met minder irriterende adjuvantia, is er voor het welzijn van de dieren </w:t>
      </w:r>
      <w:proofErr w:type="spellStart"/>
      <w:r w:rsidRPr="00F578DE" w:rsidR="00F578DE">
        <w:t>gedragsondroek</w:t>
      </w:r>
      <w:proofErr w:type="spellEnd"/>
      <w:r w:rsidRPr="00F578DE" w:rsidR="00F578DE">
        <w:t xml:space="preserve"> gedaan, onderzoek naar verrijkingsmethoden, luchtkwaliteit, </w:t>
      </w:r>
      <w:r w:rsidRPr="00C45789" w:rsidR="00F578DE">
        <w:rPr>
          <w:i/>
          <w:iCs/>
        </w:rPr>
        <w:t>long-</w:t>
      </w:r>
      <w:proofErr w:type="spellStart"/>
      <w:r w:rsidRPr="00C45789" w:rsidR="00F578DE">
        <w:rPr>
          <w:i/>
          <w:iCs/>
        </w:rPr>
        <w:t>acting</w:t>
      </w:r>
      <w:proofErr w:type="spellEnd"/>
      <w:r w:rsidRPr="00F578DE" w:rsidR="00F578DE">
        <w:t xml:space="preserve"> antibiotica, het </w:t>
      </w:r>
      <w:proofErr w:type="spellStart"/>
      <w:r w:rsidRPr="00F578DE" w:rsidR="00F578DE">
        <w:t>microbioom</w:t>
      </w:r>
      <w:proofErr w:type="spellEnd"/>
      <w:r w:rsidRPr="00F578DE" w:rsidR="00F578DE">
        <w:t xml:space="preserve">, </w:t>
      </w:r>
      <w:r w:rsidR="00214889">
        <w:t xml:space="preserve">en </w:t>
      </w:r>
      <w:r w:rsidRPr="00F578DE" w:rsidR="00F578DE">
        <w:t>de voedingssamenstelling voor de dieren. Hier is deels over gepubliceerd, deels is dit opgenomen in de materiaal &amp; methoden</w:t>
      </w:r>
      <w:r w:rsidR="00445B02">
        <w:t>-</w:t>
      </w:r>
      <w:r w:rsidRPr="00F578DE" w:rsidR="00F578DE">
        <w:t xml:space="preserve">secties van verschenen artikelen. Als we kijken naar de impact van het onderzoek, gebaseerd op de wetenschappelijke output van het BPRC, dan is van de periode 2019-2025 39% (85/220) van de artikelen verschenen op basis van dierstudies, 39% (86/220) op basis van op basis van de 3 V's, en 22% (49/220) op basis van beide. </w:t>
      </w:r>
    </w:p>
    <w:p w:rsidR="003D1A2A" w:rsidP="00F578DE" w:rsidRDefault="003D1A2A" w14:paraId="38B04C29" w14:textId="77777777">
      <w:pPr>
        <w:pStyle w:val="standaard-tekst"/>
        <w:rPr>
          <w:i/>
          <w:iCs/>
        </w:rPr>
      </w:pPr>
    </w:p>
    <w:p w:rsidR="003D1A2A" w:rsidP="00F578DE" w:rsidRDefault="003D1A2A" w14:paraId="630EE3B7" w14:textId="18B49F77">
      <w:pPr>
        <w:pStyle w:val="standaard-tekst"/>
        <w:rPr>
          <w:i/>
          <w:iCs/>
        </w:rPr>
      </w:pPr>
      <w:r>
        <w:t>Nr. 67</w:t>
      </w:r>
      <w:r w:rsidR="002E45AA">
        <w:tab/>
      </w:r>
      <w:r w:rsidRPr="00F578DE" w:rsidR="00F578DE">
        <w:t>Vraag</w:t>
      </w:r>
      <w:r w:rsidRPr="00F578DE" w:rsidR="00F578DE">
        <w:rPr>
          <w:i/>
          <w:iCs/>
        </w:rPr>
        <w:br/>
      </w:r>
    </w:p>
    <w:p w:rsidRPr="00F578DE" w:rsidR="00F578DE" w:rsidP="002E45AA" w:rsidRDefault="00F578DE" w14:paraId="3A1D5125" w14:textId="53E06852">
      <w:pPr>
        <w:pStyle w:val="standaard-tekst"/>
        <w:ind w:left="680"/>
      </w:pPr>
      <w:r w:rsidRPr="00F578DE">
        <w:t>Kunt u aangeven hoeveel geld het BPRC de afgelopen vijf jaar, uitgesplitst naar jaar, heeft gebruikt voor het ontwikkelen van alternatieven voor de apenproeven die ze doen en welk percentage dit is van de totale begroting van het BPRC?</w:t>
      </w:r>
    </w:p>
    <w:p w:rsidR="003D1A2A" w:rsidP="002E45AA" w:rsidRDefault="003D1A2A" w14:paraId="41537FD3" w14:textId="77777777">
      <w:pPr>
        <w:pStyle w:val="standaard-tekst"/>
        <w:ind w:left="680"/>
      </w:pPr>
    </w:p>
    <w:p w:rsidRPr="00F578DE" w:rsidR="00F578DE" w:rsidP="002E45AA" w:rsidRDefault="00F578DE" w14:paraId="11BECDF0" w14:textId="7E6EE987">
      <w:pPr>
        <w:pStyle w:val="standaard-tekst"/>
        <w:ind w:left="680"/>
      </w:pPr>
      <w:r w:rsidRPr="00F578DE">
        <w:t xml:space="preserve">Onderstaand treft u de gegevens over 2020 t/m 2024. De financiële gegevens over 2025 zijn nog niet door een accountant gecontroleerd. </w:t>
      </w:r>
    </w:p>
    <w:p w:rsidRPr="00F578DE" w:rsidR="00F578DE" w:rsidP="00F578DE" w:rsidRDefault="00F578DE" w14:paraId="340BCB65" w14:textId="77777777">
      <w:pPr>
        <w:pStyle w:val="standaard-tekst"/>
        <w:rPr>
          <w:b/>
          <w:bCs/>
        </w:rPr>
      </w:pPr>
    </w:p>
    <w:tbl>
      <w:tblPr>
        <w:tblpPr w:leftFromText="141" w:rightFromText="141" w:vertAnchor="text" w:horzAnchor="margin" w:tblpXSpec="center" w:tblpY="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254"/>
        <w:gridCol w:w="1254"/>
        <w:gridCol w:w="1254"/>
        <w:gridCol w:w="1254"/>
        <w:gridCol w:w="1254"/>
      </w:tblGrid>
      <w:tr w:rsidRPr="00F578DE" w:rsidR="002E45AA" w:rsidTr="002E45AA" w14:paraId="5B2D7D57" w14:textId="77777777">
        <w:tc>
          <w:tcPr>
            <w:tcW w:w="0" w:type="auto"/>
            <w:tcMar>
              <w:top w:w="0" w:type="dxa"/>
              <w:left w:w="108" w:type="dxa"/>
              <w:bottom w:w="0" w:type="dxa"/>
              <w:right w:w="108" w:type="dxa"/>
            </w:tcMar>
          </w:tcPr>
          <w:p w:rsidRPr="00F578DE" w:rsidR="002E45AA" w:rsidP="002E45AA" w:rsidRDefault="002E45AA" w14:paraId="18E47768" w14:textId="77777777">
            <w:pPr>
              <w:pStyle w:val="standaard-tekst"/>
            </w:pPr>
            <w:r w:rsidRPr="00F578DE">
              <w:rPr>
                <w:lang w:val="en-US"/>
              </w:rPr>
              <w:t>2020</w:t>
            </w:r>
          </w:p>
        </w:tc>
        <w:tc>
          <w:tcPr>
            <w:tcW w:w="0" w:type="auto"/>
            <w:tcMar>
              <w:top w:w="0" w:type="dxa"/>
              <w:left w:w="108" w:type="dxa"/>
              <w:bottom w:w="0" w:type="dxa"/>
              <w:right w:w="108" w:type="dxa"/>
            </w:tcMar>
          </w:tcPr>
          <w:p w:rsidRPr="00F578DE" w:rsidR="002E45AA" w:rsidP="002E45AA" w:rsidRDefault="002E45AA" w14:paraId="0FC58742" w14:textId="77777777">
            <w:pPr>
              <w:pStyle w:val="standaard-tekst"/>
            </w:pPr>
            <w:r w:rsidRPr="00F578DE">
              <w:rPr>
                <w:lang w:val="en-US"/>
              </w:rPr>
              <w:t>2021</w:t>
            </w:r>
          </w:p>
        </w:tc>
        <w:tc>
          <w:tcPr>
            <w:tcW w:w="0" w:type="auto"/>
            <w:tcMar>
              <w:top w:w="0" w:type="dxa"/>
              <w:left w:w="108" w:type="dxa"/>
              <w:bottom w:w="0" w:type="dxa"/>
              <w:right w:w="108" w:type="dxa"/>
            </w:tcMar>
            <w:hideMark/>
          </w:tcPr>
          <w:p w:rsidRPr="00F578DE" w:rsidR="002E45AA" w:rsidP="002E45AA" w:rsidRDefault="002E45AA" w14:paraId="27E2A47A" w14:textId="77777777">
            <w:pPr>
              <w:pStyle w:val="standaard-tekst"/>
              <w:rPr>
                <w:lang w:val="en-US"/>
              </w:rPr>
            </w:pPr>
            <w:r w:rsidRPr="00F578DE">
              <w:rPr>
                <w:lang w:val="en-US"/>
              </w:rPr>
              <w:t>2022</w:t>
            </w:r>
          </w:p>
        </w:tc>
        <w:tc>
          <w:tcPr>
            <w:tcW w:w="0" w:type="auto"/>
            <w:tcMar>
              <w:top w:w="0" w:type="dxa"/>
              <w:left w:w="108" w:type="dxa"/>
              <w:bottom w:w="0" w:type="dxa"/>
              <w:right w:w="108" w:type="dxa"/>
            </w:tcMar>
          </w:tcPr>
          <w:p w:rsidRPr="00F578DE" w:rsidR="002E45AA" w:rsidP="002E45AA" w:rsidRDefault="002E45AA" w14:paraId="3CCCAA52" w14:textId="77777777">
            <w:pPr>
              <w:pStyle w:val="standaard-tekst"/>
              <w:rPr>
                <w:lang w:val="en-US"/>
              </w:rPr>
            </w:pPr>
            <w:r w:rsidRPr="00F578DE">
              <w:t>2023</w:t>
            </w:r>
          </w:p>
        </w:tc>
        <w:tc>
          <w:tcPr>
            <w:tcW w:w="0" w:type="auto"/>
            <w:tcMar>
              <w:top w:w="0" w:type="dxa"/>
              <w:left w:w="108" w:type="dxa"/>
              <w:bottom w:w="0" w:type="dxa"/>
              <w:right w:w="108" w:type="dxa"/>
            </w:tcMar>
          </w:tcPr>
          <w:p w:rsidRPr="00F578DE" w:rsidR="002E45AA" w:rsidP="002E45AA" w:rsidRDefault="002E45AA" w14:paraId="12AEE901" w14:textId="77777777">
            <w:pPr>
              <w:pStyle w:val="standaard-tekst"/>
              <w:rPr>
                <w:lang w:val="en-US"/>
              </w:rPr>
            </w:pPr>
            <w:r w:rsidRPr="00F578DE">
              <w:t xml:space="preserve">2024 </w:t>
            </w:r>
          </w:p>
        </w:tc>
      </w:tr>
      <w:tr w:rsidRPr="00F578DE" w:rsidR="002E45AA" w:rsidTr="002E45AA" w14:paraId="29B3685B" w14:textId="77777777">
        <w:tc>
          <w:tcPr>
            <w:tcW w:w="0" w:type="auto"/>
            <w:tcMar>
              <w:top w:w="0" w:type="dxa"/>
              <w:left w:w="108" w:type="dxa"/>
              <w:bottom w:w="0" w:type="dxa"/>
              <w:right w:w="108" w:type="dxa"/>
            </w:tcMar>
          </w:tcPr>
          <w:p w:rsidRPr="00F578DE" w:rsidR="002E45AA" w:rsidP="002E45AA" w:rsidRDefault="002E45AA" w14:paraId="7B2E525C" w14:textId="77777777">
            <w:pPr>
              <w:pStyle w:val="standaard-tekst"/>
              <w:rPr>
                <w:lang w:val="en-US"/>
              </w:rPr>
            </w:pPr>
            <w:r w:rsidRPr="00F578DE">
              <w:rPr>
                <w:lang w:val="en-US"/>
              </w:rPr>
              <w:t xml:space="preserve">14,1% </w:t>
            </w:r>
            <w:r w:rsidRPr="00F578DE">
              <w:rPr>
                <w:lang w:val="en-US"/>
              </w:rPr>
              <w:br/>
              <w:t xml:space="preserve">(€ 1,6 </w:t>
            </w:r>
            <w:proofErr w:type="spellStart"/>
            <w:r w:rsidRPr="00F578DE">
              <w:rPr>
                <w:lang w:val="en-US"/>
              </w:rPr>
              <w:t>mln</w:t>
            </w:r>
            <w:proofErr w:type="spellEnd"/>
            <w:r w:rsidRPr="00F578DE">
              <w:rPr>
                <w:lang w:val="en-US"/>
              </w:rPr>
              <w:t>)</w:t>
            </w:r>
          </w:p>
        </w:tc>
        <w:tc>
          <w:tcPr>
            <w:tcW w:w="0" w:type="auto"/>
            <w:tcMar>
              <w:top w:w="0" w:type="dxa"/>
              <w:left w:w="108" w:type="dxa"/>
              <w:bottom w:w="0" w:type="dxa"/>
              <w:right w:w="108" w:type="dxa"/>
            </w:tcMar>
          </w:tcPr>
          <w:p w:rsidRPr="00F578DE" w:rsidR="002E45AA" w:rsidP="002E45AA" w:rsidRDefault="002E45AA" w14:paraId="3B1A98DF" w14:textId="77777777">
            <w:pPr>
              <w:pStyle w:val="standaard-tekst"/>
              <w:rPr>
                <w:lang w:val="en-US"/>
              </w:rPr>
            </w:pPr>
            <w:r w:rsidRPr="00F578DE">
              <w:rPr>
                <w:lang w:val="en-US"/>
              </w:rPr>
              <w:t xml:space="preserve">17,7% </w:t>
            </w:r>
            <w:r w:rsidRPr="00F578DE">
              <w:rPr>
                <w:lang w:val="en-US"/>
              </w:rPr>
              <w:br/>
              <w:t xml:space="preserve">(€ 1,9 </w:t>
            </w:r>
            <w:proofErr w:type="spellStart"/>
            <w:r w:rsidRPr="00F578DE">
              <w:rPr>
                <w:lang w:val="en-US"/>
              </w:rPr>
              <w:t>mln</w:t>
            </w:r>
            <w:proofErr w:type="spellEnd"/>
            <w:r w:rsidRPr="00F578DE">
              <w:rPr>
                <w:lang w:val="en-US"/>
              </w:rPr>
              <w:t>)</w:t>
            </w:r>
          </w:p>
        </w:tc>
        <w:tc>
          <w:tcPr>
            <w:tcW w:w="0" w:type="auto"/>
            <w:tcMar>
              <w:top w:w="0" w:type="dxa"/>
              <w:left w:w="108" w:type="dxa"/>
              <w:bottom w:w="0" w:type="dxa"/>
              <w:right w:w="108" w:type="dxa"/>
            </w:tcMar>
            <w:hideMark/>
          </w:tcPr>
          <w:p w:rsidRPr="00F578DE" w:rsidR="002E45AA" w:rsidP="002E45AA" w:rsidRDefault="002E45AA" w14:paraId="066769D3" w14:textId="77777777">
            <w:pPr>
              <w:pStyle w:val="standaard-tekst"/>
              <w:rPr>
                <w:lang w:val="en-US"/>
              </w:rPr>
            </w:pPr>
            <w:r w:rsidRPr="00F578DE">
              <w:rPr>
                <w:lang w:val="en-US"/>
              </w:rPr>
              <w:t xml:space="preserve">16,4% </w:t>
            </w:r>
            <w:r w:rsidRPr="00F578DE">
              <w:rPr>
                <w:lang w:val="en-US"/>
              </w:rPr>
              <w:br/>
              <w:t xml:space="preserve">(€ 1,9 </w:t>
            </w:r>
            <w:proofErr w:type="spellStart"/>
            <w:r w:rsidRPr="00F578DE">
              <w:rPr>
                <w:lang w:val="en-US"/>
              </w:rPr>
              <w:t>mln</w:t>
            </w:r>
            <w:proofErr w:type="spellEnd"/>
            <w:r w:rsidRPr="00F578DE">
              <w:rPr>
                <w:lang w:val="en-US"/>
              </w:rPr>
              <w:t>)</w:t>
            </w:r>
          </w:p>
        </w:tc>
        <w:tc>
          <w:tcPr>
            <w:tcW w:w="0" w:type="auto"/>
            <w:tcMar>
              <w:top w:w="0" w:type="dxa"/>
              <w:left w:w="108" w:type="dxa"/>
              <w:bottom w:w="0" w:type="dxa"/>
              <w:right w:w="108" w:type="dxa"/>
            </w:tcMar>
          </w:tcPr>
          <w:p w:rsidRPr="00F578DE" w:rsidR="002E45AA" w:rsidP="002E45AA" w:rsidRDefault="002E45AA" w14:paraId="485369B7" w14:textId="77777777">
            <w:pPr>
              <w:pStyle w:val="standaard-tekst"/>
              <w:rPr>
                <w:lang w:val="en-US"/>
              </w:rPr>
            </w:pPr>
            <w:r w:rsidRPr="00F578DE">
              <w:rPr>
                <w:lang w:val="en-US"/>
              </w:rPr>
              <w:t xml:space="preserve">18,5% </w:t>
            </w:r>
            <w:r w:rsidRPr="00F578DE">
              <w:rPr>
                <w:lang w:val="en-US"/>
              </w:rPr>
              <w:br/>
              <w:t xml:space="preserve">(€ 2,2 </w:t>
            </w:r>
            <w:proofErr w:type="spellStart"/>
            <w:r w:rsidRPr="00F578DE">
              <w:rPr>
                <w:lang w:val="en-US"/>
              </w:rPr>
              <w:t>mln</w:t>
            </w:r>
            <w:proofErr w:type="spellEnd"/>
            <w:r w:rsidRPr="00F578DE">
              <w:rPr>
                <w:lang w:val="en-US"/>
              </w:rPr>
              <w:t>)</w:t>
            </w:r>
          </w:p>
        </w:tc>
        <w:tc>
          <w:tcPr>
            <w:tcW w:w="0" w:type="auto"/>
            <w:tcMar>
              <w:top w:w="0" w:type="dxa"/>
              <w:left w:w="108" w:type="dxa"/>
              <w:bottom w:w="0" w:type="dxa"/>
              <w:right w:w="108" w:type="dxa"/>
            </w:tcMar>
          </w:tcPr>
          <w:p w:rsidRPr="00F578DE" w:rsidR="002E45AA" w:rsidP="002E45AA" w:rsidRDefault="002E45AA" w14:paraId="430B75CF" w14:textId="77777777">
            <w:pPr>
              <w:pStyle w:val="standaard-tekst"/>
              <w:rPr>
                <w:lang w:val="en-US"/>
              </w:rPr>
            </w:pPr>
            <w:r w:rsidRPr="00F578DE">
              <w:rPr>
                <w:lang w:val="en-US"/>
              </w:rPr>
              <w:t xml:space="preserve">17,4% </w:t>
            </w:r>
            <w:r w:rsidRPr="00F578DE">
              <w:rPr>
                <w:lang w:val="en-US"/>
              </w:rPr>
              <w:br/>
              <w:t xml:space="preserve">(€ 2,2 </w:t>
            </w:r>
            <w:proofErr w:type="spellStart"/>
            <w:r w:rsidRPr="00F578DE">
              <w:rPr>
                <w:lang w:val="en-US"/>
              </w:rPr>
              <w:t>mln</w:t>
            </w:r>
            <w:proofErr w:type="spellEnd"/>
            <w:r w:rsidRPr="00F578DE">
              <w:rPr>
                <w:lang w:val="en-US"/>
              </w:rPr>
              <w:t>)</w:t>
            </w:r>
          </w:p>
        </w:tc>
      </w:tr>
    </w:tbl>
    <w:p w:rsidRPr="00820DDA" w:rsidR="00820DDA" w:rsidP="00820DDA" w:rsidRDefault="00820DDA" w14:paraId="2E49D842" w14:textId="77777777">
      <w:pPr>
        <w:pStyle w:val="standaard-tekst"/>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0C82" w14:textId="77777777" w:rsidR="002A7665" w:rsidRDefault="002A7665">
      <w:r>
        <w:separator/>
      </w:r>
    </w:p>
    <w:p w14:paraId="3CD4A993" w14:textId="77777777" w:rsidR="002A7665" w:rsidRDefault="002A7665"/>
  </w:endnote>
  <w:endnote w:type="continuationSeparator" w:id="0">
    <w:p w14:paraId="7CBAC327" w14:textId="77777777" w:rsidR="002A7665" w:rsidRDefault="002A7665">
      <w:r>
        <w:continuationSeparator/>
      </w:r>
    </w:p>
    <w:p w14:paraId="23DDA4A8" w14:textId="77777777" w:rsidR="002A7665" w:rsidRDefault="002A7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75F9"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568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059DF" w14:paraId="65202E66" w14:textId="77777777" w:rsidTr="004C7E1D">
      <w:trPr>
        <w:trHeight w:hRule="exact" w:val="357"/>
      </w:trPr>
      <w:tc>
        <w:tcPr>
          <w:tcW w:w="7603" w:type="dxa"/>
        </w:tcPr>
        <w:p w14:paraId="7388BF27" w14:textId="77777777" w:rsidR="002F71BB" w:rsidRPr="004C7E1D" w:rsidRDefault="002F71BB" w:rsidP="004C7E1D">
          <w:pPr>
            <w:spacing w:line="180" w:lineRule="exact"/>
            <w:rPr>
              <w:sz w:val="13"/>
              <w:szCs w:val="13"/>
            </w:rPr>
          </w:pPr>
        </w:p>
      </w:tc>
      <w:tc>
        <w:tcPr>
          <w:tcW w:w="2172" w:type="dxa"/>
        </w:tcPr>
        <w:p w14:paraId="601A1EE5" w14:textId="1FA89F76" w:rsidR="002F71BB" w:rsidRPr="004C7E1D" w:rsidRDefault="002E45A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3</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3552E">
            <w:rPr>
              <w:szCs w:val="13"/>
            </w:rPr>
            <w:t>3</w:t>
          </w:r>
          <w:r w:rsidRPr="004C7E1D">
            <w:rPr>
              <w:szCs w:val="13"/>
            </w:rPr>
            <w:fldChar w:fldCharType="end"/>
          </w:r>
        </w:p>
      </w:tc>
    </w:tr>
  </w:tbl>
  <w:p w14:paraId="1EA0FEE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059DF" w14:paraId="4A35E1E6" w14:textId="77777777" w:rsidTr="004C7E1D">
      <w:trPr>
        <w:trHeight w:hRule="exact" w:val="357"/>
      </w:trPr>
      <w:tc>
        <w:tcPr>
          <w:tcW w:w="7709" w:type="dxa"/>
        </w:tcPr>
        <w:p w14:paraId="54FDA61B" w14:textId="77777777" w:rsidR="00D17084" w:rsidRPr="004C7E1D" w:rsidRDefault="00D17084" w:rsidP="004C7E1D">
          <w:pPr>
            <w:spacing w:line="180" w:lineRule="exact"/>
            <w:rPr>
              <w:sz w:val="13"/>
              <w:szCs w:val="13"/>
            </w:rPr>
          </w:pPr>
        </w:p>
      </w:tc>
      <w:tc>
        <w:tcPr>
          <w:tcW w:w="2060" w:type="dxa"/>
        </w:tcPr>
        <w:p w14:paraId="21DA2E7B" w14:textId="6BFD1C7D" w:rsidR="00D17084" w:rsidRPr="004C7E1D" w:rsidRDefault="002E45A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3552E">
            <w:rPr>
              <w:szCs w:val="13"/>
            </w:rPr>
            <w:t>3</w:t>
          </w:r>
          <w:r w:rsidRPr="004C7E1D">
            <w:rPr>
              <w:szCs w:val="13"/>
            </w:rPr>
            <w:fldChar w:fldCharType="end"/>
          </w:r>
        </w:p>
      </w:tc>
    </w:tr>
  </w:tbl>
  <w:p w14:paraId="10281DC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05DE" w14:textId="77777777" w:rsidR="002A7665" w:rsidRDefault="002A7665">
      <w:r>
        <w:separator/>
      </w:r>
    </w:p>
    <w:p w14:paraId="7BBDEF2F" w14:textId="77777777" w:rsidR="002A7665" w:rsidRDefault="002A7665"/>
  </w:footnote>
  <w:footnote w:type="continuationSeparator" w:id="0">
    <w:p w14:paraId="1DEE379C" w14:textId="77777777" w:rsidR="002A7665" w:rsidRDefault="002A7665">
      <w:r>
        <w:continuationSeparator/>
      </w:r>
    </w:p>
    <w:p w14:paraId="56D80FF9" w14:textId="77777777" w:rsidR="002A7665" w:rsidRDefault="002A76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D1BD"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059DF" w14:paraId="162F920D" w14:textId="77777777" w:rsidTr="006D2D53">
      <w:trPr>
        <w:trHeight w:hRule="exact" w:val="400"/>
      </w:trPr>
      <w:tc>
        <w:tcPr>
          <w:tcW w:w="7518" w:type="dxa"/>
        </w:tcPr>
        <w:p w14:paraId="2FC791C2" w14:textId="77777777" w:rsidR="00527BD4" w:rsidRPr="00275984" w:rsidRDefault="00527BD4" w:rsidP="00BF4427">
          <w:pPr>
            <w:pStyle w:val="Huisstijl-Rubricering"/>
          </w:pPr>
        </w:p>
      </w:tc>
    </w:tr>
  </w:tbl>
  <w:p w14:paraId="3A02B6A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059DF" w14:paraId="5EBB1E83" w14:textId="77777777" w:rsidTr="003B528D">
      <w:tc>
        <w:tcPr>
          <w:tcW w:w="2160" w:type="dxa"/>
        </w:tcPr>
        <w:p w14:paraId="15259B15" w14:textId="77777777" w:rsidR="002F71BB" w:rsidRPr="000407BB" w:rsidRDefault="002E45AA" w:rsidP="005D283A">
          <w:pPr>
            <w:pStyle w:val="Colofonkop"/>
            <w:framePr w:hSpace="0" w:wrap="auto" w:vAnchor="margin" w:hAnchor="text" w:xAlign="left" w:yAlign="inline"/>
          </w:pPr>
          <w:r>
            <w:t>Onze referentie</w:t>
          </w:r>
        </w:p>
      </w:tc>
    </w:tr>
    <w:tr w:rsidR="008059DF" w14:paraId="33530712" w14:textId="77777777" w:rsidTr="002F71BB">
      <w:trPr>
        <w:trHeight w:val="259"/>
      </w:trPr>
      <w:tc>
        <w:tcPr>
          <w:tcW w:w="2160" w:type="dxa"/>
        </w:tcPr>
        <w:p w14:paraId="4B8E7609" w14:textId="77777777" w:rsidR="00E35CF4" w:rsidRPr="005D283A" w:rsidRDefault="002E45AA" w:rsidP="0049501A">
          <w:pPr>
            <w:spacing w:line="180" w:lineRule="exact"/>
            <w:rPr>
              <w:sz w:val="13"/>
              <w:szCs w:val="13"/>
            </w:rPr>
          </w:pPr>
          <w:r>
            <w:rPr>
              <w:sz w:val="13"/>
              <w:szCs w:val="13"/>
            </w:rPr>
            <w:t>64449221</w:t>
          </w:r>
        </w:p>
      </w:tc>
    </w:tr>
  </w:tbl>
  <w:p w14:paraId="1343022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059DF" w14:paraId="4AB96E93" w14:textId="77777777" w:rsidTr="001377D4">
      <w:trPr>
        <w:trHeight w:val="2636"/>
      </w:trPr>
      <w:tc>
        <w:tcPr>
          <w:tcW w:w="737" w:type="dxa"/>
        </w:tcPr>
        <w:p w14:paraId="538EA03D" w14:textId="77777777" w:rsidR="00704845" w:rsidRDefault="00704845" w:rsidP="0047126E">
          <w:pPr>
            <w:framePr w:w="6339" w:h="2750" w:hRule="exact" w:hSpace="181" w:wrap="around" w:vAnchor="page" w:hAnchor="page" w:x="5586" w:y="1"/>
            <w:spacing w:line="240" w:lineRule="auto"/>
          </w:pPr>
        </w:p>
      </w:tc>
      <w:tc>
        <w:tcPr>
          <w:tcW w:w="5156" w:type="dxa"/>
        </w:tcPr>
        <w:p w14:paraId="21A636E1" w14:textId="77777777" w:rsidR="00704845" w:rsidRDefault="002E45AA" w:rsidP="0047126E">
          <w:pPr>
            <w:framePr w:w="3873" w:h="2625" w:hRule="exact" w:wrap="around" w:vAnchor="page" w:hAnchor="page" w:x="6323" w:y="1"/>
          </w:pPr>
          <w:r>
            <w:rPr>
              <w:noProof/>
              <w:lang w:val="en-US" w:eastAsia="en-US"/>
            </w:rPr>
            <w:drawing>
              <wp:inline distT="0" distB="0" distL="0" distR="0" wp14:anchorId="2F8FA54B" wp14:editId="34C4E88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0940CBD" w14:textId="77777777" w:rsidR="00483ECA" w:rsidRDefault="00483ECA" w:rsidP="00D037A9"/>
      </w:tc>
    </w:tr>
  </w:tbl>
  <w:p w14:paraId="46D3D4E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059DF" w14:paraId="4C844C28" w14:textId="77777777" w:rsidTr="0008539E">
      <w:trPr>
        <w:trHeight w:hRule="exact" w:val="572"/>
      </w:trPr>
      <w:tc>
        <w:tcPr>
          <w:tcW w:w="7520" w:type="dxa"/>
        </w:tcPr>
        <w:p w14:paraId="479C26AB" w14:textId="77777777" w:rsidR="00527BD4" w:rsidRPr="00963440" w:rsidRDefault="002E45AA" w:rsidP="00210BA3">
          <w:pPr>
            <w:pStyle w:val="Huisstijl-Adres"/>
            <w:spacing w:after="0"/>
          </w:pPr>
          <w:r w:rsidRPr="009E3B07">
            <w:t>&gt;Retouradres </w:t>
          </w:r>
          <w:r>
            <w:t>Postbus 16375 2500 BJ Den Haag</w:t>
          </w:r>
          <w:r w:rsidRPr="009E3B07">
            <w:t xml:space="preserve"> </w:t>
          </w:r>
        </w:p>
      </w:tc>
    </w:tr>
    <w:tr w:rsidR="008059DF" w14:paraId="30C2D4E7" w14:textId="77777777" w:rsidTr="00E776C6">
      <w:trPr>
        <w:cantSplit/>
        <w:trHeight w:hRule="exact" w:val="238"/>
      </w:trPr>
      <w:tc>
        <w:tcPr>
          <w:tcW w:w="7520" w:type="dxa"/>
        </w:tcPr>
        <w:p w14:paraId="0A6A72CD" w14:textId="77777777" w:rsidR="00093ABC" w:rsidRPr="00963440" w:rsidRDefault="00093ABC" w:rsidP="00963440"/>
      </w:tc>
    </w:tr>
    <w:tr w:rsidR="008059DF" w14:paraId="4E362532" w14:textId="77777777" w:rsidTr="00E776C6">
      <w:trPr>
        <w:cantSplit/>
        <w:trHeight w:hRule="exact" w:val="1520"/>
      </w:trPr>
      <w:tc>
        <w:tcPr>
          <w:tcW w:w="7520" w:type="dxa"/>
        </w:tcPr>
        <w:p w14:paraId="3D6E5EC3" w14:textId="77777777" w:rsidR="00A604D3" w:rsidRPr="00963440" w:rsidRDefault="00A604D3" w:rsidP="00963440"/>
      </w:tc>
    </w:tr>
    <w:tr w:rsidR="008059DF" w14:paraId="768DF7EA" w14:textId="77777777" w:rsidTr="00E776C6">
      <w:trPr>
        <w:trHeight w:hRule="exact" w:val="1077"/>
      </w:trPr>
      <w:tc>
        <w:tcPr>
          <w:tcW w:w="7520" w:type="dxa"/>
        </w:tcPr>
        <w:p w14:paraId="0E3DDE83" w14:textId="77777777" w:rsidR="00892BA5" w:rsidRPr="00035E67" w:rsidRDefault="00892BA5" w:rsidP="00892BA5">
          <w:pPr>
            <w:tabs>
              <w:tab w:val="left" w:pos="740"/>
            </w:tabs>
            <w:autoSpaceDE w:val="0"/>
            <w:autoSpaceDN w:val="0"/>
            <w:adjustRightInd w:val="0"/>
            <w:rPr>
              <w:rFonts w:cs="Verdana"/>
              <w:szCs w:val="18"/>
            </w:rPr>
          </w:pPr>
        </w:p>
      </w:tc>
    </w:tr>
  </w:tbl>
  <w:p w14:paraId="3F6CD248" w14:textId="77777777" w:rsidR="006F273B" w:rsidRDefault="006F273B" w:rsidP="00BC4AE3">
    <w:pPr>
      <w:pStyle w:val="Koptekst"/>
    </w:pPr>
  </w:p>
  <w:p w14:paraId="4CCBDAD0" w14:textId="77777777" w:rsidR="00153BD0" w:rsidRDefault="00153BD0" w:rsidP="00BC4AE3">
    <w:pPr>
      <w:pStyle w:val="Koptekst"/>
    </w:pPr>
  </w:p>
  <w:p w14:paraId="4396426B" w14:textId="77777777" w:rsidR="0044605E" w:rsidRDefault="0044605E" w:rsidP="00BC4AE3">
    <w:pPr>
      <w:pStyle w:val="Koptekst"/>
    </w:pPr>
  </w:p>
  <w:p w14:paraId="767EC913" w14:textId="77777777" w:rsidR="0044605E" w:rsidRDefault="0044605E" w:rsidP="00BC4AE3">
    <w:pPr>
      <w:pStyle w:val="Koptekst"/>
    </w:pPr>
  </w:p>
  <w:p w14:paraId="78F4E5A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BECA4F4">
      <w:start w:val="1"/>
      <w:numFmt w:val="bullet"/>
      <w:pStyle w:val="Lijstopsomteken"/>
      <w:lvlText w:val="•"/>
      <w:lvlJc w:val="left"/>
      <w:pPr>
        <w:tabs>
          <w:tab w:val="num" w:pos="227"/>
        </w:tabs>
        <w:ind w:left="227" w:hanging="227"/>
      </w:pPr>
      <w:rPr>
        <w:rFonts w:ascii="Verdana" w:hAnsi="Verdana" w:hint="default"/>
        <w:sz w:val="18"/>
        <w:szCs w:val="18"/>
      </w:rPr>
    </w:lvl>
    <w:lvl w:ilvl="1" w:tplc="9216EF1E" w:tentative="1">
      <w:start w:val="1"/>
      <w:numFmt w:val="bullet"/>
      <w:lvlText w:val="o"/>
      <w:lvlJc w:val="left"/>
      <w:pPr>
        <w:tabs>
          <w:tab w:val="num" w:pos="1440"/>
        </w:tabs>
        <w:ind w:left="1440" w:hanging="360"/>
      </w:pPr>
      <w:rPr>
        <w:rFonts w:ascii="Courier New" w:hAnsi="Courier New" w:cs="Courier New" w:hint="default"/>
      </w:rPr>
    </w:lvl>
    <w:lvl w:ilvl="2" w:tplc="CFAED35C" w:tentative="1">
      <w:start w:val="1"/>
      <w:numFmt w:val="bullet"/>
      <w:lvlText w:val=""/>
      <w:lvlJc w:val="left"/>
      <w:pPr>
        <w:tabs>
          <w:tab w:val="num" w:pos="2160"/>
        </w:tabs>
        <w:ind w:left="2160" w:hanging="360"/>
      </w:pPr>
      <w:rPr>
        <w:rFonts w:ascii="Wingdings" w:hAnsi="Wingdings" w:hint="default"/>
      </w:rPr>
    </w:lvl>
    <w:lvl w:ilvl="3" w:tplc="EB666638" w:tentative="1">
      <w:start w:val="1"/>
      <w:numFmt w:val="bullet"/>
      <w:lvlText w:val=""/>
      <w:lvlJc w:val="left"/>
      <w:pPr>
        <w:tabs>
          <w:tab w:val="num" w:pos="2880"/>
        </w:tabs>
        <w:ind w:left="2880" w:hanging="360"/>
      </w:pPr>
      <w:rPr>
        <w:rFonts w:ascii="Symbol" w:hAnsi="Symbol" w:hint="default"/>
      </w:rPr>
    </w:lvl>
    <w:lvl w:ilvl="4" w:tplc="D2D009B0" w:tentative="1">
      <w:start w:val="1"/>
      <w:numFmt w:val="bullet"/>
      <w:lvlText w:val="o"/>
      <w:lvlJc w:val="left"/>
      <w:pPr>
        <w:tabs>
          <w:tab w:val="num" w:pos="3600"/>
        </w:tabs>
        <w:ind w:left="3600" w:hanging="360"/>
      </w:pPr>
      <w:rPr>
        <w:rFonts w:ascii="Courier New" w:hAnsi="Courier New" w:cs="Courier New" w:hint="default"/>
      </w:rPr>
    </w:lvl>
    <w:lvl w:ilvl="5" w:tplc="FBA69DAC" w:tentative="1">
      <w:start w:val="1"/>
      <w:numFmt w:val="bullet"/>
      <w:lvlText w:val=""/>
      <w:lvlJc w:val="left"/>
      <w:pPr>
        <w:tabs>
          <w:tab w:val="num" w:pos="4320"/>
        </w:tabs>
        <w:ind w:left="4320" w:hanging="360"/>
      </w:pPr>
      <w:rPr>
        <w:rFonts w:ascii="Wingdings" w:hAnsi="Wingdings" w:hint="default"/>
      </w:rPr>
    </w:lvl>
    <w:lvl w:ilvl="6" w:tplc="57E2EFC0" w:tentative="1">
      <w:start w:val="1"/>
      <w:numFmt w:val="bullet"/>
      <w:lvlText w:val=""/>
      <w:lvlJc w:val="left"/>
      <w:pPr>
        <w:tabs>
          <w:tab w:val="num" w:pos="5040"/>
        </w:tabs>
        <w:ind w:left="5040" w:hanging="360"/>
      </w:pPr>
      <w:rPr>
        <w:rFonts w:ascii="Symbol" w:hAnsi="Symbol" w:hint="default"/>
      </w:rPr>
    </w:lvl>
    <w:lvl w:ilvl="7" w:tplc="1D92DD06" w:tentative="1">
      <w:start w:val="1"/>
      <w:numFmt w:val="bullet"/>
      <w:lvlText w:val="o"/>
      <w:lvlJc w:val="left"/>
      <w:pPr>
        <w:tabs>
          <w:tab w:val="num" w:pos="5760"/>
        </w:tabs>
        <w:ind w:left="5760" w:hanging="360"/>
      </w:pPr>
      <w:rPr>
        <w:rFonts w:ascii="Courier New" w:hAnsi="Courier New" w:cs="Courier New" w:hint="default"/>
      </w:rPr>
    </w:lvl>
    <w:lvl w:ilvl="8" w:tplc="CDF83E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FC027AC">
      <w:start w:val="1"/>
      <w:numFmt w:val="bullet"/>
      <w:pStyle w:val="Lijstopsomteken2"/>
      <w:lvlText w:val="–"/>
      <w:lvlJc w:val="left"/>
      <w:pPr>
        <w:tabs>
          <w:tab w:val="num" w:pos="227"/>
        </w:tabs>
        <w:ind w:left="227" w:firstLine="0"/>
      </w:pPr>
      <w:rPr>
        <w:rFonts w:ascii="Verdana" w:hAnsi="Verdana" w:hint="default"/>
      </w:rPr>
    </w:lvl>
    <w:lvl w:ilvl="1" w:tplc="68A281DA" w:tentative="1">
      <w:start w:val="1"/>
      <w:numFmt w:val="bullet"/>
      <w:lvlText w:val="o"/>
      <w:lvlJc w:val="left"/>
      <w:pPr>
        <w:tabs>
          <w:tab w:val="num" w:pos="1440"/>
        </w:tabs>
        <w:ind w:left="1440" w:hanging="360"/>
      </w:pPr>
      <w:rPr>
        <w:rFonts w:ascii="Courier New" w:hAnsi="Courier New" w:cs="Courier New" w:hint="default"/>
      </w:rPr>
    </w:lvl>
    <w:lvl w:ilvl="2" w:tplc="13226AD6" w:tentative="1">
      <w:start w:val="1"/>
      <w:numFmt w:val="bullet"/>
      <w:lvlText w:val=""/>
      <w:lvlJc w:val="left"/>
      <w:pPr>
        <w:tabs>
          <w:tab w:val="num" w:pos="2160"/>
        </w:tabs>
        <w:ind w:left="2160" w:hanging="360"/>
      </w:pPr>
      <w:rPr>
        <w:rFonts w:ascii="Wingdings" w:hAnsi="Wingdings" w:hint="default"/>
      </w:rPr>
    </w:lvl>
    <w:lvl w:ilvl="3" w:tplc="1C9ABB18" w:tentative="1">
      <w:start w:val="1"/>
      <w:numFmt w:val="bullet"/>
      <w:lvlText w:val=""/>
      <w:lvlJc w:val="left"/>
      <w:pPr>
        <w:tabs>
          <w:tab w:val="num" w:pos="2880"/>
        </w:tabs>
        <w:ind w:left="2880" w:hanging="360"/>
      </w:pPr>
      <w:rPr>
        <w:rFonts w:ascii="Symbol" w:hAnsi="Symbol" w:hint="default"/>
      </w:rPr>
    </w:lvl>
    <w:lvl w:ilvl="4" w:tplc="37E26712" w:tentative="1">
      <w:start w:val="1"/>
      <w:numFmt w:val="bullet"/>
      <w:lvlText w:val="o"/>
      <w:lvlJc w:val="left"/>
      <w:pPr>
        <w:tabs>
          <w:tab w:val="num" w:pos="3600"/>
        </w:tabs>
        <w:ind w:left="3600" w:hanging="360"/>
      </w:pPr>
      <w:rPr>
        <w:rFonts w:ascii="Courier New" w:hAnsi="Courier New" w:cs="Courier New" w:hint="default"/>
      </w:rPr>
    </w:lvl>
    <w:lvl w:ilvl="5" w:tplc="750A80EE" w:tentative="1">
      <w:start w:val="1"/>
      <w:numFmt w:val="bullet"/>
      <w:lvlText w:val=""/>
      <w:lvlJc w:val="left"/>
      <w:pPr>
        <w:tabs>
          <w:tab w:val="num" w:pos="4320"/>
        </w:tabs>
        <w:ind w:left="4320" w:hanging="360"/>
      </w:pPr>
      <w:rPr>
        <w:rFonts w:ascii="Wingdings" w:hAnsi="Wingdings" w:hint="default"/>
      </w:rPr>
    </w:lvl>
    <w:lvl w:ilvl="6" w:tplc="9EFCD704" w:tentative="1">
      <w:start w:val="1"/>
      <w:numFmt w:val="bullet"/>
      <w:lvlText w:val=""/>
      <w:lvlJc w:val="left"/>
      <w:pPr>
        <w:tabs>
          <w:tab w:val="num" w:pos="5040"/>
        </w:tabs>
        <w:ind w:left="5040" w:hanging="360"/>
      </w:pPr>
      <w:rPr>
        <w:rFonts w:ascii="Symbol" w:hAnsi="Symbol" w:hint="default"/>
      </w:rPr>
    </w:lvl>
    <w:lvl w:ilvl="7" w:tplc="5BB6AE7E" w:tentative="1">
      <w:start w:val="1"/>
      <w:numFmt w:val="bullet"/>
      <w:lvlText w:val="o"/>
      <w:lvlJc w:val="left"/>
      <w:pPr>
        <w:tabs>
          <w:tab w:val="num" w:pos="5760"/>
        </w:tabs>
        <w:ind w:left="5760" w:hanging="360"/>
      </w:pPr>
      <w:rPr>
        <w:rFonts w:ascii="Courier New" w:hAnsi="Courier New" w:cs="Courier New" w:hint="default"/>
      </w:rPr>
    </w:lvl>
    <w:lvl w:ilvl="8" w:tplc="C1349C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74022342">
    <w:abstractNumId w:val="10"/>
  </w:num>
  <w:num w:numId="2" w16cid:durableId="959149436">
    <w:abstractNumId w:val="7"/>
  </w:num>
  <w:num w:numId="3" w16cid:durableId="1220630509">
    <w:abstractNumId w:val="6"/>
  </w:num>
  <w:num w:numId="4" w16cid:durableId="222715508">
    <w:abstractNumId w:val="5"/>
  </w:num>
  <w:num w:numId="5" w16cid:durableId="1280649141">
    <w:abstractNumId w:val="4"/>
  </w:num>
  <w:num w:numId="6" w16cid:durableId="691689771">
    <w:abstractNumId w:val="8"/>
  </w:num>
  <w:num w:numId="7" w16cid:durableId="1045060977">
    <w:abstractNumId w:val="3"/>
  </w:num>
  <w:num w:numId="8" w16cid:durableId="1707676452">
    <w:abstractNumId w:val="2"/>
  </w:num>
  <w:num w:numId="9" w16cid:durableId="2087025813">
    <w:abstractNumId w:val="1"/>
  </w:num>
  <w:num w:numId="10" w16cid:durableId="23797342">
    <w:abstractNumId w:val="0"/>
  </w:num>
  <w:num w:numId="11" w16cid:durableId="21785367">
    <w:abstractNumId w:val="9"/>
  </w:num>
  <w:num w:numId="12" w16cid:durableId="379787851">
    <w:abstractNumId w:val="11"/>
  </w:num>
  <w:num w:numId="13" w16cid:durableId="2019114317">
    <w:abstractNumId w:val="13"/>
  </w:num>
  <w:num w:numId="14" w16cid:durableId="178738815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100"/>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1D31"/>
    <w:rsid w:val="001E0256"/>
    <w:rsid w:val="001E34C6"/>
    <w:rsid w:val="001E5581"/>
    <w:rsid w:val="001F3C70"/>
    <w:rsid w:val="00200D88"/>
    <w:rsid w:val="00201C09"/>
    <w:rsid w:val="00201F68"/>
    <w:rsid w:val="00210BA3"/>
    <w:rsid w:val="00212F2A"/>
    <w:rsid w:val="00214889"/>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7665"/>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5AA"/>
    <w:rsid w:val="002E4CF2"/>
    <w:rsid w:val="002E6FC0"/>
    <w:rsid w:val="002F125B"/>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1C8"/>
    <w:rsid w:val="00342374"/>
    <w:rsid w:val="00344F3D"/>
    <w:rsid w:val="00345299"/>
    <w:rsid w:val="00347221"/>
    <w:rsid w:val="00351A8D"/>
    <w:rsid w:val="003526BB"/>
    <w:rsid w:val="00352BCF"/>
    <w:rsid w:val="00353932"/>
    <w:rsid w:val="0035464B"/>
    <w:rsid w:val="00356D2B"/>
    <w:rsid w:val="00361A56"/>
    <w:rsid w:val="0036252A"/>
    <w:rsid w:val="0036446D"/>
    <w:rsid w:val="00364D9D"/>
    <w:rsid w:val="00371048"/>
    <w:rsid w:val="00372094"/>
    <w:rsid w:val="0037396C"/>
    <w:rsid w:val="0037421D"/>
    <w:rsid w:val="00374412"/>
    <w:rsid w:val="00376093"/>
    <w:rsid w:val="0037715E"/>
    <w:rsid w:val="00383DA1"/>
    <w:rsid w:val="00385F30"/>
    <w:rsid w:val="003871DC"/>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1A2A"/>
    <w:rsid w:val="003D39EC"/>
    <w:rsid w:val="003D40EA"/>
    <w:rsid w:val="003E3DD5"/>
    <w:rsid w:val="003F07C6"/>
    <w:rsid w:val="003F1F6B"/>
    <w:rsid w:val="003F3757"/>
    <w:rsid w:val="003F44B7"/>
    <w:rsid w:val="003F6721"/>
    <w:rsid w:val="004008E9"/>
    <w:rsid w:val="00407991"/>
    <w:rsid w:val="0041019E"/>
    <w:rsid w:val="00413D48"/>
    <w:rsid w:val="00424A60"/>
    <w:rsid w:val="00434042"/>
    <w:rsid w:val="00434500"/>
    <w:rsid w:val="0043552E"/>
    <w:rsid w:val="00437472"/>
    <w:rsid w:val="00441AC2"/>
    <w:rsid w:val="0044249B"/>
    <w:rsid w:val="004425A7"/>
    <w:rsid w:val="00445B02"/>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4787"/>
    <w:rsid w:val="004F015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3951"/>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132C"/>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59DF"/>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1E8D"/>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55C9A"/>
    <w:rsid w:val="009607C4"/>
    <w:rsid w:val="00962F2A"/>
    <w:rsid w:val="00963440"/>
    <w:rsid w:val="009716D8"/>
    <w:rsid w:val="009718F9"/>
    <w:rsid w:val="009724E4"/>
    <w:rsid w:val="00972FB9"/>
    <w:rsid w:val="00975112"/>
    <w:rsid w:val="009812EB"/>
    <w:rsid w:val="00981768"/>
    <w:rsid w:val="00981CAD"/>
    <w:rsid w:val="009838BB"/>
    <w:rsid w:val="00983E8F"/>
    <w:rsid w:val="00992338"/>
    <w:rsid w:val="00994FDA"/>
    <w:rsid w:val="00997D15"/>
    <w:rsid w:val="009A31BF"/>
    <w:rsid w:val="009A3B71"/>
    <w:rsid w:val="009A5914"/>
    <w:rsid w:val="009A61BC"/>
    <w:rsid w:val="009B0138"/>
    <w:rsid w:val="009B0FE9"/>
    <w:rsid w:val="009B173A"/>
    <w:rsid w:val="009B18E6"/>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235"/>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0B8E"/>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5789"/>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2AA"/>
    <w:rsid w:val="00D45993"/>
    <w:rsid w:val="00D516BE"/>
    <w:rsid w:val="00D51F76"/>
    <w:rsid w:val="00D5423B"/>
    <w:rsid w:val="00D54F4E"/>
    <w:rsid w:val="00D604B3"/>
    <w:rsid w:val="00D60BA4"/>
    <w:rsid w:val="00D62419"/>
    <w:rsid w:val="00D62AD8"/>
    <w:rsid w:val="00D65336"/>
    <w:rsid w:val="00D66074"/>
    <w:rsid w:val="00D7161D"/>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5650"/>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20A"/>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EF774D"/>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5A0"/>
    <w:rsid w:val="00F50F86"/>
    <w:rsid w:val="00F51A76"/>
    <w:rsid w:val="00F53862"/>
    <w:rsid w:val="00F53C9D"/>
    <w:rsid w:val="00F53F91"/>
    <w:rsid w:val="00F54B9F"/>
    <w:rsid w:val="00F578DE"/>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E002D"/>
  <w15:docId w15:val="{9AC3A846-F271-4EA6-94A3-41084AD1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657</ap:Words>
  <ap:Characters>3614</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2026-06-24T11:00:00.0000000Z</dcterms:created>
  <dcterms:modified xsi:type="dcterms:W3CDTF">2026-06-24T11:00:00.0000000Z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O200PRU</vt:lpwstr>
  </property>
  <property fmtid="{D5CDD505-2E9C-101B-9397-08002B2CF9AE}" pid="3" name="Author">
    <vt:lpwstr>O200PRU</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openstaande schriftelijke vragen  over het Jaarverslag ministerie van Onderwijs, Cultuur en Wetenschap 2025 (36945-VIII, nr. 1).</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O200PRU</vt:lpwstr>
  </property>
</Properties>
</file>