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1A6F" w:rsidP="004F1A6F" w:rsidRDefault="004F1A6F" w14:paraId="15B7DE1F" w14:textId="66A85E08">
      <w:r>
        <w:t>Met deze brief informeer ik uw Kamer over de uitvoering van verschillende aangenomen moties en toezeggingen die zijn gedaan</w:t>
      </w:r>
      <w:r w:rsidR="00C656EC">
        <w:t xml:space="preserve"> tijdens</w:t>
      </w:r>
      <w:r>
        <w:t xml:space="preserve"> het </w:t>
      </w:r>
      <w:r w:rsidR="00F8687B">
        <w:t>w</w:t>
      </w:r>
      <w:r>
        <w:t xml:space="preserve">etgevingsoverleg </w:t>
      </w:r>
      <w:r w:rsidR="00F8687B">
        <w:t xml:space="preserve">over de </w:t>
      </w:r>
      <w:r>
        <w:t>Cyberbeveiligingswet (hierna</w:t>
      </w:r>
      <w:r w:rsidR="00F8687B">
        <w:t>:</w:t>
      </w:r>
      <w:r>
        <w:t xml:space="preserve"> Cbw) en </w:t>
      </w:r>
      <w:r w:rsidR="00F8687B">
        <w:t xml:space="preserve">de </w:t>
      </w:r>
      <w:r>
        <w:t>Wet weerbaarheid kritieke entiteiten (hierna</w:t>
      </w:r>
      <w:r w:rsidR="00F8687B">
        <w:t>:</w:t>
      </w:r>
      <w:r>
        <w:t xml:space="preserve"> Wwke) van 23 maart jl. Graag informeer ik u </w:t>
      </w:r>
      <w:r w:rsidR="00F8687B">
        <w:t xml:space="preserve">nu reeds </w:t>
      </w:r>
      <w:r>
        <w:t xml:space="preserve">over de uitvoering van </w:t>
      </w:r>
      <w:r w:rsidR="00D809B8">
        <w:t>onderhavige</w:t>
      </w:r>
      <w:r>
        <w:t xml:space="preserve"> moties en toezeggingen</w:t>
      </w:r>
      <w:r w:rsidR="009D013F">
        <w:t xml:space="preserve"> </w:t>
      </w:r>
      <w:r w:rsidR="00F8687B">
        <w:t xml:space="preserve"> aangezien</w:t>
      </w:r>
      <w:r>
        <w:t xml:space="preserve"> </w:t>
      </w:r>
      <w:r w:rsidR="009D013F">
        <w:t xml:space="preserve">het van belang is deze </w:t>
      </w:r>
      <w:bookmarkStart w:name="_Hlk231457828" w:id="0"/>
      <w:r>
        <w:t xml:space="preserve">vóór </w:t>
      </w:r>
      <w:bookmarkEnd w:id="0"/>
      <w:r>
        <w:t>inwerkingtreding van de Cbw en Wwke</w:t>
      </w:r>
      <w:r w:rsidR="009D013F">
        <w:t xml:space="preserve"> af te doen</w:t>
      </w:r>
      <w:r>
        <w:t xml:space="preserve">. </w:t>
      </w:r>
      <w:bookmarkStart w:name="_Hlk232682822" w:id="1"/>
      <w:r w:rsidR="001713A6">
        <w:t>De Eerste Kamerbehandeling van de Cbw en de Wwke moet nog plaatsvinden. Bij een tijdige behandeling door en instemming van de Eerste Kamer, treden de beide wetten naar verwachting</w:t>
      </w:r>
      <w:r w:rsidR="00B33DFD">
        <w:t xml:space="preserve"> in de zomer inwerking. </w:t>
      </w:r>
      <w:bookmarkEnd w:id="1"/>
      <w:r>
        <w:t xml:space="preserve">Over de </w:t>
      </w:r>
      <w:r w:rsidR="00F8687B">
        <w:t xml:space="preserve">uitvoering van de </w:t>
      </w:r>
      <w:r>
        <w:t xml:space="preserve">overige moties en toezeggingen wordt uw Kamer </w:t>
      </w:r>
      <w:r w:rsidR="00F5122A">
        <w:t>op een later moment geïnformeerd</w:t>
      </w:r>
      <w:r w:rsidR="00E857D6">
        <w:t>.</w:t>
      </w:r>
    </w:p>
    <w:p w:rsidR="004F1A6F" w:rsidP="004F1A6F" w:rsidRDefault="004F1A6F" w14:paraId="49D0FEF4" w14:textId="77777777"/>
    <w:p w:rsidRPr="00F96BA7" w:rsidR="004F1A6F" w:rsidP="00F96BA7" w:rsidRDefault="004F1A6F" w14:paraId="71D1ADF8" w14:textId="25044C56">
      <w:pPr>
        <w:rPr>
          <w:b/>
          <w:bCs/>
        </w:rPr>
      </w:pPr>
      <w:r w:rsidRPr="00F96BA7">
        <w:rPr>
          <w:b/>
          <w:bCs/>
        </w:rPr>
        <w:t>Motie Kathmann over relevante organisaties proactief oproepen om vitaalbeoordeling uit te voeren</w:t>
      </w:r>
    </w:p>
    <w:p w:rsidRPr="00352FBD" w:rsidR="004F1A6F" w:rsidP="004F1A6F" w:rsidRDefault="004F1A6F" w14:paraId="140BE4A7" w14:textId="77777777">
      <w:pPr>
        <w:rPr>
          <w:color w:val="auto"/>
        </w:rPr>
      </w:pPr>
    </w:p>
    <w:p w:rsidR="00193D46" w:rsidP="00193D46" w:rsidRDefault="004F1A6F" w14:paraId="3A25F454" w14:textId="4357A89B">
      <w:pPr>
        <w:rPr>
          <w:color w:val="auto"/>
        </w:rPr>
      </w:pPr>
      <w:r w:rsidRPr="00352FBD">
        <w:rPr>
          <w:color w:val="auto"/>
        </w:rPr>
        <w:t>Uw Kamer heeft met de motie van het lid Kathmann (GL-PvdA)</w:t>
      </w:r>
      <w:r w:rsidRPr="00352FBD">
        <w:rPr>
          <w:rStyle w:val="Voetnootmarkering"/>
          <w:color w:val="auto"/>
        </w:rPr>
        <w:footnoteReference w:id="1"/>
      </w:r>
      <w:r w:rsidRPr="00352FBD">
        <w:rPr>
          <w:color w:val="auto"/>
        </w:rPr>
        <w:t xml:space="preserve"> de regering verzocht om organisaties die vermoedelijk aan de C</w:t>
      </w:r>
      <w:r>
        <w:rPr>
          <w:color w:val="auto"/>
        </w:rPr>
        <w:t>bw</w:t>
      </w:r>
      <w:r w:rsidRPr="00352FBD">
        <w:rPr>
          <w:color w:val="auto"/>
        </w:rPr>
        <w:t xml:space="preserve"> en de </w:t>
      </w:r>
      <w:r>
        <w:rPr>
          <w:color w:val="auto"/>
        </w:rPr>
        <w:t xml:space="preserve">Wwke </w:t>
      </w:r>
      <w:r w:rsidRPr="00352FBD">
        <w:rPr>
          <w:color w:val="auto"/>
        </w:rPr>
        <w:t>moeten voldoen,</w:t>
      </w:r>
      <w:r w:rsidR="00B0552B">
        <w:rPr>
          <w:color w:val="auto"/>
        </w:rPr>
        <w:t xml:space="preserve"> via sectorspecifieke communicatie</w:t>
      </w:r>
      <w:r w:rsidRPr="00352FBD">
        <w:rPr>
          <w:color w:val="auto"/>
        </w:rPr>
        <w:t xml:space="preserve"> proactief op te roepen om de vitaalbeoordeling uit te voeren en hierop toe te zien</w:t>
      </w:r>
      <w:r w:rsidR="00F8687B">
        <w:rPr>
          <w:color w:val="auto"/>
        </w:rPr>
        <w:t>,</w:t>
      </w:r>
      <w:r w:rsidRPr="00352FBD">
        <w:rPr>
          <w:color w:val="auto"/>
        </w:rPr>
        <w:t xml:space="preserve"> en de regering verzocht om dezelfde organisaties gelijktijdig te wijzen op relevante informatie en deadlines voor organisaties die als entiteit worden aangemerkt. </w:t>
      </w:r>
      <w:r w:rsidR="00193D46">
        <w:rPr>
          <w:color w:val="auto"/>
        </w:rPr>
        <w:t xml:space="preserve">Hoewel de motie Kathmann de regering dit verzoekt, geldt </w:t>
      </w:r>
      <w:r w:rsidR="004E59AC">
        <w:rPr>
          <w:color w:val="auto"/>
        </w:rPr>
        <w:t xml:space="preserve">voor </w:t>
      </w:r>
      <w:r w:rsidR="00193D46">
        <w:rPr>
          <w:color w:val="auto"/>
        </w:rPr>
        <w:t xml:space="preserve">de Cbw een andere systematiek </w:t>
      </w:r>
      <w:r w:rsidR="00F5122A">
        <w:rPr>
          <w:color w:val="auto"/>
        </w:rPr>
        <w:t xml:space="preserve">dan voor de Wwke </w:t>
      </w:r>
      <w:r w:rsidR="00193D46">
        <w:rPr>
          <w:color w:val="auto"/>
        </w:rPr>
        <w:t>omdat er</w:t>
      </w:r>
      <w:r w:rsidR="00D809B8">
        <w:rPr>
          <w:color w:val="auto"/>
        </w:rPr>
        <w:t xml:space="preserve"> onder eerstgenoemde wet</w:t>
      </w:r>
      <w:r w:rsidR="00193D46">
        <w:rPr>
          <w:color w:val="auto"/>
        </w:rPr>
        <w:t xml:space="preserve"> in beginsel geen sprake is van een vitaalbeoordeling. In beginsel vallen </w:t>
      </w:r>
      <w:r w:rsidR="004F7379">
        <w:rPr>
          <w:color w:val="auto"/>
        </w:rPr>
        <w:t>essentiële</w:t>
      </w:r>
      <w:r w:rsidR="00193D46">
        <w:rPr>
          <w:color w:val="auto"/>
        </w:rPr>
        <w:t xml:space="preserve"> en belangrijke entiteiten van rechtswege onder de Cbw en is het aan entiteiten zelf om te beoordelen of ze onder de Cbw vallen. D</w:t>
      </w:r>
      <w:r w:rsidR="00F5122A">
        <w:rPr>
          <w:color w:val="auto"/>
        </w:rPr>
        <w:t>at laat onverlet dat</w:t>
      </w:r>
      <w:r w:rsidR="00193D46">
        <w:rPr>
          <w:color w:val="auto"/>
        </w:rPr>
        <w:t xml:space="preserve"> er </w:t>
      </w:r>
      <w:r w:rsidRPr="00181AAD" w:rsidR="00193D46">
        <w:rPr>
          <w:color w:val="auto"/>
        </w:rPr>
        <w:t xml:space="preserve">vóór inwerkingtreding van de Cbw actief </w:t>
      </w:r>
      <w:r w:rsidR="00F5122A">
        <w:rPr>
          <w:color w:val="auto"/>
        </w:rPr>
        <w:t xml:space="preserve">is </w:t>
      </w:r>
      <w:r w:rsidRPr="00181AAD" w:rsidR="00193D46">
        <w:rPr>
          <w:color w:val="auto"/>
        </w:rPr>
        <w:t>ingezet op het ontwikkelen van praktische hulpmiddelen en communicatieproducten door de Rijksoverheid om entiteiten in een vroeg stadium te informeren</w:t>
      </w:r>
      <w:r w:rsidR="00193D46">
        <w:rPr>
          <w:color w:val="auto"/>
        </w:rPr>
        <w:t>.</w:t>
      </w:r>
    </w:p>
    <w:p w:rsidR="00193D46" w:rsidP="004F1A6F" w:rsidRDefault="00193D46" w14:paraId="70278478" w14:textId="5D1B0225">
      <w:pPr>
        <w:rPr>
          <w:color w:val="auto"/>
        </w:rPr>
      </w:pPr>
    </w:p>
    <w:p w:rsidR="00181AAD" w:rsidP="002578D1" w:rsidRDefault="002578D1" w14:paraId="1DE879CB" w14:textId="502ABAE4">
      <w:pPr>
        <w:pStyle w:val="Geenafstand"/>
      </w:pPr>
      <w:r>
        <w:rPr>
          <w:rFonts w:cs="Times New Roman"/>
          <w:szCs w:val="18"/>
        </w:rPr>
        <w:t>Door</w:t>
      </w:r>
      <w:r w:rsidRPr="00AD4F55">
        <w:rPr>
          <w:szCs w:val="18"/>
        </w:rPr>
        <w:t xml:space="preserve"> diverse organisaties </w:t>
      </w:r>
      <w:r>
        <w:rPr>
          <w:szCs w:val="18"/>
        </w:rPr>
        <w:t xml:space="preserve">binnen de rijksoverheid zijn er </w:t>
      </w:r>
      <w:r w:rsidR="004F7379">
        <w:rPr>
          <w:szCs w:val="18"/>
        </w:rPr>
        <w:t xml:space="preserve">namelijk </w:t>
      </w:r>
      <w:r w:rsidRPr="00AD4F55">
        <w:rPr>
          <w:szCs w:val="18"/>
        </w:rPr>
        <w:t>tools</w:t>
      </w:r>
      <w:r>
        <w:rPr>
          <w:szCs w:val="18"/>
        </w:rPr>
        <w:t xml:space="preserve">, handreikingen </w:t>
      </w:r>
      <w:r w:rsidRPr="00AD4F55">
        <w:rPr>
          <w:szCs w:val="18"/>
        </w:rPr>
        <w:t>en kennisproducten opgesteld die kunnen helpen bij het treffen van voorbereidingen op de komst van de Cbw</w:t>
      </w:r>
      <w:r w:rsidR="002B1494">
        <w:t>.</w:t>
      </w:r>
      <w:r w:rsidR="00107DA7">
        <w:t xml:space="preserve"> Hieronder volgt een overzicht daarvan:</w:t>
      </w:r>
    </w:p>
    <w:p w:rsidRPr="00AD4F55" w:rsidR="002578D1" w:rsidP="002578D1" w:rsidRDefault="002578D1" w14:paraId="06851F3E" w14:textId="77777777">
      <w:pPr>
        <w:pStyle w:val="Geenafstand"/>
        <w:numPr>
          <w:ilvl w:val="0"/>
          <w:numId w:val="7"/>
        </w:numPr>
      </w:pPr>
      <w:r w:rsidRPr="00AD4F55">
        <w:t xml:space="preserve">De rijksoverheid heeft een informatiebrochure uitgebracht die kan helpen bij het voorbereiden op de komst van de Cbw. </w:t>
      </w:r>
    </w:p>
    <w:p w:rsidRPr="00AD4F55" w:rsidR="002578D1" w:rsidP="002578D1" w:rsidRDefault="002578D1" w14:paraId="3C0C4319" w14:textId="77777777">
      <w:pPr>
        <w:pStyle w:val="Geenafstand"/>
        <w:numPr>
          <w:ilvl w:val="0"/>
          <w:numId w:val="7"/>
        </w:numPr>
      </w:pPr>
      <w:r w:rsidRPr="00AD4F55">
        <w:t xml:space="preserve">Op de website van het NCSC zijn meerdere infosheets te vinden, waaronder over de zorgplicht uit de Cbw. Hierin wordt stap voor stap uitgelegd wat een entiteit kan doen om invulling te geven aan de </w:t>
      </w:r>
      <w:r w:rsidRPr="00AD4F55">
        <w:lastRenderedPageBreak/>
        <w:t>zorgplicht uit de Cbw. Ook worden er met enige regelmaat Q&amp;A’s op de website van het NCSC geplaatst. Dat geldt ook voor de andere CSIRT’s ten aanzien van sectorspecifieke Q&amp;A’s.</w:t>
      </w:r>
    </w:p>
    <w:p w:rsidRPr="00AD4F55" w:rsidR="002578D1" w:rsidP="002578D1" w:rsidRDefault="002578D1" w14:paraId="16242AD1" w14:textId="77777777">
      <w:pPr>
        <w:pStyle w:val="Geenafstand"/>
        <w:numPr>
          <w:ilvl w:val="0"/>
          <w:numId w:val="7"/>
        </w:numPr>
      </w:pPr>
      <w:r w:rsidRPr="00AD4F55">
        <w:t>De RDI heeft twee tools gelanceerd om entiteiten te helpen in hun voorbereiding op de Cbw: een zelfevaluatietool</w:t>
      </w:r>
      <w:r w:rsidRPr="00AD4F55">
        <w:rPr>
          <w:vertAlign w:val="superscript"/>
        </w:rPr>
        <w:footnoteReference w:id="2"/>
      </w:r>
      <w:r w:rsidRPr="00AD4F55">
        <w:t xml:space="preserve"> om te bezien of een entiteit onder de NIS2-richtlijn valt en een quickscan</w:t>
      </w:r>
      <w:r w:rsidRPr="00AD4F55">
        <w:rPr>
          <w:vertAlign w:val="superscript"/>
        </w:rPr>
        <w:footnoteReference w:id="3"/>
      </w:r>
      <w:r w:rsidRPr="00AD4F55">
        <w:t xml:space="preserve"> om middels 40 vragen te beoordelen hoe de cyberbeveiliging van de entiteit ervoor staat.</w:t>
      </w:r>
    </w:p>
    <w:p w:rsidRPr="00AD4F55" w:rsidR="002578D1" w:rsidP="002578D1" w:rsidRDefault="002578D1" w14:paraId="048B4648" w14:textId="77777777">
      <w:pPr>
        <w:pStyle w:val="Geenafstand"/>
        <w:numPr>
          <w:ilvl w:val="0"/>
          <w:numId w:val="7"/>
        </w:numPr>
      </w:pPr>
      <w:r w:rsidRPr="00AD4F55">
        <w:t xml:space="preserve">De Auditdienst Rijk (ADR) en NOREA, de beroepsorganisatie van IT-auditors in Nederland, hebben in opdracht van het Ministerie van Binnenlandse Zaken en Koninkrijksrelaties een </w:t>
      </w:r>
      <w:r w:rsidRPr="00AD4F55">
        <w:rPr>
          <w:i/>
          <w:iCs/>
        </w:rPr>
        <w:t>NIS2 Control Framework</w:t>
      </w:r>
      <w:r w:rsidRPr="00AD4F55">
        <w:t xml:space="preserve"> ontwikkeld. Dit is bedoeld als praktisch hulpmiddel voor organisaties en IT-auditors om inzicht te krijgen in hun aanpak voor het voldoen aan de zorgplicht van de Cbw, het Cbb, relevante sectorale normen zoals de BIO2, en sectorale wet- en regelgeving zoals de </w:t>
      </w:r>
      <w:r w:rsidRPr="00EE3E6A">
        <w:t xml:space="preserve">zogeheten </w:t>
      </w:r>
      <w:r w:rsidRPr="00EE3E6A">
        <w:rPr>
          <w:rFonts w:cs="Times New Roman"/>
          <w:bCs/>
          <w:i/>
          <w:iCs/>
        </w:rPr>
        <w:t>Digital Operational Resilience Act</w:t>
      </w:r>
      <w:r w:rsidRPr="00AD4F55">
        <w:rPr>
          <w:rFonts w:cs="Times New Roman"/>
          <w:bCs/>
        </w:rPr>
        <w:t xml:space="preserve"> (DORA).</w:t>
      </w:r>
      <w:r w:rsidRPr="00EE3E6A">
        <w:rPr>
          <w:rStyle w:val="Voetnootmarkering"/>
          <w:szCs w:val="18"/>
        </w:rPr>
        <w:footnoteReference w:id="4"/>
      </w:r>
      <w:r w:rsidRPr="00EE3E6A">
        <w:rPr>
          <w:rFonts w:cs="Times New Roman"/>
          <w:bCs/>
        </w:rPr>
        <w:t xml:space="preserve"> </w:t>
      </w:r>
    </w:p>
    <w:p w:rsidRPr="00AD4F55" w:rsidR="002578D1" w:rsidP="002578D1" w:rsidRDefault="002578D1" w14:paraId="6E13EE07" w14:textId="77777777">
      <w:pPr>
        <w:pStyle w:val="Geenafstand"/>
        <w:numPr>
          <w:ilvl w:val="0"/>
          <w:numId w:val="7"/>
        </w:numPr>
      </w:pPr>
      <w:r w:rsidRPr="00AD4F55">
        <w:t>Het Ministerie van Justitie en Veiligheid heeft een handreiking</w:t>
      </w:r>
      <w:r w:rsidRPr="00AD4F55">
        <w:rPr>
          <w:i/>
          <w:iCs/>
        </w:rPr>
        <w:t xml:space="preserve"> </w:t>
      </w:r>
      <w:r w:rsidRPr="00AD4F55">
        <w:t>opgesteld om organisaties met een complexe bedrijfsstructuur te ondersteunen bij het bepalen of deze organisaties onder de Cbw vallen.</w:t>
      </w:r>
    </w:p>
    <w:p w:rsidRPr="00352FBD" w:rsidR="00AF1E6A" w:rsidP="004F1A6F" w:rsidRDefault="00AF1E6A" w14:paraId="66E0BE3C" w14:textId="77777777">
      <w:pPr>
        <w:rPr>
          <w:color w:val="auto"/>
        </w:rPr>
      </w:pPr>
    </w:p>
    <w:p w:rsidR="004F1A6F" w:rsidP="004F1A6F" w:rsidRDefault="004F1A6F" w14:paraId="72971E3A" w14:textId="562A2C70">
      <w:pPr>
        <w:rPr>
          <w:color w:val="auto"/>
        </w:rPr>
      </w:pPr>
      <w:r w:rsidRPr="00352FBD">
        <w:rPr>
          <w:color w:val="auto"/>
        </w:rPr>
        <w:t>In het traject van de implementatie van de CER-richtlijn in nationale wet- en regelgeving is de communicatie met partijen die mogelijk als kritieke entiteit in de zin van de Wwke zullen worden</w:t>
      </w:r>
      <w:r>
        <w:rPr>
          <w:color w:val="auto"/>
        </w:rPr>
        <w:t xml:space="preserve"> </w:t>
      </w:r>
      <w:r w:rsidRPr="00352FBD">
        <w:rPr>
          <w:color w:val="auto"/>
        </w:rPr>
        <w:t>aangewezen</w:t>
      </w:r>
      <w:r w:rsidR="004E59AC">
        <w:rPr>
          <w:color w:val="auto"/>
        </w:rPr>
        <w:t xml:space="preserve"> een belangrijk onderdeel</w:t>
      </w:r>
      <w:r w:rsidRPr="00352FBD">
        <w:rPr>
          <w:color w:val="auto"/>
        </w:rPr>
        <w:t xml:space="preserve">. </w:t>
      </w:r>
      <w:r>
        <w:rPr>
          <w:color w:val="auto"/>
        </w:rPr>
        <w:t>In lijn met de motie-Kathmann wordt reeds vóór inwerkingtreding van de wet actief ingezet op communicatie richting organisaties die onder de wet zullen vallen.</w:t>
      </w:r>
      <w:r w:rsidRPr="00352FBD">
        <w:rPr>
          <w:color w:val="auto"/>
        </w:rPr>
        <w:t xml:space="preserve"> </w:t>
      </w:r>
      <w:r>
        <w:rPr>
          <w:color w:val="auto"/>
        </w:rPr>
        <w:t xml:space="preserve">Het doel hiervan is om organisaties </w:t>
      </w:r>
      <w:r w:rsidRPr="00352FBD">
        <w:rPr>
          <w:color w:val="auto"/>
        </w:rPr>
        <w:t xml:space="preserve">in een vroegtijdig stadium </w:t>
      </w:r>
      <w:r>
        <w:rPr>
          <w:color w:val="auto"/>
        </w:rPr>
        <w:t>bewust te maken van</w:t>
      </w:r>
      <w:r w:rsidRPr="00352FBD">
        <w:rPr>
          <w:color w:val="auto"/>
        </w:rPr>
        <w:t xml:space="preserve"> de komst van de Wwke</w:t>
      </w:r>
      <w:r>
        <w:rPr>
          <w:color w:val="auto"/>
        </w:rPr>
        <w:t xml:space="preserve">, de mogelijke aanwijzing als kritieke entiteit en </w:t>
      </w:r>
      <w:r w:rsidRPr="00352FBD">
        <w:rPr>
          <w:color w:val="auto"/>
        </w:rPr>
        <w:t>wettelijke verplichtingen</w:t>
      </w:r>
      <w:r>
        <w:rPr>
          <w:color w:val="auto"/>
        </w:rPr>
        <w:t xml:space="preserve"> die daaruit voortvloeien</w:t>
      </w:r>
      <w:r w:rsidRPr="00352FBD">
        <w:rPr>
          <w:color w:val="auto"/>
        </w:rPr>
        <w:t>, zoals het uitvoeren van een risicobeoordeling</w:t>
      </w:r>
      <w:r>
        <w:rPr>
          <w:color w:val="auto"/>
        </w:rPr>
        <w:t xml:space="preserve">. </w:t>
      </w:r>
    </w:p>
    <w:p w:rsidR="004F1A6F" w:rsidP="004F1A6F" w:rsidRDefault="004F1A6F" w14:paraId="2A6F9C5F" w14:textId="77777777">
      <w:pPr>
        <w:rPr>
          <w:color w:val="auto"/>
        </w:rPr>
      </w:pPr>
    </w:p>
    <w:p w:rsidR="004F1A6F" w:rsidP="004F1A6F" w:rsidRDefault="004F1A6F" w14:paraId="16CEA163" w14:textId="77777777">
      <w:pPr>
        <w:rPr>
          <w:color w:val="auto"/>
        </w:rPr>
      </w:pPr>
      <w:r>
        <w:rPr>
          <w:color w:val="auto"/>
        </w:rPr>
        <w:t xml:space="preserve">Zo zijn diverse communicatieproducten door de Rijksoverheid ontwikkeld om organisaties en bedrijven in een vroeg stadium te informeren. </w:t>
      </w:r>
      <w:r w:rsidRPr="00352FBD">
        <w:rPr>
          <w:color w:val="auto"/>
        </w:rPr>
        <w:t>Daarnaast zijn in aanloop naar de inwerkingtreding van de wet samen met de verantwoordelijke vakministers diverse contactmomenten met de relevante sectoren georganiseerd</w:t>
      </w:r>
      <w:r>
        <w:rPr>
          <w:color w:val="auto"/>
        </w:rPr>
        <w:t xml:space="preserve">. Tijdens deze netwerk- en sectorale bijeenkomsten zijn organisaties geïnformeerd over de Wwke en over een mogelijke aanwijzing als kritieke entiteit. </w:t>
      </w:r>
      <w:r w:rsidRPr="00352FBD">
        <w:rPr>
          <w:color w:val="auto"/>
        </w:rPr>
        <w:t xml:space="preserve">Via werkgeversorganisaties en brancheverenigingen is er voorlichting, inspraak en contact geweest. </w:t>
      </w:r>
    </w:p>
    <w:p w:rsidR="004F1A6F" w:rsidP="004F1A6F" w:rsidRDefault="004F1A6F" w14:paraId="10120146" w14:textId="77777777">
      <w:pPr>
        <w:rPr>
          <w:color w:val="auto"/>
        </w:rPr>
      </w:pPr>
    </w:p>
    <w:p w:rsidR="004F1A6F" w:rsidP="004F1A6F" w:rsidRDefault="004F1A6F" w14:paraId="1DC797A6" w14:textId="217FB060">
      <w:pPr>
        <w:rPr>
          <w:color w:val="auto"/>
        </w:rPr>
      </w:pPr>
      <w:r w:rsidRPr="00352FBD">
        <w:rPr>
          <w:color w:val="auto"/>
        </w:rPr>
        <w:t xml:space="preserve">De vakministers heb ik daarnaast aangemoedigd om in hun </w:t>
      </w:r>
      <w:r>
        <w:rPr>
          <w:color w:val="auto"/>
        </w:rPr>
        <w:t xml:space="preserve">reguliere </w:t>
      </w:r>
      <w:r w:rsidRPr="00352FBD">
        <w:rPr>
          <w:color w:val="auto"/>
        </w:rPr>
        <w:t xml:space="preserve">contactmomenten met de huidige vitale aanbieders stil te staan bij een mogelijke aanwijzing als kritieke entiteit onder de Wwke. In deze </w:t>
      </w:r>
      <w:r w:rsidRPr="00352FBD" w:rsidR="004F7379">
        <w:rPr>
          <w:color w:val="auto"/>
        </w:rPr>
        <w:t>c</w:t>
      </w:r>
      <w:r w:rsidR="004F7379">
        <w:rPr>
          <w:color w:val="auto"/>
        </w:rPr>
        <w:t>ontactmomenten</w:t>
      </w:r>
      <w:r w:rsidRPr="00352FBD" w:rsidR="004F7379">
        <w:rPr>
          <w:color w:val="auto"/>
        </w:rPr>
        <w:t xml:space="preserve"> </w:t>
      </w:r>
      <w:r w:rsidRPr="00352FBD">
        <w:rPr>
          <w:color w:val="auto"/>
        </w:rPr>
        <w:t>zijn organisaties en bedrijven actief opgeroepen om de wetgeving niet af te wachten en om alvast actief aan de slag te gaan om hun weerbaarheid te verhogen. De risico’s die organisaties lopen, doen zich namelijk nu al voor.</w:t>
      </w:r>
      <w:r>
        <w:rPr>
          <w:color w:val="auto"/>
        </w:rPr>
        <w:t xml:space="preserve"> Denk bijvoorbeeld ook aan de maatschappelijke opgaven tegen hybride en militaire dreigingen.</w:t>
      </w:r>
      <w:r w:rsidRPr="00352FBD">
        <w:rPr>
          <w:color w:val="auto"/>
        </w:rPr>
        <w:t xml:space="preserve">       </w:t>
      </w:r>
    </w:p>
    <w:p w:rsidR="004F1A6F" w:rsidP="004F1A6F" w:rsidRDefault="004F1A6F" w14:paraId="0D117E25" w14:textId="77777777">
      <w:pPr>
        <w:rPr>
          <w:color w:val="auto"/>
        </w:rPr>
      </w:pPr>
    </w:p>
    <w:p w:rsidR="004F1A6F" w:rsidP="004F1A6F" w:rsidRDefault="004F1A6F" w14:paraId="732105D0" w14:textId="1F9ABCC7">
      <w:pPr>
        <w:rPr>
          <w:color w:val="auto"/>
        </w:rPr>
      </w:pPr>
      <w:r>
        <w:rPr>
          <w:color w:val="auto"/>
        </w:rPr>
        <w:lastRenderedPageBreak/>
        <w:t xml:space="preserve">Onder de Wwke worden naar verwachting circa 500 organisaties door de verantwoordelijke vakministers aangewezen als kritieke entiteit. Deze organisaties ontvangen na inwerkingtreding van de wet een aanwijzingsbrief vanuit het verantwoordelijke vakdepartement. Daarbij worden organisaties expliciet geïnformeerd over de wettelijke verplichtingen die voor hen gelden, waaronder het uitvoeren van een risicobeoordeling. Na aanwijzing onder de Wwke hebben kritieke entiteiten negen maanden de tijd om deze risicobeoordeling uit te voeren en </w:t>
      </w:r>
      <w:r w:rsidR="004E59AC">
        <w:rPr>
          <w:color w:val="auto"/>
        </w:rPr>
        <w:t xml:space="preserve">tien maanden om aan de zorg- en meldplicht te voldoen. </w:t>
      </w:r>
      <w:r>
        <w:rPr>
          <w:color w:val="auto"/>
        </w:rPr>
        <w:t xml:space="preserve">Hierbij ontvangen zij diverse </w:t>
      </w:r>
      <w:r w:rsidRPr="00352FBD" w:rsidR="00491EE0">
        <w:rPr>
          <w:color w:val="auto"/>
        </w:rPr>
        <w:t>sector overstijgende</w:t>
      </w:r>
      <w:r w:rsidRPr="00352FBD">
        <w:rPr>
          <w:color w:val="auto"/>
        </w:rPr>
        <w:t xml:space="preserve"> als ook sectorspecifieke informatieproducten</w:t>
      </w:r>
      <w:r>
        <w:rPr>
          <w:color w:val="auto"/>
        </w:rPr>
        <w:t xml:space="preserve"> die organisaties ondersteunen bij het uitvoeren van deze verplichtingen. D</w:t>
      </w:r>
      <w:r w:rsidRPr="00352FBD">
        <w:rPr>
          <w:color w:val="auto"/>
        </w:rPr>
        <w:t xml:space="preserve">e vakministers </w:t>
      </w:r>
      <w:r>
        <w:rPr>
          <w:color w:val="auto"/>
        </w:rPr>
        <w:t xml:space="preserve">blijven </w:t>
      </w:r>
      <w:r w:rsidRPr="00352FBD">
        <w:rPr>
          <w:color w:val="auto"/>
        </w:rPr>
        <w:t>doorlopend in contact met de kritieke entiteiten om hen ondersteuning te bieden bij o</w:t>
      </w:r>
      <w:r>
        <w:rPr>
          <w:color w:val="auto"/>
        </w:rPr>
        <w:t>nder meer</w:t>
      </w:r>
      <w:r w:rsidRPr="00352FBD">
        <w:rPr>
          <w:color w:val="auto"/>
        </w:rPr>
        <w:t xml:space="preserve"> het uitvoeren van de risicobeoordeling</w:t>
      </w:r>
      <w:r>
        <w:rPr>
          <w:color w:val="auto"/>
        </w:rPr>
        <w:t xml:space="preserve"> en het versterken van hun weerbaarheid</w:t>
      </w:r>
      <w:r w:rsidRPr="00352FBD">
        <w:rPr>
          <w:color w:val="auto"/>
        </w:rPr>
        <w:t xml:space="preserve">. </w:t>
      </w:r>
      <w:r w:rsidR="00594FB0">
        <w:rPr>
          <w:color w:val="auto"/>
        </w:rPr>
        <w:t>Hiermee beschouw ik</w:t>
      </w:r>
      <w:r w:rsidRPr="00352FBD">
        <w:rPr>
          <w:color w:val="auto"/>
        </w:rPr>
        <w:t xml:space="preserve"> de motie afgedaan. </w:t>
      </w:r>
    </w:p>
    <w:p w:rsidR="004F1A6F" w:rsidP="004F1A6F" w:rsidRDefault="004F1A6F" w14:paraId="54E8FB7D" w14:textId="77777777">
      <w:pPr>
        <w:rPr>
          <w:color w:val="auto"/>
        </w:rPr>
      </w:pPr>
    </w:p>
    <w:p w:rsidR="004F1A6F" w:rsidP="004F1A6F" w:rsidRDefault="004F1A6F" w14:paraId="0904DF3A" w14:textId="77777777"/>
    <w:p w:rsidRPr="00827FB3" w:rsidR="004F1A6F" w:rsidP="00827FB3" w:rsidRDefault="004F1A6F" w14:paraId="1AF46E5E" w14:textId="73F845F7">
      <w:pPr>
        <w:rPr>
          <w:b/>
          <w:bCs/>
        </w:rPr>
      </w:pPr>
      <w:r w:rsidRPr="00827FB3">
        <w:rPr>
          <w:b/>
          <w:bCs/>
        </w:rPr>
        <w:t>Moties Van den Berg en toezegging over samenwerkingsprotocol/afspraken</w:t>
      </w:r>
    </w:p>
    <w:p w:rsidRPr="00DF7195" w:rsidR="004F1A6F" w:rsidP="004F1A6F" w:rsidRDefault="004F1A6F" w14:paraId="7DEF32F8" w14:textId="77777777">
      <w:pPr>
        <w:rPr>
          <w:color w:val="auto"/>
        </w:rPr>
      </w:pPr>
    </w:p>
    <w:p w:rsidR="0075677B" w:rsidP="004F1A6F" w:rsidRDefault="004F1A6F" w14:paraId="2DE524E8" w14:textId="158F3D7B">
      <w:pPr>
        <w:rPr>
          <w:color w:val="auto"/>
        </w:rPr>
      </w:pPr>
      <w:r w:rsidRPr="00352FBD">
        <w:rPr>
          <w:color w:val="auto"/>
        </w:rPr>
        <w:t>Uw Kamer heeft met de motie van het lid</w:t>
      </w:r>
      <w:r>
        <w:rPr>
          <w:color w:val="auto"/>
        </w:rPr>
        <w:t xml:space="preserve"> Van den Berg</w:t>
      </w:r>
      <w:r>
        <w:rPr>
          <w:rStyle w:val="Voetnootmarkering"/>
          <w:color w:val="auto"/>
        </w:rPr>
        <w:footnoteReference w:id="5"/>
      </w:r>
      <w:r w:rsidRPr="00DF7195">
        <w:rPr>
          <w:color w:val="auto"/>
        </w:rPr>
        <w:t xml:space="preserve"> de regering verzocht om bij de uitwerking van samenwerkingsafspraken, handhavingsbeleid en lagere regelgeving te borgen dat </w:t>
      </w:r>
      <w:bookmarkStart w:name="_Hlk232681083" w:id="3"/>
      <w:r w:rsidRPr="00DF7195">
        <w:rPr>
          <w:color w:val="auto"/>
        </w:rPr>
        <w:t>voor hetzelfde feitencomplex en hetzelfde beschermde belang niet meer dan één punitieve sanctie wordt opgelegd onder de Cbw en de Wwke, en de Kamer vóór de inwerkingtreding te informeren hoe dit is geborgd</w:t>
      </w:r>
      <w:bookmarkEnd w:id="3"/>
      <w:r w:rsidRPr="00DF7195">
        <w:rPr>
          <w:color w:val="auto"/>
        </w:rPr>
        <w:t xml:space="preserve">. De regering merkt op dat in algemene zin het verbod op het opleggen van een punitieve sanctie voor hetzelfde feitencomplex en hetzelfde beschermde belang reeds is neergelegd in artikel 5:43 Algemene wet bestuursrecht (Awb). In het bijzonder voor unierechtelijke wetgeving, zoals de CER-richtlijn en NIS2-richtlijn, en daaruit voortvloeiende nationale implementatiewetgeving als de Cbw en Wwke is dit tevens geborgd via artikel 50 van het Handvest van de grondrechten van de Europese Unie. De regering ziet dit als afdoende waarborg om dubbele bestraffing te voorkomen, ook waar het gaat om nadere regels in lagere regelgeving onder de Cbw en Wwke.  </w:t>
      </w:r>
    </w:p>
    <w:p w:rsidR="0075677B" w:rsidP="004F1A6F" w:rsidRDefault="0075677B" w14:paraId="1D2CA27D" w14:textId="77777777">
      <w:pPr>
        <w:rPr>
          <w:color w:val="auto"/>
        </w:rPr>
      </w:pPr>
    </w:p>
    <w:p w:rsidRPr="00977283" w:rsidR="00491EE0" w:rsidP="00491EE0" w:rsidRDefault="004F1A6F" w14:paraId="1779386B" w14:textId="39F9BECB">
      <w:pPr>
        <w:rPr>
          <w:b/>
          <w:bCs/>
        </w:rPr>
      </w:pPr>
      <w:r w:rsidRPr="00DF7195">
        <w:rPr>
          <w:color w:val="auto"/>
        </w:rPr>
        <w:t>Wat betreft de samenwerkingsafspraken tussen toezichthouders is in deze afspraken geborgd dat de betreffende toezichthoudende instanties met elkaar afstemmen voordat zij een handhavingsbevoegdheid inzetten. Met deze processuele waarborg wordt voorkomen dat de toezichthoudende instanties entiteiten punitief sanctioneren voor eenzelfde feitencomplex en te beschermen belang. Waar het gaat om het handhavingsbeleid van individuele toezichthoudende instanties is het aan de betreffende instanties om op passende wijze interne waarborgen te implementeren om handelen in strijd met artikel 5:43 Awb en artikel 50 Handvest te voorkomen.</w:t>
      </w:r>
      <w:r w:rsidR="00491EE0">
        <w:rPr>
          <w:color w:val="auto"/>
        </w:rPr>
        <w:t xml:space="preserve"> </w:t>
      </w:r>
      <w:bookmarkStart w:name="_Hlk228966564" w:id="4"/>
    </w:p>
    <w:bookmarkEnd w:id="4"/>
    <w:p w:rsidR="004F7379" w:rsidP="004F1A6F" w:rsidRDefault="004F7379" w14:paraId="56C3049D" w14:textId="77777777">
      <w:pPr>
        <w:rPr>
          <w:color w:val="auto"/>
        </w:rPr>
      </w:pPr>
    </w:p>
    <w:p w:rsidRPr="00DF7195" w:rsidR="004F1A6F" w:rsidP="004F1A6F" w:rsidRDefault="0088306E" w14:paraId="5C8357E4" w14:textId="3B731725">
      <w:pPr>
        <w:rPr>
          <w:color w:val="auto"/>
        </w:rPr>
      </w:pPr>
      <w:r>
        <w:rPr>
          <w:color w:val="auto"/>
        </w:rPr>
        <w:t xml:space="preserve">Uw Kamer heeft </w:t>
      </w:r>
      <w:r w:rsidR="00F5122A">
        <w:rPr>
          <w:color w:val="auto"/>
        </w:rPr>
        <w:t xml:space="preserve">ook </w:t>
      </w:r>
      <w:r>
        <w:rPr>
          <w:color w:val="auto"/>
        </w:rPr>
        <w:t>met de motie van het lid Van den Berg</w:t>
      </w:r>
      <w:r>
        <w:rPr>
          <w:rStyle w:val="Voetnootmarkering"/>
          <w:color w:val="auto"/>
        </w:rPr>
        <w:footnoteReference w:id="6"/>
      </w:r>
      <w:r>
        <w:rPr>
          <w:color w:val="auto"/>
        </w:rPr>
        <w:t xml:space="preserve"> </w:t>
      </w:r>
      <w:r w:rsidRPr="004F7379" w:rsidR="004F7379">
        <w:rPr>
          <w:color w:val="auto"/>
        </w:rPr>
        <w:t>de regering</w:t>
      </w:r>
      <w:r w:rsidRPr="000038EF" w:rsidR="000038EF">
        <w:rPr>
          <w:color w:val="auto"/>
        </w:rPr>
        <w:t xml:space="preserve"> </w:t>
      </w:r>
      <w:r w:rsidR="000038EF">
        <w:rPr>
          <w:color w:val="auto"/>
        </w:rPr>
        <w:t xml:space="preserve">verzocht om </w:t>
      </w:r>
      <w:r w:rsidRPr="00977283" w:rsidR="000038EF">
        <w:t>zo min mogelijk dubbeling</w:t>
      </w:r>
      <w:r w:rsidR="00F5122A">
        <w:t>en</w:t>
      </w:r>
      <w:r w:rsidRPr="00977283" w:rsidR="000038EF">
        <w:t xml:space="preserve"> voor entiteiten die zowel onder de </w:t>
      </w:r>
      <w:r w:rsidR="004F0907">
        <w:t>Cbw</w:t>
      </w:r>
      <w:r w:rsidRPr="00977283" w:rsidR="004F0907">
        <w:t xml:space="preserve"> </w:t>
      </w:r>
      <w:r w:rsidRPr="00977283" w:rsidR="000038EF">
        <w:t>als de Wwke vallen</w:t>
      </w:r>
      <w:r w:rsidR="000038EF">
        <w:t xml:space="preserve">. </w:t>
      </w:r>
      <w:r w:rsidR="00DB641A">
        <w:t>Daarnaast informeer ik uw Kamer ook na</w:t>
      </w:r>
      <w:r w:rsidR="0022102D">
        <w:t>ar</w:t>
      </w:r>
      <w:r w:rsidR="00DB641A">
        <w:t xml:space="preserve"> aanleiding van de </w:t>
      </w:r>
      <w:r w:rsidR="00DB641A">
        <w:lastRenderedPageBreak/>
        <w:t>toezegging</w:t>
      </w:r>
      <w:r w:rsidR="00DB641A">
        <w:rPr>
          <w:rStyle w:val="Voetnootmarkering"/>
          <w:color w:val="auto"/>
        </w:rPr>
        <w:footnoteReference w:id="7"/>
      </w:r>
      <w:r w:rsidR="00DB641A">
        <w:rPr>
          <w:color w:val="auto"/>
        </w:rPr>
        <w:t xml:space="preserve"> om de samenwerkingsafspraken die worden gemaakt tussen toezichthouders bij het directeurenoverleg voor de invoering van de Cbw met de Kamer te delen en in de Staatscourant te publiceren.</w:t>
      </w:r>
      <w:r w:rsidR="00DB641A">
        <w:t xml:space="preserve"> </w:t>
      </w:r>
      <w:r w:rsidRPr="004F7379" w:rsidR="004F7379">
        <w:rPr>
          <w:color w:val="auto"/>
        </w:rPr>
        <w:t xml:space="preserve">Voor entiteiten die onder beide wetten vallen worden </w:t>
      </w:r>
      <w:r w:rsidR="00591CBC">
        <w:rPr>
          <w:color w:val="auto"/>
        </w:rPr>
        <w:t xml:space="preserve">bovenbedoelde </w:t>
      </w:r>
      <w:r w:rsidRPr="004F7379" w:rsidR="004F7379">
        <w:rPr>
          <w:color w:val="auto"/>
        </w:rPr>
        <w:t>afspraken opgenomen in het samenwerkingsprotocol die de samenwerking bevordert tussen toezichthouders die onder de Cbw en Wwke vallen. De toezichthouders hebben over dit samenwerkingsprotocol onderling overeenstemming bereikt. De formele publicatie in de Staatscourant zal uiterlijk direct volgen nadat de Cbw in de Staatscourant is gepubliceerd en formeel desbetreffende toezichthouders zijn toegewezen</w:t>
      </w:r>
      <w:r w:rsidR="004F7379">
        <w:rPr>
          <w:color w:val="auto"/>
        </w:rPr>
        <w:t>.</w:t>
      </w:r>
      <w:r w:rsidR="000038EF">
        <w:rPr>
          <w:color w:val="auto"/>
        </w:rPr>
        <w:t xml:space="preserve"> </w:t>
      </w:r>
      <w:r w:rsidR="004F1A6F">
        <w:rPr>
          <w:color w:val="auto"/>
        </w:rPr>
        <w:t xml:space="preserve">Met deze informatie </w:t>
      </w:r>
      <w:r w:rsidR="0022102D">
        <w:rPr>
          <w:color w:val="auto"/>
        </w:rPr>
        <w:t>beschouw ik</w:t>
      </w:r>
      <w:r w:rsidR="004F1A6F">
        <w:rPr>
          <w:color w:val="auto"/>
        </w:rPr>
        <w:t xml:space="preserve"> de moties en </w:t>
      </w:r>
      <w:r w:rsidR="0022102D">
        <w:rPr>
          <w:color w:val="auto"/>
        </w:rPr>
        <w:t>voormelde</w:t>
      </w:r>
      <w:r w:rsidR="004F1A6F">
        <w:rPr>
          <w:color w:val="auto"/>
        </w:rPr>
        <w:t xml:space="preserve"> toezegging</w:t>
      </w:r>
      <w:r w:rsidR="00DB641A">
        <w:rPr>
          <w:color w:val="auto"/>
        </w:rPr>
        <w:t xml:space="preserve"> </w:t>
      </w:r>
      <w:r w:rsidR="004F1A6F">
        <w:rPr>
          <w:color w:val="auto"/>
        </w:rPr>
        <w:t>afgedaan.</w:t>
      </w:r>
    </w:p>
    <w:p w:rsidR="004F1A6F" w:rsidP="004F1A6F" w:rsidRDefault="004F1A6F" w14:paraId="35CFB326" w14:textId="77777777"/>
    <w:p w:rsidRPr="00F96BA7" w:rsidR="004F1A6F" w:rsidP="00F96BA7" w:rsidRDefault="004F1A6F" w14:paraId="7C18932A" w14:textId="16A10952">
      <w:pPr>
        <w:rPr>
          <w:b/>
          <w:bCs/>
        </w:rPr>
      </w:pPr>
      <w:r w:rsidRPr="00F96BA7">
        <w:rPr>
          <w:b/>
          <w:bCs/>
        </w:rPr>
        <w:t>Motie Van den Berg over harmoniseren met BIO en ENS</w:t>
      </w:r>
      <w:r w:rsidRPr="00F96BA7" w:rsidR="00181AAD">
        <w:rPr>
          <w:b/>
          <w:bCs/>
        </w:rPr>
        <w:t>I</w:t>
      </w:r>
      <w:r w:rsidRPr="00F96BA7">
        <w:rPr>
          <w:b/>
          <w:bCs/>
        </w:rPr>
        <w:t>A</w:t>
      </w:r>
    </w:p>
    <w:p w:rsidR="004F1A6F" w:rsidP="004F1A6F" w:rsidRDefault="004F1A6F" w14:paraId="5B0B084E" w14:textId="77777777">
      <w:pPr>
        <w:rPr>
          <w:color w:val="FF0000"/>
        </w:rPr>
      </w:pPr>
    </w:p>
    <w:p w:rsidRPr="00597A1E" w:rsidR="004F1A6F" w:rsidP="004F1A6F" w:rsidRDefault="004F1A6F" w14:paraId="514A82CF" w14:textId="13CC4800">
      <w:pPr>
        <w:rPr>
          <w:color w:val="auto"/>
        </w:rPr>
      </w:pPr>
      <w:bookmarkStart w:name="_Hlk232148608" w:id="6"/>
      <w:r w:rsidRPr="00352FBD">
        <w:rPr>
          <w:color w:val="auto"/>
        </w:rPr>
        <w:t xml:space="preserve">Uw Kamer </w:t>
      </w:r>
      <w:r w:rsidR="00C7192C">
        <w:rPr>
          <w:color w:val="auto"/>
        </w:rPr>
        <w:t xml:space="preserve">verzoekt </w:t>
      </w:r>
      <w:r w:rsidRPr="00352FBD">
        <w:rPr>
          <w:color w:val="auto"/>
        </w:rPr>
        <w:t>met de motie van het lid</w:t>
      </w:r>
      <w:r>
        <w:rPr>
          <w:color w:val="auto"/>
        </w:rPr>
        <w:t xml:space="preserve"> Van den Berg</w:t>
      </w:r>
      <w:r>
        <w:rPr>
          <w:rStyle w:val="Voetnootmarkering"/>
          <w:color w:val="auto"/>
        </w:rPr>
        <w:footnoteReference w:id="8"/>
      </w:r>
      <w:r w:rsidRPr="00597A1E">
        <w:rPr>
          <w:color w:val="auto"/>
        </w:rPr>
        <w:t xml:space="preserve"> de regering om </w:t>
      </w:r>
      <w:bookmarkStart w:name="_Hlk232681794" w:id="8"/>
      <w:r w:rsidRPr="00597A1E">
        <w:rPr>
          <w:color w:val="auto"/>
        </w:rPr>
        <w:t>bij de uitwerking van lagere regelgeving</w:t>
      </w:r>
      <w:r w:rsidR="008E7F11">
        <w:rPr>
          <w:color w:val="auto"/>
        </w:rPr>
        <w:t>, handreikingen en toezichtpraktijk</w:t>
      </w:r>
      <w:r w:rsidRPr="00597A1E">
        <w:rPr>
          <w:color w:val="auto"/>
        </w:rPr>
        <w:t xml:space="preserve"> onder de </w:t>
      </w:r>
      <w:r w:rsidRPr="00597A1E" w:rsidR="004F0907">
        <w:rPr>
          <w:color w:val="auto"/>
        </w:rPr>
        <w:t>C</w:t>
      </w:r>
      <w:r w:rsidR="004F0907">
        <w:rPr>
          <w:color w:val="auto"/>
        </w:rPr>
        <w:t>bw</w:t>
      </w:r>
      <w:r w:rsidRPr="00597A1E" w:rsidR="004F0907">
        <w:rPr>
          <w:color w:val="auto"/>
        </w:rPr>
        <w:t xml:space="preserve"> </w:t>
      </w:r>
      <w:r w:rsidRPr="00597A1E">
        <w:rPr>
          <w:color w:val="auto"/>
        </w:rPr>
        <w:t xml:space="preserve">en </w:t>
      </w:r>
      <w:r w:rsidR="004F0907">
        <w:rPr>
          <w:color w:val="auto"/>
        </w:rPr>
        <w:t>Wwke</w:t>
      </w:r>
      <w:r w:rsidR="009C7D57">
        <w:rPr>
          <w:color w:val="auto"/>
        </w:rPr>
        <w:t xml:space="preserve"> </w:t>
      </w:r>
      <w:r w:rsidR="00037C27">
        <w:rPr>
          <w:color w:val="auto"/>
        </w:rPr>
        <w:t xml:space="preserve">voor overheidsorganisaties </w:t>
      </w:r>
      <w:r w:rsidRPr="00597A1E">
        <w:rPr>
          <w:color w:val="auto"/>
        </w:rPr>
        <w:t>te borgen dat de verplichtingen, bewijslasten, auditlogica en verantwoordingsinformatie zoveel mogelijk worden geharmoniseerd met de Baseline Informatiebeveiliging Overheid (BIO2) en de Eenduidige Normatiek Single Information Audit (ENSIA).</w:t>
      </w:r>
      <w:bookmarkEnd w:id="8"/>
    </w:p>
    <w:p w:rsidRPr="00597A1E" w:rsidR="004F1A6F" w:rsidP="004F1A6F" w:rsidRDefault="004F1A6F" w14:paraId="29192B7F" w14:textId="77777777">
      <w:pPr>
        <w:rPr>
          <w:color w:val="auto"/>
        </w:rPr>
      </w:pPr>
    </w:p>
    <w:p w:rsidRPr="00597A1E" w:rsidR="004E59AC" w:rsidP="004E59AC" w:rsidRDefault="009E7AD1" w14:paraId="569A6CEE" w14:textId="77DF950E">
      <w:pPr>
        <w:rPr>
          <w:color w:val="auto"/>
        </w:rPr>
      </w:pPr>
      <w:r>
        <w:rPr>
          <w:color w:val="auto"/>
        </w:rPr>
        <w:t xml:space="preserve">BIO2 omvat maatregelen voor de beveiliging van netwerk- en informatiesystemen van overheidsorganisaties. Ter onderschrijving van de oproep in deze motie worden in de ministeriële regelingen van zowel de minister van </w:t>
      </w:r>
      <w:r w:rsidRPr="00597A1E">
        <w:rPr>
          <w:color w:val="auto"/>
        </w:rPr>
        <w:t xml:space="preserve">Binnenlandse Zaken en Koninkrijksrelaties als </w:t>
      </w:r>
      <w:r>
        <w:rPr>
          <w:color w:val="auto"/>
        </w:rPr>
        <w:t xml:space="preserve">van de minister van </w:t>
      </w:r>
      <w:r w:rsidRPr="00597A1E">
        <w:rPr>
          <w:color w:val="auto"/>
        </w:rPr>
        <w:t>Infrastructuur en Waterstaat</w:t>
      </w:r>
      <w:r>
        <w:rPr>
          <w:color w:val="auto"/>
        </w:rPr>
        <w:t xml:space="preserve"> opgenomen dat </w:t>
      </w:r>
      <w:r w:rsidRPr="00597A1E">
        <w:rPr>
          <w:color w:val="auto"/>
        </w:rPr>
        <w:t>overheidsorganisaties</w:t>
      </w:r>
      <w:r>
        <w:rPr>
          <w:color w:val="auto"/>
        </w:rPr>
        <w:t xml:space="preserve"> die als essentiële entiteit kwalificeren onder de Cbw, in aanvulling op de vereiste maatregelen uit het Cyberbeveiligingsbesluit</w:t>
      </w:r>
      <w:r w:rsidR="00827FB3">
        <w:rPr>
          <w:color w:val="auto"/>
        </w:rPr>
        <w:t xml:space="preserve"> (hierna: Cbb)</w:t>
      </w:r>
      <w:r>
        <w:rPr>
          <w:color w:val="auto"/>
        </w:rPr>
        <w:t>, de BIO2 moeten toepassen met betrekking tot</w:t>
      </w:r>
      <w:r w:rsidRPr="00597A1E">
        <w:rPr>
          <w:color w:val="auto"/>
        </w:rPr>
        <w:t xml:space="preserve"> de beveiliging van </w:t>
      </w:r>
      <w:r>
        <w:rPr>
          <w:color w:val="auto"/>
        </w:rPr>
        <w:t xml:space="preserve">hun </w:t>
      </w:r>
      <w:r w:rsidRPr="00597A1E">
        <w:rPr>
          <w:color w:val="auto"/>
        </w:rPr>
        <w:t>netwerk- en informatiesystemen.</w:t>
      </w:r>
      <w:r>
        <w:rPr>
          <w:color w:val="auto"/>
        </w:rPr>
        <w:t xml:space="preserve"> Tevens</w:t>
      </w:r>
      <w:r w:rsidR="0022102D">
        <w:rPr>
          <w:color w:val="auto"/>
        </w:rPr>
        <w:t xml:space="preserve"> is</w:t>
      </w:r>
      <w:r>
        <w:rPr>
          <w:color w:val="auto"/>
        </w:rPr>
        <w:t xml:space="preserve"> bij het formuleren van vereiste maatregelen in het </w:t>
      </w:r>
      <w:r w:rsidR="00827FB3">
        <w:rPr>
          <w:color w:val="auto"/>
        </w:rPr>
        <w:t>Cbb</w:t>
      </w:r>
      <w:r>
        <w:rPr>
          <w:color w:val="auto"/>
        </w:rPr>
        <w:t xml:space="preserve">, voortdurend bezien of deze ook op een juiste wijze aansluit bij de normstelling in de BIO2. </w:t>
      </w:r>
      <w:r w:rsidR="004E59AC">
        <w:rPr>
          <w:color w:val="auto"/>
        </w:rPr>
        <w:t xml:space="preserve">Overheidsorganisaties blijven daarbij overigens verantwoordelijk om te beoordelen of zij binnen hun (veranderende) context met de toepassing van de BIO2 volledig invulling geven aan de zorgplicht uit de Cbw.   </w:t>
      </w:r>
    </w:p>
    <w:p w:rsidRPr="00597A1E" w:rsidR="004F1A6F" w:rsidP="004F1A6F" w:rsidRDefault="004F1A6F" w14:paraId="1B64B9E6" w14:textId="77777777">
      <w:pPr>
        <w:rPr>
          <w:color w:val="auto"/>
        </w:rPr>
      </w:pPr>
    </w:p>
    <w:p w:rsidR="004F1A6F" w:rsidP="004F1A6F" w:rsidRDefault="004F1A6F" w14:paraId="2366D1D9" w14:textId="5052CE81">
      <w:pPr>
        <w:rPr>
          <w:color w:val="auto"/>
        </w:rPr>
      </w:pPr>
      <w:r w:rsidRPr="00597A1E">
        <w:rPr>
          <w:color w:val="auto"/>
        </w:rPr>
        <w:t xml:space="preserve">Voor het toezicht op de </w:t>
      </w:r>
      <w:r w:rsidR="00037C27">
        <w:rPr>
          <w:color w:val="auto"/>
        </w:rPr>
        <w:t xml:space="preserve">naleving van de wettelijke </w:t>
      </w:r>
      <w:r w:rsidRPr="00597A1E">
        <w:rPr>
          <w:color w:val="auto"/>
        </w:rPr>
        <w:t xml:space="preserve">zorgplicht zullen de toezichthouders gebruikmaken van bestaande verantwoordingskaders- en informatie van overheidsorganisaties, zoals ENSIA voor de gemeenten. Deze toezegging </w:t>
      </w:r>
      <w:r>
        <w:rPr>
          <w:color w:val="auto"/>
        </w:rPr>
        <w:t>is ook</w:t>
      </w:r>
      <w:r w:rsidRPr="00597A1E">
        <w:rPr>
          <w:color w:val="auto"/>
        </w:rPr>
        <w:t xml:space="preserve"> terug</w:t>
      </w:r>
      <w:r>
        <w:rPr>
          <w:color w:val="auto"/>
        </w:rPr>
        <w:t xml:space="preserve"> te </w:t>
      </w:r>
      <w:r w:rsidRPr="00597A1E">
        <w:rPr>
          <w:color w:val="auto"/>
        </w:rPr>
        <w:t>vinden in de toelichting</w:t>
      </w:r>
      <w:r w:rsidR="0056518B">
        <w:rPr>
          <w:color w:val="auto"/>
        </w:rPr>
        <w:t>en</w:t>
      </w:r>
      <w:r w:rsidRPr="00597A1E">
        <w:rPr>
          <w:color w:val="auto"/>
        </w:rPr>
        <w:t xml:space="preserve"> bij de betreffende </w:t>
      </w:r>
      <w:r w:rsidR="00C82271">
        <w:rPr>
          <w:color w:val="auto"/>
        </w:rPr>
        <w:t xml:space="preserve">ministeriële </w:t>
      </w:r>
      <w:r w:rsidRPr="00597A1E">
        <w:rPr>
          <w:color w:val="auto"/>
        </w:rPr>
        <w:t xml:space="preserve">regelingen voor de sector overheid van </w:t>
      </w:r>
      <w:r w:rsidR="00037C27">
        <w:rPr>
          <w:color w:val="auto"/>
        </w:rPr>
        <w:t xml:space="preserve">de minister van </w:t>
      </w:r>
      <w:r w:rsidRPr="00597A1E">
        <w:rPr>
          <w:color w:val="auto"/>
        </w:rPr>
        <w:t xml:space="preserve">Binnenlandse Zaken en Koninkrijksrelaties en </w:t>
      </w:r>
      <w:r w:rsidR="00037C27">
        <w:rPr>
          <w:color w:val="auto"/>
        </w:rPr>
        <w:t xml:space="preserve">de minister van </w:t>
      </w:r>
      <w:r w:rsidRPr="00597A1E">
        <w:rPr>
          <w:color w:val="auto"/>
        </w:rPr>
        <w:t>Infrastructuur en Waterstaat.</w:t>
      </w:r>
      <w:r w:rsidR="00C82271">
        <w:rPr>
          <w:color w:val="auto"/>
        </w:rPr>
        <w:t xml:space="preserve"> Ten aanzien van de </w:t>
      </w:r>
      <w:r w:rsidR="0022102D">
        <w:rPr>
          <w:color w:val="auto"/>
        </w:rPr>
        <w:t>Wwke</w:t>
      </w:r>
      <w:r w:rsidR="00C82271">
        <w:rPr>
          <w:color w:val="auto"/>
        </w:rPr>
        <w:t xml:space="preserve"> wordt ook gekeken naar bestaande verantwoordingsinformatie en naar het vergroten van de samenhang met instrumenten zoals ENSIA voor de gemeenten.</w:t>
      </w:r>
      <w:bookmarkEnd w:id="6"/>
      <w:r w:rsidR="00F5122A">
        <w:rPr>
          <w:color w:val="auto"/>
        </w:rPr>
        <w:t xml:space="preserve"> </w:t>
      </w:r>
      <w:r w:rsidR="0022102D">
        <w:rPr>
          <w:color w:val="auto"/>
        </w:rPr>
        <w:t>Hiermee beschouw ik de</w:t>
      </w:r>
      <w:r w:rsidRPr="00352FBD">
        <w:rPr>
          <w:color w:val="auto"/>
        </w:rPr>
        <w:t xml:space="preserve"> motie afgedaan. </w:t>
      </w:r>
    </w:p>
    <w:p w:rsidRPr="00597A1E" w:rsidR="004F1A6F" w:rsidP="004F1A6F" w:rsidRDefault="004F1A6F" w14:paraId="3A8D3531" w14:textId="77777777">
      <w:pPr>
        <w:rPr>
          <w:color w:val="auto"/>
        </w:rPr>
      </w:pPr>
    </w:p>
    <w:p w:rsidR="004F1A6F" w:rsidP="004F1A6F" w:rsidRDefault="004F1A6F" w14:paraId="563E7DF4" w14:textId="77777777"/>
    <w:p w:rsidRPr="00827FB3" w:rsidR="004F1A6F" w:rsidP="00827FB3" w:rsidRDefault="004F1A6F" w14:paraId="3672DBB9" w14:textId="3AEF5A8B">
      <w:pPr>
        <w:rPr>
          <w:b/>
          <w:bCs/>
        </w:rPr>
      </w:pPr>
      <w:r w:rsidRPr="00827FB3">
        <w:rPr>
          <w:b/>
          <w:bCs/>
        </w:rPr>
        <w:t xml:space="preserve">Punten </w:t>
      </w:r>
      <w:r w:rsidRPr="00827FB3" w:rsidR="0056518B">
        <w:rPr>
          <w:b/>
          <w:bCs/>
        </w:rPr>
        <w:t>die in relatie tot d</w:t>
      </w:r>
      <w:r w:rsidRPr="00827FB3">
        <w:rPr>
          <w:b/>
          <w:bCs/>
        </w:rPr>
        <w:t>e Cbw nog nader uitgewerkt worden</w:t>
      </w:r>
    </w:p>
    <w:p w:rsidR="004F1A6F" w:rsidP="004F1A6F" w:rsidRDefault="004F1A6F" w14:paraId="5528DDA6" w14:textId="77777777">
      <w:pPr>
        <w:rPr>
          <w:color w:val="FF0000"/>
        </w:rPr>
      </w:pPr>
    </w:p>
    <w:p w:rsidR="00B17C52" w:rsidP="004F1A6F" w:rsidRDefault="004F1A6F" w14:paraId="1F4E0A2A" w14:textId="5B31E740">
      <w:r w:rsidRPr="00A00E43">
        <w:t xml:space="preserve">Hierna informeer ik </w:t>
      </w:r>
      <w:r>
        <w:t>uw</w:t>
      </w:r>
      <w:r w:rsidRPr="00A00E43">
        <w:t xml:space="preserve"> Kamer </w:t>
      </w:r>
      <w:r w:rsidR="00532AA0">
        <w:t>na</w:t>
      </w:r>
      <w:r w:rsidR="004F0907">
        <w:t>ar</w:t>
      </w:r>
      <w:r w:rsidR="00532AA0">
        <w:t xml:space="preserve"> aanleiding van de toezegging</w:t>
      </w:r>
      <w:r w:rsidR="00532AA0">
        <w:rPr>
          <w:rStyle w:val="Voetnootmarkering"/>
        </w:rPr>
        <w:footnoteReference w:id="9"/>
      </w:r>
      <w:r w:rsidR="00532AA0">
        <w:t xml:space="preserve"> </w:t>
      </w:r>
      <w:r w:rsidR="00863B68">
        <w:t xml:space="preserve">om een schriftelijke overzicht met uw Kamer te delen </w:t>
      </w:r>
      <w:r w:rsidRPr="00A00E43">
        <w:t>over de punten in</w:t>
      </w:r>
      <w:r w:rsidR="002F7FB2">
        <w:t xml:space="preserve"> relatie tot de inwerkingtreding van</w:t>
      </w:r>
      <w:r w:rsidRPr="00A00E43">
        <w:t xml:space="preserve"> de </w:t>
      </w:r>
      <w:r w:rsidR="00863B68">
        <w:t>Cbw</w:t>
      </w:r>
      <w:r w:rsidR="00827FB3">
        <w:t xml:space="preserve"> </w:t>
      </w:r>
      <w:r w:rsidR="00532AA0">
        <w:t xml:space="preserve">die </w:t>
      </w:r>
      <w:r w:rsidRPr="00A00E43">
        <w:t xml:space="preserve">nog nader uitgewerkt </w:t>
      </w:r>
      <w:r w:rsidR="00532AA0">
        <w:t xml:space="preserve">dienen te </w:t>
      </w:r>
      <w:r w:rsidRPr="00A00E43">
        <w:t>worden</w:t>
      </w:r>
      <w:r w:rsidR="00863B68">
        <w:t xml:space="preserve">, </w:t>
      </w:r>
      <w:r w:rsidRPr="00977283" w:rsidR="00863B68">
        <w:t>inclusief, waar het kan, een vernoeming van termijnen waarop deze uitgewerkt zullen worden voor de in inwerkingtrede van de wet</w:t>
      </w:r>
      <w:r w:rsidRPr="00A00E43">
        <w:t>.</w:t>
      </w:r>
      <w:r w:rsidR="002F7FB2">
        <w:t xml:space="preserve"> Het gaat dan om enerzijds het kunnen stellen van nadere regels over vereisten ten aanzien van </w:t>
      </w:r>
      <w:r w:rsidRPr="00A00E43">
        <w:t>CSIRT</w:t>
      </w:r>
      <w:r>
        <w:t>s</w:t>
      </w:r>
      <w:r w:rsidRPr="00A00E43">
        <w:t xml:space="preserve"> en</w:t>
      </w:r>
      <w:r w:rsidR="00C7192C">
        <w:t xml:space="preserve"> </w:t>
      </w:r>
      <w:r w:rsidR="002F7FB2">
        <w:t xml:space="preserve">anderzijds om het aan entiteiten met betrekking tot activiteiten of diensten </w:t>
      </w:r>
      <w:r w:rsidRPr="00A00E43">
        <w:t xml:space="preserve">ontheffing </w:t>
      </w:r>
      <w:r w:rsidR="002F7FB2">
        <w:t xml:space="preserve">kunnen verlenen </w:t>
      </w:r>
      <w:r w:rsidRPr="00A00E43">
        <w:t xml:space="preserve">van </w:t>
      </w:r>
      <w:r w:rsidR="002F7FB2">
        <w:t xml:space="preserve">een of meer wettelijke </w:t>
      </w:r>
      <w:r w:rsidRPr="00A00E43">
        <w:t>verplichtingen</w:t>
      </w:r>
      <w:r w:rsidR="002F7FB2">
        <w:t>, zoals de zorg- en de meldplicht</w:t>
      </w:r>
      <w:r w:rsidRPr="00A00E43">
        <w:t xml:space="preserve">. </w:t>
      </w:r>
    </w:p>
    <w:p w:rsidR="00BC3DE6" w:rsidP="004F1A6F" w:rsidRDefault="00BC3DE6" w14:paraId="22FAE44B" w14:textId="77777777"/>
    <w:p w:rsidR="004F1A6F" w:rsidP="004F1A6F" w:rsidRDefault="00BC3DE6" w14:paraId="7BC7F09B" w14:textId="0738E1AC">
      <w:r>
        <w:t xml:space="preserve">Betreffende CSIRT’s </w:t>
      </w:r>
      <w:r w:rsidR="002F7FB2">
        <w:t xml:space="preserve">geldt dat in artikel 3, eerste lid, van het </w:t>
      </w:r>
      <w:r>
        <w:t>Cbb</w:t>
      </w:r>
      <w:r w:rsidR="002F7FB2">
        <w:t>, overeenkomstig</w:t>
      </w:r>
      <w:r w:rsidRPr="00A00E43" w:rsidR="004F1A6F">
        <w:t xml:space="preserve"> artikel 11</w:t>
      </w:r>
      <w:r w:rsidR="002F7FB2">
        <w:t>, eerste</w:t>
      </w:r>
      <w:r w:rsidRPr="00A00E43" w:rsidR="004F1A6F">
        <w:t xml:space="preserve"> lid</w:t>
      </w:r>
      <w:r w:rsidR="002F7FB2">
        <w:t xml:space="preserve">, </w:t>
      </w:r>
      <w:r w:rsidRPr="00A00E43" w:rsidR="004F1A6F">
        <w:t>van de NIS2-richtlijn</w:t>
      </w:r>
      <w:r w:rsidR="009E3D15">
        <w:t>,</w:t>
      </w:r>
      <w:r w:rsidR="00B17C52">
        <w:t xml:space="preserve"> eisen worden gesteld aan CSIRT’s, zoals het garanderen van de beschikbaarheid van communicatiekanalen en het waarborgen van de vertrouwelijkheid van hun activiteiten. In aanvulling daarop kunnen op grond van artikel 3, tweede en derde lid, van het C</w:t>
      </w:r>
      <w:r>
        <w:t>bb</w:t>
      </w:r>
      <w:r w:rsidR="00B17C52">
        <w:t xml:space="preserve"> bij </w:t>
      </w:r>
      <w:r>
        <w:t xml:space="preserve">ministeriële </w:t>
      </w:r>
      <w:r w:rsidR="00B17C52">
        <w:t xml:space="preserve">regeling van de Minister van Justitie en Veiligheid voor alle CSIRT’s en bij </w:t>
      </w:r>
      <w:r>
        <w:t xml:space="preserve">ministeriële </w:t>
      </w:r>
      <w:r w:rsidR="00B17C52">
        <w:t xml:space="preserve">regelingen van de betrokken vakministers voor specifieke CSIRT’s hierover nog nadere regels worden gesteld. Hiertoe zullen in elk geval in de </w:t>
      </w:r>
      <w:r>
        <w:t xml:space="preserve">ministeriële </w:t>
      </w:r>
      <w:r w:rsidR="00B17C52">
        <w:t xml:space="preserve">regeling van de Minister van Justitie en Veiligheid nadere eisen worden gesteld over het </w:t>
      </w:r>
      <w:r w:rsidRPr="00A00E43" w:rsidR="004F1A6F">
        <w:t>volwassenheidsniveau</w:t>
      </w:r>
      <w:r w:rsidR="00B17C52">
        <w:t xml:space="preserve"> van en de invulling van vertrouwensfunctie bij</w:t>
      </w:r>
      <w:r w:rsidRPr="00A00E43" w:rsidR="004F1A6F">
        <w:t xml:space="preserve"> CSIRT’s. D</w:t>
      </w:r>
      <w:r w:rsidR="00B17C52">
        <w:t xml:space="preserve">eze </w:t>
      </w:r>
      <w:r>
        <w:t xml:space="preserve">ministeriële </w:t>
      </w:r>
      <w:r w:rsidRPr="00A00E43" w:rsidR="004F1A6F">
        <w:t>regeling</w:t>
      </w:r>
      <w:r w:rsidR="00B17C52">
        <w:t>en zullen naar verwachting</w:t>
      </w:r>
      <w:r w:rsidRPr="00A00E43" w:rsidR="004F1A6F">
        <w:t xml:space="preserve"> </w:t>
      </w:r>
      <w:r w:rsidR="00B17C52">
        <w:t>tegelijk met d</w:t>
      </w:r>
      <w:r w:rsidRPr="00A00E43" w:rsidR="004F1A6F">
        <w:t xml:space="preserve">e </w:t>
      </w:r>
      <w:r w:rsidR="00326DDB">
        <w:t xml:space="preserve">Cbw </w:t>
      </w:r>
      <w:r w:rsidRPr="00A00E43" w:rsidR="004F1A6F">
        <w:t>in</w:t>
      </w:r>
      <w:r w:rsidR="00B17C52">
        <w:t xml:space="preserve"> </w:t>
      </w:r>
      <w:r w:rsidRPr="00A00E43" w:rsidR="004F1A6F">
        <w:t xml:space="preserve">werking </w:t>
      </w:r>
      <w:r w:rsidR="00B17C52">
        <w:t xml:space="preserve">kunnen </w:t>
      </w:r>
      <w:r w:rsidRPr="00A00E43" w:rsidR="004F1A6F">
        <w:t>tre</w:t>
      </w:r>
      <w:r w:rsidR="00B17C52">
        <w:t>den</w:t>
      </w:r>
      <w:r w:rsidRPr="00A00E43" w:rsidR="004F1A6F">
        <w:t>.</w:t>
      </w:r>
    </w:p>
    <w:p w:rsidRPr="00A00E43" w:rsidR="000038EF" w:rsidP="004F1A6F" w:rsidRDefault="000038EF" w14:paraId="4B8E675D" w14:textId="77777777"/>
    <w:p w:rsidRPr="00A00E43" w:rsidR="004F1A6F" w:rsidP="004F1A6F" w:rsidRDefault="00532AA0" w14:paraId="33368D8D" w14:textId="6DE05053">
      <w:r>
        <w:t>Met betrekking tot ontheffingen biedt</w:t>
      </w:r>
      <w:r w:rsidR="00B17C52">
        <w:t xml:space="preserve"> a</w:t>
      </w:r>
      <w:r w:rsidRPr="00A00E43" w:rsidR="004F1A6F">
        <w:t>rtikel 2, achtste lid</w:t>
      </w:r>
      <w:r w:rsidR="00B17C52">
        <w:t>,</w:t>
      </w:r>
      <w:r w:rsidRPr="00A00E43" w:rsidR="004F1A6F">
        <w:t xml:space="preserve"> van de NIS2-richtlijn lidstaten de mogelijkheid om entiteiten die activiteiten uitvoeren op het gebied van nationale veiligheid, openbare veiligheid, defensie of rechtshandhaving, of die uitsluitend diensten verlenen aan overheidsinstanties die in hoofdzaak zulke activiteiten uitvoeren, met betrekking tot die activiteiten of diensten te ontheffen van bepaalde verplichtingen, waaronder de zorgplicht. Deze activiteiten vallen namelijk binnen de uitsluitende verantwoordelijkheid van lidstaten</w:t>
      </w:r>
      <w:r w:rsidR="00BC3DE6">
        <w:t>.</w:t>
      </w:r>
      <w:r w:rsidR="00275A0D">
        <w:t xml:space="preserve"> </w:t>
      </w:r>
      <w:r w:rsidR="00B0552B">
        <w:t xml:space="preserve">Ter implementatie hiervan is in de Cbw ten aanzien van de volgende verplichtingen die mogelijkheid van ontheffing geregeld:  </w:t>
      </w:r>
      <w:r w:rsidR="00BC3DE6">
        <w:t>:</w:t>
      </w:r>
    </w:p>
    <w:p w:rsidRPr="00A00E43" w:rsidR="004F1A6F" w:rsidP="004F1A6F" w:rsidRDefault="004F1A6F" w14:paraId="4EE13C14" w14:textId="1A0ECE61">
      <w:pPr>
        <w:numPr>
          <w:ilvl w:val="0"/>
          <w:numId w:val="6"/>
        </w:numPr>
      </w:pPr>
      <w:r w:rsidRPr="00A00E43">
        <w:t>De zorgplicht (Cbw art</w:t>
      </w:r>
      <w:r w:rsidR="00FC6AF6">
        <w:t>ikel</w:t>
      </w:r>
      <w:r w:rsidRPr="00A00E43">
        <w:t xml:space="preserve"> 23);</w:t>
      </w:r>
    </w:p>
    <w:p w:rsidRPr="00A00E43" w:rsidR="004F1A6F" w:rsidP="004F1A6F" w:rsidRDefault="004F1A6F" w14:paraId="31CAADA6" w14:textId="36D08B31">
      <w:pPr>
        <w:numPr>
          <w:ilvl w:val="0"/>
          <w:numId w:val="6"/>
        </w:numPr>
      </w:pPr>
      <w:r w:rsidRPr="00A00E43">
        <w:t>De meldplicht (Cbw art</w:t>
      </w:r>
      <w:r w:rsidR="00FC6AF6">
        <w:t>ikel</w:t>
      </w:r>
      <w:r w:rsidRPr="00A00E43">
        <w:t xml:space="preserve"> 32);</w:t>
      </w:r>
    </w:p>
    <w:p w:rsidRPr="00A00E43" w:rsidR="004F1A6F" w:rsidP="004F1A6F" w:rsidRDefault="004F1A6F" w14:paraId="47747FBD" w14:textId="0FBC081B">
      <w:pPr>
        <w:numPr>
          <w:ilvl w:val="0"/>
          <w:numId w:val="6"/>
        </w:numPr>
      </w:pPr>
      <w:r w:rsidRPr="00A00E43">
        <w:t>De verplichting tot informatieverstrekking aan het nationale register (Cbw art</w:t>
      </w:r>
      <w:r w:rsidR="00FC6AF6">
        <w:t>ikel</w:t>
      </w:r>
      <w:r w:rsidRPr="00A00E43">
        <w:t xml:space="preserve"> 45);</w:t>
      </w:r>
    </w:p>
    <w:p w:rsidRPr="00A00E43" w:rsidR="004F1A6F" w:rsidP="004F1A6F" w:rsidRDefault="004F1A6F" w14:paraId="5B55459B" w14:textId="7C2A1AB6">
      <w:pPr>
        <w:numPr>
          <w:ilvl w:val="0"/>
          <w:numId w:val="6"/>
        </w:numPr>
      </w:pPr>
      <w:r w:rsidRPr="00A00E43">
        <w:t xml:space="preserve">De verplichting tot informatieverstrekking aan het register van ENISA (Cbw </w:t>
      </w:r>
      <w:r w:rsidR="00FC6AF6">
        <w:t>(</w:t>
      </w:r>
      <w:r w:rsidRPr="00A00E43">
        <w:t>art</w:t>
      </w:r>
      <w:r w:rsidR="00FC6AF6">
        <w:t>ikel</w:t>
      </w:r>
      <w:r w:rsidRPr="00A00E43">
        <w:t xml:space="preserve"> 48).</w:t>
      </w:r>
    </w:p>
    <w:p w:rsidRPr="00A00E43" w:rsidR="004F1A6F" w:rsidP="004F1A6F" w:rsidRDefault="004F1A6F" w14:paraId="715C443D" w14:textId="1FDC0B7C">
      <w:r w:rsidRPr="00A00E43">
        <w:t>Om te kunnen beoordelen of entiteiten</w:t>
      </w:r>
      <w:r w:rsidR="00FC6AF6">
        <w:t>, met betrekking tot bepaalde activiteiten</w:t>
      </w:r>
      <w:r w:rsidR="009E3D15">
        <w:t>,</w:t>
      </w:r>
      <w:r w:rsidR="00FC6AF6">
        <w:t xml:space="preserve"> </w:t>
      </w:r>
      <w:r w:rsidRPr="00A00E43">
        <w:t xml:space="preserve">kunnen worden uitgezonderd van </w:t>
      </w:r>
      <w:r w:rsidR="00FC6AF6">
        <w:t>een</w:t>
      </w:r>
      <w:r w:rsidRPr="00A00E43">
        <w:t xml:space="preserve"> of meerdere </w:t>
      </w:r>
      <w:r w:rsidR="00FC6AF6">
        <w:t xml:space="preserve">van deze </w:t>
      </w:r>
      <w:r w:rsidRPr="00A00E43">
        <w:t xml:space="preserve">verplichtingen in de </w:t>
      </w:r>
      <w:r w:rsidR="00326DDB">
        <w:t>Cbw</w:t>
      </w:r>
      <w:r w:rsidRPr="00A00E43">
        <w:t xml:space="preserve">, </w:t>
      </w:r>
      <w:r w:rsidR="00C769C3">
        <w:t>wordt door</w:t>
      </w:r>
      <w:r w:rsidRPr="00A00E43" w:rsidR="00C769C3">
        <w:t xml:space="preserve"> </w:t>
      </w:r>
      <w:r w:rsidRPr="00A00E43">
        <w:t xml:space="preserve">mijn ambtsgenoot van Binnenlandse </w:t>
      </w:r>
      <w:r w:rsidR="00C769C3">
        <w:t>Z</w:t>
      </w:r>
      <w:r w:rsidRPr="00A00E43">
        <w:t xml:space="preserve">aken </w:t>
      </w:r>
      <w:r w:rsidR="00C769C3">
        <w:t xml:space="preserve">en Koninkrijksrelaties in gezamenlijkheid met de andere vakministers </w:t>
      </w:r>
      <w:r w:rsidRPr="00A00E43">
        <w:t xml:space="preserve">een beoordelingskader uitgewerkt. </w:t>
      </w:r>
      <w:r w:rsidR="0073161B">
        <w:t xml:space="preserve">De beoordeling </w:t>
      </w:r>
      <w:r w:rsidR="00FC6AF6">
        <w:t xml:space="preserve">aan de hand van dit </w:t>
      </w:r>
      <w:r w:rsidR="00C769C3">
        <w:t>kader</w:t>
      </w:r>
      <w:r w:rsidR="00885340">
        <w:t>,</w:t>
      </w:r>
      <w:r w:rsidR="00C769C3">
        <w:t xml:space="preserve"> </w:t>
      </w:r>
      <w:r w:rsidR="00885340">
        <w:t xml:space="preserve">wordt </w:t>
      </w:r>
      <w:r w:rsidR="0073161B">
        <w:t>verricht</w:t>
      </w:r>
      <w:r w:rsidR="00CF0DB5">
        <w:t xml:space="preserve"> </w:t>
      </w:r>
      <w:r w:rsidR="00C769C3">
        <w:t xml:space="preserve">door de Minister die het aangaat, in overeenstemming met de </w:t>
      </w:r>
      <w:r w:rsidR="009E3D15">
        <w:t>M</w:t>
      </w:r>
      <w:r w:rsidR="00C769C3">
        <w:t>inister van J</w:t>
      </w:r>
      <w:r w:rsidR="009E3D15">
        <w:t>ustitie en Veiligheid</w:t>
      </w:r>
      <w:r w:rsidR="00C769C3">
        <w:t>.</w:t>
      </w:r>
      <w:r w:rsidR="00CF0DB5">
        <w:t xml:space="preserve"> </w:t>
      </w:r>
      <w:r w:rsidR="00C15AC9">
        <w:t>Ontheffing wordt verleend</w:t>
      </w:r>
      <w:r w:rsidR="00CF0DB5">
        <w:t xml:space="preserve"> bij regeling of besluit.</w:t>
      </w:r>
      <w:r w:rsidR="00F96BA7">
        <w:t xml:space="preserve"> Hiermee beschouw ik de toezegging afgedaan.</w:t>
      </w:r>
    </w:p>
    <w:p w:rsidR="004F1A6F" w:rsidP="004F1A6F" w:rsidRDefault="004F1A6F" w14:paraId="7BB2DECE" w14:textId="77777777"/>
    <w:p w:rsidR="004F1A6F" w:rsidP="004F1A6F" w:rsidRDefault="004F1A6F" w14:paraId="181A6E6A" w14:textId="77777777"/>
    <w:p w:rsidRPr="00827FB3" w:rsidR="004F1A6F" w:rsidP="00827FB3" w:rsidRDefault="004F1A6F" w14:paraId="490A8970" w14:textId="0B71527A">
      <w:pPr>
        <w:rPr>
          <w:b/>
          <w:bCs/>
        </w:rPr>
      </w:pPr>
      <w:r w:rsidRPr="00827FB3">
        <w:rPr>
          <w:b/>
          <w:bCs/>
        </w:rPr>
        <w:t>Inzake Wwke en afhankelijkheid van toezicht</w:t>
      </w:r>
      <w:r w:rsidRPr="00827FB3" w:rsidR="00AE3851">
        <w:rPr>
          <w:b/>
          <w:bCs/>
        </w:rPr>
        <w:t xml:space="preserve"> van kerncentrale</w:t>
      </w:r>
    </w:p>
    <w:p w:rsidR="004F1A6F" w:rsidP="004F1A6F" w:rsidRDefault="004F1A6F" w14:paraId="3447589E" w14:textId="77777777">
      <w:pPr>
        <w:rPr>
          <w:color w:val="FF0000"/>
        </w:rPr>
      </w:pPr>
    </w:p>
    <w:p w:rsidRPr="00AF4F8B" w:rsidR="004F1A6F" w:rsidP="004F1A6F" w:rsidRDefault="004F1A6F" w14:paraId="301F7174" w14:textId="0E55407C">
      <w:pPr>
        <w:rPr>
          <w:color w:val="auto"/>
        </w:rPr>
      </w:pPr>
      <w:r w:rsidRPr="00AF4F8B">
        <w:rPr>
          <w:color w:val="auto"/>
        </w:rPr>
        <w:t>In het wetgevingsoverleg van 23 maart jl. heb ik uw Kamer toegezegd</w:t>
      </w:r>
      <w:r w:rsidRPr="00AF4F8B">
        <w:rPr>
          <w:rStyle w:val="Voetnootmarkering"/>
          <w:color w:val="auto"/>
        </w:rPr>
        <w:footnoteReference w:id="10"/>
      </w:r>
      <w:r w:rsidRPr="00AF4F8B">
        <w:rPr>
          <w:color w:val="auto"/>
        </w:rPr>
        <w:t xml:space="preserve"> voor de zomer schriftelijk terug te komen op de door het lid Faber genoemde casus inzake de Wwke en de afhankelijkheid van toezichtin</w:t>
      </w:r>
      <w:r w:rsidR="00DB641A">
        <w:rPr>
          <w:color w:val="auto"/>
        </w:rPr>
        <w:t>g</w:t>
      </w:r>
      <w:r w:rsidRPr="00AF4F8B">
        <w:rPr>
          <w:color w:val="auto"/>
        </w:rPr>
        <w:t xml:space="preserve"> het geval van de kerncentrale. </w:t>
      </w:r>
    </w:p>
    <w:p w:rsidR="004F1A6F" w:rsidP="004F1A6F" w:rsidRDefault="004F1A6F" w14:paraId="415030A1" w14:textId="77777777">
      <w:pPr>
        <w:rPr>
          <w:color w:val="auto"/>
        </w:rPr>
      </w:pPr>
    </w:p>
    <w:p w:rsidR="004F1A6F" w:rsidP="004F1A6F" w:rsidRDefault="00AE3851" w14:paraId="3C6660E3" w14:textId="7A75D018">
      <w:pPr>
        <w:rPr>
          <w:color w:val="auto"/>
        </w:rPr>
      </w:pPr>
      <w:r w:rsidRPr="00D62C82">
        <w:rPr>
          <w:color w:val="auto"/>
        </w:rPr>
        <w:t xml:space="preserve">Indien een kritieke entiteit raakt aan de </w:t>
      </w:r>
      <w:r>
        <w:rPr>
          <w:color w:val="auto"/>
        </w:rPr>
        <w:t xml:space="preserve">verantwoordelijkheden </w:t>
      </w:r>
      <w:r w:rsidRPr="00D62C82">
        <w:rPr>
          <w:color w:val="auto"/>
        </w:rPr>
        <w:t>van meerdere ministeries</w:t>
      </w:r>
      <w:r>
        <w:rPr>
          <w:color w:val="auto"/>
        </w:rPr>
        <w:t>,</w:t>
      </w:r>
      <w:r w:rsidRPr="00D62C82">
        <w:rPr>
          <w:color w:val="auto"/>
        </w:rPr>
        <w:t xml:space="preserve"> en daarmee aan verschillende toezichthoudende instanties</w:t>
      </w:r>
      <w:r>
        <w:rPr>
          <w:color w:val="auto"/>
        </w:rPr>
        <w:t>,</w:t>
      </w:r>
      <w:r w:rsidRPr="00D62C82">
        <w:rPr>
          <w:color w:val="auto"/>
        </w:rPr>
        <w:t xml:space="preserve"> is het van belang dat wordt samengewerkt</w:t>
      </w:r>
      <w:r>
        <w:rPr>
          <w:color w:val="auto"/>
        </w:rPr>
        <w:t xml:space="preserve"> tussen </w:t>
      </w:r>
      <w:r w:rsidRPr="00D62C82">
        <w:rPr>
          <w:color w:val="auto"/>
        </w:rPr>
        <w:t xml:space="preserve">die toezichthoudende instanties. </w:t>
      </w:r>
      <w:r>
        <w:rPr>
          <w:color w:val="auto"/>
        </w:rPr>
        <w:t xml:space="preserve">De Wwke voorziet hierin. </w:t>
      </w:r>
      <w:r w:rsidR="004F1A6F">
        <w:rPr>
          <w:color w:val="auto"/>
        </w:rPr>
        <w:t xml:space="preserve">Toezichthoudende instanties werken </w:t>
      </w:r>
      <w:r w:rsidRPr="00527890" w:rsidR="004F1A6F">
        <w:rPr>
          <w:color w:val="auto"/>
        </w:rPr>
        <w:t xml:space="preserve">op grond van artikel 25 Wwke zoveel mogelijk samen </w:t>
      </w:r>
      <w:r w:rsidR="004F1A6F">
        <w:rPr>
          <w:color w:val="auto"/>
        </w:rPr>
        <w:t>en maken onderling afspraken om</w:t>
      </w:r>
      <w:r w:rsidRPr="00527890" w:rsidR="004F1A6F">
        <w:rPr>
          <w:color w:val="auto"/>
        </w:rPr>
        <w:t xml:space="preserve"> </w:t>
      </w:r>
      <w:r w:rsidR="004F1A6F">
        <w:rPr>
          <w:color w:val="auto"/>
        </w:rPr>
        <w:t xml:space="preserve">doeltreffend en doelmatig toezicht te houden </w:t>
      </w:r>
      <w:r w:rsidRPr="00527890" w:rsidR="004F1A6F">
        <w:rPr>
          <w:color w:val="auto"/>
        </w:rPr>
        <w:t>op kritieke entiteiten</w:t>
      </w:r>
      <w:r w:rsidR="004F1A6F">
        <w:rPr>
          <w:color w:val="auto"/>
        </w:rPr>
        <w:t>, zie hiervoor ook de reactie</w:t>
      </w:r>
      <w:r w:rsidRPr="00D64FDF" w:rsidR="004F1A6F">
        <w:rPr>
          <w:color w:val="FF0000"/>
        </w:rPr>
        <w:t xml:space="preserve"> </w:t>
      </w:r>
      <w:r w:rsidR="004F1A6F">
        <w:rPr>
          <w:color w:val="auto"/>
        </w:rPr>
        <w:t>op motie Van den Berg</w:t>
      </w:r>
      <w:r w:rsidR="004F1A6F">
        <w:rPr>
          <w:rStyle w:val="Voetnootmarkering"/>
          <w:color w:val="auto"/>
        </w:rPr>
        <w:footnoteReference w:id="11"/>
      </w:r>
      <w:r w:rsidR="004F1A6F">
        <w:rPr>
          <w:color w:val="auto"/>
        </w:rPr>
        <w:t xml:space="preserve"> met betrekking tot de samenwerkingsprotocollen toezicht.  </w:t>
      </w:r>
    </w:p>
    <w:p w:rsidR="004F1A6F" w:rsidP="004F1A6F" w:rsidRDefault="004F1A6F" w14:paraId="3E9FBA7C" w14:textId="77777777">
      <w:pPr>
        <w:rPr>
          <w:color w:val="auto"/>
        </w:rPr>
      </w:pPr>
    </w:p>
    <w:p w:rsidRPr="00AF4F8B" w:rsidR="004F1A6F" w:rsidP="004F1A6F" w:rsidRDefault="004F1A6F" w14:paraId="10C1EE9B" w14:textId="035A93E9">
      <w:pPr>
        <w:rPr>
          <w:color w:val="auto"/>
        </w:rPr>
      </w:pPr>
      <w:r w:rsidRPr="00AF4F8B">
        <w:rPr>
          <w:color w:val="auto"/>
        </w:rPr>
        <w:t>Wanneer een nucleaire installatie onder de Wwke wordt aang</w:t>
      </w:r>
      <w:r>
        <w:rPr>
          <w:color w:val="auto"/>
        </w:rPr>
        <w:t>ewezen</w:t>
      </w:r>
      <w:r w:rsidRPr="00AF4F8B">
        <w:rPr>
          <w:color w:val="auto"/>
        </w:rPr>
        <w:t xml:space="preserve"> als kritieke entiteit binnen de sector </w:t>
      </w:r>
      <w:r w:rsidRPr="00AF4F8B" w:rsidR="00591CBC">
        <w:rPr>
          <w:color w:val="auto"/>
        </w:rPr>
        <w:t>energie</w:t>
      </w:r>
      <w:r w:rsidR="00591CBC">
        <w:rPr>
          <w:color w:val="auto"/>
        </w:rPr>
        <w:t>ën</w:t>
      </w:r>
      <w:r w:rsidRPr="00AF4F8B">
        <w:rPr>
          <w:color w:val="auto"/>
        </w:rPr>
        <w:t xml:space="preserve">, </w:t>
      </w:r>
      <w:r w:rsidR="00AE3851">
        <w:rPr>
          <w:color w:val="auto"/>
        </w:rPr>
        <w:t xml:space="preserve">is </w:t>
      </w:r>
      <w:r w:rsidRPr="00AF4F8B">
        <w:rPr>
          <w:color w:val="auto"/>
        </w:rPr>
        <w:t xml:space="preserve">er </w:t>
      </w:r>
      <w:r>
        <w:rPr>
          <w:color w:val="auto"/>
        </w:rPr>
        <w:t xml:space="preserve">een goede samenwerking nodig tussen de verantwoordelijke ministeries, omdat het raakt aan de </w:t>
      </w:r>
      <w:r w:rsidR="00E857D6">
        <w:rPr>
          <w:color w:val="auto"/>
        </w:rPr>
        <w:t>verantwoordelijkheden</w:t>
      </w:r>
      <w:r>
        <w:rPr>
          <w:color w:val="auto"/>
        </w:rPr>
        <w:t xml:space="preserve"> van meerdere ministeries. </w:t>
      </w:r>
      <w:r w:rsidRPr="00AF4F8B">
        <w:rPr>
          <w:color w:val="auto"/>
        </w:rPr>
        <w:t xml:space="preserve">Aan de ene kant </w:t>
      </w:r>
      <w:r>
        <w:rPr>
          <w:color w:val="auto"/>
        </w:rPr>
        <w:t xml:space="preserve">heeft </w:t>
      </w:r>
      <w:r w:rsidRPr="00AF4F8B">
        <w:rPr>
          <w:color w:val="auto"/>
        </w:rPr>
        <w:t xml:space="preserve">het ministerie van Economische Zaken en Klimaat </w:t>
      </w:r>
      <w:r>
        <w:rPr>
          <w:color w:val="auto"/>
        </w:rPr>
        <w:t xml:space="preserve">de verantwoordelijkheid </w:t>
      </w:r>
      <w:r w:rsidRPr="00AF4F8B">
        <w:rPr>
          <w:color w:val="auto"/>
        </w:rPr>
        <w:t>voor de</w:t>
      </w:r>
      <w:r w:rsidR="00E35A07">
        <w:rPr>
          <w:color w:val="auto"/>
        </w:rPr>
        <w:t xml:space="preserve"> </w:t>
      </w:r>
      <w:r w:rsidRPr="00AF4F8B">
        <w:rPr>
          <w:color w:val="auto"/>
        </w:rPr>
        <w:t xml:space="preserve">leveringszekerheid van elektriciteit. Aan de andere kant </w:t>
      </w:r>
      <w:r>
        <w:rPr>
          <w:color w:val="auto"/>
        </w:rPr>
        <w:t>heeft het</w:t>
      </w:r>
      <w:r w:rsidRPr="00AF4F8B">
        <w:rPr>
          <w:color w:val="auto"/>
        </w:rPr>
        <w:t xml:space="preserve"> ministerie van Infrastructuur en Waterstaat </w:t>
      </w:r>
      <w:r>
        <w:rPr>
          <w:color w:val="auto"/>
        </w:rPr>
        <w:t xml:space="preserve">de verantwoordelijkheid </w:t>
      </w:r>
      <w:r w:rsidRPr="00AF4F8B">
        <w:rPr>
          <w:color w:val="auto"/>
        </w:rPr>
        <w:t>voor de veiligheid van nucleaire installaties. Gezien het</w:t>
      </w:r>
      <w:r>
        <w:rPr>
          <w:color w:val="auto"/>
        </w:rPr>
        <w:t xml:space="preserve"> in internationale regelgeving en de Kernenergiewet neergelegde</w:t>
      </w:r>
      <w:r w:rsidRPr="00AF4F8B">
        <w:rPr>
          <w:color w:val="auto"/>
        </w:rPr>
        <w:t xml:space="preserve"> zwaarwegende belang van stralingsveiligheid bij nucleaire installaties, heeft de</w:t>
      </w:r>
      <w:r w:rsidR="00E35A07">
        <w:rPr>
          <w:color w:val="auto"/>
        </w:rPr>
        <w:t xml:space="preserve"> </w:t>
      </w:r>
      <w:r w:rsidRPr="00AF4F8B">
        <w:rPr>
          <w:color w:val="auto"/>
        </w:rPr>
        <w:t>verantwoordelijkheid van de minister van Infrastructuur en Waterstaat, ondersteund door de inzet van de A</w:t>
      </w:r>
      <w:r>
        <w:rPr>
          <w:color w:val="auto"/>
        </w:rPr>
        <w:t>utoriteit Nucleaire Veiligheid en Stralingsbescherming (ANVS; artikel 3, derde lid, Kernenergiewet)</w:t>
      </w:r>
      <w:r w:rsidRPr="00AF4F8B">
        <w:rPr>
          <w:color w:val="auto"/>
        </w:rPr>
        <w:t xml:space="preserve">, prioriteit boven andere belangen, zoals de continuïteit van de elektriciteitsvoorziening of de productie van medische hulpmiddelen. De ANVS vervult een leidende rol in het toezicht op nucleaire installaties. </w:t>
      </w:r>
      <w:r>
        <w:rPr>
          <w:color w:val="auto"/>
        </w:rPr>
        <w:t>Andere t</w:t>
      </w:r>
      <w:r w:rsidRPr="00AF4F8B">
        <w:rPr>
          <w:color w:val="auto"/>
        </w:rPr>
        <w:t xml:space="preserve">oezichthoudende instanties </w:t>
      </w:r>
      <w:r w:rsidR="003B39FA">
        <w:rPr>
          <w:color w:val="auto"/>
        </w:rPr>
        <w:t>die hun toezicht</w:t>
      </w:r>
      <w:r w:rsidR="00326DDB">
        <w:rPr>
          <w:color w:val="auto"/>
        </w:rPr>
        <w:t xml:space="preserve"> </w:t>
      </w:r>
      <w:r w:rsidR="003B39FA">
        <w:rPr>
          <w:color w:val="auto"/>
        </w:rPr>
        <w:t>rol uitvoeren op grond van de</w:t>
      </w:r>
      <w:r w:rsidRPr="00F16479">
        <w:rPr>
          <w:color w:val="auto"/>
        </w:rPr>
        <w:t xml:space="preserve"> Wwke moeten </w:t>
      </w:r>
      <w:r>
        <w:rPr>
          <w:color w:val="auto"/>
        </w:rPr>
        <w:t>erop kunnen</w:t>
      </w:r>
      <w:r w:rsidRPr="00F16479">
        <w:rPr>
          <w:color w:val="auto"/>
        </w:rPr>
        <w:t xml:space="preserve"> vertrouwen</w:t>
      </w:r>
      <w:r w:rsidR="003B39FA">
        <w:rPr>
          <w:color w:val="auto"/>
        </w:rPr>
        <w:t xml:space="preserve"> dat</w:t>
      </w:r>
      <w:r w:rsidRPr="00F16479">
        <w:rPr>
          <w:color w:val="auto"/>
        </w:rPr>
        <w:t xml:space="preserve"> de beoordelingen van de ANVS – voor zover het de nucleaire veiligheid en stralingsbescherming betreft - als afdoende te beschouwen voor het toezicht </w:t>
      </w:r>
      <w:r w:rsidR="003B39FA">
        <w:rPr>
          <w:color w:val="auto"/>
        </w:rPr>
        <w:t xml:space="preserve">op </w:t>
      </w:r>
      <w:r w:rsidRPr="00F16479">
        <w:rPr>
          <w:color w:val="auto"/>
        </w:rPr>
        <w:t>de kritieke entiteiten onder de Wwke</w:t>
      </w:r>
      <w:bookmarkStart w:name="_Hlk231203607" w:id="9"/>
      <w:r w:rsidRPr="00F16479">
        <w:rPr>
          <w:color w:val="auto"/>
        </w:rPr>
        <w:t>.</w:t>
      </w:r>
      <w:r w:rsidRPr="00AF4F8B">
        <w:rPr>
          <w:color w:val="auto"/>
        </w:rPr>
        <w:t xml:space="preserve"> </w:t>
      </w:r>
      <w:bookmarkEnd w:id="9"/>
      <w:r>
        <w:rPr>
          <w:color w:val="auto"/>
        </w:rPr>
        <w:t xml:space="preserve">Zodoende vervullen de toezichthoudende instanties hun rol ten aanzien van hun eigen specialisme en sectoren en vullen zij elkaar waar nodig aan. </w:t>
      </w:r>
      <w:r w:rsidRPr="00AF4F8B">
        <w:rPr>
          <w:color w:val="auto"/>
        </w:rPr>
        <w:t xml:space="preserve">Met deze informatie wordt deze toezegging afgedaan. </w:t>
      </w:r>
    </w:p>
    <w:p w:rsidR="009309A0" w:rsidRDefault="009309A0" w14:paraId="0EFAB085" w14:textId="77777777"/>
    <w:p w:rsidR="009309A0" w:rsidRDefault="009309A0" w14:paraId="42529131"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9309A0" w14:paraId="379F2B05" w14:textId="77777777">
        <w:trPr>
          <w:gridAfter w:val="1"/>
          <w:wAfter w:w="360" w:type="dxa"/>
        </w:trPr>
        <w:tc>
          <w:tcPr>
            <w:tcW w:w="3620" w:type="dxa"/>
          </w:tcPr>
          <w:p w:rsidR="009309A0" w:rsidRDefault="00471CD1" w14:paraId="7498EB73" w14:textId="77777777">
            <w:bookmarkStart w:name="_Hlk233204067" w:id="10"/>
            <w:r>
              <w:t>De Minister van Justitie en Veiligheid,</w:t>
            </w:r>
          </w:p>
        </w:tc>
        <w:tc>
          <w:tcPr>
            <w:tcW w:w="226" w:type="dxa"/>
          </w:tcPr>
          <w:p w:rsidR="009309A0" w:rsidRDefault="009309A0" w14:paraId="298D9523" w14:textId="77777777"/>
        </w:tc>
      </w:tr>
      <w:bookmarkEnd w:id="10"/>
      <w:tr w:rsidR="009309A0" w14:paraId="02EC20EF" w14:textId="77777777">
        <w:tc>
          <w:tcPr>
            <w:tcW w:w="3620" w:type="dxa"/>
          </w:tcPr>
          <w:p w:rsidR="009309A0" w:rsidRDefault="009309A0" w14:paraId="70422758" w14:textId="77777777"/>
          <w:p w:rsidR="009309A0" w:rsidRDefault="009309A0" w14:paraId="34EC5494" w14:textId="77777777"/>
          <w:p w:rsidR="009309A0" w:rsidRDefault="009309A0" w14:paraId="6975841C" w14:textId="77777777"/>
          <w:p w:rsidR="009309A0" w:rsidRDefault="009309A0" w14:paraId="5C5A17E9" w14:textId="77777777"/>
          <w:p w:rsidR="009309A0" w:rsidRDefault="009309A0" w14:paraId="07543B83" w14:textId="77777777"/>
        </w:tc>
        <w:tc>
          <w:tcPr>
            <w:tcW w:w="302" w:type="dxa"/>
          </w:tcPr>
          <w:p w:rsidR="009309A0" w:rsidRDefault="009309A0" w14:paraId="457BB95A" w14:textId="77777777"/>
          <w:p w:rsidR="009309A0" w:rsidRDefault="009309A0" w14:paraId="36828458" w14:textId="77777777"/>
          <w:p w:rsidR="009309A0" w:rsidRDefault="009309A0" w14:paraId="481BE4DB" w14:textId="77777777"/>
          <w:p w:rsidR="009309A0" w:rsidRDefault="009309A0" w14:paraId="71278AEF" w14:textId="77777777"/>
          <w:p w:rsidR="009309A0" w:rsidRDefault="009309A0" w14:paraId="1509E9D0" w14:textId="77777777"/>
        </w:tc>
        <w:tc>
          <w:tcPr>
            <w:tcW w:w="3620" w:type="dxa"/>
          </w:tcPr>
          <w:p w:rsidR="009309A0" w:rsidRDefault="009309A0" w14:paraId="385B951F" w14:textId="77777777"/>
          <w:p w:rsidR="009309A0" w:rsidRDefault="009309A0" w14:paraId="2C74A7D2" w14:textId="77777777"/>
          <w:p w:rsidR="009309A0" w:rsidRDefault="009309A0" w14:paraId="1256E9CD" w14:textId="77777777"/>
          <w:p w:rsidR="009309A0" w:rsidRDefault="009309A0" w14:paraId="2B540E07" w14:textId="77777777"/>
          <w:p w:rsidR="009309A0" w:rsidRDefault="009309A0" w14:paraId="52AAF0FE" w14:textId="77777777"/>
        </w:tc>
      </w:tr>
      <w:tr w:rsidR="009309A0" w14:paraId="6737FF9F" w14:textId="77777777">
        <w:trPr>
          <w:gridAfter w:val="1"/>
          <w:wAfter w:w="360" w:type="dxa"/>
        </w:trPr>
        <w:tc>
          <w:tcPr>
            <w:tcW w:w="3620" w:type="dxa"/>
          </w:tcPr>
          <w:p w:rsidR="009309A0" w:rsidRDefault="00471CD1" w14:paraId="37B83070" w14:textId="77777777">
            <w:r>
              <w:t>D.M. van Weel</w:t>
            </w:r>
          </w:p>
        </w:tc>
        <w:tc>
          <w:tcPr>
            <w:tcW w:w="302" w:type="dxa"/>
          </w:tcPr>
          <w:p w:rsidR="009309A0" w:rsidRDefault="009309A0" w14:paraId="30271AB3" w14:textId="77777777"/>
        </w:tc>
      </w:tr>
    </w:tbl>
    <w:p w:rsidR="00471CD1" w:rsidRDefault="00471CD1" w14:paraId="6A56523F" w14:textId="77777777"/>
    <w:sectPr w:rsidR="00471CD1">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30CD" w14:textId="77777777" w:rsidR="001803E6" w:rsidRDefault="001803E6">
      <w:pPr>
        <w:spacing w:line="240" w:lineRule="auto"/>
      </w:pPr>
      <w:r>
        <w:separator/>
      </w:r>
    </w:p>
  </w:endnote>
  <w:endnote w:type="continuationSeparator" w:id="0">
    <w:p w14:paraId="5A94D23F" w14:textId="77777777" w:rsidR="001803E6" w:rsidRDefault="001803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6A076" w14:textId="77777777" w:rsidR="009309A0" w:rsidRDefault="009309A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65DA4" w14:textId="77777777" w:rsidR="001803E6" w:rsidRDefault="001803E6">
      <w:pPr>
        <w:pStyle w:val="Voetnoottekst"/>
      </w:pPr>
    </w:p>
  </w:footnote>
  <w:footnote w:type="continuationSeparator" w:id="0">
    <w:p w14:paraId="6E205A7B" w14:textId="77777777" w:rsidR="001803E6" w:rsidRDefault="001803E6">
      <w:pPr>
        <w:pStyle w:val="Voetnoottekst"/>
      </w:pPr>
    </w:p>
  </w:footnote>
  <w:footnote w:id="1">
    <w:p w14:paraId="03B61FE1" w14:textId="44E90B44" w:rsidR="004F1A6F" w:rsidRDefault="004F1A6F" w:rsidP="004F1A6F">
      <w:pPr>
        <w:pStyle w:val="Voetnoottekst"/>
      </w:pPr>
      <w:r>
        <w:rPr>
          <w:rStyle w:val="Voetnootmarkering"/>
        </w:rPr>
        <w:footnoteRef/>
      </w:r>
      <w:r>
        <w:t xml:space="preserve"> Kamerstuk 36764, nr. 2</w:t>
      </w:r>
      <w:r w:rsidR="00B0552B">
        <w:t>8</w:t>
      </w:r>
      <w:r>
        <w:t xml:space="preserve"> </w:t>
      </w:r>
    </w:p>
  </w:footnote>
  <w:footnote w:id="2">
    <w:p w14:paraId="0D9F7363" w14:textId="77777777" w:rsidR="002578D1" w:rsidRPr="00F5122A" w:rsidRDefault="002578D1" w:rsidP="002578D1">
      <w:pPr>
        <w:pStyle w:val="Geenafstand"/>
        <w:rPr>
          <w:sz w:val="13"/>
          <w:szCs w:val="13"/>
        </w:rPr>
      </w:pPr>
      <w:r w:rsidRPr="00F5122A">
        <w:rPr>
          <w:rStyle w:val="Voetnootmarkering"/>
          <w:sz w:val="13"/>
          <w:szCs w:val="13"/>
        </w:rPr>
        <w:footnoteRef/>
      </w:r>
      <w:r w:rsidRPr="00F5122A">
        <w:rPr>
          <w:sz w:val="13"/>
          <w:szCs w:val="13"/>
        </w:rPr>
        <w:t xml:space="preserve"> Te raadplegen op https://regelhulpenvoorbedrijven.nl/NIS-2-NL/. </w:t>
      </w:r>
    </w:p>
  </w:footnote>
  <w:footnote w:id="3">
    <w:p w14:paraId="391A65B9" w14:textId="77777777" w:rsidR="002578D1" w:rsidRPr="00F5122A" w:rsidRDefault="002578D1" w:rsidP="002578D1">
      <w:pPr>
        <w:pStyle w:val="Geenafstand"/>
        <w:rPr>
          <w:sz w:val="13"/>
          <w:szCs w:val="13"/>
        </w:rPr>
      </w:pPr>
      <w:r w:rsidRPr="00F5122A">
        <w:rPr>
          <w:rStyle w:val="Voetnootmarkering"/>
          <w:sz w:val="13"/>
          <w:szCs w:val="13"/>
        </w:rPr>
        <w:footnoteRef/>
      </w:r>
      <w:r w:rsidRPr="00F5122A">
        <w:rPr>
          <w:sz w:val="13"/>
          <w:szCs w:val="13"/>
        </w:rPr>
        <w:t xml:space="preserve"> Te raadplegen op https://regelhulpenvoorbedrijven.nl/NIS2-Quickscan/. </w:t>
      </w:r>
    </w:p>
  </w:footnote>
  <w:footnote w:id="4">
    <w:p w14:paraId="44BD2BFE" w14:textId="77777777" w:rsidR="002578D1" w:rsidRPr="00043ECA" w:rsidRDefault="002578D1" w:rsidP="002578D1">
      <w:pPr>
        <w:pStyle w:val="Geenafstand"/>
        <w:rPr>
          <w:sz w:val="15"/>
          <w:szCs w:val="15"/>
        </w:rPr>
      </w:pPr>
      <w:r w:rsidRPr="00F5122A">
        <w:rPr>
          <w:rStyle w:val="Voetnootmarkering"/>
          <w:sz w:val="13"/>
          <w:szCs w:val="13"/>
        </w:rPr>
        <w:footnoteRef/>
      </w:r>
      <w:r w:rsidRPr="00F5122A">
        <w:rPr>
          <w:sz w:val="13"/>
          <w:szCs w:val="13"/>
        </w:rPr>
        <w:t xml:space="preserve"> Verordening (EU) 2022/2554 van het Europees Parlement en de Raad van 14 december 2022 betreffende digitale operationele weerbaarheid voor de financiële sector en tot wijziging van Verordeningen (EG) nr. 1060/2009, (EU) nr. 648/2012, (EU) nr. 600/2014, (EU) nr. 909/2014 en (EU) 2016/1011 (</w:t>
      </w:r>
      <w:r w:rsidRPr="00F5122A">
        <w:rPr>
          <w:i/>
          <w:iCs/>
          <w:sz w:val="13"/>
          <w:szCs w:val="13"/>
        </w:rPr>
        <w:t>PbEU</w:t>
      </w:r>
      <w:r w:rsidRPr="00F5122A">
        <w:rPr>
          <w:sz w:val="13"/>
          <w:szCs w:val="13"/>
        </w:rPr>
        <w:t xml:space="preserve"> 2022, L 333).</w:t>
      </w:r>
    </w:p>
  </w:footnote>
  <w:footnote w:id="5">
    <w:p w14:paraId="7CF1B8ED" w14:textId="22BF2455" w:rsidR="004F1A6F" w:rsidRDefault="004F1A6F" w:rsidP="004F1A6F">
      <w:pPr>
        <w:pStyle w:val="Voetnoottekst"/>
      </w:pPr>
      <w:r>
        <w:rPr>
          <w:rStyle w:val="Voetnootmarkering"/>
        </w:rPr>
        <w:footnoteRef/>
      </w:r>
      <w:r>
        <w:t xml:space="preserve"> Kamerstuk </w:t>
      </w:r>
      <w:bookmarkStart w:id="2" w:name="_Hlk232680974"/>
      <w:r w:rsidRPr="00597A1E">
        <w:t xml:space="preserve">36764, </w:t>
      </w:r>
      <w:r w:rsidR="00F318C6">
        <w:t xml:space="preserve">nr. </w:t>
      </w:r>
      <w:r w:rsidRPr="00597A1E">
        <w:t>24</w:t>
      </w:r>
      <w:bookmarkEnd w:id="2"/>
      <w:r w:rsidRPr="00597A1E">
        <w:t>.</w:t>
      </w:r>
    </w:p>
  </w:footnote>
  <w:footnote w:id="6">
    <w:p w14:paraId="2E56A730" w14:textId="44D93865" w:rsidR="0088306E" w:rsidRDefault="0088306E" w:rsidP="0088306E">
      <w:pPr>
        <w:pStyle w:val="Voetnoottekst"/>
      </w:pPr>
      <w:r>
        <w:rPr>
          <w:rStyle w:val="Voetnootmarkering"/>
        </w:rPr>
        <w:footnoteRef/>
      </w:r>
      <w:r>
        <w:t xml:space="preserve"> Kamerstuk </w:t>
      </w:r>
      <w:r w:rsidRPr="00491EE0">
        <w:t>36764, nr. 22</w:t>
      </w:r>
    </w:p>
  </w:footnote>
  <w:footnote w:id="7">
    <w:p w14:paraId="4CE841F9" w14:textId="77777777" w:rsidR="00DB641A" w:rsidRDefault="00DB641A" w:rsidP="00DB641A">
      <w:pPr>
        <w:pStyle w:val="Voetnoottekst"/>
      </w:pPr>
      <w:r>
        <w:rPr>
          <w:rStyle w:val="Voetnootmarkering"/>
        </w:rPr>
        <w:footnoteRef/>
      </w:r>
      <w:r>
        <w:t xml:space="preserve"> </w:t>
      </w:r>
      <w:r w:rsidRPr="00E30D4C">
        <w:t>T</w:t>
      </w:r>
      <w:r>
        <w:t xml:space="preserve">oezegging: </w:t>
      </w:r>
      <w:bookmarkStart w:id="5" w:name="_Hlk232680772"/>
      <w:r>
        <w:t>T</w:t>
      </w:r>
      <w:r w:rsidRPr="00E30D4C">
        <w:t>Z202604-064</w:t>
      </w:r>
      <w:bookmarkEnd w:id="5"/>
      <w:r>
        <w:t>.</w:t>
      </w:r>
    </w:p>
  </w:footnote>
  <w:footnote w:id="8">
    <w:p w14:paraId="04931780" w14:textId="4AA42B48" w:rsidR="004F1A6F" w:rsidRDefault="004F1A6F" w:rsidP="004F1A6F">
      <w:pPr>
        <w:pStyle w:val="Voetnoottekst"/>
      </w:pPr>
      <w:r>
        <w:rPr>
          <w:rStyle w:val="Voetnootmarkering"/>
        </w:rPr>
        <w:footnoteRef/>
      </w:r>
      <w:r>
        <w:t xml:space="preserve"> Kamerstuk</w:t>
      </w:r>
      <w:r w:rsidRPr="00597A1E">
        <w:t xml:space="preserve"> </w:t>
      </w:r>
      <w:bookmarkStart w:id="7" w:name="_Hlk232681752"/>
      <w:r w:rsidRPr="00597A1E">
        <w:t>36764, nr. 23</w:t>
      </w:r>
      <w:r w:rsidR="00F5122A">
        <w:t>.</w:t>
      </w:r>
      <w:bookmarkEnd w:id="7"/>
    </w:p>
  </w:footnote>
  <w:footnote w:id="9">
    <w:p w14:paraId="617F05EF" w14:textId="4A05989C" w:rsidR="00532AA0" w:rsidRDefault="00532AA0">
      <w:pPr>
        <w:pStyle w:val="Voetnoottekst"/>
      </w:pPr>
      <w:r>
        <w:rPr>
          <w:rStyle w:val="Voetnootmarkering"/>
        </w:rPr>
        <w:footnoteRef/>
      </w:r>
      <w:r>
        <w:t xml:space="preserve"> Toezegging: </w:t>
      </w:r>
      <w:r w:rsidRPr="00532AA0">
        <w:t>TZ202604-062</w:t>
      </w:r>
      <w:r w:rsidR="00827FB3">
        <w:t>.</w:t>
      </w:r>
    </w:p>
  </w:footnote>
  <w:footnote w:id="10">
    <w:p w14:paraId="19F9478B" w14:textId="77777777" w:rsidR="004F1A6F" w:rsidRDefault="004F1A6F" w:rsidP="004F1A6F">
      <w:pPr>
        <w:pStyle w:val="Voetnoottekst"/>
      </w:pPr>
      <w:r>
        <w:rPr>
          <w:rStyle w:val="Voetnootmarkering"/>
        </w:rPr>
        <w:footnoteRef/>
      </w:r>
      <w:r>
        <w:t xml:space="preserve"> Toezegging: </w:t>
      </w:r>
      <w:r w:rsidRPr="00352FBD">
        <w:t>TZ202604-065</w:t>
      </w:r>
    </w:p>
  </w:footnote>
  <w:footnote w:id="11">
    <w:p w14:paraId="0B3A6243" w14:textId="1F80F0CE" w:rsidR="004F1A6F" w:rsidRDefault="004F1A6F" w:rsidP="004F1A6F">
      <w:pPr>
        <w:pStyle w:val="Voetnoottekst"/>
      </w:pPr>
      <w:r>
        <w:rPr>
          <w:rStyle w:val="Voetnootmarkering"/>
        </w:rPr>
        <w:footnoteRef/>
      </w:r>
      <w:r>
        <w:t xml:space="preserve"> Kamerstuk</w:t>
      </w:r>
      <w:r w:rsidRPr="00597A1E">
        <w:t xml:space="preserve"> 36764, nr. 23</w:t>
      </w:r>
      <w:r w:rsidR="009E3D1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2E23" w14:textId="77777777" w:rsidR="009309A0" w:rsidRDefault="00471CD1">
    <w:r>
      <w:rPr>
        <w:noProof/>
      </w:rPr>
      <mc:AlternateContent>
        <mc:Choice Requires="wps">
          <w:drawing>
            <wp:anchor distT="0" distB="0" distL="0" distR="0" simplePos="0" relativeHeight="251652096" behindDoc="0" locked="1" layoutInCell="1" allowOverlap="1" wp14:anchorId="7B73189D" wp14:editId="098444C9">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0D2A879" w14:textId="77777777" w:rsidR="00471CD1" w:rsidRDefault="00471CD1"/>
                      </w:txbxContent>
                    </wps:txbx>
                    <wps:bodyPr vert="horz" wrap="square" lIns="0" tIns="0" rIns="0" bIns="0" anchor="t" anchorCtr="0"/>
                  </wps:wsp>
                </a:graphicData>
              </a:graphic>
            </wp:anchor>
          </w:drawing>
        </mc:Choice>
        <mc:Fallback>
          <w:pict>
            <v:shapetype w14:anchorId="7B7318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0D2A879" w14:textId="77777777" w:rsidR="00471CD1" w:rsidRDefault="00471CD1"/>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324F8F57" wp14:editId="313AB88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CF23646" w14:textId="77777777" w:rsidR="009309A0" w:rsidRDefault="00471CD1">
                          <w:pPr>
                            <w:pStyle w:val="Referentiegegevensbold"/>
                          </w:pPr>
                          <w:r>
                            <w:t>Nationaal Coördinator Terrorismebestrijding en Veiligheid</w:t>
                          </w:r>
                        </w:p>
                        <w:p w14:paraId="6318DE57" w14:textId="77777777" w:rsidR="009309A0" w:rsidRDefault="00471CD1">
                          <w:pPr>
                            <w:pStyle w:val="Referentiegegevens"/>
                          </w:pPr>
                          <w:r>
                            <w:t>Cybersecurity en Statelijke dreigingen</w:t>
                          </w:r>
                        </w:p>
                        <w:p w14:paraId="4C169150" w14:textId="77777777" w:rsidR="009309A0" w:rsidRDefault="009309A0">
                          <w:pPr>
                            <w:pStyle w:val="WitregelW2"/>
                          </w:pPr>
                        </w:p>
                        <w:p w14:paraId="18D17E82" w14:textId="77777777" w:rsidR="009309A0" w:rsidRDefault="00471CD1">
                          <w:pPr>
                            <w:pStyle w:val="Referentiegegevensbold"/>
                          </w:pPr>
                          <w:r>
                            <w:t>Datum</w:t>
                          </w:r>
                        </w:p>
                        <w:p w14:paraId="37EF0FE7" w14:textId="50980926" w:rsidR="009309A0" w:rsidRDefault="007C42BA">
                          <w:pPr>
                            <w:pStyle w:val="Referentiegegevens"/>
                          </w:pPr>
                          <w:r>
                            <w:t xml:space="preserve">24 </w:t>
                          </w:r>
                          <w:r w:rsidR="009D1EAD">
                            <w:t>juni</w:t>
                          </w:r>
                          <w:r>
                            <w:t xml:space="preserve"> 2026</w:t>
                          </w:r>
                        </w:p>
                      </w:txbxContent>
                    </wps:txbx>
                    <wps:bodyPr vert="horz" wrap="square" lIns="0" tIns="0" rIns="0" bIns="0" anchor="t" anchorCtr="0"/>
                  </wps:wsp>
                </a:graphicData>
              </a:graphic>
            </wp:anchor>
          </w:drawing>
        </mc:Choice>
        <mc:Fallback>
          <w:pict>
            <v:shape w14:anchorId="324F8F57"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CF23646" w14:textId="77777777" w:rsidR="009309A0" w:rsidRDefault="00471CD1">
                    <w:pPr>
                      <w:pStyle w:val="Referentiegegevensbold"/>
                    </w:pPr>
                    <w:r>
                      <w:t>Nationaal Coördinator Terrorismebestrijding en Veiligheid</w:t>
                    </w:r>
                  </w:p>
                  <w:p w14:paraId="6318DE57" w14:textId="77777777" w:rsidR="009309A0" w:rsidRDefault="00471CD1">
                    <w:pPr>
                      <w:pStyle w:val="Referentiegegevens"/>
                    </w:pPr>
                    <w:r>
                      <w:t>Cybersecurity en Statelijke dreigingen</w:t>
                    </w:r>
                  </w:p>
                  <w:p w14:paraId="4C169150" w14:textId="77777777" w:rsidR="009309A0" w:rsidRDefault="009309A0">
                    <w:pPr>
                      <w:pStyle w:val="WitregelW2"/>
                    </w:pPr>
                  </w:p>
                  <w:p w14:paraId="18D17E82" w14:textId="77777777" w:rsidR="009309A0" w:rsidRDefault="00471CD1">
                    <w:pPr>
                      <w:pStyle w:val="Referentiegegevensbold"/>
                    </w:pPr>
                    <w:r>
                      <w:t>Datum</w:t>
                    </w:r>
                  </w:p>
                  <w:p w14:paraId="37EF0FE7" w14:textId="50980926" w:rsidR="009309A0" w:rsidRDefault="007C42BA">
                    <w:pPr>
                      <w:pStyle w:val="Referentiegegevens"/>
                    </w:pPr>
                    <w:r>
                      <w:t xml:space="preserve">24 </w:t>
                    </w:r>
                    <w:r w:rsidR="009D1EAD">
                      <w:t>juni</w:t>
                    </w:r>
                    <w:r>
                      <w:t xml:space="preserve"> 2026</w:t>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34C6B8B0" wp14:editId="46A80C02">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3FB884" w14:textId="77777777" w:rsidR="00471CD1" w:rsidRDefault="00471CD1"/>
                      </w:txbxContent>
                    </wps:txbx>
                    <wps:bodyPr vert="horz" wrap="square" lIns="0" tIns="0" rIns="0" bIns="0" anchor="t" anchorCtr="0"/>
                  </wps:wsp>
                </a:graphicData>
              </a:graphic>
            </wp:anchor>
          </w:drawing>
        </mc:Choice>
        <mc:Fallback>
          <w:pict>
            <v:shape w14:anchorId="34C6B8B0"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F3FB884" w14:textId="77777777" w:rsidR="00471CD1" w:rsidRDefault="00471CD1"/>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37E17AEC" wp14:editId="6035938A">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6FE499" w14:textId="1C012494" w:rsidR="009309A0" w:rsidRDefault="00471CD1">
                          <w:pPr>
                            <w:pStyle w:val="Referentiegegevens"/>
                          </w:pPr>
                          <w:r>
                            <w:t xml:space="preserve">Pagina </w:t>
                          </w:r>
                          <w:r>
                            <w:fldChar w:fldCharType="begin"/>
                          </w:r>
                          <w:r>
                            <w:instrText>PAGE</w:instrText>
                          </w:r>
                          <w:r>
                            <w:fldChar w:fldCharType="separate"/>
                          </w:r>
                          <w:r w:rsidR="004F1A6F">
                            <w:rPr>
                              <w:noProof/>
                            </w:rPr>
                            <w:t>2</w:t>
                          </w:r>
                          <w:r>
                            <w:fldChar w:fldCharType="end"/>
                          </w:r>
                          <w:r>
                            <w:t xml:space="preserve"> van </w:t>
                          </w:r>
                          <w:r>
                            <w:fldChar w:fldCharType="begin"/>
                          </w:r>
                          <w:r>
                            <w:instrText>NUMPAGES</w:instrText>
                          </w:r>
                          <w:r>
                            <w:fldChar w:fldCharType="separate"/>
                          </w:r>
                          <w:r w:rsidR="004F1A6F">
                            <w:rPr>
                              <w:noProof/>
                            </w:rPr>
                            <w:t>3</w:t>
                          </w:r>
                          <w:r>
                            <w:fldChar w:fldCharType="end"/>
                          </w:r>
                        </w:p>
                      </w:txbxContent>
                    </wps:txbx>
                    <wps:bodyPr vert="horz" wrap="square" lIns="0" tIns="0" rIns="0" bIns="0" anchor="t" anchorCtr="0"/>
                  </wps:wsp>
                </a:graphicData>
              </a:graphic>
            </wp:anchor>
          </w:drawing>
        </mc:Choice>
        <mc:Fallback>
          <w:pict>
            <v:shape w14:anchorId="37E17AEC"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6FE499" w14:textId="1C012494" w:rsidR="009309A0" w:rsidRDefault="00471CD1">
                    <w:pPr>
                      <w:pStyle w:val="Referentiegegevens"/>
                    </w:pPr>
                    <w:r>
                      <w:t xml:space="preserve">Pagina </w:t>
                    </w:r>
                    <w:r>
                      <w:fldChar w:fldCharType="begin"/>
                    </w:r>
                    <w:r>
                      <w:instrText>PAGE</w:instrText>
                    </w:r>
                    <w:r>
                      <w:fldChar w:fldCharType="separate"/>
                    </w:r>
                    <w:r w:rsidR="004F1A6F">
                      <w:rPr>
                        <w:noProof/>
                      </w:rPr>
                      <w:t>2</w:t>
                    </w:r>
                    <w:r>
                      <w:fldChar w:fldCharType="end"/>
                    </w:r>
                    <w:r>
                      <w:t xml:space="preserve"> van </w:t>
                    </w:r>
                    <w:r>
                      <w:fldChar w:fldCharType="begin"/>
                    </w:r>
                    <w:r>
                      <w:instrText>NUMPAGES</w:instrText>
                    </w:r>
                    <w:r>
                      <w:fldChar w:fldCharType="separate"/>
                    </w:r>
                    <w:r w:rsidR="004F1A6F">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8969" w14:textId="77777777" w:rsidR="009309A0" w:rsidRDefault="00471CD1">
    <w:pPr>
      <w:spacing w:after="6377" w:line="14" w:lineRule="exact"/>
    </w:pPr>
    <w:r>
      <w:rPr>
        <w:noProof/>
      </w:rPr>
      <mc:AlternateContent>
        <mc:Choice Requires="wps">
          <w:drawing>
            <wp:anchor distT="0" distB="0" distL="0" distR="0" simplePos="0" relativeHeight="251656192" behindDoc="0" locked="1" layoutInCell="1" allowOverlap="1" wp14:anchorId="0269ECE1" wp14:editId="34B11BC0">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78CD93" w14:textId="77777777" w:rsidR="009309A0" w:rsidRDefault="00471CD1">
                          <w:pPr>
                            <w:spacing w:line="240" w:lineRule="auto"/>
                          </w:pPr>
                          <w:r>
                            <w:rPr>
                              <w:noProof/>
                            </w:rPr>
                            <w:drawing>
                              <wp:inline distT="0" distB="0" distL="0" distR="0" wp14:anchorId="4B47FF42" wp14:editId="2418623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69ECE1"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E78CD93" w14:textId="77777777" w:rsidR="009309A0" w:rsidRDefault="00471CD1">
                    <w:pPr>
                      <w:spacing w:line="240" w:lineRule="auto"/>
                    </w:pPr>
                    <w:r>
                      <w:rPr>
                        <w:noProof/>
                      </w:rPr>
                      <w:drawing>
                        <wp:inline distT="0" distB="0" distL="0" distR="0" wp14:anchorId="4B47FF42" wp14:editId="2418623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9826E72" wp14:editId="6BD3BFC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776674" w14:textId="77777777" w:rsidR="009309A0" w:rsidRDefault="00471CD1">
                          <w:pPr>
                            <w:spacing w:line="240" w:lineRule="auto"/>
                          </w:pPr>
                          <w:r>
                            <w:rPr>
                              <w:noProof/>
                            </w:rPr>
                            <w:drawing>
                              <wp:inline distT="0" distB="0" distL="0" distR="0" wp14:anchorId="567DA124" wp14:editId="2C9BB9E5">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826E72"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776674" w14:textId="77777777" w:rsidR="009309A0" w:rsidRDefault="00471CD1">
                    <w:pPr>
                      <w:spacing w:line="240" w:lineRule="auto"/>
                    </w:pPr>
                    <w:r>
                      <w:rPr>
                        <w:noProof/>
                      </w:rPr>
                      <w:drawing>
                        <wp:inline distT="0" distB="0" distL="0" distR="0" wp14:anchorId="567DA124" wp14:editId="2C9BB9E5">
                          <wp:extent cx="2339975" cy="1582834"/>
                          <wp:effectExtent l="0" t="0" r="0" b="0"/>
                          <wp:docPr id="8"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357180F3" wp14:editId="5E6CB8B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5C269C" w14:textId="77777777" w:rsidR="009309A0" w:rsidRDefault="00471CD1">
                          <w:pPr>
                            <w:pStyle w:val="Referentiegegevens"/>
                          </w:pPr>
                          <w:r>
                            <w:t>&gt; Retouradres Postbus 16950 2500 BZ  Den Haag</w:t>
                          </w:r>
                        </w:p>
                      </w:txbxContent>
                    </wps:txbx>
                    <wps:bodyPr vert="horz" wrap="square" lIns="0" tIns="0" rIns="0" bIns="0" anchor="t" anchorCtr="0"/>
                  </wps:wsp>
                </a:graphicData>
              </a:graphic>
            </wp:anchor>
          </w:drawing>
        </mc:Choice>
        <mc:Fallback>
          <w:pict>
            <v:shape w14:anchorId="357180F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C5C269C" w14:textId="77777777" w:rsidR="009309A0" w:rsidRDefault="00471CD1">
                    <w:pPr>
                      <w:pStyle w:val="Referentiegegevens"/>
                    </w:pPr>
                    <w:r>
                      <w:t>&gt; Retouradres Postbus 16950 2500 BZ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0BF7983B" wp14:editId="3497CF0C">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0F9AA9" w14:textId="77777777" w:rsidR="007C42BA" w:rsidRDefault="00471CD1">
                          <w:r>
                            <w:t xml:space="preserve">Aan de Voorzitter van de Tweede Kamer </w:t>
                          </w:r>
                        </w:p>
                        <w:p w14:paraId="0BCC581B" w14:textId="73F03AE0" w:rsidR="009309A0" w:rsidRDefault="00471CD1">
                          <w:r>
                            <w:t>der Staten-Generaal</w:t>
                          </w:r>
                        </w:p>
                        <w:p w14:paraId="395CB51D" w14:textId="77777777" w:rsidR="009309A0" w:rsidRDefault="00471CD1">
                          <w:r>
                            <w:t>Postbus 20018</w:t>
                          </w:r>
                        </w:p>
                        <w:p w14:paraId="349CE0F1" w14:textId="77777777" w:rsidR="009309A0" w:rsidRDefault="00471CD1">
                          <w:r>
                            <w:t>2500 EA  DEN HAAG</w:t>
                          </w:r>
                        </w:p>
                      </w:txbxContent>
                    </wps:txbx>
                    <wps:bodyPr vert="horz" wrap="square" lIns="0" tIns="0" rIns="0" bIns="0" anchor="t" anchorCtr="0"/>
                  </wps:wsp>
                </a:graphicData>
              </a:graphic>
            </wp:anchor>
          </w:drawing>
        </mc:Choice>
        <mc:Fallback>
          <w:pict>
            <v:shape w14:anchorId="0BF7983B"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0F9AA9" w14:textId="77777777" w:rsidR="007C42BA" w:rsidRDefault="00471CD1">
                    <w:r>
                      <w:t xml:space="preserve">Aan de Voorzitter van de Tweede Kamer </w:t>
                    </w:r>
                  </w:p>
                  <w:p w14:paraId="0BCC581B" w14:textId="73F03AE0" w:rsidR="009309A0" w:rsidRDefault="00471CD1">
                    <w:r>
                      <w:t>der Staten-Generaal</w:t>
                    </w:r>
                  </w:p>
                  <w:p w14:paraId="395CB51D" w14:textId="77777777" w:rsidR="009309A0" w:rsidRDefault="00471CD1">
                    <w:r>
                      <w:t>Postbus 20018</w:t>
                    </w:r>
                  </w:p>
                  <w:p w14:paraId="349CE0F1" w14:textId="77777777" w:rsidR="009309A0" w:rsidRDefault="00471CD1">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EEE15E" wp14:editId="2023B3CF">
              <wp:simplePos x="0" y="0"/>
              <wp:positionH relativeFrom="margin">
                <wp:align>right</wp:align>
              </wp:positionH>
              <wp:positionV relativeFrom="paragraph">
                <wp:posOffset>3354070</wp:posOffset>
              </wp:positionV>
              <wp:extent cx="4787900" cy="4984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84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9309A0" w14:paraId="77D3B6CC" w14:textId="77777777">
                            <w:trPr>
                              <w:trHeight w:val="240"/>
                            </w:trPr>
                            <w:tc>
                              <w:tcPr>
                                <w:tcW w:w="1140" w:type="dxa"/>
                              </w:tcPr>
                              <w:p w14:paraId="01B3C226" w14:textId="77777777" w:rsidR="009309A0" w:rsidRDefault="00471CD1">
                                <w:r>
                                  <w:t>Datum</w:t>
                                </w:r>
                              </w:p>
                            </w:tc>
                            <w:tc>
                              <w:tcPr>
                                <w:tcW w:w="5918" w:type="dxa"/>
                              </w:tcPr>
                              <w:p w14:paraId="682BEA98" w14:textId="4F81031E" w:rsidR="009309A0" w:rsidRDefault="007C42BA">
                                <w:r>
                                  <w:t xml:space="preserve">24 </w:t>
                                </w:r>
                                <w:r w:rsidR="009D1EAD">
                                  <w:t>juni</w:t>
                                </w:r>
                                <w:r>
                                  <w:t xml:space="preserve"> 2026</w:t>
                                </w:r>
                              </w:p>
                            </w:tc>
                          </w:tr>
                          <w:tr w:rsidR="009309A0" w14:paraId="3BD1C8B4" w14:textId="77777777">
                            <w:trPr>
                              <w:trHeight w:val="240"/>
                            </w:trPr>
                            <w:tc>
                              <w:tcPr>
                                <w:tcW w:w="1140" w:type="dxa"/>
                              </w:tcPr>
                              <w:p w14:paraId="10189F15" w14:textId="77777777" w:rsidR="009309A0" w:rsidRDefault="00471CD1">
                                <w:r>
                                  <w:t>Betreft</w:t>
                                </w:r>
                              </w:p>
                            </w:tc>
                            <w:tc>
                              <w:tcPr>
                                <w:tcW w:w="5918" w:type="dxa"/>
                              </w:tcPr>
                              <w:p w14:paraId="1B9B9C8F" w14:textId="59EA1F82" w:rsidR="009309A0" w:rsidRDefault="007C42BA">
                                <w:r>
                                  <w:t>Verzamelbrief moties en toezeggingen Wetgevingsoverleg Cbw en Wwke 23 maart jl</w:t>
                                </w:r>
                              </w:p>
                            </w:tc>
                          </w:tr>
                        </w:tbl>
                        <w:p w14:paraId="7A0D886A" w14:textId="77777777" w:rsidR="00471CD1" w:rsidRDefault="00471CD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EEEE15E" id="1670fa0c-13cb-45ec-92be-ef1f34d237c5" o:spid="_x0000_s1034" type="#_x0000_t202" style="position:absolute;margin-left:325.8pt;margin-top:264.1pt;width:377pt;height:39.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" filled="f" stroked="f">
              <v:textbox inset="0,0,0,0">
                <w:txbxContent>
                  <w:tbl>
                    <w:tblPr>
                      <w:tblW w:w="0" w:type="auto"/>
                      <w:tblLayout w:type="fixed"/>
                      <w:tblLook w:val="0740" w:firstRow="0" w:lastRow="1" w:firstColumn="0" w:lastColumn="1" w:noHBand="1" w:noVBand="1"/>
                    </w:tblPr>
                    <w:tblGrid>
                      <w:gridCol w:w="1140"/>
                      <w:gridCol w:w="5918"/>
                    </w:tblGrid>
                    <w:tr w:rsidR="009309A0" w14:paraId="77D3B6CC" w14:textId="77777777">
                      <w:trPr>
                        <w:trHeight w:val="240"/>
                      </w:trPr>
                      <w:tc>
                        <w:tcPr>
                          <w:tcW w:w="1140" w:type="dxa"/>
                        </w:tcPr>
                        <w:p w14:paraId="01B3C226" w14:textId="77777777" w:rsidR="009309A0" w:rsidRDefault="00471CD1">
                          <w:r>
                            <w:t>Datum</w:t>
                          </w:r>
                        </w:p>
                      </w:tc>
                      <w:tc>
                        <w:tcPr>
                          <w:tcW w:w="5918" w:type="dxa"/>
                        </w:tcPr>
                        <w:p w14:paraId="682BEA98" w14:textId="4F81031E" w:rsidR="009309A0" w:rsidRDefault="007C42BA">
                          <w:r>
                            <w:t xml:space="preserve">24 </w:t>
                          </w:r>
                          <w:r w:rsidR="009D1EAD">
                            <w:t>juni</w:t>
                          </w:r>
                          <w:r>
                            <w:t xml:space="preserve"> 2026</w:t>
                          </w:r>
                        </w:p>
                      </w:tc>
                    </w:tr>
                    <w:tr w:rsidR="009309A0" w14:paraId="3BD1C8B4" w14:textId="77777777">
                      <w:trPr>
                        <w:trHeight w:val="240"/>
                      </w:trPr>
                      <w:tc>
                        <w:tcPr>
                          <w:tcW w:w="1140" w:type="dxa"/>
                        </w:tcPr>
                        <w:p w14:paraId="10189F15" w14:textId="77777777" w:rsidR="009309A0" w:rsidRDefault="00471CD1">
                          <w:r>
                            <w:t>Betreft</w:t>
                          </w:r>
                        </w:p>
                      </w:tc>
                      <w:tc>
                        <w:tcPr>
                          <w:tcW w:w="5918" w:type="dxa"/>
                        </w:tcPr>
                        <w:p w14:paraId="1B9B9C8F" w14:textId="59EA1F82" w:rsidR="009309A0" w:rsidRDefault="007C42BA">
                          <w:r>
                            <w:t>Verzamelbrief moties en toezeggingen Wetgevingsoverleg Cbw en Wwke 23 maart jl</w:t>
                          </w:r>
                        </w:p>
                      </w:tc>
                    </w:tr>
                  </w:tbl>
                  <w:p w14:paraId="7A0D886A" w14:textId="77777777" w:rsidR="00471CD1" w:rsidRDefault="00471CD1"/>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15BFD301" wp14:editId="7B0E77D8">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6D2AA1C" w14:textId="77777777" w:rsidR="009309A0" w:rsidRDefault="00471CD1">
                          <w:pPr>
                            <w:pStyle w:val="Referentiegegevensbold"/>
                          </w:pPr>
                          <w:r>
                            <w:t>Nationaal Coördinator Terrorismebestrijding en Veiligheid</w:t>
                          </w:r>
                        </w:p>
                        <w:p w14:paraId="5AD49F41" w14:textId="77777777" w:rsidR="009309A0" w:rsidRDefault="00471CD1">
                          <w:pPr>
                            <w:pStyle w:val="Referentiegegevens"/>
                          </w:pPr>
                          <w:r>
                            <w:t>Cybersecurity en Statelijke dreigingen</w:t>
                          </w:r>
                        </w:p>
                        <w:p w14:paraId="29EE6B76" w14:textId="77777777" w:rsidR="009309A0" w:rsidRDefault="009309A0">
                          <w:pPr>
                            <w:pStyle w:val="WitregelW1"/>
                          </w:pPr>
                        </w:p>
                        <w:p w14:paraId="3A9D6875" w14:textId="77777777" w:rsidR="009309A0" w:rsidRPr="004F1A6F" w:rsidRDefault="00471CD1">
                          <w:pPr>
                            <w:pStyle w:val="Referentiegegevens"/>
                            <w:rPr>
                              <w:lang w:val="de-DE"/>
                            </w:rPr>
                          </w:pPr>
                          <w:r w:rsidRPr="004F1A6F">
                            <w:rPr>
                              <w:lang w:val="de-DE"/>
                            </w:rPr>
                            <w:t>Turfmarkt 147</w:t>
                          </w:r>
                        </w:p>
                        <w:p w14:paraId="43BD1B22" w14:textId="77777777" w:rsidR="009309A0" w:rsidRPr="004F1A6F" w:rsidRDefault="00471CD1">
                          <w:pPr>
                            <w:pStyle w:val="Referentiegegevens"/>
                            <w:rPr>
                              <w:lang w:val="de-DE"/>
                            </w:rPr>
                          </w:pPr>
                          <w:r w:rsidRPr="004F1A6F">
                            <w:rPr>
                              <w:lang w:val="de-DE"/>
                            </w:rPr>
                            <w:t>2511 DP  Den Haag</w:t>
                          </w:r>
                        </w:p>
                        <w:p w14:paraId="48C6BDE5" w14:textId="77777777" w:rsidR="009309A0" w:rsidRPr="004F1A6F" w:rsidRDefault="00471CD1">
                          <w:pPr>
                            <w:pStyle w:val="Referentiegegevens"/>
                            <w:rPr>
                              <w:lang w:val="de-DE"/>
                            </w:rPr>
                          </w:pPr>
                          <w:r w:rsidRPr="004F1A6F">
                            <w:rPr>
                              <w:lang w:val="de-DE"/>
                            </w:rPr>
                            <w:t>Postbus 16950</w:t>
                          </w:r>
                        </w:p>
                        <w:p w14:paraId="0B6FCC2B" w14:textId="77777777" w:rsidR="009309A0" w:rsidRPr="004F1A6F" w:rsidRDefault="00471CD1">
                          <w:pPr>
                            <w:pStyle w:val="Referentiegegevens"/>
                            <w:rPr>
                              <w:lang w:val="de-DE"/>
                            </w:rPr>
                          </w:pPr>
                          <w:r w:rsidRPr="004F1A6F">
                            <w:rPr>
                              <w:lang w:val="de-DE"/>
                            </w:rPr>
                            <w:t>2500 BZ  Den Haag</w:t>
                          </w:r>
                        </w:p>
                        <w:p w14:paraId="5AF83628" w14:textId="77777777" w:rsidR="009309A0" w:rsidRPr="004F1A6F" w:rsidRDefault="00471CD1">
                          <w:pPr>
                            <w:pStyle w:val="Referentiegegevens"/>
                            <w:rPr>
                              <w:lang w:val="de-DE"/>
                            </w:rPr>
                          </w:pPr>
                          <w:r w:rsidRPr="004F1A6F">
                            <w:rPr>
                              <w:lang w:val="de-DE"/>
                            </w:rPr>
                            <w:t>www.rijksoverheid.nl/jenv</w:t>
                          </w:r>
                        </w:p>
                        <w:p w14:paraId="7F4280A2" w14:textId="77777777" w:rsidR="009309A0" w:rsidRPr="004F1A6F" w:rsidRDefault="009309A0">
                          <w:pPr>
                            <w:pStyle w:val="WitregelW1"/>
                            <w:rPr>
                              <w:lang w:val="de-DE"/>
                            </w:rPr>
                          </w:pPr>
                        </w:p>
                        <w:p w14:paraId="52698455" w14:textId="0524EA91" w:rsidR="009309A0" w:rsidRDefault="009309A0">
                          <w:pPr>
                            <w:pStyle w:val="Referentiegegevens"/>
                            <w:rPr>
                              <w:lang w:val="de-DE"/>
                            </w:rPr>
                          </w:pPr>
                        </w:p>
                        <w:p w14:paraId="2A2E0498" w14:textId="406CECD4" w:rsidR="00612DD1" w:rsidRPr="00612DD1" w:rsidRDefault="00612DD1" w:rsidP="00612DD1">
                          <w:pPr>
                            <w:spacing w:line="240" w:lineRule="auto"/>
                            <w:rPr>
                              <w:b/>
                              <w:bCs/>
                              <w:sz w:val="13"/>
                              <w:szCs w:val="13"/>
                              <w:lang w:val="de-DE"/>
                            </w:rPr>
                          </w:pPr>
                          <w:r>
                            <w:rPr>
                              <w:b/>
                              <w:bCs/>
                              <w:sz w:val="13"/>
                              <w:szCs w:val="13"/>
                              <w:lang w:val="de-DE"/>
                            </w:rPr>
                            <w:t>O</w:t>
                          </w:r>
                          <w:r w:rsidRPr="00612DD1">
                            <w:rPr>
                              <w:b/>
                              <w:bCs/>
                              <w:sz w:val="13"/>
                              <w:szCs w:val="13"/>
                              <w:lang w:val="de-DE"/>
                            </w:rPr>
                            <w:t xml:space="preserve">nze referentie </w:t>
                          </w:r>
                        </w:p>
                        <w:p w14:paraId="2117711B" w14:textId="25126FA2" w:rsidR="00612DD1" w:rsidRPr="00612DD1" w:rsidRDefault="00612DD1" w:rsidP="00612DD1">
                          <w:pPr>
                            <w:spacing w:line="240" w:lineRule="auto"/>
                            <w:rPr>
                              <w:sz w:val="13"/>
                              <w:szCs w:val="13"/>
                              <w:lang w:val="de-DE"/>
                            </w:rPr>
                          </w:pPr>
                          <w:r w:rsidRPr="00612DD1">
                            <w:rPr>
                              <w:sz w:val="13"/>
                              <w:szCs w:val="13"/>
                              <w:lang w:val="de-DE"/>
                            </w:rPr>
                            <w:t>7695458</w:t>
                          </w:r>
                        </w:p>
                      </w:txbxContent>
                    </wps:txbx>
                    <wps:bodyPr vert="horz" wrap="square" lIns="0" tIns="0" rIns="0" bIns="0" anchor="t" anchorCtr="0"/>
                  </wps:wsp>
                </a:graphicData>
              </a:graphic>
            </wp:anchor>
          </w:drawing>
        </mc:Choice>
        <mc:Fallback>
          <w:pict>
            <v:shape w14:anchorId="15BFD30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6D2AA1C" w14:textId="77777777" w:rsidR="009309A0" w:rsidRDefault="00471CD1">
                    <w:pPr>
                      <w:pStyle w:val="Referentiegegevensbold"/>
                    </w:pPr>
                    <w:r>
                      <w:t>Nationaal Coördinator Terrorismebestrijding en Veiligheid</w:t>
                    </w:r>
                  </w:p>
                  <w:p w14:paraId="5AD49F41" w14:textId="77777777" w:rsidR="009309A0" w:rsidRDefault="00471CD1">
                    <w:pPr>
                      <w:pStyle w:val="Referentiegegevens"/>
                    </w:pPr>
                    <w:r>
                      <w:t>Cybersecurity en Statelijke dreigingen</w:t>
                    </w:r>
                  </w:p>
                  <w:p w14:paraId="29EE6B76" w14:textId="77777777" w:rsidR="009309A0" w:rsidRDefault="009309A0">
                    <w:pPr>
                      <w:pStyle w:val="WitregelW1"/>
                    </w:pPr>
                  </w:p>
                  <w:p w14:paraId="3A9D6875" w14:textId="77777777" w:rsidR="009309A0" w:rsidRPr="004F1A6F" w:rsidRDefault="00471CD1">
                    <w:pPr>
                      <w:pStyle w:val="Referentiegegevens"/>
                      <w:rPr>
                        <w:lang w:val="de-DE"/>
                      </w:rPr>
                    </w:pPr>
                    <w:r w:rsidRPr="004F1A6F">
                      <w:rPr>
                        <w:lang w:val="de-DE"/>
                      </w:rPr>
                      <w:t>Turfmarkt 147</w:t>
                    </w:r>
                  </w:p>
                  <w:p w14:paraId="43BD1B22" w14:textId="77777777" w:rsidR="009309A0" w:rsidRPr="004F1A6F" w:rsidRDefault="00471CD1">
                    <w:pPr>
                      <w:pStyle w:val="Referentiegegevens"/>
                      <w:rPr>
                        <w:lang w:val="de-DE"/>
                      </w:rPr>
                    </w:pPr>
                    <w:r w:rsidRPr="004F1A6F">
                      <w:rPr>
                        <w:lang w:val="de-DE"/>
                      </w:rPr>
                      <w:t>2511 DP  Den Haag</w:t>
                    </w:r>
                  </w:p>
                  <w:p w14:paraId="48C6BDE5" w14:textId="77777777" w:rsidR="009309A0" w:rsidRPr="004F1A6F" w:rsidRDefault="00471CD1">
                    <w:pPr>
                      <w:pStyle w:val="Referentiegegevens"/>
                      <w:rPr>
                        <w:lang w:val="de-DE"/>
                      </w:rPr>
                    </w:pPr>
                    <w:r w:rsidRPr="004F1A6F">
                      <w:rPr>
                        <w:lang w:val="de-DE"/>
                      </w:rPr>
                      <w:t>Postbus 16950</w:t>
                    </w:r>
                  </w:p>
                  <w:p w14:paraId="0B6FCC2B" w14:textId="77777777" w:rsidR="009309A0" w:rsidRPr="004F1A6F" w:rsidRDefault="00471CD1">
                    <w:pPr>
                      <w:pStyle w:val="Referentiegegevens"/>
                      <w:rPr>
                        <w:lang w:val="de-DE"/>
                      </w:rPr>
                    </w:pPr>
                    <w:r w:rsidRPr="004F1A6F">
                      <w:rPr>
                        <w:lang w:val="de-DE"/>
                      </w:rPr>
                      <w:t>2500 BZ  Den Haag</w:t>
                    </w:r>
                  </w:p>
                  <w:p w14:paraId="5AF83628" w14:textId="77777777" w:rsidR="009309A0" w:rsidRPr="004F1A6F" w:rsidRDefault="00471CD1">
                    <w:pPr>
                      <w:pStyle w:val="Referentiegegevens"/>
                      <w:rPr>
                        <w:lang w:val="de-DE"/>
                      </w:rPr>
                    </w:pPr>
                    <w:r w:rsidRPr="004F1A6F">
                      <w:rPr>
                        <w:lang w:val="de-DE"/>
                      </w:rPr>
                      <w:t>www.rijksoverheid.nl/jenv</w:t>
                    </w:r>
                  </w:p>
                  <w:p w14:paraId="7F4280A2" w14:textId="77777777" w:rsidR="009309A0" w:rsidRPr="004F1A6F" w:rsidRDefault="009309A0">
                    <w:pPr>
                      <w:pStyle w:val="WitregelW1"/>
                      <w:rPr>
                        <w:lang w:val="de-DE"/>
                      </w:rPr>
                    </w:pPr>
                  </w:p>
                  <w:p w14:paraId="52698455" w14:textId="0524EA91" w:rsidR="009309A0" w:rsidRDefault="009309A0">
                    <w:pPr>
                      <w:pStyle w:val="Referentiegegevens"/>
                      <w:rPr>
                        <w:lang w:val="de-DE"/>
                      </w:rPr>
                    </w:pPr>
                  </w:p>
                  <w:p w14:paraId="2A2E0498" w14:textId="406CECD4" w:rsidR="00612DD1" w:rsidRPr="00612DD1" w:rsidRDefault="00612DD1" w:rsidP="00612DD1">
                    <w:pPr>
                      <w:spacing w:line="240" w:lineRule="auto"/>
                      <w:rPr>
                        <w:b/>
                        <w:bCs/>
                        <w:sz w:val="13"/>
                        <w:szCs w:val="13"/>
                        <w:lang w:val="de-DE"/>
                      </w:rPr>
                    </w:pPr>
                    <w:r>
                      <w:rPr>
                        <w:b/>
                        <w:bCs/>
                        <w:sz w:val="13"/>
                        <w:szCs w:val="13"/>
                        <w:lang w:val="de-DE"/>
                      </w:rPr>
                      <w:t>O</w:t>
                    </w:r>
                    <w:r w:rsidRPr="00612DD1">
                      <w:rPr>
                        <w:b/>
                        <w:bCs/>
                        <w:sz w:val="13"/>
                        <w:szCs w:val="13"/>
                        <w:lang w:val="de-DE"/>
                      </w:rPr>
                      <w:t xml:space="preserve">nze referentie </w:t>
                    </w:r>
                  </w:p>
                  <w:p w14:paraId="2117711B" w14:textId="25126FA2" w:rsidR="00612DD1" w:rsidRPr="00612DD1" w:rsidRDefault="00612DD1" w:rsidP="00612DD1">
                    <w:pPr>
                      <w:spacing w:line="240" w:lineRule="auto"/>
                      <w:rPr>
                        <w:sz w:val="13"/>
                        <w:szCs w:val="13"/>
                        <w:lang w:val="de-DE"/>
                      </w:rPr>
                    </w:pPr>
                    <w:r w:rsidRPr="00612DD1">
                      <w:rPr>
                        <w:sz w:val="13"/>
                        <w:szCs w:val="13"/>
                        <w:lang w:val="de-DE"/>
                      </w:rPr>
                      <w:t>7695458</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518994B" wp14:editId="4BBDCDF4">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DD8CCA" w14:textId="77777777" w:rsidR="009309A0" w:rsidRDefault="00471CD1">
                          <w:pPr>
                            <w:pStyle w:val="Referentiegegevens"/>
                          </w:pPr>
                          <w:r>
                            <w:t xml:space="preserve">Pagina </w:t>
                          </w:r>
                          <w:r>
                            <w:fldChar w:fldCharType="begin"/>
                          </w:r>
                          <w:r>
                            <w:instrText>PAGE</w:instrText>
                          </w:r>
                          <w:r>
                            <w:fldChar w:fldCharType="separate"/>
                          </w:r>
                          <w:r w:rsidR="004F1A6F">
                            <w:rPr>
                              <w:noProof/>
                            </w:rPr>
                            <w:t>1</w:t>
                          </w:r>
                          <w:r>
                            <w:fldChar w:fldCharType="end"/>
                          </w:r>
                          <w:r>
                            <w:t xml:space="preserve"> van </w:t>
                          </w:r>
                          <w:r>
                            <w:fldChar w:fldCharType="begin"/>
                          </w:r>
                          <w:r>
                            <w:instrText>NUMPAGES</w:instrText>
                          </w:r>
                          <w:r>
                            <w:fldChar w:fldCharType="separate"/>
                          </w:r>
                          <w:r w:rsidR="004F1A6F">
                            <w:rPr>
                              <w:noProof/>
                            </w:rPr>
                            <w:t>1</w:t>
                          </w:r>
                          <w:r>
                            <w:fldChar w:fldCharType="end"/>
                          </w:r>
                        </w:p>
                      </w:txbxContent>
                    </wps:txbx>
                    <wps:bodyPr vert="horz" wrap="square" lIns="0" tIns="0" rIns="0" bIns="0" anchor="t" anchorCtr="0"/>
                  </wps:wsp>
                </a:graphicData>
              </a:graphic>
            </wp:anchor>
          </w:drawing>
        </mc:Choice>
        <mc:Fallback>
          <w:pict>
            <v:shape w14:anchorId="7518994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7DD8CCA" w14:textId="77777777" w:rsidR="009309A0" w:rsidRDefault="00471CD1">
                    <w:pPr>
                      <w:pStyle w:val="Referentiegegevens"/>
                    </w:pPr>
                    <w:r>
                      <w:t xml:space="preserve">Pagina </w:t>
                    </w:r>
                    <w:r>
                      <w:fldChar w:fldCharType="begin"/>
                    </w:r>
                    <w:r>
                      <w:instrText>PAGE</w:instrText>
                    </w:r>
                    <w:r>
                      <w:fldChar w:fldCharType="separate"/>
                    </w:r>
                    <w:r w:rsidR="004F1A6F">
                      <w:rPr>
                        <w:noProof/>
                      </w:rPr>
                      <w:t>1</w:t>
                    </w:r>
                    <w:r>
                      <w:fldChar w:fldCharType="end"/>
                    </w:r>
                    <w:r>
                      <w:t xml:space="preserve"> van </w:t>
                    </w:r>
                    <w:r>
                      <w:fldChar w:fldCharType="begin"/>
                    </w:r>
                    <w:r>
                      <w:instrText>NUMPAGES</w:instrText>
                    </w:r>
                    <w:r>
                      <w:fldChar w:fldCharType="separate"/>
                    </w:r>
                    <w:r w:rsidR="004F1A6F">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4B92DF49" wp14:editId="5C8CBE99">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17A8D72" w14:textId="77777777" w:rsidR="00471CD1" w:rsidRDefault="00471CD1"/>
                      </w:txbxContent>
                    </wps:txbx>
                    <wps:bodyPr vert="horz" wrap="square" lIns="0" tIns="0" rIns="0" bIns="0" anchor="t" anchorCtr="0"/>
                  </wps:wsp>
                </a:graphicData>
              </a:graphic>
            </wp:anchor>
          </w:drawing>
        </mc:Choice>
        <mc:Fallback>
          <w:pict>
            <v:shape w14:anchorId="4B92DF4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17A8D72" w14:textId="77777777" w:rsidR="00471CD1" w:rsidRDefault="00471CD1"/>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93646"/>
    <w:multiLevelType w:val="multilevel"/>
    <w:tmpl w:val="0F9EB01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F9B8E36"/>
    <w:multiLevelType w:val="multilevel"/>
    <w:tmpl w:val="7CC7B14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2EC65EA"/>
    <w:multiLevelType w:val="hybridMultilevel"/>
    <w:tmpl w:val="15A605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A675B0F"/>
    <w:multiLevelType w:val="multilevel"/>
    <w:tmpl w:val="2E995BC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B572614"/>
    <w:multiLevelType w:val="hybridMultilevel"/>
    <w:tmpl w:val="EBDA9344"/>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5" w15:restartNumberingAfterBreak="0">
    <w:nsid w:val="447A496F"/>
    <w:multiLevelType w:val="hybridMultilevel"/>
    <w:tmpl w:val="D9D2E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4394B4E"/>
    <w:multiLevelType w:val="hybridMultilevel"/>
    <w:tmpl w:val="E320F0F4"/>
    <w:lvl w:ilvl="0" w:tplc="F31AD85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7F652299"/>
    <w:multiLevelType w:val="multilevel"/>
    <w:tmpl w:val="BF4B28C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93078614">
    <w:abstractNumId w:val="7"/>
  </w:num>
  <w:num w:numId="2" w16cid:durableId="58486240">
    <w:abstractNumId w:val="0"/>
  </w:num>
  <w:num w:numId="3" w16cid:durableId="982655536">
    <w:abstractNumId w:val="3"/>
  </w:num>
  <w:num w:numId="4" w16cid:durableId="292709172">
    <w:abstractNumId w:val="1"/>
  </w:num>
  <w:num w:numId="5" w16cid:durableId="2061202870">
    <w:abstractNumId w:val="2"/>
  </w:num>
  <w:num w:numId="6" w16cid:durableId="774598518">
    <w:abstractNumId w:val="4"/>
  </w:num>
  <w:num w:numId="7" w16cid:durableId="4748700">
    <w:abstractNumId w:val="5"/>
  </w:num>
  <w:num w:numId="8" w16cid:durableId="957145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9A0"/>
    <w:rsid w:val="000038EF"/>
    <w:rsid w:val="00016E8F"/>
    <w:rsid w:val="00037C27"/>
    <w:rsid w:val="00045BFF"/>
    <w:rsid w:val="0007201C"/>
    <w:rsid w:val="00085604"/>
    <w:rsid w:val="00104421"/>
    <w:rsid w:val="00107DA7"/>
    <w:rsid w:val="00157DBB"/>
    <w:rsid w:val="00164040"/>
    <w:rsid w:val="001713A6"/>
    <w:rsid w:val="001803E6"/>
    <w:rsid w:val="00181AAD"/>
    <w:rsid w:val="00191AE7"/>
    <w:rsid w:val="0019240D"/>
    <w:rsid w:val="00193D46"/>
    <w:rsid w:val="001A5D30"/>
    <w:rsid w:val="001B709A"/>
    <w:rsid w:val="001D4D9A"/>
    <w:rsid w:val="00210BB8"/>
    <w:rsid w:val="0022102D"/>
    <w:rsid w:val="00255340"/>
    <w:rsid w:val="002578D1"/>
    <w:rsid w:val="002751BB"/>
    <w:rsid w:val="00275A0D"/>
    <w:rsid w:val="002B1494"/>
    <w:rsid w:val="002F4411"/>
    <w:rsid w:val="002F7FB2"/>
    <w:rsid w:val="00326DDB"/>
    <w:rsid w:val="00393F7F"/>
    <w:rsid w:val="003B39FA"/>
    <w:rsid w:val="003D07D9"/>
    <w:rsid w:val="0042353C"/>
    <w:rsid w:val="00431299"/>
    <w:rsid w:val="00471CD1"/>
    <w:rsid w:val="00491EE0"/>
    <w:rsid w:val="004E1E62"/>
    <w:rsid w:val="004E59AC"/>
    <w:rsid w:val="004F0907"/>
    <w:rsid w:val="004F0E69"/>
    <w:rsid w:val="004F1A6F"/>
    <w:rsid w:val="004F7379"/>
    <w:rsid w:val="00503D62"/>
    <w:rsid w:val="00532AA0"/>
    <w:rsid w:val="00540D4E"/>
    <w:rsid w:val="0056518B"/>
    <w:rsid w:val="005715A8"/>
    <w:rsid w:val="00591CBC"/>
    <w:rsid w:val="00594FB0"/>
    <w:rsid w:val="005C48C6"/>
    <w:rsid w:val="005E295C"/>
    <w:rsid w:val="00612DD1"/>
    <w:rsid w:val="00617267"/>
    <w:rsid w:val="00687633"/>
    <w:rsid w:val="006A6F25"/>
    <w:rsid w:val="006C15C6"/>
    <w:rsid w:val="00705289"/>
    <w:rsid w:val="007259B1"/>
    <w:rsid w:val="0073161B"/>
    <w:rsid w:val="007408D7"/>
    <w:rsid w:val="007514D2"/>
    <w:rsid w:val="007549E7"/>
    <w:rsid w:val="0075677B"/>
    <w:rsid w:val="0076204E"/>
    <w:rsid w:val="007629F3"/>
    <w:rsid w:val="00764CCB"/>
    <w:rsid w:val="00775CF2"/>
    <w:rsid w:val="007760DD"/>
    <w:rsid w:val="007C42BA"/>
    <w:rsid w:val="007D12C5"/>
    <w:rsid w:val="007F6E62"/>
    <w:rsid w:val="00827FB3"/>
    <w:rsid w:val="00860004"/>
    <w:rsid w:val="00863B68"/>
    <w:rsid w:val="0088306E"/>
    <w:rsid w:val="00885340"/>
    <w:rsid w:val="00885CEF"/>
    <w:rsid w:val="008B1A7A"/>
    <w:rsid w:val="008C750D"/>
    <w:rsid w:val="008E7F11"/>
    <w:rsid w:val="009309A0"/>
    <w:rsid w:val="0093248B"/>
    <w:rsid w:val="00957D39"/>
    <w:rsid w:val="00983CF3"/>
    <w:rsid w:val="00997B0E"/>
    <w:rsid w:val="009A2281"/>
    <w:rsid w:val="009C7D57"/>
    <w:rsid w:val="009D013F"/>
    <w:rsid w:val="009D1EAD"/>
    <w:rsid w:val="009E32FB"/>
    <w:rsid w:val="009E3D15"/>
    <w:rsid w:val="009E7AD1"/>
    <w:rsid w:val="00A53FF3"/>
    <w:rsid w:val="00A8541E"/>
    <w:rsid w:val="00AA2E86"/>
    <w:rsid w:val="00AE3851"/>
    <w:rsid w:val="00AF1E6A"/>
    <w:rsid w:val="00B0552B"/>
    <w:rsid w:val="00B11E06"/>
    <w:rsid w:val="00B17C52"/>
    <w:rsid w:val="00B22AB2"/>
    <w:rsid w:val="00B33DFD"/>
    <w:rsid w:val="00B36CDA"/>
    <w:rsid w:val="00B60ED0"/>
    <w:rsid w:val="00BB12C6"/>
    <w:rsid w:val="00BC3DE6"/>
    <w:rsid w:val="00BC561F"/>
    <w:rsid w:val="00BD3649"/>
    <w:rsid w:val="00BF15AF"/>
    <w:rsid w:val="00C11573"/>
    <w:rsid w:val="00C13662"/>
    <w:rsid w:val="00C15AC9"/>
    <w:rsid w:val="00C51A89"/>
    <w:rsid w:val="00C656EC"/>
    <w:rsid w:val="00C7192C"/>
    <w:rsid w:val="00C769C3"/>
    <w:rsid w:val="00C82271"/>
    <w:rsid w:val="00C90F8C"/>
    <w:rsid w:val="00C9754E"/>
    <w:rsid w:val="00CD6447"/>
    <w:rsid w:val="00CD799E"/>
    <w:rsid w:val="00CE3B85"/>
    <w:rsid w:val="00CF0DB5"/>
    <w:rsid w:val="00D1746F"/>
    <w:rsid w:val="00D62D28"/>
    <w:rsid w:val="00D7167B"/>
    <w:rsid w:val="00D7673D"/>
    <w:rsid w:val="00D809B8"/>
    <w:rsid w:val="00D92757"/>
    <w:rsid w:val="00D971D5"/>
    <w:rsid w:val="00DA5FD8"/>
    <w:rsid w:val="00DB05AF"/>
    <w:rsid w:val="00DB641A"/>
    <w:rsid w:val="00DC24F9"/>
    <w:rsid w:val="00DE76C6"/>
    <w:rsid w:val="00DF5733"/>
    <w:rsid w:val="00DF6A50"/>
    <w:rsid w:val="00E15E72"/>
    <w:rsid w:val="00E35A07"/>
    <w:rsid w:val="00E55FF0"/>
    <w:rsid w:val="00E722FF"/>
    <w:rsid w:val="00E857D6"/>
    <w:rsid w:val="00EC5B71"/>
    <w:rsid w:val="00F00F3E"/>
    <w:rsid w:val="00F209AA"/>
    <w:rsid w:val="00F318C6"/>
    <w:rsid w:val="00F5122A"/>
    <w:rsid w:val="00F54199"/>
    <w:rsid w:val="00F81390"/>
    <w:rsid w:val="00F8687B"/>
    <w:rsid w:val="00F96BA7"/>
    <w:rsid w:val="00FC62B8"/>
    <w:rsid w:val="00FC6A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F6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semiHidden/>
    <w:rsid w:val="004F1A6F"/>
    <w:pPr>
      <w:ind w:left="720"/>
      <w:contextualSpacing/>
    </w:pPr>
  </w:style>
  <w:style w:type="character" w:styleId="Verwijzingopmerking">
    <w:name w:val="annotation reference"/>
    <w:basedOn w:val="Standaardalinea-lettertype"/>
    <w:uiPriority w:val="99"/>
    <w:semiHidden/>
    <w:unhideWhenUsed/>
    <w:rsid w:val="004F1A6F"/>
    <w:rPr>
      <w:sz w:val="16"/>
      <w:szCs w:val="16"/>
    </w:rPr>
  </w:style>
  <w:style w:type="paragraph" w:styleId="Tekstopmerking">
    <w:name w:val="annotation text"/>
    <w:basedOn w:val="Standaard"/>
    <w:link w:val="TekstopmerkingChar"/>
    <w:uiPriority w:val="99"/>
    <w:unhideWhenUsed/>
    <w:rsid w:val="004F1A6F"/>
    <w:pPr>
      <w:spacing w:line="240" w:lineRule="auto"/>
    </w:pPr>
    <w:rPr>
      <w:sz w:val="20"/>
      <w:szCs w:val="20"/>
    </w:rPr>
  </w:style>
  <w:style w:type="character" w:customStyle="1" w:styleId="TekstopmerkingChar">
    <w:name w:val="Tekst opmerking Char"/>
    <w:basedOn w:val="Standaardalinea-lettertype"/>
    <w:link w:val="Tekstopmerking"/>
    <w:uiPriority w:val="99"/>
    <w:rsid w:val="004F1A6F"/>
    <w:rPr>
      <w:rFonts w:ascii="Verdana" w:hAnsi="Verdana"/>
      <w:color w:val="000000"/>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Standaardalinea-lettertype"/>
    <w:link w:val="FootnoteReferenceCharChar1"/>
    <w:uiPriority w:val="99"/>
    <w:unhideWhenUsed/>
    <w:qFormat/>
    <w:rsid w:val="004F1A6F"/>
    <w:rPr>
      <w:vertAlign w:val="superscript"/>
    </w:rPr>
  </w:style>
  <w:style w:type="paragraph" w:styleId="Revisie">
    <w:name w:val="Revision"/>
    <w:hidden/>
    <w:uiPriority w:val="99"/>
    <w:semiHidden/>
    <w:rsid w:val="00C7192C"/>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7192C"/>
    <w:rPr>
      <w:b/>
      <w:bCs/>
    </w:rPr>
  </w:style>
  <w:style w:type="character" w:customStyle="1" w:styleId="OnderwerpvanopmerkingChar">
    <w:name w:val="Onderwerp van opmerking Char"/>
    <w:basedOn w:val="TekstopmerkingChar"/>
    <w:link w:val="Onderwerpvanopmerking"/>
    <w:uiPriority w:val="99"/>
    <w:semiHidden/>
    <w:rsid w:val="00C7192C"/>
    <w:rPr>
      <w:rFonts w:ascii="Verdana" w:hAnsi="Verdana"/>
      <w:b/>
      <w:bCs/>
      <w:color w:val="000000"/>
    </w:rPr>
  </w:style>
  <w:style w:type="paragraph" w:styleId="Koptekst">
    <w:name w:val="header"/>
    <w:basedOn w:val="Standaard"/>
    <w:link w:val="KoptekstChar"/>
    <w:uiPriority w:val="99"/>
    <w:unhideWhenUsed/>
    <w:rsid w:val="00DB05A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05AF"/>
    <w:rPr>
      <w:rFonts w:ascii="Verdana" w:hAnsi="Verdana"/>
      <w:color w:val="000000"/>
      <w:sz w:val="18"/>
      <w:szCs w:val="18"/>
    </w:rPr>
  </w:style>
  <w:style w:type="paragraph" w:styleId="Voettekst">
    <w:name w:val="footer"/>
    <w:basedOn w:val="Standaard"/>
    <w:link w:val="VoettekstChar"/>
    <w:uiPriority w:val="99"/>
    <w:unhideWhenUsed/>
    <w:rsid w:val="00DB05A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05AF"/>
    <w:rPr>
      <w:rFonts w:ascii="Verdana" w:hAnsi="Verdana"/>
      <w:color w:val="000000"/>
      <w:sz w:val="18"/>
      <w:szCs w:val="18"/>
    </w:rPr>
  </w:style>
  <w:style w:type="paragraph" w:styleId="Geenafstand">
    <w:name w:val="No Spacing"/>
    <w:aliases w:val="Vraag 1"/>
    <w:link w:val="GeenafstandChar"/>
    <w:uiPriority w:val="1"/>
    <w:qFormat/>
    <w:rsid w:val="002578D1"/>
    <w:pPr>
      <w:autoSpaceDN/>
      <w:textAlignment w:val="auto"/>
    </w:pPr>
    <w:rPr>
      <w:rFonts w:ascii="Verdana" w:eastAsiaTheme="minorHAnsi" w:hAnsi="Verdana" w:cstheme="minorBidi"/>
      <w:kern w:val="2"/>
      <w:sz w:val="18"/>
      <w:szCs w:val="22"/>
      <w:lang w:eastAsia="en-US"/>
      <w14:ligatures w14:val="standardContextual"/>
    </w:rPr>
  </w:style>
  <w:style w:type="character" w:customStyle="1" w:styleId="GeenafstandChar">
    <w:name w:val="Geen afstand Char"/>
    <w:aliases w:val="Vraag 1 Char"/>
    <w:basedOn w:val="Standaardalinea-lettertype"/>
    <w:link w:val="Geenafstand"/>
    <w:uiPriority w:val="1"/>
    <w:rsid w:val="002578D1"/>
    <w:rPr>
      <w:rFonts w:ascii="Verdana" w:eastAsiaTheme="minorHAnsi" w:hAnsi="Verdana" w:cstheme="minorBidi"/>
      <w:kern w:val="2"/>
      <w:sz w:val="18"/>
      <w:szCs w:val="22"/>
      <w:lang w:eastAsia="en-US"/>
      <w14:ligatures w14:val="standardContextual"/>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2578D1"/>
    <w:pPr>
      <w:autoSpaceDE w:val="0"/>
      <w:spacing w:after="160"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8043">
      <w:bodyDiv w:val="1"/>
      <w:marLeft w:val="0"/>
      <w:marRight w:val="0"/>
      <w:marTop w:val="0"/>
      <w:marBottom w:val="0"/>
      <w:divBdr>
        <w:top w:val="none" w:sz="0" w:space="0" w:color="auto"/>
        <w:left w:val="none" w:sz="0" w:space="0" w:color="auto"/>
        <w:bottom w:val="none" w:sz="0" w:space="0" w:color="auto"/>
        <w:right w:val="none" w:sz="0" w:space="0" w:color="auto"/>
      </w:divBdr>
    </w:div>
    <w:div w:id="503592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2587</ap:Words>
  <ap:Characters>14229</ap:Characters>
  <ap:DocSecurity>0</ap:DocSecurity>
  <ap:Lines>118</ap:Lines>
  <ap:Paragraphs>33</ap:Paragraphs>
  <ap:ScaleCrop>false</ap:ScaleCrop>
  <ap:LinksUpToDate>false</ap:LinksUpToDate>
  <ap:CharactersWithSpaces>16783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2026-06-24T12:49:00.0000000Z</dcterms:created>
  <dcterms:modified xsi:type="dcterms:W3CDTF">2026-06-24T12:49:00.0000000Z</dcterms:modified>
  <dc:description>------------------------</dc:description>
  <dc:subject/>
  <keywords/>
  <version/>
  <category/>
</coreProperties>
</file>