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159C8" w:rsidP="002159C8" w14:paraId="3E4C3CDD" w14:textId="77777777">
      <w:pPr>
        <w:spacing w:line="276" w:lineRule="auto"/>
      </w:pPr>
      <w:r w:rsidRPr="00EA45F1">
        <w:t xml:space="preserve">Met </w:t>
      </w:r>
      <w:r w:rsidRPr="00862F5C">
        <w:t>deze brief informeer ik uw Kamer over twee uitspraken</w:t>
      </w:r>
      <w:r w:rsidRPr="001F2DC3">
        <w:t xml:space="preserve"> </w:t>
      </w:r>
      <w:r w:rsidRPr="00862F5C">
        <w:t xml:space="preserve">van de rechtbank Noord-Nederland </w:t>
      </w:r>
      <w:r>
        <w:t>van</w:t>
      </w:r>
      <w:r w:rsidRPr="00862F5C">
        <w:t xml:space="preserve"> 12 juni 202</w:t>
      </w:r>
      <w:r>
        <w:t>6</w:t>
      </w:r>
      <w:r w:rsidRPr="00862F5C">
        <w:t>.</w:t>
      </w:r>
      <w:r>
        <w:rPr>
          <w:rStyle w:val="FootnoteReference"/>
        </w:rPr>
        <w:footnoteReference w:id="2"/>
      </w:r>
      <w:r w:rsidRPr="00862F5C">
        <w:t xml:space="preserve"> Het gaat om beroepsprocedures die de Nederlandse Aardolie Maatschappij (NAM) heeft aangespannen over heffingen voor de schadeafhandeling in Groningen.</w:t>
      </w:r>
      <w:r>
        <w:rPr>
          <w:rStyle w:val="FootnoteReference"/>
        </w:rPr>
        <w:footnoteReference w:id="3"/>
      </w:r>
      <w:r w:rsidRPr="00862F5C">
        <w:t xml:space="preserve"> </w:t>
      </w:r>
    </w:p>
    <w:p w:rsidR="0078616C" w:rsidP="0078616C" w14:paraId="74F9AF88" w14:textId="77777777">
      <w:pPr>
        <w:spacing w:line="276" w:lineRule="auto"/>
      </w:pPr>
    </w:p>
    <w:p w:rsidRPr="00FD6509" w:rsidR="00F71CEA" w:rsidP="00F71CEA" w14:paraId="4C29D25B" w14:textId="77777777">
      <w:pPr>
        <w:spacing w:line="276" w:lineRule="auto"/>
        <w:rPr>
          <w:b/>
          <w:bCs/>
        </w:rPr>
      </w:pPr>
      <w:r w:rsidRPr="00FD6509">
        <w:rPr>
          <w:b/>
          <w:bCs/>
        </w:rPr>
        <w:t xml:space="preserve">Uitspraken </w:t>
      </w:r>
      <w:r>
        <w:rPr>
          <w:b/>
          <w:bCs/>
        </w:rPr>
        <w:t>over heffingen aan NAM</w:t>
      </w:r>
    </w:p>
    <w:p w:rsidR="008565BC" w:rsidP="008565BC" w14:paraId="60A37AF5" w14:textId="42293750">
      <w:pPr>
        <w:spacing w:line="276" w:lineRule="auto"/>
      </w:pPr>
      <w:r w:rsidRPr="008565BC">
        <w:t xml:space="preserve">Deze bestuursrechtelijke </w:t>
      </w:r>
      <w:r>
        <w:t>uitspraken</w:t>
      </w:r>
      <w:r w:rsidRPr="008565BC">
        <w:t xml:space="preserve"> gaan over </w:t>
      </w:r>
      <w:r>
        <w:t xml:space="preserve">de </w:t>
      </w:r>
      <w:r w:rsidRPr="008565BC">
        <w:t xml:space="preserve">heffingsbesluiten </w:t>
      </w:r>
      <w:r>
        <w:t>waarmee</w:t>
      </w:r>
      <w:r w:rsidRPr="008565BC">
        <w:t xml:space="preserve"> kosten v</w:t>
      </w:r>
      <w:r>
        <w:t>oor</w:t>
      </w:r>
      <w:r w:rsidRPr="008565BC">
        <w:t xml:space="preserve"> de schadeafhandeling in Groningen </w:t>
      </w:r>
      <w:r>
        <w:t>zijn doorbelast aan NAM op grond van de Tijdelijke wet Groningen.</w:t>
      </w:r>
      <w:r w:rsidRPr="008565BC">
        <w:t xml:space="preserve"> De rechtbank heeft beoordeeld of </w:t>
      </w:r>
      <w:r w:rsidR="003952DB">
        <w:t>de</w:t>
      </w:r>
      <w:r w:rsidR="00EC6AB9">
        <w:t>ze</w:t>
      </w:r>
      <w:r w:rsidR="003952DB">
        <w:t xml:space="preserve"> kosten terecht </w:t>
      </w:r>
      <w:r w:rsidR="002E6570">
        <w:t xml:space="preserve">aan NAM </w:t>
      </w:r>
      <w:r w:rsidR="00EC6AB9">
        <w:t>zijn doorbelast</w:t>
      </w:r>
      <w:r w:rsidR="00096A6C">
        <w:t xml:space="preserve">. Daartoe heeft de rechtbank geoordeeld </w:t>
      </w:r>
      <w:r w:rsidR="006E5C1A">
        <w:t xml:space="preserve">of het </w:t>
      </w:r>
      <w:r w:rsidR="00096A6C">
        <w:t>Instituut Mijnbouwschade Groningen (</w:t>
      </w:r>
      <w:r w:rsidR="006E5C1A">
        <w:t>IMG</w:t>
      </w:r>
      <w:r w:rsidR="00096A6C">
        <w:t>)</w:t>
      </w:r>
      <w:r w:rsidR="006E5C1A">
        <w:t xml:space="preserve"> </w:t>
      </w:r>
      <w:r w:rsidR="00BD5A98">
        <w:t xml:space="preserve">bij de uitvoering van zijn taken en bevoegdheden </w:t>
      </w:r>
      <w:r w:rsidR="006E5C1A">
        <w:t>is gebleven binnen de kaders die de Tijdelijke wet Groningen daarvoor stelt</w:t>
      </w:r>
      <w:r w:rsidR="003A1435">
        <w:t xml:space="preserve">. </w:t>
      </w:r>
      <w:r w:rsidR="005D35E7">
        <w:t xml:space="preserve">Afzonderlijke schadebesluiten van bewoners </w:t>
      </w:r>
      <w:r w:rsidR="00676E31">
        <w:t>waren hierbij</w:t>
      </w:r>
      <w:r w:rsidR="00CA44E6">
        <w:t xml:space="preserve"> geen </w:t>
      </w:r>
      <w:r w:rsidR="00676E31">
        <w:t xml:space="preserve"> onderwerp van geschil</w:t>
      </w:r>
      <w:r w:rsidR="00F90426">
        <w:t xml:space="preserve">. </w:t>
      </w:r>
    </w:p>
    <w:p w:rsidR="00805FD6" w:rsidP="008565BC" w14:paraId="75A65643" w14:textId="77777777">
      <w:pPr>
        <w:spacing w:line="276" w:lineRule="auto"/>
      </w:pPr>
    </w:p>
    <w:p w:rsidR="00805FD6" w:rsidP="00805FD6" w14:paraId="72A99F46" w14:textId="77777777">
      <w:pPr>
        <w:spacing w:line="276" w:lineRule="auto"/>
      </w:pPr>
      <w:r>
        <w:t>Dit</w:t>
      </w:r>
      <w:r w:rsidRPr="00854407">
        <w:t xml:space="preserve"> zijn de eerste inhoudelijke rechterlijke uitspraken over heffingen die </w:t>
      </w:r>
      <w:r>
        <w:t>op grond van de Tijdelijke wet Groningen aan NAM zijn opgelegd</w:t>
      </w:r>
      <w:r w:rsidRPr="00854407">
        <w:t>.</w:t>
      </w:r>
      <w:r w:rsidRPr="008565BC">
        <w:t xml:space="preserve"> De uitspraak over fysieke schade ziet op de heffing</w:t>
      </w:r>
      <w:r>
        <w:t>en</w:t>
      </w:r>
      <w:r w:rsidRPr="008565BC">
        <w:t xml:space="preserve"> over </w:t>
      </w:r>
      <w:r>
        <w:t xml:space="preserve">het derde en vierde kwartaal van </w:t>
      </w:r>
      <w:r w:rsidRPr="008565BC">
        <w:t>2020 van circa € 2</w:t>
      </w:r>
      <w:r>
        <w:t>68</w:t>
      </w:r>
      <w:r w:rsidRPr="008565BC">
        <w:t xml:space="preserve"> miljoen. De uitspraak over waardedaling ziet op de heffingen over </w:t>
      </w:r>
      <w:r>
        <w:t xml:space="preserve">het </w:t>
      </w:r>
      <w:r w:rsidRPr="00E17B2E">
        <w:t xml:space="preserve">vierde kwartaal van 2020 en geheel 2021 van samen circa € 494 miljoen. </w:t>
      </w:r>
    </w:p>
    <w:p w:rsidR="008565BC" w:rsidP="008565BC" w14:paraId="2113E0E5" w14:textId="77777777">
      <w:pPr>
        <w:spacing w:line="276" w:lineRule="auto"/>
      </w:pPr>
    </w:p>
    <w:p w:rsidR="00EB2936" w:rsidP="008565BC" w14:paraId="2CAD55BF" w14:textId="77777777">
      <w:pPr>
        <w:spacing w:line="276" w:lineRule="auto"/>
      </w:pPr>
      <w:r>
        <w:t xml:space="preserve">In de uitspraak over fysieke schade over 2020 is de minister in het gelijk gesteld over de kosten die in aanmerking komen en de manier van schadeberekening. </w:t>
      </w:r>
    </w:p>
    <w:p w:rsidR="00EB2936" w:rsidP="008565BC" w14:paraId="2B0692BA" w14:textId="35A6AFD8">
      <w:pPr>
        <w:spacing w:line="276" w:lineRule="auto"/>
      </w:pPr>
      <w:r>
        <w:t xml:space="preserve">In de uitspraak over waardedaling over 2020 en 2021 is de berekeningswijze van waardedaling voor reeds verkochte woningen en verhuurde woningen </w:t>
      </w:r>
      <w:r w:rsidR="000401F6">
        <w:t xml:space="preserve">en de onzekerheidstoeslag </w:t>
      </w:r>
      <w:r>
        <w:t>bevestigd</w:t>
      </w:r>
      <w:r w:rsidR="00B93C5A">
        <w:t>. Voor</w:t>
      </w:r>
      <w:r>
        <w:t xml:space="preserve"> onverkochte woningen </w:t>
      </w:r>
      <w:r w:rsidR="00B93C5A">
        <w:t xml:space="preserve">wordt </w:t>
      </w:r>
      <w:r>
        <w:t>de mogelijkheid geboden om de berekeningswijze aan te passen, uitgaande van een andere peildatum. D</w:t>
      </w:r>
      <w:r w:rsidR="00B93C5A">
        <w:t>eze uitspraak</w:t>
      </w:r>
      <w:r>
        <w:t xml:space="preserve"> he</w:t>
      </w:r>
      <w:r w:rsidR="00B93C5A">
        <w:t xml:space="preserve">eft </w:t>
      </w:r>
      <w:r>
        <w:t xml:space="preserve">geen gevolgen voor de bewoners.     </w:t>
      </w:r>
    </w:p>
    <w:p w:rsidR="00EB2936" w:rsidP="008565BC" w14:paraId="149C61EF" w14:textId="77777777">
      <w:pPr>
        <w:spacing w:line="276" w:lineRule="auto"/>
      </w:pPr>
    </w:p>
    <w:p w:rsidRPr="005828E9" w:rsidR="00EB2936" w:rsidP="008565BC" w14:paraId="0E3155A0" w14:textId="25B377FB">
      <w:pPr>
        <w:spacing w:line="276" w:lineRule="auto"/>
        <w:rPr>
          <w:b/>
          <w:bCs/>
        </w:rPr>
      </w:pPr>
      <w:r>
        <w:rPr>
          <w:b/>
          <w:bCs/>
        </w:rPr>
        <w:br/>
      </w:r>
      <w:r>
        <w:rPr>
          <w:b/>
          <w:bCs/>
        </w:rPr>
        <w:br/>
      </w:r>
      <w:r w:rsidRPr="005828E9">
        <w:rPr>
          <w:b/>
          <w:bCs/>
        </w:rPr>
        <w:t>Toelichting</w:t>
      </w:r>
      <w:r w:rsidR="002159C8">
        <w:rPr>
          <w:b/>
          <w:bCs/>
        </w:rPr>
        <w:t xml:space="preserve"> op de uitspraken</w:t>
      </w:r>
    </w:p>
    <w:p w:rsidR="00EB2936" w:rsidP="00A5255F" w14:paraId="5103AEB0" w14:textId="77777777">
      <w:pPr>
        <w:spacing w:line="276" w:lineRule="auto"/>
        <w:rPr>
          <w:u w:val="single"/>
        </w:rPr>
      </w:pPr>
    </w:p>
    <w:p w:rsidRPr="002E6570" w:rsidR="00A5255F" w:rsidP="00A5255F" w14:paraId="604A302A" w14:textId="5B0B0675">
      <w:pPr>
        <w:spacing w:line="276" w:lineRule="auto"/>
        <w:rPr>
          <w:u w:val="single"/>
        </w:rPr>
      </w:pPr>
      <w:r w:rsidRPr="002E6570">
        <w:rPr>
          <w:u w:val="single"/>
        </w:rPr>
        <w:t>Fysieke schade</w:t>
      </w:r>
      <w:r w:rsidRPr="002E6570" w:rsidR="00EC6AB9">
        <w:rPr>
          <w:u w:val="single"/>
        </w:rPr>
        <w:t xml:space="preserve"> 2020</w:t>
      </w:r>
    </w:p>
    <w:p w:rsidR="00507FFC" w:rsidP="00673015" w14:paraId="77E99FC3" w14:textId="7229E97D">
      <w:pPr>
        <w:spacing w:line="276" w:lineRule="auto"/>
      </w:pPr>
      <w:r w:rsidRPr="00297CEE">
        <w:t>In de procedure over fysieke schade over het derde en vierde kwartaal van 2020 heeft de rechtbank het beroep van NAM ongegrond verklaard. De rechtbank heeft geoordeeld dat de kosten terecht zijn doorbelast</w:t>
      </w:r>
      <w:r>
        <w:t>, omdat het IMG bij de uitvoering van zijn taken en bevoegdheden was gebleven binnen de kaders die de Tijdelijke wet Groningen daarvoor stelt</w:t>
      </w:r>
      <w:r w:rsidRPr="00297CEE">
        <w:t>.</w:t>
      </w:r>
      <w:r w:rsidRPr="00297CEE" w:rsidR="00041058">
        <w:t xml:space="preserve"> </w:t>
      </w:r>
      <w:r w:rsidR="00676E31">
        <w:t>Hieronder valt ook het civiele aansprakelijkheidsrecht.</w:t>
      </w:r>
    </w:p>
    <w:p w:rsidR="00507FFC" w:rsidP="00673015" w14:paraId="3F9F9D82" w14:textId="77777777">
      <w:pPr>
        <w:spacing w:line="276" w:lineRule="auto"/>
      </w:pPr>
    </w:p>
    <w:p w:rsidR="00CC1785" w:rsidP="00673015" w14:paraId="5BAA5E1D" w14:textId="11D8570E">
      <w:pPr>
        <w:spacing w:line="276" w:lineRule="auto"/>
      </w:pPr>
      <w:r w:rsidRPr="00C65BFC">
        <w:t xml:space="preserve">De rechtbank heeft alle beroepsgronden van NAM verworpen. </w:t>
      </w:r>
      <w:r w:rsidR="00BD5A98">
        <w:t>De belangrijkste daarvan betreft het gebied waarbinnen het IMG het wettelijke bewijsvermoeden voor mijnbouwschade uit artikel 6:177a BW</w:t>
      </w:r>
      <w:r w:rsidRPr="00AE6F04" w:rsidR="00BD5A98">
        <w:t xml:space="preserve"> </w:t>
      </w:r>
      <w:r w:rsidR="00BD5A98">
        <w:t>heeft toegepast</w:t>
      </w:r>
      <w:r w:rsidR="00610E48">
        <w:t>.</w:t>
      </w:r>
      <w:r w:rsidR="00610E48">
        <w:t xml:space="preserve"> </w:t>
      </w:r>
      <w:r w:rsidR="00BD5A98">
        <w:t>De rechtbank heeft in deze uitspraak geoordeeld dat het IMG het gebied niet te ruim heeft afgebakend.</w:t>
      </w:r>
      <w:r w:rsidRPr="00C65BFC" w:rsidR="00BD5A98">
        <w:t xml:space="preserve"> </w:t>
      </w:r>
      <w:r w:rsidR="00BD5A98">
        <w:t>De rechtbank heeft ook de overige beroepsgronden van NAM verworpen.</w:t>
      </w:r>
      <w:r>
        <w:rPr>
          <w:rStyle w:val="FootnoteReference"/>
        </w:rPr>
        <w:footnoteReference w:id="4"/>
      </w:r>
      <w:r w:rsidR="00BD5A98">
        <w:t xml:space="preserve"> </w:t>
      </w:r>
    </w:p>
    <w:p w:rsidR="00673015" w:rsidP="00A5255F" w14:paraId="19370BBB" w14:textId="77777777">
      <w:pPr>
        <w:spacing w:line="276" w:lineRule="auto"/>
      </w:pPr>
    </w:p>
    <w:p w:rsidR="00A5255F" w:rsidP="00A5255F" w14:paraId="7ABF3465" w14:textId="00527E72">
      <w:pPr>
        <w:spacing w:line="276" w:lineRule="auto"/>
      </w:pPr>
      <w:r>
        <w:t>De uitspraak van de rechtbank en de overwegingen die daaraan ten grondslag liggen zijn</w:t>
      </w:r>
      <w:r w:rsidR="007B100C">
        <w:t xml:space="preserve"> </w:t>
      </w:r>
      <w:r>
        <w:t xml:space="preserve">ook van belang voor de latere heffingsbesluiten </w:t>
      </w:r>
      <w:r w:rsidR="005D71F8">
        <w:t xml:space="preserve">die </w:t>
      </w:r>
      <w:r>
        <w:t>vanaf 202</w:t>
      </w:r>
      <w:r w:rsidR="005D71F8">
        <w:t>0 zijn en nog worden opgelegd</w:t>
      </w:r>
      <w:r>
        <w:t xml:space="preserve">. </w:t>
      </w:r>
    </w:p>
    <w:p w:rsidR="00C15238" w:rsidP="00A5255F" w14:paraId="3AA97CD7" w14:textId="77777777">
      <w:pPr>
        <w:spacing w:line="276" w:lineRule="auto"/>
      </w:pPr>
    </w:p>
    <w:p w:rsidRPr="002E6570" w:rsidR="00A5255F" w:rsidP="00A5255F" w14:paraId="74AFCB1D" w14:textId="4D8CC377">
      <w:pPr>
        <w:spacing w:line="276" w:lineRule="auto"/>
        <w:rPr>
          <w:u w:val="single"/>
        </w:rPr>
      </w:pPr>
      <w:r w:rsidRPr="002E6570">
        <w:rPr>
          <w:u w:val="single"/>
        </w:rPr>
        <w:t>Waardedaling 2020 en 2021</w:t>
      </w:r>
    </w:p>
    <w:p w:rsidR="00AB2C56" w:rsidP="009A0A37" w14:paraId="5285D28C" w14:textId="3B7EE0A0">
      <w:pPr>
        <w:spacing w:line="276" w:lineRule="auto"/>
      </w:pPr>
      <w:r w:rsidRPr="00933529">
        <w:t xml:space="preserve">In de procedure over waardedaling 2020 en 2021 heeft de rechtbank het beroep van NAM </w:t>
      </w:r>
      <w:r w:rsidR="00026EC5">
        <w:t xml:space="preserve">op onderdelen </w:t>
      </w:r>
      <w:r w:rsidRPr="00933529">
        <w:t xml:space="preserve">gegrond verklaard. </w:t>
      </w:r>
      <w:r>
        <w:t xml:space="preserve">In de uitspraak heeft de rechtbank </w:t>
      </w:r>
      <w:r w:rsidR="005D71F8">
        <w:t xml:space="preserve">eerst </w:t>
      </w:r>
      <w:r>
        <w:t>geoordeeld dat de wijze waarop het IMG de waardedaling heeft vergoed voor woningen in het aardbevingsgebied die zijn verkocht, past binnen de kaders van de Tijdelijke wet Groningen en dus niet het civiele aansprakelijkheidsrecht te buiten gaat. Dit geldt zowel voor de afbakening van het gebied waar waardedaling is opgetreden</w:t>
      </w:r>
      <w:r w:rsidR="00434915">
        <w:t xml:space="preserve"> als de wijze waarop die waardedaling vervolgens per individuele woning is begroot met toepassing van het Atlas-model en een onzekerheidstoeslag. </w:t>
      </w:r>
    </w:p>
    <w:p w:rsidR="00AB2C56" w:rsidP="009A0A37" w14:paraId="11401308" w14:textId="77777777">
      <w:pPr>
        <w:spacing w:line="276" w:lineRule="auto"/>
      </w:pPr>
    </w:p>
    <w:p w:rsidR="00FF6ECA" w:rsidP="00673015" w14:paraId="08B50A64" w14:textId="0E1BCB71">
      <w:pPr>
        <w:spacing w:line="276" w:lineRule="auto"/>
      </w:pPr>
      <w:r w:rsidRPr="00933529">
        <w:t xml:space="preserve">De gegrondverklaring ziet </w:t>
      </w:r>
      <w:r w:rsidR="00434915">
        <w:t xml:space="preserve">specifiek </w:t>
      </w:r>
      <w:r w:rsidRPr="00933529">
        <w:t xml:space="preserve">op de doorbelasting van kosten voor waardedalingsvergoedingen voor </w:t>
      </w:r>
      <w:r w:rsidRPr="00441CC1">
        <w:rPr>
          <w:i/>
          <w:iCs/>
        </w:rPr>
        <w:t>onverkochte</w:t>
      </w:r>
      <w:r w:rsidRPr="00933529">
        <w:t xml:space="preserve"> woningen</w:t>
      </w:r>
      <w:r w:rsidR="000A00AA">
        <w:t xml:space="preserve"> en </w:t>
      </w:r>
      <w:r w:rsidR="008A240E">
        <w:t xml:space="preserve">de </w:t>
      </w:r>
      <w:r w:rsidR="00026EC5">
        <w:t xml:space="preserve">motivering </w:t>
      </w:r>
      <w:r w:rsidR="008A240E">
        <w:t xml:space="preserve"> </w:t>
      </w:r>
      <w:r w:rsidR="00946DC2">
        <w:t>daarvan</w:t>
      </w:r>
      <w:r w:rsidR="00026EC5">
        <w:t xml:space="preserve"> in de beslissing op bezwaar</w:t>
      </w:r>
      <w:r w:rsidR="000A00AA">
        <w:t>.</w:t>
      </w:r>
      <w:r w:rsidRPr="00E20224" w:rsidR="00297CEE">
        <w:t xml:space="preserve"> </w:t>
      </w:r>
      <w:r w:rsidRPr="008C05E1">
        <w:t>De rechtbank heeft geoordeeld dat de</w:t>
      </w:r>
      <w:r>
        <w:t>ze</w:t>
      </w:r>
      <w:r w:rsidRPr="008C05E1">
        <w:t xml:space="preserve"> kosten niet aan NAM kunnen worden doorbelast voor zover de waardedaling is be</w:t>
      </w:r>
      <w:r>
        <w:t>rekend</w:t>
      </w:r>
      <w:r w:rsidRPr="008C05E1">
        <w:t xml:space="preserve"> met als </w:t>
      </w:r>
      <w:r w:rsidRPr="00167E19">
        <w:t>peildatum 1 januari 201</w:t>
      </w:r>
      <w:r w:rsidRPr="00167E19" w:rsidR="007B100C">
        <w:t>9</w:t>
      </w:r>
      <w:r w:rsidR="002159C8">
        <w:t>, omdat de waardedaling nog niet voldoende stabiel was</w:t>
      </w:r>
      <w:r w:rsidRPr="00167E19" w:rsidR="007B100C">
        <w:t>.</w:t>
      </w:r>
      <w:r w:rsidRPr="00E20224" w:rsidR="00297CEE">
        <w:t xml:space="preserve"> </w:t>
      </w:r>
      <w:r w:rsidRPr="00933529" w:rsidR="009A0A37">
        <w:t>D</w:t>
      </w:r>
      <w:r w:rsidR="002C24E5">
        <w:t>e</w:t>
      </w:r>
      <w:r w:rsidRPr="00933529" w:rsidR="009A0A37">
        <w:t xml:space="preserve"> rechtbank</w:t>
      </w:r>
      <w:r w:rsidR="002C24E5">
        <w:t xml:space="preserve"> heeft</w:t>
      </w:r>
      <w:r w:rsidRPr="00933529" w:rsidR="009A0A37">
        <w:t xml:space="preserve"> het besluit op bezwaar vernietigd en </w:t>
      </w:r>
      <w:r w:rsidR="004B4F47">
        <w:t>mij</w:t>
      </w:r>
      <w:r w:rsidRPr="00933529" w:rsidR="009A0A37">
        <w:t xml:space="preserve"> opgedragen een nieuw besluit te nemen op het bezwaar van NAM.</w:t>
      </w:r>
      <w:r w:rsidR="002159C8">
        <w:t xml:space="preserve"> </w:t>
      </w:r>
    </w:p>
    <w:p w:rsidR="005828E9" w:rsidP="00673015" w14:paraId="707EFEEC" w14:textId="77777777">
      <w:pPr>
        <w:spacing w:line="276" w:lineRule="auto"/>
      </w:pPr>
    </w:p>
    <w:p w:rsidRPr="00300B3B" w:rsidR="00ED3741" w:rsidP="00ED3741" w14:paraId="21AD3BEE" w14:textId="77777777">
      <w:pPr>
        <w:spacing w:line="276" w:lineRule="auto"/>
      </w:pPr>
      <w:r w:rsidRPr="00404C6E">
        <w:rPr>
          <w:b/>
          <w:bCs/>
        </w:rPr>
        <w:t>Vervolg</w:t>
      </w:r>
    </w:p>
    <w:p w:rsidR="00ED3741" w:rsidP="00ED3741" w14:paraId="0DE0E6B7" w14:textId="31055D02">
      <w:pPr>
        <w:spacing w:line="276" w:lineRule="auto"/>
      </w:pPr>
      <w:r w:rsidRPr="004B4F47">
        <w:t>Beide partijen kunnen binnen 6 weken na deze uitspraken van de bestuursrechter in hoger beroep gaan bij de Afdeling Bestuursrechtspraak van de Raad van State. Na verdere bestudering van deze uitspraken zal ik bepalen of</w:t>
      </w:r>
      <w:r>
        <w:t>,</w:t>
      </w:r>
      <w:r w:rsidRPr="004B4F47">
        <w:t xml:space="preserve"> en zo ja welke</w:t>
      </w:r>
      <w:r>
        <w:t>,</w:t>
      </w:r>
      <w:r w:rsidRPr="004B4F47">
        <w:t xml:space="preserve"> vervolgstappen aan de orde zijn. Ik zal uw Kamer vóór Prinsjesdag 2026 in een </w:t>
      </w:r>
      <w:r w:rsidRPr="004B4F47">
        <w:t xml:space="preserve">voortgangsbrief over de juridische procedures met NAM, Shell en </w:t>
      </w:r>
      <w:r w:rsidRPr="004B4F47">
        <w:t>ExxonMobil</w:t>
      </w:r>
      <w:r w:rsidRPr="004B4F47">
        <w:t xml:space="preserve"> hierover informeren.  </w:t>
      </w:r>
      <w:r>
        <w:t xml:space="preserve"> </w:t>
      </w:r>
    </w:p>
    <w:p w:rsidR="00605CFC" w:rsidP="00ED3741" w14:paraId="0ADB7F29" w14:textId="77777777">
      <w:pPr>
        <w:spacing w:line="276" w:lineRule="auto"/>
      </w:pPr>
    </w:p>
    <w:p w:rsidRPr="008565BC" w:rsidR="00ED3741" w:rsidP="00ED3741" w14:paraId="7850EFB2" w14:textId="489FCC97">
      <w:pPr>
        <w:spacing w:line="276" w:lineRule="auto"/>
      </w:pPr>
      <w:r>
        <w:t>Tot slot</w:t>
      </w:r>
      <w:r w:rsidRPr="008565BC">
        <w:t xml:space="preserve"> hecht ik eraan te benadrukken dat, zoals ook mijn voorgangers hebben onderstreept, </w:t>
      </w:r>
      <w:r>
        <w:t xml:space="preserve">de </w:t>
      </w:r>
      <w:r w:rsidRPr="008565BC">
        <w:t xml:space="preserve">juridische procedures van de Staat met NAM, Shell en </w:t>
      </w:r>
      <w:r w:rsidRPr="008565BC">
        <w:t>ExxonMobil</w:t>
      </w:r>
      <w:r w:rsidRPr="008565BC">
        <w:t xml:space="preserve"> geen</w:t>
      </w:r>
      <w:r>
        <w:t xml:space="preserve"> enkel effect hebben</w:t>
      </w:r>
      <w:r w:rsidRPr="008565BC">
        <w:t xml:space="preserve"> </w:t>
      </w:r>
      <w:r>
        <w:t>op de inwoners van Groningen</w:t>
      </w:r>
      <w:r w:rsidR="00B93C5A">
        <w:t xml:space="preserve"> en Noord-Drenthe</w:t>
      </w:r>
      <w:r>
        <w:t>.</w:t>
      </w:r>
      <w:r w:rsidRPr="008565BC">
        <w:t xml:space="preserve"> De afhandeling van schade en de versterking van gebouwen gaan onverminderd door, onafhankelijk van het verloop en de uitkomst van deze juridische procedures.</w:t>
      </w:r>
    </w:p>
    <w:p w:rsidR="00274E94" w:rsidP="00673015" w14:paraId="7E54C7D7" w14:textId="77777777">
      <w:pPr>
        <w:spacing w:line="276" w:lineRule="auto"/>
      </w:pPr>
    </w:p>
    <w:p w:rsidR="00FF6ECA" w:rsidP="00673015" w14:paraId="0129BDF0" w14:textId="77777777">
      <w:pPr>
        <w:spacing w:line="276" w:lineRule="auto"/>
      </w:pPr>
    </w:p>
    <w:p w:rsidR="00A95924" w:rsidP="00A5255F" w14:paraId="36D1D378" w14:textId="5A0FF606">
      <w:pPr>
        <w:spacing w:line="276" w:lineRule="auto"/>
      </w:pPr>
      <w:r>
        <w:t xml:space="preserve">De </w:t>
      </w:r>
      <w:r w:rsidR="00C01C94">
        <w:t>m</w:t>
      </w:r>
      <w:r>
        <w:t>inister van Binnenlandse Zaken en Koninkrijksrelaties</w:t>
      </w:r>
      <w:r>
        <w:rPr>
          <w:i/>
        </w:rPr>
        <w:t>,</w:t>
      </w:r>
    </w:p>
    <w:p w:rsidR="00A95924" w:rsidP="00A5255F" w14:paraId="36D1D379" w14:textId="77777777">
      <w:pPr>
        <w:spacing w:line="276" w:lineRule="auto"/>
      </w:pPr>
    </w:p>
    <w:p w:rsidR="00A95924" w:rsidP="00A5255F" w14:paraId="36D1D37A" w14:textId="77777777">
      <w:pPr>
        <w:spacing w:line="276" w:lineRule="auto"/>
      </w:pPr>
    </w:p>
    <w:p w:rsidR="00A95924" w:rsidP="00A5255F" w14:paraId="36D1D37B" w14:textId="77777777">
      <w:pPr>
        <w:spacing w:line="276" w:lineRule="auto"/>
      </w:pPr>
    </w:p>
    <w:p w:rsidR="00A95924" w:rsidP="00A5255F" w14:paraId="36D1D37C" w14:textId="277782A5">
      <w:pPr>
        <w:spacing w:line="276" w:lineRule="auto"/>
      </w:pPr>
      <w:r>
        <w:br/>
      </w:r>
      <w:r w:rsidR="001C71B6">
        <w:tab/>
      </w:r>
    </w:p>
    <w:p w:rsidR="00A95924" w:rsidP="00A5255F" w14:paraId="36D1D37D" w14:textId="58F5511A">
      <w:pPr>
        <w:spacing w:line="276" w:lineRule="auto"/>
      </w:pPr>
      <w:r>
        <w:t>P</w:t>
      </w:r>
      <w:r w:rsidR="00C01C94">
        <w:t>ieter</w:t>
      </w:r>
      <w:r>
        <w:t xml:space="preserve"> Heerma</w:t>
      </w:r>
    </w:p>
    <w:p w:rsidR="00A95924" w14:paraId="36D1D37F"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9F6" w14:paraId="29692B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5924" w14:paraId="36D1D38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9F6" w14:paraId="57A049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6E52" w14:paraId="1FC457DD" w14:textId="77777777">
      <w:pPr>
        <w:spacing w:line="240" w:lineRule="auto"/>
      </w:pPr>
      <w:r>
        <w:separator/>
      </w:r>
    </w:p>
  </w:footnote>
  <w:footnote w:type="continuationSeparator" w:id="1">
    <w:p w:rsidR="00AA6E52" w14:paraId="1785B783" w14:textId="77777777">
      <w:pPr>
        <w:spacing w:line="240" w:lineRule="auto"/>
      </w:pPr>
      <w:r>
        <w:continuationSeparator/>
      </w:r>
    </w:p>
  </w:footnote>
  <w:footnote w:id="2">
    <w:p w:rsidR="002159C8" w:rsidRPr="00BC13D4" w:rsidP="002159C8" w14:paraId="0DC7C5ED" w14:textId="77777777">
      <w:pPr>
        <w:spacing w:line="240" w:lineRule="auto"/>
        <w:rPr>
          <w:sz w:val="14"/>
          <w:szCs w:val="14"/>
        </w:rPr>
      </w:pPr>
      <w:r w:rsidRPr="00BC13D4">
        <w:rPr>
          <w:rStyle w:val="FootnoteReference"/>
          <w:sz w:val="14"/>
          <w:szCs w:val="14"/>
        </w:rPr>
        <w:footnoteRef/>
      </w:r>
      <w:r w:rsidRPr="001E6D91">
        <w:rPr>
          <w:sz w:val="14"/>
          <w:szCs w:val="14"/>
        </w:rPr>
        <w:t xml:space="preserve"> </w:t>
      </w:r>
      <w:hyperlink r:id="rId1" w:tooltip="Rechtbank Noord-Nederland 12 juni 2026, ECLI:NL:RBNNE:2026:2290" w:history="1">
        <w:r w:rsidRPr="00BC13D4">
          <w:rPr>
            <w:rStyle w:val="Hyperlink"/>
            <w:sz w:val="14"/>
            <w:szCs w:val="14"/>
          </w:rPr>
          <w:t>Rechtbank Noord-Nederland 12 juni 2026, ECLI:NL:RBNNE:2026:2290</w:t>
        </w:r>
      </w:hyperlink>
    </w:p>
    <w:p w:rsidR="002159C8" w:rsidRPr="001E6D91" w:rsidP="002159C8" w14:paraId="4400CE31" w14:textId="77777777">
      <w:pPr>
        <w:spacing w:line="240" w:lineRule="auto"/>
        <w:rPr>
          <w:sz w:val="14"/>
          <w:szCs w:val="14"/>
        </w:rPr>
      </w:pPr>
      <w:r>
        <w:rPr>
          <w:sz w:val="14"/>
          <w:szCs w:val="14"/>
        </w:rPr>
        <w:t xml:space="preserve"> </w:t>
      </w:r>
      <w:r w:rsidRPr="00BC13D4">
        <w:rPr>
          <w:sz w:val="14"/>
          <w:szCs w:val="14"/>
        </w:rPr>
        <w:t xml:space="preserve"> </w:t>
      </w:r>
      <w:hyperlink r:id="rId2" w:tooltip="Rechtbank Noord-Nederland 12 juni 2026, ECLI:NL:RBNNE:2026:2286" w:history="1">
        <w:r w:rsidRPr="00BC13D4">
          <w:rPr>
            <w:rStyle w:val="Hyperlink"/>
            <w:sz w:val="14"/>
            <w:szCs w:val="14"/>
          </w:rPr>
          <w:t>Rechtbank Noord-Nederland 12 juni 2026, ECLI:NL:RBNNE:2026:2286</w:t>
        </w:r>
      </w:hyperlink>
    </w:p>
  </w:footnote>
  <w:footnote w:id="3">
    <w:p w:rsidR="002159C8" w:rsidRPr="00BC13D4" w:rsidP="002159C8" w14:paraId="6DF3175F" w14:textId="77777777">
      <w:pPr>
        <w:spacing w:line="240" w:lineRule="auto"/>
        <w:rPr>
          <w:sz w:val="14"/>
          <w:szCs w:val="14"/>
        </w:rPr>
      </w:pPr>
      <w:r w:rsidRPr="00BC13D4">
        <w:rPr>
          <w:rStyle w:val="FootnoteReference"/>
          <w:sz w:val="14"/>
          <w:szCs w:val="14"/>
        </w:rPr>
        <w:footnoteRef/>
      </w:r>
      <w:r w:rsidRPr="00BC13D4">
        <w:rPr>
          <w:sz w:val="14"/>
          <w:szCs w:val="14"/>
        </w:rPr>
        <w:t xml:space="preserve"> </w:t>
      </w:r>
      <w:r w:rsidRPr="001E6D91">
        <w:rPr>
          <w:sz w:val="14"/>
          <w:szCs w:val="14"/>
        </w:rPr>
        <w:t xml:space="preserve">Uw Kamer is eerder geïnformeerd over het bredere geheel van lopende juridische procedures over de kosten van schadeafhandeling en versterking in Groningen, waaronder procedures waarbij naast NAM ook Shell en </w:t>
      </w:r>
      <w:r w:rsidRPr="001E6D91">
        <w:rPr>
          <w:sz w:val="14"/>
          <w:szCs w:val="14"/>
        </w:rPr>
        <w:t>ExxonMobil</w:t>
      </w:r>
      <w:r w:rsidRPr="001E6D91">
        <w:rPr>
          <w:sz w:val="14"/>
          <w:szCs w:val="14"/>
        </w:rPr>
        <w:t xml:space="preserve"> betrokken zijn (Kamerstukken II 2025/26, 33 529, nr. 1369).</w:t>
      </w:r>
      <w:r w:rsidRPr="00BC13D4">
        <w:rPr>
          <w:sz w:val="14"/>
          <w:szCs w:val="14"/>
        </w:rPr>
        <w:br/>
      </w:r>
    </w:p>
    <w:p w:rsidR="002159C8" w:rsidP="002159C8" w14:paraId="21D49518" w14:textId="77777777">
      <w:pPr>
        <w:pStyle w:val="FootnoteText"/>
      </w:pPr>
    </w:p>
  </w:footnote>
  <w:footnote w:id="4">
    <w:p w:rsidR="00CC1785" w:rsidRPr="00ED3741" w14:paraId="6B3EF023" w14:textId="33CCE949">
      <w:pPr>
        <w:pStyle w:val="FootnoteText"/>
        <w:rPr>
          <w:sz w:val="12"/>
          <w:szCs w:val="12"/>
        </w:rPr>
      </w:pPr>
      <w:r w:rsidRPr="00ED3741">
        <w:rPr>
          <w:rStyle w:val="FootnoteReference"/>
          <w:sz w:val="12"/>
          <w:szCs w:val="12"/>
        </w:rPr>
        <w:footnoteRef/>
      </w:r>
      <w:r w:rsidRPr="00ED3741">
        <w:rPr>
          <w:sz w:val="12"/>
          <w:szCs w:val="12"/>
        </w:rPr>
        <w:t xml:space="preserve"> Dit betreft onder meer de maatstaf van het IMG voor weerlegging van het bewijsvermoeden en hoe het IMG die in de praktijk heeft toegepast. Ook andere beroepsgronden, zoals over het calculatiemodel, de toepassing van leerstukken zoals eigen schuld, en het beroep van NAM op de bescherming van haar eigendomsrecht zoals bepaald in artikel 1 Eerste Protocol van het Europees Verdrag voor de Rechten van de Mens (EVRM), zijn afgewezen.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9F6" w14:paraId="07F8741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5924" w14:paraId="36D1D38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95924" w:rsidP="00CE54AB" w14:textId="35B69EF4">
                          <w:pPr>
                            <w:pStyle w:val="Referentiegegevensbold"/>
                          </w:pPr>
                          <w:r>
                            <w:br/>
                          </w:r>
                        </w:p>
                        <w:p w:rsidR="00A95924" w14:textId="77777777">
                          <w:pPr>
                            <w:pStyle w:val="Referentiegegevensbold"/>
                          </w:pPr>
                          <w:r>
                            <w:t>Onze referentie</w:t>
                          </w:r>
                        </w:p>
                        <w:p w:rsidR="00A95924" w14:textId="01EB6A99">
                          <w:pPr>
                            <w:pStyle w:val="Referentiegegevens"/>
                          </w:pPr>
                          <w:r>
                            <w:fldChar w:fldCharType="begin"/>
                          </w:r>
                          <w:r>
                            <w:instrText xml:space="preserve"> DOCPROPERTY  "Kenmerk"  \* MERGEFORMAT </w:instrText>
                          </w:r>
                          <w:r>
                            <w:fldChar w:fldCharType="separate"/>
                          </w:r>
                          <w:r w:rsidR="00536D17">
                            <w:t>2026-0000285987</w:t>
                          </w:r>
                          <w:r w:rsidR="00536D17">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95924" w:rsidP="00CE54AB" w14:paraId="36D1D3B4" w14:textId="35B69EF4">
                    <w:pPr>
                      <w:pStyle w:val="Referentiegegevensbold"/>
                    </w:pPr>
                    <w:r>
                      <w:br/>
                    </w:r>
                  </w:p>
                  <w:p w:rsidR="00A95924" w14:paraId="36D1D3B6" w14:textId="77777777">
                    <w:pPr>
                      <w:pStyle w:val="Referentiegegevensbold"/>
                    </w:pPr>
                    <w:r>
                      <w:t>Onze referentie</w:t>
                    </w:r>
                  </w:p>
                  <w:p w:rsidR="00A95924" w14:paraId="36D1D3B7" w14:textId="01EB6A99">
                    <w:pPr>
                      <w:pStyle w:val="Referentiegegevens"/>
                    </w:pPr>
                    <w:r>
                      <w:fldChar w:fldCharType="begin"/>
                    </w:r>
                    <w:r>
                      <w:instrText xml:space="preserve"> DOCPROPERTY  "Kenmerk"  \* MERGEFORMAT </w:instrText>
                    </w:r>
                    <w:r>
                      <w:fldChar w:fldCharType="separate"/>
                    </w:r>
                    <w:r w:rsidR="00536D17">
                      <w:t>2026-0000285987</w:t>
                    </w:r>
                    <w:r w:rsidR="00536D17">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6055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6055E" w14:paraId="36D1D3C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222F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222FF" w14:paraId="1CCDE24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5924" w14:paraId="36D1D38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95924" w14:textId="77777777">
                          <w:r>
                            <w:t>Aan de Voorzitter van de Tweede Kamer der Staten-Generaal</w:t>
                          </w:r>
                        </w:p>
                        <w:p w:rsidR="00A95924" w14:textId="77777777">
                          <w:r>
                            <w:t>Postbus 20018</w:t>
                          </w:r>
                        </w:p>
                        <w:p w:rsidR="00A95924" w14:textId="4BF03382">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95924" w14:paraId="36D1D39A" w14:textId="77777777">
                    <w:r>
                      <w:t>Aan de Voorzitter van de Tweede Kamer der Staten-Generaal</w:t>
                    </w:r>
                  </w:p>
                  <w:p w:rsidR="00A95924" w14:paraId="36D1D39B" w14:textId="77777777">
                    <w:r>
                      <w:t>Postbus 20018</w:t>
                    </w:r>
                  </w:p>
                  <w:p w:rsidR="00A95924" w14:paraId="36D1D39C" w14:textId="4BF03382">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5143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14350"/>
                      </a:xfrm>
                      <a:prstGeom prst="rect">
                        <a:avLst/>
                      </a:prstGeom>
                      <a:noFill/>
                    </wps:spPr>
                    <wps:txbx>
                      <w:txbxContent>
                        <w:tbl>
                          <w:tblPr>
                            <w:tblW w:w="0" w:type="auto"/>
                            <w:tblInd w:w="-120" w:type="dxa"/>
                            <w:tblLayout w:type="fixed"/>
                            <w:tblLook w:val="07E0"/>
                          </w:tblPr>
                          <w:tblGrid>
                            <w:gridCol w:w="1140"/>
                            <w:gridCol w:w="5918"/>
                          </w:tblGrid>
                          <w:tr w14:paraId="36D1D3A0" w14:textId="77777777">
                            <w:tblPrEx>
                              <w:tblW w:w="0" w:type="auto"/>
                              <w:tblInd w:w="-120" w:type="dxa"/>
                              <w:tblLayout w:type="fixed"/>
                              <w:tblLook w:val="07E0"/>
                            </w:tblPrEx>
                            <w:trPr>
                              <w:trHeight w:val="240"/>
                            </w:trPr>
                            <w:tc>
                              <w:tcPr>
                                <w:tcW w:w="1140" w:type="dxa"/>
                              </w:tcPr>
                              <w:p w:rsidR="00A95924" w14:textId="77777777">
                                <w:r>
                                  <w:t>Datum</w:t>
                                </w:r>
                              </w:p>
                            </w:tc>
                            <w:tc>
                              <w:tcPr>
                                <w:tcW w:w="5918" w:type="dxa"/>
                              </w:tcPr>
                              <w:p w:rsidR="00A95924" w14:textId="4A1F8177">
                                <w:r>
                                  <w:t>24 juni 2026</w:t>
                                </w:r>
                              </w:p>
                            </w:tc>
                          </w:tr>
                          <w:tr w14:paraId="36D1D3A3" w14:textId="77777777">
                            <w:tblPrEx>
                              <w:tblW w:w="0" w:type="auto"/>
                              <w:tblInd w:w="-120" w:type="dxa"/>
                              <w:tblLayout w:type="fixed"/>
                              <w:tblLook w:val="07E0"/>
                            </w:tblPrEx>
                            <w:trPr>
                              <w:trHeight w:val="240"/>
                            </w:trPr>
                            <w:tc>
                              <w:tcPr>
                                <w:tcW w:w="1140" w:type="dxa"/>
                              </w:tcPr>
                              <w:p w:rsidR="00A95924" w14:textId="77777777">
                                <w:r>
                                  <w:t>Betreft</w:t>
                                </w:r>
                              </w:p>
                            </w:tc>
                            <w:tc>
                              <w:tcPr>
                                <w:tcW w:w="5918" w:type="dxa"/>
                              </w:tcPr>
                              <w:p w:rsidR="00A95924" w14:textId="25918D0A">
                                <w:r>
                                  <w:fldChar w:fldCharType="begin"/>
                                </w:r>
                                <w:r>
                                  <w:instrText xml:space="preserve"> DOCPROPERTY  "Onderwerp"  \* MERGEFORMAT </w:instrText>
                                </w:r>
                                <w:r>
                                  <w:fldChar w:fldCharType="separate"/>
                                </w:r>
                                <w:r w:rsidR="00536D17">
                                  <w:t>Uitspraken beroepsprocedures fysieke schade en waardedaling</w:t>
                                </w:r>
                                <w:r w:rsidR="00536D17">
                                  <w:fldChar w:fldCharType="end"/>
                                </w:r>
                                <w:r w:rsidR="00D0595F">
                                  <w:t xml:space="preserve"> 2020 </w:t>
                                </w:r>
                                <w:r w:rsidR="00B93C5A">
                                  <w:t xml:space="preserve">en </w:t>
                                </w:r>
                                <w:r w:rsidR="00D0595F">
                                  <w:t>2021</w:t>
                                </w:r>
                              </w:p>
                            </w:tc>
                          </w:tr>
                        </w:tbl>
                        <w:p w:rsidR="00A6055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0.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36D1D39F" w14:textId="77777777">
                      <w:tblPrEx>
                        <w:tblW w:w="0" w:type="auto"/>
                        <w:tblInd w:w="-120" w:type="dxa"/>
                        <w:tblLayout w:type="fixed"/>
                        <w:tblLook w:val="07E0"/>
                      </w:tblPrEx>
                      <w:trPr>
                        <w:trHeight w:val="240"/>
                      </w:trPr>
                      <w:tc>
                        <w:tcPr>
                          <w:tcW w:w="1140" w:type="dxa"/>
                        </w:tcPr>
                        <w:p w:rsidR="00A95924" w14:paraId="36D1D39D" w14:textId="77777777">
                          <w:r>
                            <w:t>Datum</w:t>
                          </w:r>
                        </w:p>
                      </w:tc>
                      <w:tc>
                        <w:tcPr>
                          <w:tcW w:w="5918" w:type="dxa"/>
                        </w:tcPr>
                        <w:p w:rsidR="00A95924" w14:paraId="36D1D39E" w14:textId="4A1F8177">
                          <w:r>
                            <w:t>24 juni 2026</w:t>
                          </w:r>
                        </w:p>
                      </w:tc>
                    </w:tr>
                    <w:tr w14:paraId="36D1D3A2" w14:textId="77777777">
                      <w:tblPrEx>
                        <w:tblW w:w="0" w:type="auto"/>
                        <w:tblInd w:w="-120" w:type="dxa"/>
                        <w:tblLayout w:type="fixed"/>
                        <w:tblLook w:val="07E0"/>
                      </w:tblPrEx>
                      <w:trPr>
                        <w:trHeight w:val="240"/>
                      </w:trPr>
                      <w:tc>
                        <w:tcPr>
                          <w:tcW w:w="1140" w:type="dxa"/>
                        </w:tcPr>
                        <w:p w:rsidR="00A95924" w14:paraId="36D1D3A0" w14:textId="77777777">
                          <w:r>
                            <w:t>Betreft</w:t>
                          </w:r>
                        </w:p>
                      </w:tc>
                      <w:tc>
                        <w:tcPr>
                          <w:tcW w:w="5918" w:type="dxa"/>
                        </w:tcPr>
                        <w:p w:rsidR="00A95924" w14:paraId="36D1D3A1" w14:textId="25918D0A">
                          <w:r>
                            <w:fldChar w:fldCharType="begin"/>
                          </w:r>
                          <w:r>
                            <w:instrText xml:space="preserve"> DOCPROPERTY  "Onderwerp"  \* MERGEFORMAT </w:instrText>
                          </w:r>
                          <w:r>
                            <w:fldChar w:fldCharType="separate"/>
                          </w:r>
                          <w:r w:rsidR="00536D17">
                            <w:t>Uitspraken beroepsprocedures fysieke schade en waardedaling</w:t>
                          </w:r>
                          <w:r w:rsidR="00536D17">
                            <w:fldChar w:fldCharType="end"/>
                          </w:r>
                          <w:r w:rsidR="00D0595F">
                            <w:t xml:space="preserve"> 2020 </w:t>
                          </w:r>
                          <w:r w:rsidR="00B93C5A">
                            <w:t xml:space="preserve">en </w:t>
                          </w:r>
                          <w:r w:rsidR="00D0595F">
                            <w:t>2021</w:t>
                          </w:r>
                        </w:p>
                      </w:tc>
                    </w:tr>
                  </w:tbl>
                  <w:p w:rsidR="00A6055E" w14:paraId="36D1D3BA"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95924" w:rsidRPr="00D0595F" w14:textId="77777777">
                          <w:pPr>
                            <w:pStyle w:val="Referentiegegevens"/>
                            <w:rPr>
                              <w:lang w:val="de-DE"/>
                            </w:rPr>
                          </w:pPr>
                          <w:r w:rsidRPr="00D0595F">
                            <w:rPr>
                              <w:lang w:val="de-DE"/>
                            </w:rPr>
                            <w:t>Turfmarkt</w:t>
                          </w:r>
                          <w:r w:rsidRPr="00D0595F">
                            <w:rPr>
                              <w:lang w:val="de-DE"/>
                            </w:rPr>
                            <w:t xml:space="preserve"> 147</w:t>
                          </w:r>
                        </w:p>
                        <w:p w:rsidR="00A95924" w:rsidRPr="00D0595F" w14:textId="77777777">
                          <w:pPr>
                            <w:pStyle w:val="Referentiegegevens"/>
                            <w:rPr>
                              <w:lang w:val="de-DE"/>
                            </w:rPr>
                          </w:pPr>
                          <w:r w:rsidRPr="00D0595F">
                            <w:rPr>
                              <w:lang w:val="de-DE"/>
                            </w:rPr>
                            <w:t>2511 DP Den Haag</w:t>
                          </w:r>
                        </w:p>
                        <w:p w:rsidR="00A95924" w:rsidRPr="00D0595F" w14:textId="77777777">
                          <w:pPr>
                            <w:pStyle w:val="Referentiegegevens"/>
                            <w:rPr>
                              <w:lang w:val="de-DE"/>
                            </w:rPr>
                          </w:pPr>
                          <w:r w:rsidRPr="00D0595F">
                            <w:rPr>
                              <w:lang w:val="de-DE"/>
                            </w:rPr>
                            <w:t>Postbus 20011</w:t>
                          </w:r>
                        </w:p>
                        <w:p w:rsidR="00A95924" w14:textId="77777777">
                          <w:pPr>
                            <w:pStyle w:val="Referentiegegevens"/>
                          </w:pPr>
                          <w:r>
                            <w:t>2500 EA  Den Haag</w:t>
                          </w:r>
                        </w:p>
                        <w:p w:rsidR="00A95924" w14:textId="77777777">
                          <w:pPr>
                            <w:pStyle w:val="WitregelW2"/>
                          </w:pPr>
                        </w:p>
                        <w:p w:rsidR="00A95924" w14:textId="77777777">
                          <w:pPr>
                            <w:pStyle w:val="Referentiegegevensbold"/>
                          </w:pPr>
                          <w:r>
                            <w:t>Onze referentie</w:t>
                          </w:r>
                        </w:p>
                        <w:p w:rsidR="00A95924" w14:textId="3606337C">
                          <w:pPr>
                            <w:pStyle w:val="Referentiegegevens"/>
                          </w:pPr>
                          <w:r>
                            <w:fldChar w:fldCharType="begin"/>
                          </w:r>
                          <w:r>
                            <w:instrText xml:space="preserve"> DOCPROPERTY  "Kenmerk"  \* MERGEFORMAT </w:instrText>
                          </w:r>
                          <w:r>
                            <w:fldChar w:fldCharType="separate"/>
                          </w:r>
                          <w:r w:rsidR="00536D17">
                            <w:t>2026-0000285987</w:t>
                          </w:r>
                          <w:r w:rsidR="00536D17">
                            <w:fldChar w:fldCharType="end"/>
                          </w:r>
                        </w:p>
                        <w:p w:rsidR="00A95924" w14:textId="77777777">
                          <w:pPr>
                            <w:pStyle w:val="WitregelW1"/>
                          </w:pPr>
                        </w:p>
                        <w:p w:rsidR="00A95924" w14:textId="77777777">
                          <w:pPr>
                            <w:pStyle w:val="Referentiegegevensbold"/>
                          </w:pPr>
                          <w:r>
                            <w:t>Bijlage(n)</w:t>
                          </w:r>
                        </w:p>
                        <w:p w:rsidR="00A95924" w14:textId="4C125E89">
                          <w:pPr>
                            <w:pStyle w:val="Referentiegegevens"/>
                          </w:pPr>
                          <w:r>
                            <w:t>0</w:t>
                          </w:r>
                        </w:p>
                        <w:p w:rsidR="00A95924" w14:textId="77777777">
                          <w:pPr>
                            <w:pStyle w:val="WitregelW2"/>
                          </w:pPr>
                        </w:p>
                        <w:p w:rsidR="00A95924"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95924" w:rsidRPr="00D0595F" w14:paraId="36D1D3A3" w14:textId="77777777">
                    <w:pPr>
                      <w:pStyle w:val="Referentiegegevens"/>
                      <w:rPr>
                        <w:lang w:val="de-DE"/>
                      </w:rPr>
                    </w:pPr>
                    <w:r w:rsidRPr="00D0595F">
                      <w:rPr>
                        <w:lang w:val="de-DE"/>
                      </w:rPr>
                      <w:t>Turfmarkt</w:t>
                    </w:r>
                    <w:r w:rsidRPr="00D0595F">
                      <w:rPr>
                        <w:lang w:val="de-DE"/>
                      </w:rPr>
                      <w:t xml:space="preserve"> 147</w:t>
                    </w:r>
                  </w:p>
                  <w:p w:rsidR="00A95924" w:rsidRPr="00D0595F" w14:paraId="36D1D3A4" w14:textId="77777777">
                    <w:pPr>
                      <w:pStyle w:val="Referentiegegevens"/>
                      <w:rPr>
                        <w:lang w:val="de-DE"/>
                      </w:rPr>
                    </w:pPr>
                    <w:r w:rsidRPr="00D0595F">
                      <w:rPr>
                        <w:lang w:val="de-DE"/>
                      </w:rPr>
                      <w:t>2511 DP Den Haag</w:t>
                    </w:r>
                  </w:p>
                  <w:p w:rsidR="00A95924" w:rsidRPr="00D0595F" w14:paraId="36D1D3A5" w14:textId="77777777">
                    <w:pPr>
                      <w:pStyle w:val="Referentiegegevens"/>
                      <w:rPr>
                        <w:lang w:val="de-DE"/>
                      </w:rPr>
                    </w:pPr>
                    <w:r w:rsidRPr="00D0595F">
                      <w:rPr>
                        <w:lang w:val="de-DE"/>
                      </w:rPr>
                      <w:t>Postbus 20011</w:t>
                    </w:r>
                  </w:p>
                  <w:p w:rsidR="00A95924" w14:paraId="36D1D3A6" w14:textId="77777777">
                    <w:pPr>
                      <w:pStyle w:val="Referentiegegevens"/>
                    </w:pPr>
                    <w:r>
                      <w:t>2500 EA  Den Haag</w:t>
                    </w:r>
                  </w:p>
                  <w:p w:rsidR="00A95924" w14:paraId="36D1D3A7" w14:textId="77777777">
                    <w:pPr>
                      <w:pStyle w:val="WitregelW2"/>
                    </w:pPr>
                  </w:p>
                  <w:p w:rsidR="00A95924" w14:paraId="36D1D3A8" w14:textId="77777777">
                    <w:pPr>
                      <w:pStyle w:val="Referentiegegevensbold"/>
                    </w:pPr>
                    <w:r>
                      <w:t>Onze referentie</w:t>
                    </w:r>
                  </w:p>
                  <w:p w:rsidR="00A95924" w14:paraId="36D1D3A9" w14:textId="3606337C">
                    <w:pPr>
                      <w:pStyle w:val="Referentiegegevens"/>
                    </w:pPr>
                    <w:r>
                      <w:fldChar w:fldCharType="begin"/>
                    </w:r>
                    <w:r>
                      <w:instrText xml:space="preserve"> DOCPROPERTY  "Kenmerk"  \* MERGEFORMAT </w:instrText>
                    </w:r>
                    <w:r>
                      <w:fldChar w:fldCharType="separate"/>
                    </w:r>
                    <w:r w:rsidR="00536D17">
                      <w:t>2026-0000285987</w:t>
                    </w:r>
                    <w:r w:rsidR="00536D17">
                      <w:fldChar w:fldCharType="end"/>
                    </w:r>
                  </w:p>
                  <w:p w:rsidR="00A95924" w14:paraId="36D1D3AA" w14:textId="77777777">
                    <w:pPr>
                      <w:pStyle w:val="WitregelW1"/>
                    </w:pPr>
                  </w:p>
                  <w:p w:rsidR="00A95924" w14:paraId="36D1D3AB" w14:textId="77777777">
                    <w:pPr>
                      <w:pStyle w:val="Referentiegegevensbold"/>
                    </w:pPr>
                    <w:r>
                      <w:t>Bijlage(n)</w:t>
                    </w:r>
                  </w:p>
                  <w:p w:rsidR="00A95924" w14:paraId="36D1D3AC" w14:textId="4C125E89">
                    <w:pPr>
                      <w:pStyle w:val="Referentiegegevens"/>
                    </w:pPr>
                    <w:r>
                      <w:t>0</w:t>
                    </w:r>
                  </w:p>
                  <w:p w:rsidR="00A95924" w14:paraId="36D1D3AD" w14:textId="77777777">
                    <w:pPr>
                      <w:pStyle w:val="WitregelW2"/>
                    </w:pPr>
                  </w:p>
                  <w:p w:rsidR="00A95924" w14:paraId="36D1D3AE"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6055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6055E" w14:paraId="36D1D3BD"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222F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222FF" w14:paraId="528B08D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95924" w14:textId="77777777">
                          <w:pPr>
                            <w:spacing w:line="240" w:lineRule="auto"/>
                          </w:pPr>
                          <w:r>
                            <w:rPr>
                              <w:noProof/>
                            </w:rPr>
                            <w:drawing>
                              <wp:inline distT="0" distB="0" distL="0" distR="0">
                                <wp:extent cx="467995" cy="1583865"/>
                                <wp:effectExtent l="0" t="0" r="0" b="0"/>
                                <wp:docPr id="127881956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7881956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95924" w14:paraId="36D1D3B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95924" w14:textId="77777777">
                          <w:pPr>
                            <w:spacing w:line="240" w:lineRule="auto"/>
                          </w:pPr>
                          <w:r>
                            <w:rPr>
                              <w:noProof/>
                            </w:rPr>
                            <w:drawing>
                              <wp:inline distT="0" distB="0" distL="0" distR="0">
                                <wp:extent cx="2339975" cy="1582834"/>
                                <wp:effectExtent l="0" t="0" r="0" b="0"/>
                                <wp:docPr id="192416416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92416416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95924" w14:paraId="36D1D3B1"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9592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95924" w14:paraId="36D1D3B2"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7791842"/>
    <w:multiLevelType w:val="multilevel"/>
    <w:tmpl w:val="8826EE6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88E62D7"/>
    <w:multiLevelType w:val="multilevel"/>
    <w:tmpl w:val="9D7B12D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40DD59CB"/>
    <w:multiLevelType w:val="multilevel"/>
    <w:tmpl w:val="1826A08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70E312C3"/>
    <w:multiLevelType w:val="multilevel"/>
    <w:tmpl w:val="23FE645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967463195">
    <w:abstractNumId w:val="3"/>
  </w:num>
  <w:num w:numId="2" w16cid:durableId="2038000824">
    <w:abstractNumId w:val="1"/>
  </w:num>
  <w:num w:numId="3" w16cid:durableId="424962075">
    <w:abstractNumId w:val="2"/>
  </w:num>
  <w:num w:numId="4" w16cid:durableId="36544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924"/>
    <w:rsid w:val="000130DC"/>
    <w:rsid w:val="000131D6"/>
    <w:rsid w:val="00026EC5"/>
    <w:rsid w:val="00033F1B"/>
    <w:rsid w:val="000401F6"/>
    <w:rsid w:val="0004072B"/>
    <w:rsid w:val="00041058"/>
    <w:rsid w:val="000444C1"/>
    <w:rsid w:val="00077718"/>
    <w:rsid w:val="00077B63"/>
    <w:rsid w:val="000876E3"/>
    <w:rsid w:val="00096A6C"/>
    <w:rsid w:val="000A00AA"/>
    <w:rsid w:val="000B270D"/>
    <w:rsid w:val="000F1E44"/>
    <w:rsid w:val="000F6307"/>
    <w:rsid w:val="00102AE5"/>
    <w:rsid w:val="00102D77"/>
    <w:rsid w:val="00103D11"/>
    <w:rsid w:val="001074A1"/>
    <w:rsid w:val="0011351D"/>
    <w:rsid w:val="00124A30"/>
    <w:rsid w:val="00147536"/>
    <w:rsid w:val="001661EB"/>
    <w:rsid w:val="00167E19"/>
    <w:rsid w:val="0019182E"/>
    <w:rsid w:val="00195486"/>
    <w:rsid w:val="001B16D6"/>
    <w:rsid w:val="001B5240"/>
    <w:rsid w:val="001C167E"/>
    <w:rsid w:val="001C2065"/>
    <w:rsid w:val="001C71B6"/>
    <w:rsid w:val="001D42E2"/>
    <w:rsid w:val="001E6D91"/>
    <w:rsid w:val="001F2DC3"/>
    <w:rsid w:val="001F6470"/>
    <w:rsid w:val="001F6FD7"/>
    <w:rsid w:val="00202FFE"/>
    <w:rsid w:val="0020652C"/>
    <w:rsid w:val="0021467E"/>
    <w:rsid w:val="002159C8"/>
    <w:rsid w:val="00227485"/>
    <w:rsid w:val="00250F9B"/>
    <w:rsid w:val="00252098"/>
    <w:rsid w:val="00257E9A"/>
    <w:rsid w:val="00274E94"/>
    <w:rsid w:val="00283742"/>
    <w:rsid w:val="002904FB"/>
    <w:rsid w:val="002966C6"/>
    <w:rsid w:val="00297CEE"/>
    <w:rsid w:val="002C24E5"/>
    <w:rsid w:val="002C7ADE"/>
    <w:rsid w:val="002D2598"/>
    <w:rsid w:val="002E6570"/>
    <w:rsid w:val="002F332C"/>
    <w:rsid w:val="00300B3B"/>
    <w:rsid w:val="00311265"/>
    <w:rsid w:val="0031494C"/>
    <w:rsid w:val="00317891"/>
    <w:rsid w:val="00330D7F"/>
    <w:rsid w:val="00380E71"/>
    <w:rsid w:val="00390878"/>
    <w:rsid w:val="003952DB"/>
    <w:rsid w:val="003A1435"/>
    <w:rsid w:val="003A586E"/>
    <w:rsid w:val="003C6387"/>
    <w:rsid w:val="003E59F6"/>
    <w:rsid w:val="003F7E72"/>
    <w:rsid w:val="003F7E97"/>
    <w:rsid w:val="004015A4"/>
    <w:rsid w:val="00404C6E"/>
    <w:rsid w:val="00434915"/>
    <w:rsid w:val="00441CC1"/>
    <w:rsid w:val="00470716"/>
    <w:rsid w:val="00473E90"/>
    <w:rsid w:val="00490596"/>
    <w:rsid w:val="004B3B3A"/>
    <w:rsid w:val="004B4F47"/>
    <w:rsid w:val="004C2742"/>
    <w:rsid w:val="004C29EC"/>
    <w:rsid w:val="004C3ACA"/>
    <w:rsid w:val="004E454B"/>
    <w:rsid w:val="004E72DA"/>
    <w:rsid w:val="00507FFC"/>
    <w:rsid w:val="00536D17"/>
    <w:rsid w:val="0054128D"/>
    <w:rsid w:val="00547BE4"/>
    <w:rsid w:val="00560942"/>
    <w:rsid w:val="00561A17"/>
    <w:rsid w:val="00566790"/>
    <w:rsid w:val="005828E9"/>
    <w:rsid w:val="00584F89"/>
    <w:rsid w:val="00594E04"/>
    <w:rsid w:val="00594EEE"/>
    <w:rsid w:val="005A70AC"/>
    <w:rsid w:val="005C66AA"/>
    <w:rsid w:val="005D35E7"/>
    <w:rsid w:val="005D5D31"/>
    <w:rsid w:val="005D71F8"/>
    <w:rsid w:val="005E001C"/>
    <w:rsid w:val="005F0A07"/>
    <w:rsid w:val="005F3A99"/>
    <w:rsid w:val="00605CFC"/>
    <w:rsid w:val="00610E48"/>
    <w:rsid w:val="00614DBD"/>
    <w:rsid w:val="00633026"/>
    <w:rsid w:val="0064340B"/>
    <w:rsid w:val="00660D24"/>
    <w:rsid w:val="00673015"/>
    <w:rsid w:val="0067473D"/>
    <w:rsid w:val="00676E31"/>
    <w:rsid w:val="00695557"/>
    <w:rsid w:val="00696997"/>
    <w:rsid w:val="006A4ADC"/>
    <w:rsid w:val="006B640A"/>
    <w:rsid w:val="006C3B29"/>
    <w:rsid w:val="006E0E08"/>
    <w:rsid w:val="006E5171"/>
    <w:rsid w:val="006E5C1A"/>
    <w:rsid w:val="00700FFB"/>
    <w:rsid w:val="00701491"/>
    <w:rsid w:val="007344BB"/>
    <w:rsid w:val="00756F82"/>
    <w:rsid w:val="00767E55"/>
    <w:rsid w:val="00771F74"/>
    <w:rsid w:val="00773EA1"/>
    <w:rsid w:val="00782CE4"/>
    <w:rsid w:val="00782FAB"/>
    <w:rsid w:val="0078616C"/>
    <w:rsid w:val="007866A2"/>
    <w:rsid w:val="00787A3B"/>
    <w:rsid w:val="00787AD4"/>
    <w:rsid w:val="007B100C"/>
    <w:rsid w:val="007C3D25"/>
    <w:rsid w:val="007E7B0D"/>
    <w:rsid w:val="007F183D"/>
    <w:rsid w:val="007F437B"/>
    <w:rsid w:val="00804CC0"/>
    <w:rsid w:val="00805FD6"/>
    <w:rsid w:val="008062C2"/>
    <w:rsid w:val="008132A0"/>
    <w:rsid w:val="00821DE3"/>
    <w:rsid w:val="008313A6"/>
    <w:rsid w:val="00840842"/>
    <w:rsid w:val="008454E4"/>
    <w:rsid w:val="00854407"/>
    <w:rsid w:val="008565BC"/>
    <w:rsid w:val="00856C9A"/>
    <w:rsid w:val="00862F5C"/>
    <w:rsid w:val="0087508D"/>
    <w:rsid w:val="008874A3"/>
    <w:rsid w:val="00895CA9"/>
    <w:rsid w:val="008A240E"/>
    <w:rsid w:val="008B27B2"/>
    <w:rsid w:val="008B5061"/>
    <w:rsid w:val="008B6260"/>
    <w:rsid w:val="008C05E1"/>
    <w:rsid w:val="00907D6A"/>
    <w:rsid w:val="00907FF4"/>
    <w:rsid w:val="009245B1"/>
    <w:rsid w:val="00933529"/>
    <w:rsid w:val="00946DC2"/>
    <w:rsid w:val="009478D8"/>
    <w:rsid w:val="009553CE"/>
    <w:rsid w:val="00962AB2"/>
    <w:rsid w:val="0098784A"/>
    <w:rsid w:val="009945FC"/>
    <w:rsid w:val="009959CC"/>
    <w:rsid w:val="009A0A37"/>
    <w:rsid w:val="00A072E7"/>
    <w:rsid w:val="00A21C59"/>
    <w:rsid w:val="00A5255F"/>
    <w:rsid w:val="00A551E2"/>
    <w:rsid w:val="00A6055E"/>
    <w:rsid w:val="00A70943"/>
    <w:rsid w:val="00A95924"/>
    <w:rsid w:val="00A95966"/>
    <w:rsid w:val="00AA0280"/>
    <w:rsid w:val="00AA6E52"/>
    <w:rsid w:val="00AB2C56"/>
    <w:rsid w:val="00AB7A93"/>
    <w:rsid w:val="00AD00A7"/>
    <w:rsid w:val="00AD13E6"/>
    <w:rsid w:val="00AE6F04"/>
    <w:rsid w:val="00AF16CC"/>
    <w:rsid w:val="00AF64C6"/>
    <w:rsid w:val="00AF7DAE"/>
    <w:rsid w:val="00B026ED"/>
    <w:rsid w:val="00B222FF"/>
    <w:rsid w:val="00B45C6D"/>
    <w:rsid w:val="00B4661D"/>
    <w:rsid w:val="00B77C66"/>
    <w:rsid w:val="00B92D58"/>
    <w:rsid w:val="00B93C5A"/>
    <w:rsid w:val="00BA3DA9"/>
    <w:rsid w:val="00BB4BE8"/>
    <w:rsid w:val="00BC0848"/>
    <w:rsid w:val="00BC13D4"/>
    <w:rsid w:val="00BC223D"/>
    <w:rsid w:val="00BD5A98"/>
    <w:rsid w:val="00BF78BE"/>
    <w:rsid w:val="00C01C94"/>
    <w:rsid w:val="00C147E1"/>
    <w:rsid w:val="00C15238"/>
    <w:rsid w:val="00C22176"/>
    <w:rsid w:val="00C23D42"/>
    <w:rsid w:val="00C65BFC"/>
    <w:rsid w:val="00C70384"/>
    <w:rsid w:val="00C902BE"/>
    <w:rsid w:val="00CA44E6"/>
    <w:rsid w:val="00CA4C0F"/>
    <w:rsid w:val="00CC1785"/>
    <w:rsid w:val="00CC4A03"/>
    <w:rsid w:val="00CC6201"/>
    <w:rsid w:val="00CE54AB"/>
    <w:rsid w:val="00CF109E"/>
    <w:rsid w:val="00CF26AB"/>
    <w:rsid w:val="00D0218A"/>
    <w:rsid w:val="00D0595F"/>
    <w:rsid w:val="00D0766D"/>
    <w:rsid w:val="00D1760B"/>
    <w:rsid w:val="00D2730C"/>
    <w:rsid w:val="00D377F6"/>
    <w:rsid w:val="00D557FE"/>
    <w:rsid w:val="00D60E98"/>
    <w:rsid w:val="00D70142"/>
    <w:rsid w:val="00D71CEB"/>
    <w:rsid w:val="00D92480"/>
    <w:rsid w:val="00D9274C"/>
    <w:rsid w:val="00D92A8A"/>
    <w:rsid w:val="00DC31E4"/>
    <w:rsid w:val="00DE615F"/>
    <w:rsid w:val="00DF6094"/>
    <w:rsid w:val="00E10945"/>
    <w:rsid w:val="00E14060"/>
    <w:rsid w:val="00E17B2E"/>
    <w:rsid w:val="00E20224"/>
    <w:rsid w:val="00E2771E"/>
    <w:rsid w:val="00E40C7C"/>
    <w:rsid w:val="00E633C3"/>
    <w:rsid w:val="00E775F3"/>
    <w:rsid w:val="00E842A3"/>
    <w:rsid w:val="00E86F32"/>
    <w:rsid w:val="00E87353"/>
    <w:rsid w:val="00EA45F1"/>
    <w:rsid w:val="00EA4AA7"/>
    <w:rsid w:val="00EB2936"/>
    <w:rsid w:val="00EB6B0A"/>
    <w:rsid w:val="00EC6AB9"/>
    <w:rsid w:val="00EC7B50"/>
    <w:rsid w:val="00ED23FD"/>
    <w:rsid w:val="00ED3741"/>
    <w:rsid w:val="00ED38C5"/>
    <w:rsid w:val="00EF155C"/>
    <w:rsid w:val="00F01FF4"/>
    <w:rsid w:val="00F12EF0"/>
    <w:rsid w:val="00F1539E"/>
    <w:rsid w:val="00F352E9"/>
    <w:rsid w:val="00F51729"/>
    <w:rsid w:val="00F5297C"/>
    <w:rsid w:val="00F67AF4"/>
    <w:rsid w:val="00F71CEA"/>
    <w:rsid w:val="00F71E64"/>
    <w:rsid w:val="00F85D1D"/>
    <w:rsid w:val="00F8742C"/>
    <w:rsid w:val="00F90426"/>
    <w:rsid w:val="00FA3FE7"/>
    <w:rsid w:val="00FA4D0F"/>
    <w:rsid w:val="00FD6509"/>
    <w:rsid w:val="00FF6EC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6D1D370"/>
  <w15:docId w15:val="{DF38FAC4-0D7F-436B-9540-C6B2F92B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0595F"/>
    <w:pPr>
      <w:tabs>
        <w:tab w:val="center" w:pos="4536"/>
        <w:tab w:val="right" w:pos="9072"/>
      </w:tabs>
      <w:spacing w:line="240" w:lineRule="auto"/>
    </w:pPr>
  </w:style>
  <w:style w:type="character" w:customStyle="1" w:styleId="KoptekstChar">
    <w:name w:val="Koptekst Char"/>
    <w:basedOn w:val="DefaultParagraphFont"/>
    <w:link w:val="Header"/>
    <w:uiPriority w:val="99"/>
    <w:rsid w:val="00D0595F"/>
    <w:rPr>
      <w:rFonts w:ascii="Verdana" w:hAnsi="Verdana"/>
      <w:color w:val="000000"/>
      <w:sz w:val="18"/>
      <w:szCs w:val="18"/>
    </w:rPr>
  </w:style>
  <w:style w:type="paragraph" w:styleId="Footer">
    <w:name w:val="footer"/>
    <w:basedOn w:val="Normal"/>
    <w:link w:val="VoettekstChar"/>
    <w:uiPriority w:val="99"/>
    <w:unhideWhenUsed/>
    <w:rsid w:val="00D0595F"/>
    <w:pPr>
      <w:tabs>
        <w:tab w:val="center" w:pos="4536"/>
        <w:tab w:val="right" w:pos="9072"/>
      </w:tabs>
      <w:spacing w:line="240" w:lineRule="auto"/>
    </w:pPr>
  </w:style>
  <w:style w:type="character" w:customStyle="1" w:styleId="VoettekstChar">
    <w:name w:val="Voettekst Char"/>
    <w:basedOn w:val="DefaultParagraphFont"/>
    <w:link w:val="Footer"/>
    <w:uiPriority w:val="99"/>
    <w:rsid w:val="00D0595F"/>
    <w:rPr>
      <w:rFonts w:ascii="Verdana" w:hAnsi="Verdana"/>
      <w:color w:val="000000"/>
      <w:sz w:val="18"/>
      <w:szCs w:val="18"/>
    </w:rPr>
  </w:style>
  <w:style w:type="character" w:styleId="CommentReference">
    <w:name w:val="annotation reference"/>
    <w:basedOn w:val="DefaultParagraphFont"/>
    <w:uiPriority w:val="99"/>
    <w:semiHidden/>
    <w:unhideWhenUsed/>
    <w:rsid w:val="00A5255F"/>
    <w:rPr>
      <w:sz w:val="16"/>
      <w:szCs w:val="16"/>
    </w:rPr>
  </w:style>
  <w:style w:type="paragraph" w:styleId="CommentText">
    <w:name w:val="annotation text"/>
    <w:basedOn w:val="Normal"/>
    <w:link w:val="TekstopmerkingChar"/>
    <w:uiPriority w:val="99"/>
    <w:unhideWhenUsed/>
    <w:rsid w:val="00A5255F"/>
    <w:pPr>
      <w:spacing w:line="240" w:lineRule="auto"/>
    </w:pPr>
    <w:rPr>
      <w:sz w:val="20"/>
      <w:szCs w:val="20"/>
    </w:rPr>
  </w:style>
  <w:style w:type="character" w:customStyle="1" w:styleId="TekstopmerkingChar">
    <w:name w:val="Tekst opmerking Char"/>
    <w:basedOn w:val="DefaultParagraphFont"/>
    <w:link w:val="CommentText"/>
    <w:uiPriority w:val="99"/>
    <w:rsid w:val="00A5255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5255F"/>
    <w:rPr>
      <w:b/>
      <w:bCs/>
    </w:rPr>
  </w:style>
  <w:style w:type="character" w:customStyle="1" w:styleId="OnderwerpvanopmerkingChar">
    <w:name w:val="Onderwerp van opmerking Char"/>
    <w:basedOn w:val="TekstopmerkingChar"/>
    <w:link w:val="CommentSubject"/>
    <w:uiPriority w:val="99"/>
    <w:semiHidden/>
    <w:rsid w:val="00A5255F"/>
    <w:rPr>
      <w:rFonts w:ascii="Verdana" w:hAnsi="Verdana"/>
      <w:b/>
      <w:bCs/>
      <w:color w:val="000000"/>
    </w:rPr>
  </w:style>
  <w:style w:type="paragraph" w:styleId="Revision">
    <w:name w:val="Revision"/>
    <w:hidden/>
    <w:uiPriority w:val="99"/>
    <w:semiHidden/>
    <w:rsid w:val="00CA4C0F"/>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6E0E08"/>
    <w:rPr>
      <w:rFonts w:ascii="Times New Roman" w:hAnsi="Times New Roman" w:cs="Times New Roman"/>
      <w:sz w:val="24"/>
      <w:szCs w:val="24"/>
    </w:rPr>
  </w:style>
  <w:style w:type="paragraph" w:styleId="FootnoteText">
    <w:name w:val="footnote text"/>
    <w:basedOn w:val="Normal"/>
    <w:link w:val="VoetnoottekstChar"/>
    <w:uiPriority w:val="99"/>
    <w:semiHidden/>
    <w:unhideWhenUsed/>
    <w:rsid w:val="0011351D"/>
    <w:pPr>
      <w:spacing w:line="240" w:lineRule="auto"/>
    </w:pPr>
    <w:rPr>
      <w:sz w:val="20"/>
      <w:szCs w:val="20"/>
    </w:rPr>
  </w:style>
  <w:style w:type="character" w:customStyle="1" w:styleId="VoetnoottekstChar">
    <w:name w:val="Voetnoottekst Char"/>
    <w:basedOn w:val="DefaultParagraphFont"/>
    <w:link w:val="FootnoteText"/>
    <w:uiPriority w:val="99"/>
    <w:semiHidden/>
    <w:rsid w:val="0011351D"/>
    <w:rPr>
      <w:rFonts w:ascii="Verdana" w:hAnsi="Verdana"/>
      <w:color w:val="000000"/>
    </w:rPr>
  </w:style>
  <w:style w:type="character" w:styleId="FootnoteReference">
    <w:name w:val="footnote reference"/>
    <w:basedOn w:val="DefaultParagraphFont"/>
    <w:uiPriority w:val="99"/>
    <w:semiHidden/>
    <w:unhideWhenUsed/>
    <w:rsid w:val="001135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deeplink.rechtspraak.nl/uitspraak?id=ECLI:NL:RBNNE:2026:2290" TargetMode="External" /><Relationship Id="rId2" Type="http://schemas.openxmlformats.org/officeDocument/2006/relationships/hyperlink" Target="https://deeplink.rechtspraak.nl/uitspraak?id=ECLI:NL:RBNNE:2026:2286"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750</ap:Words>
  <ap:Characters>4125</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aan Parlement - Uitspraken beroepsprocedures fysieke schade en waardedaling</vt:lpstr>
    </vt:vector>
  </ap:TitlesOfParts>
  <ap:LinksUpToDate>false</ap:LinksUpToDate>
  <ap:CharactersWithSpaces>4866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2026-06-24T10:36:00.0000000Z</dcterms:created>
  <dcterms:modified xsi:type="dcterms:W3CDTF">2026-06-24T10:36:00.0000000Z</dcterms:modified>
  <dc:creator/>
  <lastModifiedBy/>
  <dc:description>------------------------</dc:description>
  <dc:subject/>
  <keywords/>
  <version/>
  <category/>
</coreProperties>
</file>