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739" w:rsidP="00A07739" w:rsidRDefault="00A07739" w14:paraId="5F1D8674" w14:textId="6D7A7D95">
      <w:r>
        <w:t>AH 2352</w:t>
      </w:r>
    </w:p>
    <w:p w:rsidR="00A07739" w:rsidP="00A07739" w:rsidRDefault="00A07739" w14:paraId="5ABCC48F" w14:textId="13306FE1">
      <w:r>
        <w:t>2026Z10207</w:t>
      </w:r>
    </w:p>
    <w:p w:rsidR="00A07739" w:rsidP="00A07739" w:rsidRDefault="00A07739" w14:paraId="02F653D9" w14:textId="4B39D231">
      <w:r w:rsidRPr="00D25B3E">
        <w:rPr>
          <w:sz w:val="24"/>
          <w:szCs w:val="24"/>
        </w:rPr>
        <w:t>Antwoord van minister Van Veldhoven-van der Meer (Klimaat en Groene Groei) (ontvangen</w:t>
      </w:r>
      <w:r>
        <w:rPr>
          <w:sz w:val="24"/>
          <w:szCs w:val="24"/>
        </w:rPr>
        <w:t xml:space="preserve">  24 juni 2026)</w:t>
      </w:r>
    </w:p>
    <w:p w:rsidR="00A07739" w:rsidP="00A07739" w:rsidRDefault="00A07739" w14:paraId="63916BDF" w14:textId="77777777"/>
    <w:p w:rsidRPr="002338D6" w:rsidR="00A07739" w:rsidP="00A07739" w:rsidRDefault="00A07739" w14:paraId="3BFA5D6C" w14:textId="3D098B9D">
      <w:r w:rsidRPr="00D73ED1">
        <w:rPr>
          <w:color w:val="000000"/>
          <w:sz w:val="24"/>
          <w:szCs w:val="24"/>
        </w:rPr>
        <w:t>Zie ook Aanhangsel Handelingen, vergaderjaar 2025-2026, nr.</w:t>
      </w:r>
      <w:r>
        <w:rPr>
          <w:color w:val="000000"/>
          <w:sz w:val="24"/>
          <w:szCs w:val="24"/>
        </w:rPr>
        <w:t xml:space="preserve"> </w:t>
      </w:r>
      <w:r>
        <w:t>2213</w:t>
      </w:r>
    </w:p>
    <w:p w:rsidRPr="00FD36D3" w:rsidR="00A07739" w:rsidP="00A07739" w:rsidRDefault="00A07739" w14:paraId="0ABBF1B3" w14:textId="77777777">
      <w:pPr>
        <w:rPr>
          <w:b/>
          <w:bCs/>
        </w:rPr>
      </w:pPr>
      <w:r w:rsidRPr="00FD36D3">
        <w:rPr>
          <w:b/>
          <w:bCs/>
        </w:rPr>
        <w:t>Vraag 1</w:t>
      </w:r>
    </w:p>
    <w:p w:rsidR="00A07739" w:rsidP="00A07739" w:rsidRDefault="00A07739" w14:paraId="67342688" w14:textId="77777777">
      <w:r>
        <w:t>Hoe reflecteert u op de huidige stand van zaken van Right to Repair en de concrete uitvoering van deze wetgeving?</w:t>
      </w:r>
    </w:p>
    <w:p w:rsidR="00A07739" w:rsidP="00A07739" w:rsidRDefault="00A07739" w14:paraId="56B72CAF" w14:textId="77777777"/>
    <w:p w:rsidRPr="00FD36D3" w:rsidR="00A07739" w:rsidP="00A07739" w:rsidRDefault="00A07739" w14:paraId="4C3A2A63" w14:textId="77777777">
      <w:pPr>
        <w:rPr>
          <w:b/>
          <w:bCs/>
        </w:rPr>
      </w:pPr>
      <w:r w:rsidRPr="00FD36D3">
        <w:rPr>
          <w:b/>
          <w:bCs/>
        </w:rPr>
        <w:t>Antwoord 1</w:t>
      </w:r>
    </w:p>
    <w:p w:rsidR="00A07739" w:rsidP="00A07739" w:rsidRDefault="00A07739" w14:paraId="6E78F89F" w14:textId="77777777">
      <w:r w:rsidRPr="00C710B5">
        <w:t>Met de term ‘right to repair’ wordt ve</w:t>
      </w:r>
      <w:r>
        <w:t xml:space="preserve">rwezen naar Richtlijn (EU) 2024/1799 betreffende gemeenschappelijke regels ter bevordering van de reparatie van goederen. Op dit moment wordt deze richtlijn in nationaal recht geïmplementeerd. Het implementatiewetsvoorstel is voor advies aangeboden aan de Raad van State. Het advies wordt deze zomer verwacht. Daarna wordt het wetsvoorstel naar de Staten-Generaal gestuurd. De implementatie van het wetsvoorstel wordt voltooid na instemming van de Tweede en Eerste Kamer met het wetsvoorstel. </w:t>
      </w:r>
    </w:p>
    <w:p w:rsidR="00A07739" w:rsidP="00A07739" w:rsidRDefault="00A07739" w14:paraId="31E6D1BE" w14:textId="77777777"/>
    <w:p w:rsidRPr="00C710B5" w:rsidR="00A07739" w:rsidP="00A07739" w:rsidRDefault="00A07739" w14:paraId="7F0921BD" w14:textId="77777777">
      <w:r>
        <w:t>Op grond van de wetgeving worden bedrijven verplicht om een groot aantal producten</w:t>
      </w:r>
      <w:r>
        <w:rPr>
          <w:rStyle w:val="Voetnootmarkering"/>
        </w:rPr>
        <w:footnoteReference w:id="1"/>
      </w:r>
      <w:r>
        <w:t xml:space="preserve"> op verzoek van de consument te repareren wanneer deze defect zijn. Wat betreft de uitvoering van de richtlijn voorziet het kabinet geen hoge lasten voor bedrijven om aan de nieuwe bepalingen te voldoen. Het Adviescollege Toetsing Regeldruk (ATR) oordeelde op 5 november 2025 geen aanleiding te zien een formeel adviespunt te geven over de berekening van de regeldruk voor bedrijven.</w:t>
      </w:r>
    </w:p>
    <w:p w:rsidRPr="00C710B5" w:rsidR="00A07739" w:rsidP="00A07739" w:rsidRDefault="00A07739" w14:paraId="1C6046F3" w14:textId="77777777"/>
    <w:p w:rsidRPr="00FD36D3" w:rsidR="00A07739" w:rsidP="00A07739" w:rsidRDefault="00A07739" w14:paraId="348E9259" w14:textId="77777777">
      <w:pPr>
        <w:rPr>
          <w:b/>
          <w:bCs/>
        </w:rPr>
      </w:pPr>
      <w:r w:rsidRPr="00FD36D3">
        <w:rPr>
          <w:b/>
          <w:bCs/>
        </w:rPr>
        <w:t>Vraag 2</w:t>
      </w:r>
    </w:p>
    <w:p w:rsidR="00A07739" w:rsidP="00A07739" w:rsidRDefault="00A07739" w14:paraId="5C913167" w14:textId="77777777">
      <w:r>
        <w:t>Bent u bekend met het TNO-onderzoek</w:t>
      </w:r>
      <w:r>
        <w:rPr>
          <w:rStyle w:val="Voetnootmarkering"/>
        </w:rPr>
        <w:footnoteReference w:id="2"/>
      </w:r>
      <w:r>
        <w:t xml:space="preserve"> waaruit blijkt dat consumenten door reparatie en revisie van onder meer wasmachines, smartphones en e-bikeaccu’s tientallen tot honderden euro’s kunnen besparen en productenjarenlang langer kunnen gebruiken? Hoe beoordeelt u deze uitkomsten in het licht van de circulaire economie en het verminderen van grondstoffengebruik?</w:t>
      </w:r>
    </w:p>
    <w:p w:rsidR="00A07739" w:rsidP="00A07739" w:rsidRDefault="00A07739" w14:paraId="49212AC9" w14:textId="77777777"/>
    <w:p w:rsidRPr="00FD36D3" w:rsidR="00A07739" w:rsidP="00A07739" w:rsidRDefault="00A07739" w14:paraId="18735037" w14:textId="77777777">
      <w:pPr>
        <w:rPr>
          <w:b/>
          <w:bCs/>
        </w:rPr>
      </w:pPr>
      <w:r w:rsidRPr="00FD36D3">
        <w:rPr>
          <w:b/>
          <w:bCs/>
        </w:rPr>
        <w:lastRenderedPageBreak/>
        <w:t>Antwoord 2</w:t>
      </w:r>
    </w:p>
    <w:p w:rsidR="00A07739" w:rsidP="00A07739" w:rsidRDefault="00A07739" w14:paraId="1AD916BD" w14:textId="77777777">
      <w:r>
        <w:t>Ja, ik ben bekend met het onderzoek. De uitkomsten bevestigen dat de transitie naar een circulaire economie niet alleen in het belang is van het verminderen van (kritieke) grondstoffenverbruik (en daarmee onze afhankelijkheid daarvoor van derde landen) en CO</w:t>
      </w:r>
      <w:r w:rsidRPr="0035500E">
        <w:rPr>
          <w:vertAlign w:val="subscript"/>
        </w:rPr>
        <w:t>2</w:t>
      </w:r>
      <w:r>
        <w:t xml:space="preserve"> uitstoot, maar ook besparingen op kan leveren voor ondernemers en consumenten. Daarom zet ik mij als coördinerend minister ook vol in om de overgang naar een circulaire economie te versnellen. Voor meer informatie over de beleidsinzet in het kader van deze transitie verwijs ik graag naar het Nationaal Programma Circulaire Economie (NPCE) 2025.</w:t>
      </w:r>
      <w:r>
        <w:rPr>
          <w:rStyle w:val="Voetnootmarkering"/>
        </w:rPr>
        <w:footnoteReference w:id="3"/>
      </w:r>
    </w:p>
    <w:p w:rsidR="00A07739" w:rsidP="00A07739" w:rsidRDefault="00A07739" w14:paraId="154A1273" w14:textId="77777777"/>
    <w:p w:rsidRPr="00FD36D3" w:rsidR="00A07739" w:rsidP="00A07739" w:rsidRDefault="00A07739" w14:paraId="55B28BAF" w14:textId="77777777">
      <w:pPr>
        <w:rPr>
          <w:b/>
          <w:bCs/>
        </w:rPr>
      </w:pPr>
      <w:r w:rsidRPr="00FD36D3">
        <w:rPr>
          <w:b/>
          <w:bCs/>
        </w:rPr>
        <w:t>Vraag 3</w:t>
      </w:r>
    </w:p>
    <w:p w:rsidR="00A07739" w:rsidP="00A07739" w:rsidRDefault="00A07739" w14:paraId="3DA5A479" w14:textId="77777777">
      <w:r>
        <w:t>Welke nationale maatregelen kunnen er op korte termijn worden genomen om reparatie aantrekkelijker te maken en bent u bereid hiervoor concrete voorstellen uit te werken?</w:t>
      </w:r>
    </w:p>
    <w:p w:rsidR="00A07739" w:rsidP="00A07739" w:rsidRDefault="00A07739" w14:paraId="16A37F04" w14:textId="77777777"/>
    <w:p w:rsidRPr="00D92FE2" w:rsidR="00A07739" w:rsidP="00A07739" w:rsidRDefault="00A07739" w14:paraId="194C73C1" w14:textId="77777777">
      <w:pPr>
        <w:rPr>
          <w:b/>
          <w:bCs/>
        </w:rPr>
      </w:pPr>
      <w:r w:rsidRPr="00D92FE2">
        <w:rPr>
          <w:b/>
          <w:bCs/>
        </w:rPr>
        <w:t>Antwoord 3</w:t>
      </w:r>
    </w:p>
    <w:p w:rsidR="00A07739" w:rsidP="00A07739" w:rsidRDefault="00A07739" w14:paraId="2501688A" w14:textId="77777777">
      <w:r>
        <w:t xml:space="preserve">Om reparatie te bevorderen, zijn (tenminste) drie zaken nodig. Ten eerste moeten spullen zo ontworpen zijn dat ze (makkelijker) te repareren zijn. Ten tweede is een goede reparatie-infrastructuur nodig, met voldoende beschikbare vakmensen om de reparaties uit te voeren. Ten derde moet het voor consumenten makkelijk en aantrekkelijk zijn om spullen te laten repareren. </w:t>
      </w:r>
    </w:p>
    <w:p w:rsidR="00A07739" w:rsidP="00A07739" w:rsidRDefault="00A07739" w14:paraId="42143D2A" w14:textId="77777777"/>
    <w:p w:rsidR="00A07739" w:rsidP="00A07739" w:rsidRDefault="00A07739" w14:paraId="1D7B5598" w14:textId="77777777">
      <w:r>
        <w:t xml:space="preserve">Dit zijn dan ook de drie sporen waarlangs de huidige beleidsinzet voor reparatie is ingericht: (1) beter productontwerp, met name via ontwerpeisen op EU niveau onder de Ecodesignregelgeving; (2) versterking van de reparatie-infrastructuur en -vakmanschap, bijvoorbeeld door aandacht voor reparatie in het onderwijs en het opzetten van een Nationaal Reparateursregister; en (3) consumenten stimuleren om hun producten te (laten) repareren, bijvoorbeeld door betere informatie voor consumenten en door reparatie goedkoper te maken. </w:t>
      </w:r>
    </w:p>
    <w:p w:rsidR="00A07739" w:rsidP="00A07739" w:rsidRDefault="00A07739" w14:paraId="1F8F59D3" w14:textId="77777777"/>
    <w:p w:rsidR="00A07739" w:rsidP="00A07739" w:rsidRDefault="00A07739" w14:paraId="5975B091" w14:textId="77777777">
      <w:r>
        <w:t>Voor meer details over de beleidsinzet op de genoemde sporen verwijs ik graag naar de Kamerbrief ‘reparatie in de circulaire economie’</w:t>
      </w:r>
      <w:r>
        <w:rPr>
          <w:rStyle w:val="Voetnootmarkering"/>
        </w:rPr>
        <w:footnoteReference w:id="4"/>
      </w:r>
      <w:r>
        <w:t xml:space="preserve"> en de </w:t>
      </w:r>
      <w:r w:rsidRPr="00642FA9">
        <w:t xml:space="preserve">Kamerbrief over uitvoering </w:t>
      </w:r>
      <w:r>
        <w:t xml:space="preserve">van de </w:t>
      </w:r>
      <w:r w:rsidRPr="00642FA9">
        <w:t>motie Stoffer over reparatie en hergebruik van elektrische en elektronische apparatuur</w:t>
      </w:r>
      <w:r>
        <w:t>.</w:t>
      </w:r>
      <w:r>
        <w:rPr>
          <w:rStyle w:val="Voetnootmarkering"/>
        </w:rPr>
        <w:footnoteReference w:id="5"/>
      </w:r>
    </w:p>
    <w:p w:rsidR="00A07739" w:rsidP="00A07739" w:rsidRDefault="00A07739" w14:paraId="13039E5E" w14:textId="77777777">
      <w:pPr>
        <w:tabs>
          <w:tab w:val="left" w:pos="5115"/>
        </w:tabs>
      </w:pPr>
    </w:p>
    <w:p w:rsidR="00A07739" w:rsidP="00A07739" w:rsidRDefault="00A07739" w14:paraId="0CDF4103" w14:textId="77777777">
      <w:pPr>
        <w:tabs>
          <w:tab w:val="left" w:pos="5115"/>
        </w:tabs>
      </w:pPr>
      <w:r>
        <w:lastRenderedPageBreak/>
        <w:t xml:space="preserve">Verder wordt de Kamer binnenkort door de staatssecretaris Fiscaliteit en Belastingdienst geïnformeerd over </w:t>
      </w:r>
      <w:r w:rsidRPr="0058111C">
        <w:t>de bijdrage van de fiscaliteit aan meer reparatie van huishoudelijke apparaten en andere productgroepen</w:t>
      </w:r>
      <w:r>
        <w:t>, naar aanleiding van de motie Grinwis.</w:t>
      </w:r>
      <w:r>
        <w:rPr>
          <w:rStyle w:val="Voetnootmarkering"/>
        </w:rPr>
        <w:footnoteReference w:id="6"/>
      </w:r>
      <w:r>
        <w:t xml:space="preserve">  </w:t>
      </w:r>
    </w:p>
    <w:p w:rsidR="00A07739" w:rsidP="00A07739" w:rsidRDefault="00A07739" w14:paraId="6BCDC0CA" w14:textId="77777777">
      <w:pPr>
        <w:tabs>
          <w:tab w:val="left" w:pos="5115"/>
        </w:tabs>
      </w:pPr>
    </w:p>
    <w:p w:rsidRPr="00D92FE2" w:rsidR="00A07739" w:rsidP="00A07739" w:rsidRDefault="00A07739" w14:paraId="4F6A0822" w14:textId="77777777">
      <w:pPr>
        <w:rPr>
          <w:b/>
          <w:bCs/>
        </w:rPr>
      </w:pPr>
      <w:r w:rsidRPr="00D92FE2">
        <w:rPr>
          <w:b/>
          <w:bCs/>
        </w:rPr>
        <w:t>Vraag 4</w:t>
      </w:r>
    </w:p>
    <w:p w:rsidR="00A07739" w:rsidP="00A07739" w:rsidRDefault="00A07739" w14:paraId="31C6D8D8" w14:textId="77777777">
      <w:r>
        <w:t>Bent u bereid om in nationale aanbestedingen voorwaarden op te nemen die producenten stimuleren producten terug te nemen, te hergebruiken en repareerbaar te ontwerpen? Zo nee, waarom niet?</w:t>
      </w:r>
    </w:p>
    <w:p w:rsidR="00A07739" w:rsidP="00A07739" w:rsidRDefault="00A07739" w14:paraId="34799DCD" w14:textId="77777777"/>
    <w:p w:rsidRPr="00D92FE2" w:rsidR="00A07739" w:rsidP="00A07739" w:rsidRDefault="00A07739" w14:paraId="38A79851" w14:textId="77777777">
      <w:pPr>
        <w:rPr>
          <w:b/>
          <w:bCs/>
        </w:rPr>
      </w:pPr>
      <w:r w:rsidRPr="00D92FE2">
        <w:rPr>
          <w:b/>
          <w:bCs/>
        </w:rPr>
        <w:t>Antwoord 4</w:t>
      </w:r>
    </w:p>
    <w:p w:rsidR="00A07739" w:rsidP="00A07739" w:rsidRDefault="00A07739" w14:paraId="108B22E9" w14:textId="77777777">
      <w:r w:rsidRPr="00AF1F58">
        <w:t xml:space="preserve">Aanbestedende diensten hebben binnen de aanbestedingskaders de autonomie om diverse belangen af te wegen en te vertalen naar voorwaarden in hun aanbestedingen. Ik ondersteun het opnemen van voorwaarden in overheidsaanbestedingen die levensduurverlenging en hoogwaardige recycling van producten bevorderen. Dit doe ik </w:t>
      </w:r>
      <w:r>
        <w:t>met</w:t>
      </w:r>
      <w:r w:rsidRPr="00AF1F58">
        <w:t xml:space="preserve"> de Agenda </w:t>
      </w:r>
      <w:r>
        <w:t>Maatschappelijk verantwoord opdrachtgeven en inkopen (</w:t>
      </w:r>
      <w:r w:rsidRPr="00AF1F58">
        <w:t>MVOI</w:t>
      </w:r>
      <w:r>
        <w:t>)</w:t>
      </w:r>
      <w:r w:rsidRPr="00AF1F58">
        <w:t xml:space="preserve"> 2026-2030 die dit jaar naar de </w:t>
      </w:r>
      <w:r>
        <w:t>K</w:t>
      </w:r>
      <w:r w:rsidRPr="00AF1F58">
        <w:t>amer wordt gestuurd</w:t>
      </w:r>
      <w:r>
        <w:t xml:space="preserve">. Hiermee worden </w:t>
      </w:r>
      <w:r w:rsidRPr="00AF1F58">
        <w:t xml:space="preserve">overheden </w:t>
      </w:r>
      <w:r>
        <w:t>ge</w:t>
      </w:r>
      <w:r w:rsidRPr="00AF1F58">
        <w:t>stimul</w:t>
      </w:r>
      <w:r>
        <w:t>e</w:t>
      </w:r>
      <w:r w:rsidRPr="00AF1F58">
        <w:t>er</w:t>
      </w:r>
      <w:r>
        <w:t>d</w:t>
      </w:r>
      <w:r w:rsidRPr="00AF1F58">
        <w:t xml:space="preserve"> en ondersteun</w:t>
      </w:r>
      <w:r>
        <w:t>d</w:t>
      </w:r>
      <w:r w:rsidRPr="00AF1F58">
        <w:t xml:space="preserve"> om circulair in te kopen. Dit gebeurt via Buyer Groups, de mvi-criteriatool en het Versnellingsnetwerk Circulair Inkopen voor productketens zoals bedrijfskleding, ICT en zonnepanelen. Terugname, hergebruik, repareerbaarheid en hoogwaardige recycling zijn daarbij belangrijke onderdelen. </w:t>
      </w:r>
    </w:p>
    <w:p w:rsidR="00A07739" w:rsidP="00A07739" w:rsidRDefault="00A07739" w14:paraId="44C7030F" w14:textId="77777777"/>
    <w:p w:rsidR="00A07739" w:rsidP="00A07739" w:rsidRDefault="00A07739" w14:paraId="21CD3C0E" w14:textId="77777777">
      <w:r w:rsidRPr="00AF1F58">
        <w:t xml:space="preserve">Ten aanzien van de Rijksinkoop wordt dit jaar tevens de actualisatie van de Rijksinkoopstrategie, onder verantwoordelijkheid van de </w:t>
      </w:r>
      <w:r>
        <w:t>s</w:t>
      </w:r>
      <w:r w:rsidRPr="00AF1F58">
        <w:t xml:space="preserve">taatssecretaris van Koninkrijksrelaties en Slagvaardige Overheid, naar de Kamer gestuurd. Hierin wordt in de hernieuwde beleidsstrategie MVOI ook ingezet op levensduurverlenging en hoogwaardige recycling. </w:t>
      </w:r>
      <w:r>
        <w:t>Overigens kan het p</w:t>
      </w:r>
      <w:r w:rsidRPr="00AF1F58">
        <w:t>er productketen verschil</w:t>
      </w:r>
      <w:r>
        <w:t>len</w:t>
      </w:r>
      <w:r w:rsidRPr="00AF1F58">
        <w:t xml:space="preserve"> hoe levensduurverlenging het beste geborgd kan worden. Zo is het soms </w:t>
      </w:r>
      <w:r>
        <w:t>beter</w:t>
      </w:r>
      <w:r w:rsidRPr="00AF1F58">
        <w:t xml:space="preserve"> om een product zo lang mogelijk in eigen beheer te behouden voor meerdere levens, en </w:t>
      </w:r>
      <w:r>
        <w:t xml:space="preserve">is het </w:t>
      </w:r>
      <w:r w:rsidRPr="00AF1F58">
        <w:t xml:space="preserve">in andere gevallen gunstiger om een product-as-a-service-model op te zetten. </w:t>
      </w:r>
      <w:r>
        <w:t>Van beide zijn v</w:t>
      </w:r>
      <w:r w:rsidRPr="00AF1F58">
        <w:t xml:space="preserve">oorbeelden </w:t>
      </w:r>
      <w:r>
        <w:t xml:space="preserve">te vinden </w:t>
      </w:r>
      <w:r w:rsidRPr="00AF1F58">
        <w:t>bij het Rijk</w:t>
      </w:r>
      <w:r>
        <w:t xml:space="preserve">, zoals </w:t>
      </w:r>
      <w:r w:rsidRPr="00AF1F58">
        <w:t xml:space="preserve">kantoormeubilair </w:t>
      </w:r>
      <w:r>
        <w:t xml:space="preserve">dat </w:t>
      </w:r>
      <w:r w:rsidRPr="00AF1F58">
        <w:t xml:space="preserve">in eigen beheer </w:t>
      </w:r>
      <w:r>
        <w:t xml:space="preserve">blijft en </w:t>
      </w:r>
      <w:r w:rsidRPr="00AF1F58">
        <w:t xml:space="preserve">ICT, dienstauto’s of printers </w:t>
      </w:r>
      <w:r>
        <w:t xml:space="preserve">die worden ingekocht als </w:t>
      </w:r>
      <w:r w:rsidRPr="00AF1F58">
        <w:t>product-as-a-service.</w:t>
      </w:r>
    </w:p>
    <w:p w:rsidR="00A07739" w:rsidP="00A07739" w:rsidRDefault="00A07739" w14:paraId="5985A440" w14:textId="77777777"/>
    <w:p w:rsidRPr="00D92FE2" w:rsidR="00A07739" w:rsidP="00A07739" w:rsidRDefault="00A07739" w14:paraId="76FB09CE" w14:textId="77777777">
      <w:pPr>
        <w:rPr>
          <w:b/>
          <w:bCs/>
        </w:rPr>
      </w:pPr>
      <w:r w:rsidRPr="00D92FE2">
        <w:rPr>
          <w:b/>
          <w:bCs/>
        </w:rPr>
        <w:t>Vraag 5</w:t>
      </w:r>
    </w:p>
    <w:p w:rsidR="00A07739" w:rsidP="00A07739" w:rsidRDefault="00A07739" w14:paraId="17B42CE2" w14:textId="77777777">
      <w:r>
        <w:lastRenderedPageBreak/>
        <w:t>Hoe beoordeelt u de mogelijkheid om de bewijslast binnen de wettelijke garantieperiode verder richting producenten te verschuiven, zodat consumenten eenvoudiger aanspraak kunnen maken op kosteloze reparatie of vervanging bij defecten?</w:t>
      </w:r>
    </w:p>
    <w:p w:rsidR="00A07739" w:rsidP="00A07739" w:rsidRDefault="00A07739" w14:paraId="762A961E" w14:textId="77777777"/>
    <w:p w:rsidRPr="00D92FE2" w:rsidR="00A07739" w:rsidP="00A07739" w:rsidRDefault="00A07739" w14:paraId="5ACDE9B1" w14:textId="77777777">
      <w:pPr>
        <w:rPr>
          <w:b/>
          <w:bCs/>
        </w:rPr>
      </w:pPr>
      <w:r w:rsidRPr="00D92FE2">
        <w:rPr>
          <w:b/>
          <w:bCs/>
        </w:rPr>
        <w:t>Antwoord 5</w:t>
      </w:r>
    </w:p>
    <w:p w:rsidR="00A07739" w:rsidP="00A07739" w:rsidRDefault="00A07739" w14:paraId="288B219D" w14:textId="77777777">
      <w:r w:rsidRPr="00EA40B5">
        <w:t>Het is belangrijk te benadrukken dat de consument een koopovereenkomst sluit met de verkoper en niet met de producent. De wettelijke garantierechten kunnen dan ook uitsluitend richting de verkoper worden ingeroepen</w:t>
      </w:r>
      <w:r>
        <w:t>. Met de implementatie van de EU-richtlijn verkoop goederen in het Nederlandse recht in 2022 geldt dat als er in het eerste jaar na aanschaf sprake is van een gebrekkig product de bewijslast bij de verkoper ligt om aan te tonen dat het product niet al gebrekkig was bij levering. Met deze implementatie werd de termijn van zes maanden, die voor de inwerkingtreding van de richtlijn werd gehanteerd, verdubbeld. Na twaalf maanden verschuift de bewijslast naar de consument. Dit betekent dat wanneer het gebrek zich na twaalf maanden voordoet, het aan de consument is om te bewijzen dat dit niet door zijn toedoen is gebeurd</w:t>
      </w:r>
      <w:r w:rsidRPr="00DC376D">
        <w:t xml:space="preserve"> </w:t>
      </w:r>
      <w:r>
        <w:t xml:space="preserve">om </w:t>
      </w:r>
      <w:r w:rsidRPr="00DC376D">
        <w:t>aanspraak kunnen maken op kosteloze reparatie of vervanging</w:t>
      </w:r>
      <w:r>
        <w:t xml:space="preserve">. </w:t>
      </w:r>
    </w:p>
    <w:p w:rsidR="00A07739" w:rsidP="00A07739" w:rsidRDefault="00A07739" w14:paraId="7C95569A" w14:textId="77777777"/>
    <w:p w:rsidR="00A07739" w:rsidP="00A07739" w:rsidRDefault="00A07739" w14:paraId="08285898" w14:textId="77777777">
      <w:r>
        <w:t xml:space="preserve">Bij de implementatie van de EU-richtlijn verkoop goederen is geprobeerd een goede balans te waarborgen tussen de bescherming van de positie van de consument enerzijds en de verplichtingen van de verkoper anderzijds. Naarmate de termijn tussen de aanschaf van een product en de openbaring van een gebrek van het product langer is, zal het voor een verkoper lastiger zijn te bewijzen dat het gebrek geheel of gedeeltelijk is veroorzaakt door het gebruik door de consument. Het verlengen van deze termijn naar bijvoorbeeld twee jaar zou daarmee voor de verkoper een onevenredige last betekenen. Op dit moment ziet het kabinet dan ook geen aanleiding om de bewijslast verder richting verkopers te verschuiven.     </w:t>
      </w:r>
    </w:p>
    <w:p w:rsidR="00A07739" w:rsidP="00A07739" w:rsidRDefault="00A07739" w14:paraId="0EDB826F" w14:textId="77777777"/>
    <w:p w:rsidRPr="00FE4275" w:rsidR="00A07739" w:rsidP="00A07739" w:rsidRDefault="00A07739" w14:paraId="16278D2E" w14:textId="77777777">
      <w:pPr>
        <w:rPr>
          <w:b/>
          <w:bCs/>
        </w:rPr>
      </w:pPr>
      <w:r w:rsidRPr="00FE4275">
        <w:rPr>
          <w:b/>
          <w:bCs/>
        </w:rPr>
        <w:t>Vraag 6</w:t>
      </w:r>
    </w:p>
    <w:p w:rsidR="00A07739" w:rsidP="00A07739" w:rsidRDefault="00A07739" w14:paraId="065FE1AD" w14:textId="77777777">
      <w:r>
        <w:t>Welke financiële middelen zijn momenteel beschikbaar om reparatiebedrijven, revisiebedrijven en ondernemingen die producten circulair en repareerbaar ontwerpen op te schalen? In hoeverre acht u deze middelen voldoende om reparatie in Nederland structureel de norm te maken?</w:t>
      </w:r>
    </w:p>
    <w:p w:rsidR="00A07739" w:rsidP="00A07739" w:rsidRDefault="00A07739" w14:paraId="276153A9" w14:textId="77777777"/>
    <w:p w:rsidRPr="00FE4275" w:rsidR="00A07739" w:rsidP="00A07739" w:rsidRDefault="00A07739" w14:paraId="5BD33B81" w14:textId="77777777">
      <w:pPr>
        <w:rPr>
          <w:b/>
          <w:bCs/>
        </w:rPr>
      </w:pPr>
      <w:r w:rsidRPr="00FE4275">
        <w:rPr>
          <w:b/>
          <w:bCs/>
        </w:rPr>
        <w:t>Antwoord 6</w:t>
      </w:r>
    </w:p>
    <w:p w:rsidR="00A07739" w:rsidP="00A07739" w:rsidRDefault="00A07739" w14:paraId="519EBE25" w14:textId="77777777">
      <w:r>
        <w:t xml:space="preserve">Reparatie is een belangrijke activiteit binnen een circulaire economie en reparatiebedrijven en andere ondernemingen kunnen in aanmerking komen voor subsidies gericht op het bevorderen van de transitie naar een circulaire economie. </w:t>
      </w:r>
    </w:p>
    <w:p w:rsidR="00A07739" w:rsidP="00A07739" w:rsidRDefault="00A07739" w14:paraId="51F17C10" w14:textId="77777777">
      <w:r>
        <w:lastRenderedPageBreak/>
        <w:t>Het NPCE 2030 bevat een overzicht van de s</w:t>
      </w:r>
      <w:r w:rsidRPr="00860B5C">
        <w:t xml:space="preserve">tructurele en incidentele middelen </w:t>
      </w:r>
      <w:r>
        <w:t xml:space="preserve">die beschikbaar zijn </w:t>
      </w:r>
      <w:r w:rsidRPr="00860B5C">
        <w:t>voor circulaire economie in de jaren 2025-2030</w:t>
      </w:r>
      <w:r>
        <w:t xml:space="preserve">. </w:t>
      </w:r>
    </w:p>
    <w:p w:rsidR="00A07739" w:rsidP="00A07739" w:rsidRDefault="00A07739" w14:paraId="38315DDC" w14:textId="77777777"/>
    <w:p w:rsidR="00A07739" w:rsidP="00A07739" w:rsidRDefault="00A07739" w14:paraId="58EA97EA" w14:textId="77777777">
      <w:r>
        <w:t xml:space="preserve">Zoals aangegeven in het antwoord op vraag 3 zijn om reparatie te bevorderen niet alleen middelen nodig voor de genoemde ondernemingen, maar is een bredere beleidsinzet nodig. Het onderzoek van TNO en de NVCE laat zien dat reparatie nu in veel gevallen al loont. Toch kiezen veel consumenten nog voor vervanging, ook wanneer reparatie tot de mogelijkheden behoort en kosten zou besparen. </w:t>
      </w:r>
    </w:p>
    <w:p w:rsidR="00A07739" w:rsidP="00A07739" w:rsidRDefault="00A07739" w14:paraId="3AD2C16D" w14:textId="77777777">
      <w:r>
        <w:t xml:space="preserve">Ook het Burgerberaad Klimaat heeft in haar advies de betaalbaarheid van reparatie geadresseerd. Het kabinet heeft eveneens de ambitie om te zorgen dat spullen langer meegaan. Ik blijf dan ook prioriteit geven aan het bevorderen van reparatie als onderdeel van de beleidsinzet voor de transitie naar een circulaire economie. </w:t>
      </w:r>
    </w:p>
    <w:p w:rsidR="00DF698F" w:rsidRDefault="00DF698F" w14:paraId="42534F22" w14:textId="77777777"/>
    <w:sectPr w:rsidR="00DF698F" w:rsidSect="00A0773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7ADB" w14:textId="77777777" w:rsidR="00B152D9" w:rsidRDefault="00B152D9" w:rsidP="00A07739">
      <w:pPr>
        <w:spacing w:after="0" w:line="240" w:lineRule="auto"/>
      </w:pPr>
      <w:r>
        <w:separator/>
      </w:r>
    </w:p>
  </w:endnote>
  <w:endnote w:type="continuationSeparator" w:id="0">
    <w:p w14:paraId="5899569B" w14:textId="77777777" w:rsidR="00B152D9" w:rsidRDefault="00B152D9" w:rsidP="00A0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E27F" w14:textId="77777777" w:rsidR="00A07739" w:rsidRPr="00A07739" w:rsidRDefault="00A07739" w:rsidP="00A077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FE37" w14:textId="77777777" w:rsidR="00A07739" w:rsidRPr="00A07739" w:rsidRDefault="00A07739" w:rsidP="00A077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3C50" w14:textId="77777777" w:rsidR="00A07739" w:rsidRPr="00A07739" w:rsidRDefault="00A07739" w:rsidP="00A077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5AAF" w14:textId="77777777" w:rsidR="00B152D9" w:rsidRDefault="00B152D9" w:rsidP="00A07739">
      <w:pPr>
        <w:spacing w:after="0" w:line="240" w:lineRule="auto"/>
      </w:pPr>
      <w:r>
        <w:separator/>
      </w:r>
    </w:p>
  </w:footnote>
  <w:footnote w:type="continuationSeparator" w:id="0">
    <w:p w14:paraId="39974B55" w14:textId="77777777" w:rsidR="00B152D9" w:rsidRDefault="00B152D9" w:rsidP="00A07739">
      <w:pPr>
        <w:spacing w:after="0" w:line="240" w:lineRule="auto"/>
      </w:pPr>
      <w:r>
        <w:continuationSeparator/>
      </w:r>
    </w:p>
  </w:footnote>
  <w:footnote w:id="1">
    <w:p w14:paraId="5DA932D1" w14:textId="77777777" w:rsidR="00A07739" w:rsidRPr="00DE56A3" w:rsidRDefault="00A07739" w:rsidP="00A07739">
      <w:pPr>
        <w:pStyle w:val="Voetnoottekst"/>
        <w:rPr>
          <w:szCs w:val="13"/>
        </w:rPr>
      </w:pPr>
      <w:r w:rsidRPr="00DE56A3">
        <w:rPr>
          <w:rStyle w:val="Voetnootmarkering"/>
          <w:szCs w:val="13"/>
        </w:rPr>
        <w:footnoteRef/>
      </w:r>
      <w:r w:rsidRPr="00DE56A3">
        <w:rPr>
          <w:szCs w:val="13"/>
        </w:rPr>
        <w:t xml:space="preserve"> Alle producten waarop ontwerpeisen (Ecodesign) van toepassing zijn, zie https://energy-efficient-products.ec.europa.eu/product-list_en</w:t>
      </w:r>
    </w:p>
  </w:footnote>
  <w:footnote w:id="2">
    <w:p w14:paraId="3F0F5AD3" w14:textId="77777777" w:rsidR="00A07739" w:rsidRPr="00DE56A3" w:rsidRDefault="00A07739" w:rsidP="00A07739">
      <w:pPr>
        <w:pStyle w:val="Voetnoottekst"/>
        <w:rPr>
          <w:szCs w:val="13"/>
        </w:rPr>
      </w:pPr>
      <w:r w:rsidRPr="00DE56A3">
        <w:rPr>
          <w:rStyle w:val="Voetnootmarkering"/>
          <w:szCs w:val="13"/>
        </w:rPr>
        <w:footnoteRef/>
      </w:r>
      <w:r w:rsidRPr="00DE56A3">
        <w:rPr>
          <w:szCs w:val="13"/>
        </w:rPr>
        <w:t xml:space="preserve"> https://www.tno.nl/nl/newsroom/2026/05/reparatie-onderdeel-urban-mine/</w:t>
      </w:r>
    </w:p>
  </w:footnote>
  <w:footnote w:id="3">
    <w:p w14:paraId="4B1C192F" w14:textId="77777777" w:rsidR="00A07739" w:rsidRPr="00DE56A3" w:rsidRDefault="00A07739" w:rsidP="00A07739">
      <w:pPr>
        <w:pStyle w:val="Voetnoottekst"/>
        <w:rPr>
          <w:szCs w:val="13"/>
        </w:rPr>
      </w:pPr>
      <w:r w:rsidRPr="00DE56A3">
        <w:rPr>
          <w:rStyle w:val="Voetnootmarkering"/>
          <w:szCs w:val="13"/>
        </w:rPr>
        <w:footnoteRef/>
      </w:r>
      <w:r w:rsidRPr="00DE56A3">
        <w:rPr>
          <w:szCs w:val="13"/>
        </w:rPr>
        <w:t xml:space="preserve"> Kamerstukken II  2025/26, 32 852, nr. 392</w:t>
      </w:r>
    </w:p>
  </w:footnote>
  <w:footnote w:id="4">
    <w:p w14:paraId="0FFEF353" w14:textId="77777777" w:rsidR="00A07739" w:rsidRPr="00DE56A3" w:rsidRDefault="00A07739" w:rsidP="00A07739">
      <w:pPr>
        <w:pStyle w:val="Voetnoottekst"/>
        <w:rPr>
          <w:szCs w:val="13"/>
        </w:rPr>
      </w:pPr>
      <w:r w:rsidRPr="00DE56A3">
        <w:rPr>
          <w:rStyle w:val="Voetnootmarkering"/>
          <w:szCs w:val="13"/>
        </w:rPr>
        <w:footnoteRef/>
      </w:r>
      <w:r w:rsidRPr="00DE56A3">
        <w:rPr>
          <w:szCs w:val="13"/>
        </w:rPr>
        <w:t xml:space="preserve"> Kamerstukken II 2023/24, 32 852, nr. 316</w:t>
      </w:r>
    </w:p>
  </w:footnote>
  <w:footnote w:id="5">
    <w:p w14:paraId="42C9630F" w14:textId="77777777" w:rsidR="00A07739" w:rsidRPr="00DE56A3" w:rsidRDefault="00A07739" w:rsidP="00A07739">
      <w:pPr>
        <w:pStyle w:val="Voetnoottekst"/>
        <w:rPr>
          <w:szCs w:val="13"/>
        </w:rPr>
      </w:pPr>
      <w:r w:rsidRPr="00DE56A3">
        <w:rPr>
          <w:rStyle w:val="Voetnootmarkering"/>
          <w:szCs w:val="13"/>
        </w:rPr>
        <w:footnoteRef/>
      </w:r>
      <w:r w:rsidRPr="00DE56A3">
        <w:rPr>
          <w:szCs w:val="13"/>
        </w:rPr>
        <w:t xml:space="preserve"> Kamerstukken II 2024/25, 36 600 XII, nr. 78 </w:t>
      </w:r>
    </w:p>
  </w:footnote>
  <w:footnote w:id="6">
    <w:p w14:paraId="42EA2139" w14:textId="77777777" w:rsidR="00A07739" w:rsidRPr="00DE56A3" w:rsidRDefault="00A07739" w:rsidP="00A07739">
      <w:pPr>
        <w:pStyle w:val="Voetnoottekst"/>
        <w:rPr>
          <w:szCs w:val="13"/>
        </w:rPr>
      </w:pPr>
      <w:r w:rsidRPr="00DE56A3">
        <w:rPr>
          <w:rStyle w:val="Voetnootmarkering"/>
          <w:szCs w:val="13"/>
        </w:rPr>
        <w:footnoteRef/>
      </w:r>
      <w:r w:rsidRPr="00DE56A3">
        <w:rPr>
          <w:szCs w:val="13"/>
        </w:rPr>
        <w:t xml:space="preserve"> Kamerstukken II 2025/26, 36 812, nr.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752B" w14:textId="77777777" w:rsidR="00A07739" w:rsidRPr="00A07739" w:rsidRDefault="00A07739" w:rsidP="00A077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7853" w14:textId="77777777" w:rsidR="00A07739" w:rsidRPr="00A07739" w:rsidRDefault="00A07739" w:rsidP="00A077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2CF1" w14:textId="77777777" w:rsidR="00A07739" w:rsidRPr="00A07739" w:rsidRDefault="00A07739" w:rsidP="00A077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39"/>
    <w:rsid w:val="008F7B4C"/>
    <w:rsid w:val="00A07739"/>
    <w:rsid w:val="00B152D9"/>
    <w:rsid w:val="00DF6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D341"/>
  <w15:chartTrackingRefBased/>
  <w15:docId w15:val="{578AE4F6-81AF-4F9A-B2CA-004E8BBC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7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77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77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77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77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7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7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7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7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77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77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77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77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7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739"/>
    <w:rPr>
      <w:rFonts w:eastAsiaTheme="majorEastAsia" w:cstheme="majorBidi"/>
      <w:color w:val="272727" w:themeColor="text1" w:themeTint="D8"/>
    </w:rPr>
  </w:style>
  <w:style w:type="paragraph" w:styleId="Titel">
    <w:name w:val="Title"/>
    <w:basedOn w:val="Standaard"/>
    <w:next w:val="Standaard"/>
    <w:link w:val="TitelChar"/>
    <w:uiPriority w:val="10"/>
    <w:qFormat/>
    <w:rsid w:val="00A07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7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7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739"/>
    <w:rPr>
      <w:i/>
      <w:iCs/>
      <w:color w:val="404040" w:themeColor="text1" w:themeTint="BF"/>
    </w:rPr>
  </w:style>
  <w:style w:type="paragraph" w:styleId="Lijstalinea">
    <w:name w:val="List Paragraph"/>
    <w:basedOn w:val="Standaard"/>
    <w:uiPriority w:val="34"/>
    <w:qFormat/>
    <w:rsid w:val="00A07739"/>
    <w:pPr>
      <w:ind w:left="720"/>
      <w:contextualSpacing/>
    </w:pPr>
  </w:style>
  <w:style w:type="character" w:styleId="Intensievebenadrukking">
    <w:name w:val="Intense Emphasis"/>
    <w:basedOn w:val="Standaardalinea-lettertype"/>
    <w:uiPriority w:val="21"/>
    <w:qFormat/>
    <w:rsid w:val="00A07739"/>
    <w:rPr>
      <w:i/>
      <w:iCs/>
      <w:color w:val="2F5496" w:themeColor="accent1" w:themeShade="BF"/>
    </w:rPr>
  </w:style>
  <w:style w:type="paragraph" w:styleId="Duidelijkcitaat">
    <w:name w:val="Intense Quote"/>
    <w:basedOn w:val="Standaard"/>
    <w:next w:val="Standaard"/>
    <w:link w:val="DuidelijkcitaatChar"/>
    <w:uiPriority w:val="30"/>
    <w:qFormat/>
    <w:rsid w:val="00A07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7739"/>
    <w:rPr>
      <w:i/>
      <w:iCs/>
      <w:color w:val="2F5496" w:themeColor="accent1" w:themeShade="BF"/>
    </w:rPr>
  </w:style>
  <w:style w:type="character" w:styleId="Intensieveverwijzing">
    <w:name w:val="Intense Reference"/>
    <w:basedOn w:val="Standaardalinea-lettertype"/>
    <w:uiPriority w:val="32"/>
    <w:qFormat/>
    <w:rsid w:val="00A07739"/>
    <w:rPr>
      <w:b/>
      <w:bCs/>
      <w:smallCaps/>
      <w:color w:val="2F5496" w:themeColor="accent1" w:themeShade="BF"/>
      <w:spacing w:val="5"/>
    </w:rPr>
  </w:style>
  <w:style w:type="paragraph" w:styleId="Koptekst">
    <w:name w:val="header"/>
    <w:basedOn w:val="Standaard"/>
    <w:link w:val="KoptekstChar1"/>
    <w:rsid w:val="00A077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07739"/>
  </w:style>
  <w:style w:type="paragraph" w:styleId="Voettekst">
    <w:name w:val="footer"/>
    <w:basedOn w:val="Standaard"/>
    <w:link w:val="VoettekstChar1"/>
    <w:rsid w:val="00A077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07739"/>
  </w:style>
  <w:style w:type="paragraph" w:customStyle="1" w:styleId="Huisstijl-Adres">
    <w:name w:val="Huisstijl-Adres"/>
    <w:basedOn w:val="Standaard"/>
    <w:link w:val="Huisstijl-AdresChar"/>
    <w:rsid w:val="00A077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07739"/>
    <w:rPr>
      <w:rFonts w:ascii="Verdana" w:hAnsi="Verdana"/>
      <w:noProof/>
      <w:sz w:val="13"/>
      <w:szCs w:val="24"/>
      <w:lang w:eastAsia="nl-NL"/>
    </w:rPr>
  </w:style>
  <w:style w:type="paragraph" w:customStyle="1" w:styleId="Huisstijl-Gegeven">
    <w:name w:val="Huisstijl-Gegeven"/>
    <w:basedOn w:val="Standaard"/>
    <w:link w:val="Huisstijl-GegevenCharChar"/>
    <w:rsid w:val="00A077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077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0773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077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07739"/>
    <w:pPr>
      <w:spacing w:after="0"/>
    </w:pPr>
    <w:rPr>
      <w:b/>
    </w:rPr>
  </w:style>
  <w:style w:type="paragraph" w:customStyle="1" w:styleId="Huisstijl-Paginanummering">
    <w:name w:val="Huisstijl-Paginanummering"/>
    <w:basedOn w:val="Standaard"/>
    <w:rsid w:val="00A077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077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077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0773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0773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0773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07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1383</ap:Words>
  <ap:Characters>7608</ap:Characters>
  <ap:DocSecurity>0</ap:DocSecurity>
  <ap:Lines>63</ap:Lines>
  <ap:Paragraphs>17</ap:Paragraphs>
  <ap:ScaleCrop>false</ap:ScaleCrop>
  <ap:LinksUpToDate>false</ap:LinksUpToDate>
  <ap:CharactersWithSpaces>8974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2026-06-24T11:57:00.0000000Z</dcterms:created>
  <dcterms:modified xsi:type="dcterms:W3CDTF">2026-06-24T11:58:00.0000000Z</dcterms:modified>
  <version/>
  <category/>
</coreProperties>
</file>