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45CFA" w:rsidR="00445CFA" w:rsidP="00445CFA" w:rsidRDefault="003757F3" w14:paraId="638B04D5" w14:textId="6AB2F155">
      <w:pPr>
        <w:ind w:left="2124" w:hanging="2124"/>
        <w:rPr>
          <w:rFonts w:ascii="Calibri" w:hAnsi="Calibri" w:cs="Calibri"/>
          <w:sz w:val="22"/>
          <w:szCs w:val="22"/>
        </w:rPr>
      </w:pPr>
      <w:r w:rsidRPr="00445CFA">
        <w:rPr>
          <w:rFonts w:ascii="Calibri" w:hAnsi="Calibri" w:cs="Calibri"/>
          <w:sz w:val="22"/>
          <w:szCs w:val="22"/>
        </w:rPr>
        <w:t>36968</w:t>
      </w:r>
      <w:r w:rsidRPr="00445CFA" w:rsidR="00445CFA">
        <w:rPr>
          <w:rFonts w:ascii="Calibri" w:hAnsi="Calibri" w:cs="Calibri"/>
          <w:sz w:val="22"/>
          <w:szCs w:val="22"/>
        </w:rPr>
        <w:t xml:space="preserve"> </w:t>
      </w:r>
      <w:r w:rsidRPr="00445CFA">
        <w:rPr>
          <w:rFonts w:ascii="Calibri" w:hAnsi="Calibri" w:cs="Calibri"/>
          <w:sz w:val="22"/>
          <w:szCs w:val="22"/>
        </w:rPr>
        <w:t>(R2221)</w:t>
      </w:r>
      <w:r w:rsidRPr="00445CFA" w:rsidR="00445CFA">
        <w:rPr>
          <w:rFonts w:ascii="Calibri" w:hAnsi="Calibri" w:cs="Calibri"/>
          <w:sz w:val="22"/>
          <w:szCs w:val="22"/>
        </w:rPr>
        <w:tab/>
        <w:t>Protocollen en Verdragen van de Wereldpostunie; Dubai, 19 sept 2025</w:t>
      </w:r>
    </w:p>
    <w:p w:rsidRPr="00445CFA" w:rsidR="00445CFA" w:rsidP="00D80872" w:rsidRDefault="00445CFA" w14:paraId="0C07D008" w14:textId="77777777">
      <w:pPr>
        <w:rPr>
          <w:rFonts w:ascii="Calibri" w:hAnsi="Calibri" w:cs="Calibri"/>
          <w:sz w:val="22"/>
          <w:szCs w:val="22"/>
        </w:rPr>
      </w:pPr>
      <w:r w:rsidRPr="00445CFA">
        <w:rPr>
          <w:rFonts w:ascii="Calibri" w:hAnsi="Calibri" w:cs="Calibri"/>
          <w:sz w:val="22"/>
          <w:szCs w:val="22"/>
        </w:rPr>
        <w:t>Nr. 1</w:t>
      </w:r>
      <w:r w:rsidRPr="00445CFA">
        <w:rPr>
          <w:rFonts w:ascii="Calibri" w:hAnsi="Calibri" w:cs="Calibri"/>
          <w:sz w:val="22"/>
          <w:szCs w:val="22"/>
        </w:rPr>
        <w:tab/>
      </w:r>
      <w:r w:rsidRPr="00445CFA">
        <w:rPr>
          <w:rFonts w:ascii="Calibri" w:hAnsi="Calibri" w:cs="Calibri"/>
          <w:sz w:val="22"/>
          <w:szCs w:val="22"/>
        </w:rPr>
        <w:tab/>
      </w:r>
      <w:r w:rsidRPr="00445CFA">
        <w:rPr>
          <w:rFonts w:ascii="Calibri" w:hAnsi="Calibri" w:cs="Calibri"/>
          <w:sz w:val="22"/>
          <w:szCs w:val="22"/>
        </w:rPr>
        <w:tab/>
        <w:t>Brief van de minister van Buitenlandse Zaken</w:t>
      </w:r>
    </w:p>
    <w:p w:rsidRPr="00445CFA" w:rsidR="00445CFA" w:rsidP="003757F3" w:rsidRDefault="00445CFA" w14:paraId="226FAD02" w14:textId="77777777">
      <w:pPr>
        <w:rPr>
          <w:rFonts w:ascii="Calibri" w:hAnsi="Calibri" w:cs="Calibri"/>
          <w:sz w:val="22"/>
          <w:szCs w:val="22"/>
        </w:rPr>
      </w:pPr>
      <w:r w:rsidRPr="00445CFA">
        <w:rPr>
          <w:rFonts w:ascii="Calibri" w:hAnsi="Calibri" w:cs="Calibri"/>
          <w:sz w:val="22"/>
          <w:szCs w:val="22"/>
        </w:rPr>
        <w:t>Aan de Voorzitter van de Tweede Kamer der Staten-Generaal</w:t>
      </w:r>
    </w:p>
    <w:p w:rsidRPr="00445CFA" w:rsidR="00445CFA" w:rsidP="003757F3" w:rsidRDefault="00445CFA" w14:paraId="45EFF49A" w14:textId="77777777">
      <w:pPr>
        <w:rPr>
          <w:rFonts w:ascii="Calibri" w:hAnsi="Calibri" w:cs="Calibri"/>
          <w:sz w:val="22"/>
          <w:szCs w:val="22"/>
        </w:rPr>
      </w:pPr>
      <w:r w:rsidRPr="00445CFA">
        <w:rPr>
          <w:rFonts w:ascii="Calibri" w:hAnsi="Calibri" w:cs="Calibri"/>
          <w:sz w:val="22"/>
          <w:szCs w:val="22"/>
        </w:rPr>
        <w:t>Den Haag, 24 juni 2026</w:t>
      </w:r>
    </w:p>
    <w:p w:rsidRPr="00445CFA" w:rsidR="003757F3" w:rsidP="003757F3" w:rsidRDefault="003757F3" w14:paraId="77E5D8C7" w14:textId="07BF0358">
      <w:pPr>
        <w:rPr>
          <w:rFonts w:ascii="Calibri" w:hAnsi="Calibri" w:cs="Calibri"/>
          <w:sz w:val="22"/>
          <w:szCs w:val="22"/>
        </w:rPr>
      </w:pPr>
      <w:r w:rsidRPr="00445CFA">
        <w:rPr>
          <w:rFonts w:ascii="Calibri" w:hAnsi="Calibri" w:cs="Calibri"/>
          <w:sz w:val="22"/>
          <w:szCs w:val="22"/>
        </w:rPr>
        <w:br/>
      </w:r>
      <w:r w:rsidRPr="00445CFA">
        <w:rPr>
          <w:rFonts w:ascii="Calibri" w:hAnsi="Calibri" w:cs="Calibri"/>
          <w:sz w:val="22"/>
          <w:szCs w:val="22"/>
        </w:rPr>
        <w:br/>
        <w:t>Overeenkomstig het bepaalde in artikel 15, vierde lid, van de Rijkswet goedkeuring en bekendmaking verdragen moge ik u met betrekking tot de bovengenoemde verdragen het volgende mededelen:</w:t>
      </w:r>
    </w:p>
    <w:p w:rsidRPr="00445CFA" w:rsidR="003757F3" w:rsidP="003757F3" w:rsidRDefault="003757F3" w14:paraId="47BA3D88" w14:textId="77777777">
      <w:pPr>
        <w:pStyle w:val="Lijstalinea"/>
        <w:numPr>
          <w:ilvl w:val="0"/>
          <w:numId w:val="1"/>
        </w:numPr>
        <w:spacing w:after="0" w:line="240" w:lineRule="atLeast"/>
        <w:rPr>
          <w:rFonts w:ascii="Calibri" w:hAnsi="Calibri" w:cs="Calibri"/>
          <w:sz w:val="22"/>
          <w:szCs w:val="22"/>
        </w:rPr>
      </w:pPr>
      <w:r w:rsidRPr="00445CFA">
        <w:rPr>
          <w:rFonts w:ascii="Calibri" w:hAnsi="Calibri" w:cs="Calibri"/>
          <w:sz w:val="22"/>
          <w:szCs w:val="22"/>
        </w:rPr>
        <w:t>De bepalingen van het Vijfde Aanvullend Protocol bij het Algemeen Reglement van de Wereldpostunie, met uitzondering van artikelen III, IV, VII, IX, XVI en XVIII alsmede de wijzigingen in artikel VI, vierde lid, die vanaf 1 januari 2026 voorlopig worden toegepast, worden ingevolge artikel XIX van het Vijfde Aanvullend Protocol bij het Algemeen Reglement van de Wereldpostunie vanaf 1 januari 2027 voorlopig toegepast door het Koninkrijk der Nederlanden;</w:t>
      </w:r>
    </w:p>
    <w:p w:rsidRPr="00445CFA" w:rsidR="003757F3" w:rsidP="003757F3" w:rsidRDefault="003757F3" w14:paraId="4ED77255" w14:textId="77777777">
      <w:pPr>
        <w:pStyle w:val="Lijstalinea"/>
        <w:numPr>
          <w:ilvl w:val="0"/>
          <w:numId w:val="1"/>
        </w:numPr>
        <w:spacing w:after="0" w:line="240" w:lineRule="atLeast"/>
        <w:rPr>
          <w:rFonts w:ascii="Calibri" w:hAnsi="Calibri" w:cs="Calibri"/>
          <w:sz w:val="22"/>
          <w:szCs w:val="22"/>
        </w:rPr>
      </w:pPr>
      <w:r w:rsidRPr="00445CFA">
        <w:rPr>
          <w:rFonts w:ascii="Calibri" w:hAnsi="Calibri" w:cs="Calibri"/>
          <w:sz w:val="22"/>
          <w:szCs w:val="22"/>
        </w:rPr>
        <w:t>De bepalingen van het Twaalfde Aanvullend Protocol bij de Constitutie van de Wereldpostunie worden ingevolge artikel II van het Twaalfde Aanvullend Protocol bij de Constitutie van de Wereldpostunie vanaf 1 januari 2027 voorlopig toegepast door het Koninkrijk der Nederlanden;</w:t>
      </w:r>
    </w:p>
    <w:p w:rsidRPr="00445CFA" w:rsidR="003757F3" w:rsidP="003757F3" w:rsidRDefault="003757F3" w14:paraId="3A49FE3F" w14:textId="77777777">
      <w:pPr>
        <w:pStyle w:val="Lijstalinea"/>
        <w:numPr>
          <w:ilvl w:val="0"/>
          <w:numId w:val="1"/>
        </w:numPr>
        <w:spacing w:after="0" w:line="240" w:lineRule="atLeast"/>
        <w:rPr>
          <w:rFonts w:ascii="Calibri" w:hAnsi="Calibri" w:cs="Calibri"/>
          <w:sz w:val="22"/>
          <w:szCs w:val="22"/>
        </w:rPr>
      </w:pPr>
      <w:r w:rsidRPr="00445CFA">
        <w:rPr>
          <w:rFonts w:ascii="Calibri" w:hAnsi="Calibri" w:cs="Calibri"/>
          <w:sz w:val="22"/>
          <w:szCs w:val="22"/>
        </w:rPr>
        <w:t>De bepalingen van het Tweede Aanvullend Protocol bij het Verdrag inzake postale financiële diensten worden ingevolge artikel XXII van het Tweede Aanvullend Protocol bij het Verdrag inzake postale financiële diensten vanaf 1 juli 2026 voorlopig toegepast door het Koninkrijk der Nederlanden;</w:t>
      </w:r>
    </w:p>
    <w:p w:rsidRPr="00445CFA" w:rsidR="003757F3" w:rsidP="003757F3" w:rsidRDefault="003757F3" w14:paraId="43AB88C9" w14:textId="77777777">
      <w:pPr>
        <w:pStyle w:val="Lijstalinea"/>
        <w:numPr>
          <w:ilvl w:val="0"/>
          <w:numId w:val="1"/>
        </w:numPr>
        <w:spacing w:after="0" w:line="240" w:lineRule="atLeast"/>
        <w:rPr>
          <w:rFonts w:ascii="Calibri" w:hAnsi="Calibri" w:cs="Calibri"/>
          <w:sz w:val="22"/>
          <w:szCs w:val="22"/>
        </w:rPr>
      </w:pPr>
      <w:r w:rsidRPr="00445CFA">
        <w:rPr>
          <w:rFonts w:ascii="Calibri" w:hAnsi="Calibri" w:cs="Calibri"/>
          <w:sz w:val="22"/>
          <w:szCs w:val="22"/>
        </w:rPr>
        <w:t>De bepalingen van het Tweede Aanvullend Protocol bij het Algemeen Postverdrag, met uitzondering van artikelen IV, V, X, XII tot en met XIX en XXI, alsmede de wijzigingen in de leden 2.1, 2.4 en 3.3 van artikel VIII en de leden 4.2, 6.1.1.1 en 6.1.1bis van artikel IX die vanaf 1 januari 2026 voorlopig worden toegepast, worden ingevolge artikel XXII van het Tweede Aanvullend Protocol bij het Algemeen Postverdrag vanaf 1 januari 2027 voorlopig toegepast door het Koninkrijk der Nederlanden</w:t>
      </w:r>
    </w:p>
    <w:p w:rsidRPr="00445CFA" w:rsidR="003757F3" w:rsidP="003757F3" w:rsidRDefault="003757F3" w14:paraId="26AB4EF4" w14:textId="77777777">
      <w:pPr>
        <w:rPr>
          <w:rFonts w:ascii="Calibri" w:hAnsi="Calibri" w:cs="Calibri"/>
          <w:sz w:val="22"/>
          <w:szCs w:val="22"/>
        </w:rPr>
      </w:pPr>
    </w:p>
    <w:p w:rsidRPr="00445CFA" w:rsidR="003757F3" w:rsidP="003757F3" w:rsidRDefault="003757F3" w14:paraId="1500A881" w14:textId="77777777">
      <w:pPr>
        <w:rPr>
          <w:rFonts w:ascii="Calibri" w:hAnsi="Calibri" w:cs="Calibri"/>
          <w:sz w:val="22"/>
          <w:szCs w:val="22"/>
        </w:rPr>
      </w:pPr>
      <w:r w:rsidRPr="00445CFA">
        <w:rPr>
          <w:rFonts w:ascii="Calibri" w:hAnsi="Calibri" w:cs="Calibri"/>
          <w:sz w:val="22"/>
          <w:szCs w:val="22"/>
        </w:rPr>
        <w:t xml:space="preserve">Wat betreft het Koninkrijk der Nederlanden, gelden de voorlopige toepassingen van het Vijfde Aanvullend Protocol bij het Algemeen Reglement van de Wereldpostunie, het Twaalfde Aanvullend Protocol bij de Constitutie van de Wereldpostunie en het Tweede Aanvullend Protocol bij het Algemeen Postverdrag voor het gehele Koninkrijk. </w:t>
      </w:r>
    </w:p>
    <w:p w:rsidRPr="00445CFA" w:rsidR="003757F3" w:rsidP="003757F3" w:rsidRDefault="003757F3" w14:paraId="554D29BD" w14:textId="77777777">
      <w:pPr>
        <w:rPr>
          <w:rFonts w:ascii="Calibri" w:hAnsi="Calibri" w:cs="Calibri"/>
          <w:sz w:val="22"/>
          <w:szCs w:val="22"/>
        </w:rPr>
      </w:pPr>
      <w:r w:rsidRPr="00445CFA">
        <w:rPr>
          <w:rFonts w:ascii="Calibri" w:hAnsi="Calibri" w:cs="Calibri"/>
          <w:sz w:val="22"/>
          <w:szCs w:val="22"/>
        </w:rPr>
        <w:lastRenderedPageBreak/>
        <w:t xml:space="preserve">Wat betreft het Koninkrijk der Nederlanden, geldt de voorlopige toepassing van het Tweede Aanvullend Protocol bij het Verdrag inzake postale financiële diensten voor Curaçao en het Caribische deel van Nederland. </w:t>
      </w:r>
    </w:p>
    <w:p w:rsidRPr="00445CFA" w:rsidR="003757F3" w:rsidP="003757F3" w:rsidRDefault="003757F3" w14:paraId="0C471F70" w14:textId="77777777">
      <w:pPr>
        <w:rPr>
          <w:rFonts w:ascii="Calibri" w:hAnsi="Calibri" w:cs="Calibri"/>
          <w:sz w:val="22"/>
          <w:szCs w:val="22"/>
        </w:rPr>
      </w:pPr>
    </w:p>
    <w:p w:rsidRPr="00445CFA" w:rsidR="003757F3" w:rsidP="003757F3" w:rsidRDefault="003757F3" w14:paraId="1F8DD51F" w14:textId="77777777">
      <w:pPr>
        <w:rPr>
          <w:rFonts w:ascii="Calibri" w:hAnsi="Calibri" w:cs="Calibri"/>
          <w:sz w:val="22"/>
          <w:szCs w:val="22"/>
        </w:rPr>
      </w:pPr>
      <w:r w:rsidRPr="00445CFA">
        <w:rPr>
          <w:rFonts w:ascii="Calibri" w:hAnsi="Calibri" w:cs="Calibri"/>
          <w:sz w:val="22"/>
          <w:szCs w:val="22"/>
        </w:rPr>
        <w:t xml:space="preserve">De tekst van deze Protocollen en Verdragen is geplaatst in </w:t>
      </w:r>
      <w:proofErr w:type="spellStart"/>
      <w:r w:rsidRPr="00445CFA">
        <w:rPr>
          <w:rFonts w:ascii="Calibri" w:hAnsi="Calibri" w:cs="Calibri"/>
          <w:sz w:val="22"/>
          <w:szCs w:val="22"/>
        </w:rPr>
        <w:t>Tractatenblad</w:t>
      </w:r>
      <w:proofErr w:type="spellEnd"/>
      <w:r w:rsidRPr="00445CFA">
        <w:rPr>
          <w:rFonts w:ascii="Calibri" w:hAnsi="Calibri" w:cs="Calibri"/>
          <w:sz w:val="22"/>
          <w:szCs w:val="22"/>
        </w:rPr>
        <w:t xml:space="preserve"> 2026, 32.</w:t>
      </w:r>
    </w:p>
    <w:p w:rsidRPr="00445CFA" w:rsidR="003757F3" w:rsidP="003757F3" w:rsidRDefault="003757F3" w14:paraId="1F35BA0A" w14:textId="77777777">
      <w:pPr>
        <w:rPr>
          <w:rFonts w:ascii="Calibri" w:hAnsi="Calibri" w:cs="Calibri"/>
          <w:sz w:val="22"/>
          <w:szCs w:val="22"/>
        </w:rPr>
      </w:pPr>
    </w:p>
    <w:p w:rsidRPr="00445CFA" w:rsidR="003757F3" w:rsidP="003757F3" w:rsidRDefault="003757F3" w14:paraId="6B2ED8D0" w14:textId="77777777">
      <w:pPr>
        <w:rPr>
          <w:rFonts w:ascii="Calibri" w:hAnsi="Calibri" w:cs="Calibri"/>
          <w:sz w:val="22"/>
          <w:szCs w:val="22"/>
        </w:rPr>
      </w:pPr>
      <w:r w:rsidRPr="00445CFA">
        <w:rPr>
          <w:rFonts w:ascii="Calibri" w:hAnsi="Calibri" w:cs="Calibri"/>
          <w:sz w:val="22"/>
          <w:szCs w:val="22"/>
        </w:rPr>
        <w:t>Nadat het advies van de Raad van State van het Koninkrijk zal zijn ingewonnen, zullen de Protocollen en de Verdragen ter goedkeuring aan de Staten-Generaal worden overgelegd.</w:t>
      </w:r>
    </w:p>
    <w:p w:rsidRPr="00445CFA" w:rsidR="003757F3" w:rsidP="003757F3" w:rsidRDefault="003757F3" w14:paraId="7F4092D4" w14:textId="77777777">
      <w:pPr>
        <w:rPr>
          <w:rFonts w:ascii="Calibri" w:hAnsi="Calibri" w:cs="Calibri"/>
          <w:sz w:val="22"/>
          <w:szCs w:val="22"/>
        </w:rPr>
      </w:pPr>
    </w:p>
    <w:p w:rsidRPr="00445CFA" w:rsidR="003757F3" w:rsidP="003757F3" w:rsidRDefault="003757F3" w14:paraId="6B4DC52D" w14:textId="77777777">
      <w:pPr>
        <w:rPr>
          <w:rFonts w:ascii="Calibri" w:hAnsi="Calibri" w:cs="Calibri"/>
          <w:sz w:val="22"/>
          <w:szCs w:val="22"/>
        </w:rPr>
      </w:pPr>
    </w:p>
    <w:p w:rsidRPr="00445CFA" w:rsidR="003757F3" w:rsidP="00445CFA" w:rsidRDefault="003757F3" w14:paraId="21923A6C" w14:textId="2B6699A6">
      <w:pPr>
        <w:pStyle w:val="Geenafstand"/>
        <w:rPr>
          <w:rFonts w:ascii="Calibri" w:hAnsi="Calibri" w:cs="Calibri"/>
          <w:sz w:val="22"/>
          <w:szCs w:val="22"/>
        </w:rPr>
      </w:pPr>
      <w:r w:rsidRPr="00445CFA">
        <w:rPr>
          <w:rFonts w:ascii="Calibri" w:hAnsi="Calibri" w:cs="Calibri"/>
          <w:sz w:val="22"/>
          <w:szCs w:val="22"/>
        </w:rPr>
        <w:t xml:space="preserve">De </w:t>
      </w:r>
      <w:r w:rsidRPr="00445CFA" w:rsidR="00445CFA">
        <w:rPr>
          <w:rFonts w:ascii="Calibri" w:hAnsi="Calibri" w:cs="Calibri"/>
          <w:sz w:val="22"/>
          <w:szCs w:val="22"/>
        </w:rPr>
        <w:t>m</w:t>
      </w:r>
      <w:r w:rsidRPr="00445CFA">
        <w:rPr>
          <w:rFonts w:ascii="Calibri" w:hAnsi="Calibri" w:cs="Calibri"/>
          <w:sz w:val="22"/>
          <w:szCs w:val="22"/>
        </w:rPr>
        <w:t>inister van Buitenlandse Zaken,</w:t>
      </w:r>
    </w:p>
    <w:p w:rsidRPr="00445CFA" w:rsidR="003757F3" w:rsidP="00445CFA" w:rsidRDefault="003757F3" w14:paraId="75FBF0CC" w14:textId="77777777">
      <w:pPr>
        <w:pStyle w:val="Geenafstand"/>
        <w:rPr>
          <w:rFonts w:ascii="Calibri" w:hAnsi="Calibri" w:cs="Calibri"/>
          <w:sz w:val="22"/>
          <w:szCs w:val="22"/>
        </w:rPr>
      </w:pPr>
      <w:bookmarkStart w:name="_Hlk232187870" w:id="0"/>
      <w:r w:rsidRPr="00445CFA">
        <w:rPr>
          <w:rFonts w:ascii="Calibri" w:hAnsi="Calibri" w:cs="Calibri"/>
          <w:sz w:val="22"/>
          <w:szCs w:val="22"/>
        </w:rPr>
        <w:t>T.B.W. Berendsen</w:t>
      </w:r>
      <w:bookmarkEnd w:id="0"/>
    </w:p>
    <w:p w:rsidRPr="00445CFA" w:rsidR="004E5D09" w:rsidP="00445CFA" w:rsidRDefault="004E5D09" w14:paraId="5D51A90F" w14:textId="77777777">
      <w:pPr>
        <w:pStyle w:val="Geenafstand"/>
        <w:rPr>
          <w:rFonts w:ascii="Calibri" w:hAnsi="Calibri" w:cs="Calibri"/>
          <w:sz w:val="22"/>
          <w:szCs w:val="22"/>
        </w:rPr>
      </w:pPr>
    </w:p>
    <w:sectPr w:rsidRPr="00445CFA" w:rsidR="004E5D09" w:rsidSect="003757F3">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98F39" w14:textId="77777777" w:rsidR="00855A61" w:rsidRDefault="00855A61" w:rsidP="003757F3">
      <w:pPr>
        <w:spacing w:after="0" w:line="240" w:lineRule="auto"/>
      </w:pPr>
      <w:r>
        <w:separator/>
      </w:r>
    </w:p>
  </w:endnote>
  <w:endnote w:type="continuationSeparator" w:id="0">
    <w:p w14:paraId="74E88588" w14:textId="77777777" w:rsidR="00855A61" w:rsidRDefault="00855A61" w:rsidP="00375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08B1E" w14:textId="77777777" w:rsidR="003757F3" w:rsidRPr="003757F3" w:rsidRDefault="003757F3" w:rsidP="003757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333D6" w14:textId="77777777" w:rsidR="003757F3" w:rsidRPr="003757F3" w:rsidRDefault="003757F3" w:rsidP="003757F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B5EF7" w14:textId="77777777" w:rsidR="003757F3" w:rsidRPr="003757F3" w:rsidRDefault="003757F3" w:rsidP="003757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A9141" w14:textId="77777777" w:rsidR="00855A61" w:rsidRDefault="00855A61" w:rsidP="003757F3">
      <w:pPr>
        <w:spacing w:after="0" w:line="240" w:lineRule="auto"/>
      </w:pPr>
      <w:r>
        <w:separator/>
      </w:r>
    </w:p>
  </w:footnote>
  <w:footnote w:type="continuationSeparator" w:id="0">
    <w:p w14:paraId="4EB4ACEA" w14:textId="77777777" w:rsidR="00855A61" w:rsidRDefault="00855A61" w:rsidP="003757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7CEF" w14:textId="77777777" w:rsidR="003757F3" w:rsidRPr="003757F3" w:rsidRDefault="003757F3" w:rsidP="003757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CA061" w14:textId="77777777" w:rsidR="008F2128" w:rsidRPr="003757F3" w:rsidRDefault="008F2128" w:rsidP="003757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5E7F7" w14:textId="77777777" w:rsidR="008F2128" w:rsidRPr="003757F3" w:rsidRDefault="008F2128" w:rsidP="003757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E30013"/>
    <w:multiLevelType w:val="hybridMultilevel"/>
    <w:tmpl w:val="98A6A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1974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7F3"/>
    <w:rsid w:val="003757F3"/>
    <w:rsid w:val="00445CFA"/>
    <w:rsid w:val="004E5D09"/>
    <w:rsid w:val="005B53BC"/>
    <w:rsid w:val="00641B1F"/>
    <w:rsid w:val="00855A61"/>
    <w:rsid w:val="008F2128"/>
    <w:rsid w:val="00ED6A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1AA4F"/>
  <w15:chartTrackingRefBased/>
  <w15:docId w15:val="{7894D2DC-8677-4EBA-AA1E-9E393216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757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757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757F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757F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757F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757F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757F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757F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757F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757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757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757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757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757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757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757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757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757F3"/>
    <w:rPr>
      <w:rFonts w:eastAsiaTheme="majorEastAsia" w:cstheme="majorBidi"/>
      <w:color w:val="272727" w:themeColor="text1" w:themeTint="D8"/>
    </w:rPr>
  </w:style>
  <w:style w:type="paragraph" w:styleId="Titel">
    <w:name w:val="Title"/>
    <w:basedOn w:val="Standaard"/>
    <w:next w:val="Standaard"/>
    <w:link w:val="TitelChar"/>
    <w:uiPriority w:val="10"/>
    <w:qFormat/>
    <w:rsid w:val="003757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757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757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757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757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757F3"/>
    <w:rPr>
      <w:i/>
      <w:iCs/>
      <w:color w:val="404040" w:themeColor="text1" w:themeTint="BF"/>
    </w:rPr>
  </w:style>
  <w:style w:type="paragraph" w:styleId="Lijstalinea">
    <w:name w:val="List Paragraph"/>
    <w:basedOn w:val="Standaard"/>
    <w:uiPriority w:val="34"/>
    <w:qFormat/>
    <w:rsid w:val="003757F3"/>
    <w:pPr>
      <w:ind w:left="720"/>
      <w:contextualSpacing/>
    </w:pPr>
  </w:style>
  <w:style w:type="character" w:styleId="Intensievebenadrukking">
    <w:name w:val="Intense Emphasis"/>
    <w:basedOn w:val="Standaardalinea-lettertype"/>
    <w:uiPriority w:val="21"/>
    <w:qFormat/>
    <w:rsid w:val="003757F3"/>
    <w:rPr>
      <w:i/>
      <w:iCs/>
      <w:color w:val="0F4761" w:themeColor="accent1" w:themeShade="BF"/>
    </w:rPr>
  </w:style>
  <w:style w:type="paragraph" w:styleId="Duidelijkcitaat">
    <w:name w:val="Intense Quote"/>
    <w:basedOn w:val="Standaard"/>
    <w:next w:val="Standaard"/>
    <w:link w:val="DuidelijkcitaatChar"/>
    <w:uiPriority w:val="30"/>
    <w:qFormat/>
    <w:rsid w:val="003757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757F3"/>
    <w:rPr>
      <w:i/>
      <w:iCs/>
      <w:color w:val="0F4761" w:themeColor="accent1" w:themeShade="BF"/>
    </w:rPr>
  </w:style>
  <w:style w:type="character" w:styleId="Intensieveverwijzing">
    <w:name w:val="Intense Reference"/>
    <w:basedOn w:val="Standaardalinea-lettertype"/>
    <w:uiPriority w:val="32"/>
    <w:qFormat/>
    <w:rsid w:val="003757F3"/>
    <w:rPr>
      <w:b/>
      <w:bCs/>
      <w:smallCaps/>
      <w:color w:val="0F4761" w:themeColor="accent1" w:themeShade="BF"/>
      <w:spacing w:val="5"/>
    </w:rPr>
  </w:style>
  <w:style w:type="paragraph" w:customStyle="1" w:styleId="Referentiegegevens">
    <w:name w:val="Referentiegegevens"/>
    <w:basedOn w:val="Standaard"/>
    <w:next w:val="Standaard"/>
    <w:uiPriority w:val="9"/>
    <w:qFormat/>
    <w:rsid w:val="003757F3"/>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3757F3"/>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2">
    <w:name w:val="Witregel W2"/>
    <w:basedOn w:val="Standaard"/>
    <w:next w:val="Standaard"/>
    <w:rsid w:val="003757F3"/>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Huisstijl-NAW">
    <w:name w:val="Huisstijl-NAW"/>
    <w:basedOn w:val="Standaard"/>
    <w:rsid w:val="003757F3"/>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Adres2">
    <w:name w:val="Huisstijl-Adres2"/>
    <w:basedOn w:val="Standaard"/>
    <w:rsid w:val="003757F3"/>
    <w:pPr>
      <w:tabs>
        <w:tab w:val="left" w:pos="192"/>
      </w:tabs>
      <w:adjustRightInd w:val="0"/>
      <w:spacing w:after="0" w:line="180" w:lineRule="exact"/>
    </w:pPr>
    <w:rPr>
      <w:rFonts w:ascii="Verdana" w:eastAsia="Times New Roman" w:hAnsi="Verdana" w:cs="Verdana"/>
      <w:noProof/>
      <w:kern w:val="0"/>
      <w:sz w:val="13"/>
      <w:szCs w:val="13"/>
      <w:lang w:eastAsia="nl-NL"/>
      <w14:ligatures w14:val="none"/>
    </w:rPr>
  </w:style>
  <w:style w:type="paragraph" w:customStyle="1" w:styleId="Huisstijl-Kopje">
    <w:name w:val="Huisstijl-Kopje"/>
    <w:basedOn w:val="Standaard"/>
    <w:link w:val="Huisstijl-KopjeChar"/>
    <w:rsid w:val="003757F3"/>
    <w:pPr>
      <w:spacing w:after="0" w:line="180" w:lineRule="exact"/>
    </w:pPr>
    <w:rPr>
      <w:rFonts w:ascii="Verdana" w:eastAsia="Times New Roman" w:hAnsi="Verdana" w:cs="Times New Roman"/>
      <w:b/>
      <w:noProof/>
      <w:kern w:val="0"/>
      <w:sz w:val="13"/>
      <w:lang w:eastAsia="nl-NL"/>
      <w14:ligatures w14:val="none"/>
    </w:rPr>
  </w:style>
  <w:style w:type="character" w:customStyle="1" w:styleId="Huisstijl-KopjeChar">
    <w:name w:val="Huisstijl-Kopje Char"/>
    <w:link w:val="Huisstijl-Kopje"/>
    <w:rsid w:val="003757F3"/>
    <w:rPr>
      <w:rFonts w:ascii="Verdana" w:eastAsia="Times New Roman" w:hAnsi="Verdana" w:cs="Times New Roman"/>
      <w:b/>
      <w:noProof/>
      <w:kern w:val="0"/>
      <w:sz w:val="13"/>
      <w:lang w:eastAsia="nl-NL"/>
      <w14:ligatures w14:val="none"/>
    </w:rPr>
  </w:style>
  <w:style w:type="character" w:customStyle="1" w:styleId="Huisstijl-GegevenCharChar">
    <w:name w:val="Huisstijl-Gegeven Char Char"/>
    <w:link w:val="Huisstijl-Gegeven"/>
    <w:rsid w:val="003757F3"/>
    <w:rPr>
      <w:rFonts w:ascii="Verdana" w:hAnsi="Verdana"/>
      <w:noProof/>
      <w:sz w:val="13"/>
    </w:rPr>
  </w:style>
  <w:style w:type="paragraph" w:customStyle="1" w:styleId="Huisstijl-Gegeven">
    <w:name w:val="Huisstijl-Gegeven"/>
    <w:basedOn w:val="Standaard"/>
    <w:link w:val="Huisstijl-GegevenCharChar"/>
    <w:rsid w:val="003757F3"/>
    <w:pPr>
      <w:spacing w:after="92" w:line="180" w:lineRule="exact"/>
    </w:pPr>
    <w:rPr>
      <w:rFonts w:ascii="Verdana" w:hAnsi="Verdana"/>
      <w:noProof/>
      <w:sz w:val="13"/>
    </w:rPr>
  </w:style>
  <w:style w:type="character" w:customStyle="1" w:styleId="preformatted">
    <w:name w:val="preformatted"/>
    <w:rsid w:val="003757F3"/>
  </w:style>
  <w:style w:type="paragraph" w:styleId="Koptekst">
    <w:name w:val="header"/>
    <w:basedOn w:val="Standaard"/>
    <w:link w:val="KoptekstChar"/>
    <w:uiPriority w:val="99"/>
    <w:unhideWhenUsed/>
    <w:rsid w:val="003757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757F3"/>
  </w:style>
  <w:style w:type="paragraph" w:styleId="Voettekst">
    <w:name w:val="footer"/>
    <w:basedOn w:val="Standaard"/>
    <w:link w:val="VoettekstChar"/>
    <w:uiPriority w:val="99"/>
    <w:unhideWhenUsed/>
    <w:rsid w:val="003757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757F3"/>
  </w:style>
  <w:style w:type="paragraph" w:styleId="Geenafstand">
    <w:name w:val="No Spacing"/>
    <w:uiPriority w:val="1"/>
    <w:qFormat/>
    <w:rsid w:val="00445C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427</ap:Words>
  <ap:Characters>2352</ap:Characters>
  <ap:DocSecurity>0</ap:DocSecurity>
  <ap:Lines>19</ap:Lines>
  <ap:Paragraphs>5</ap:Paragraphs>
  <ap:ScaleCrop>false</ap:ScaleCrop>
  <ap:LinksUpToDate>false</ap:LinksUpToDate>
  <ap:CharactersWithSpaces>2774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2026-06-30T08:53:00.0000000Z</dcterms:created>
  <dcterms:modified xsi:type="dcterms:W3CDTF">2026-06-30T08:53:00.0000000Z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