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7500" w:rsidRDefault="007310C7" w14:paraId="1E3185B6" w14:textId="77777777">
      <w:r>
        <w:t xml:space="preserve">Geachte </w:t>
      </w:r>
      <w:r w:rsidR="00921879">
        <w:t>voorzitter</w:t>
      </w:r>
      <w:r>
        <w:t>,</w:t>
      </w:r>
    </w:p>
    <w:p w:rsidR="002B7500" w:rsidRDefault="002B7500" w14:paraId="6CE363B1" w14:textId="77777777"/>
    <w:p w:rsidR="00FF630A" w:rsidP="00FC53A4" w:rsidRDefault="00154F0B" w14:paraId="6A746F90" w14:textId="77777777">
      <w:pPr>
        <w:rPr>
          <w:b/>
          <w:bCs/>
        </w:rPr>
      </w:pPr>
      <w:r>
        <w:t xml:space="preserve">In uw Kamer </w:t>
      </w:r>
      <w:r w:rsidR="00921879">
        <w:t>bestaat een breed gedeelde wens om</w:t>
      </w:r>
      <w:r w:rsidR="0095732B">
        <w:t xml:space="preserve"> het belastingstelsel eenvoudiger en doelmatiger te maken.</w:t>
      </w:r>
      <w:r w:rsidR="00267AAD">
        <w:t xml:space="preserve"> Een manier om beide doelen te bereiken is door kritisch te kijken naar fiscale regelingen die negatief zijn geëvalueerd. </w:t>
      </w:r>
      <w:r w:rsidR="00E90ABB">
        <w:t xml:space="preserve">Dat </w:t>
      </w:r>
      <w:r w:rsidRPr="00357A1E" w:rsidR="00E90ABB">
        <w:t xml:space="preserve">kan </w:t>
      </w:r>
      <w:r w:rsidRPr="00357A1E" w:rsidR="002A54D9">
        <w:t xml:space="preserve">niet alleen </w:t>
      </w:r>
      <w:r w:rsidRPr="00357A1E" w:rsidR="00E90ABB">
        <w:t>bijdragen aan een beter en</w:t>
      </w:r>
      <w:r w:rsidRPr="00357A1E" w:rsidR="005C49E0">
        <w:t xml:space="preserve"> een eenvoudiger stelsel</w:t>
      </w:r>
      <w:r w:rsidRPr="00357A1E" w:rsidR="002A54D9">
        <w:t>, maar</w:t>
      </w:r>
      <w:r w:rsidRPr="00357A1E" w:rsidR="00E90ABB">
        <w:t xml:space="preserve"> daarbij mogelijk </w:t>
      </w:r>
      <w:r w:rsidRPr="00357A1E" w:rsidR="002A54D9">
        <w:t xml:space="preserve">ook </w:t>
      </w:r>
      <w:r w:rsidRPr="00357A1E" w:rsidR="00E90ABB">
        <w:t xml:space="preserve">middelen vrijspelen </w:t>
      </w:r>
      <w:r w:rsidRPr="00357A1E" w:rsidR="009A16F3">
        <w:t xml:space="preserve">om andere </w:t>
      </w:r>
      <w:r w:rsidRPr="00357A1E" w:rsidR="00267AAD">
        <w:t xml:space="preserve">beleidsopgaven te </w:t>
      </w:r>
      <w:r w:rsidRPr="00357A1E" w:rsidR="003C7AAC">
        <w:t>financieren</w:t>
      </w:r>
      <w:r w:rsidRPr="00357A1E" w:rsidR="00267AAD">
        <w:t xml:space="preserve">. </w:t>
      </w:r>
      <w:r w:rsidRPr="00357A1E" w:rsidR="00DA1C2C">
        <w:t xml:space="preserve">Daarbij geldt dat besluiten om fiscale regelingen aan te passen naar aanleiding van een evaluatie ook een politieke weging vergen. </w:t>
      </w:r>
      <w:r w:rsidRPr="00357A1E" w:rsidR="00A6130E">
        <w:t xml:space="preserve">Uw Kamer ziet </w:t>
      </w:r>
      <w:r w:rsidRPr="00357A1E" w:rsidR="00DF3475">
        <w:t>ook</w:t>
      </w:r>
      <w:r w:rsidRPr="00357A1E" w:rsidR="001F7896">
        <w:t xml:space="preserve"> de mogelijkheid om middelen vrij te spelen via negatief beoordeelde fiscale regelingen</w:t>
      </w:r>
      <w:r w:rsidRPr="00357A1E" w:rsidR="00A6130E">
        <w:t xml:space="preserve">. </w:t>
      </w:r>
      <w:r w:rsidRPr="00357A1E" w:rsidR="003C7AAC">
        <w:t>Zo is op 26 februari jl. de motie van het lid Dassen aangenomen.</w:t>
      </w:r>
      <w:r w:rsidRPr="00357A1E" w:rsidR="00DA5CCE">
        <w:rPr>
          <w:rStyle w:val="Voetnootmarkering"/>
        </w:rPr>
        <w:footnoteReference w:id="1"/>
      </w:r>
      <w:r w:rsidRPr="00357A1E" w:rsidR="003C7AAC">
        <w:t xml:space="preserve"> In deze motie wordt de regering verzocht om opties uit te werken waarbij de voorgenomen belastingverhoging uit het coalitieakkoord (vrijheidsbijdrage) verminderd kan worden door het afschaffen of versoberen van ondoelmatige en ondoeltreffende fiscale regelingen</w:t>
      </w:r>
      <w:r w:rsidRPr="009B3713" w:rsidR="003C7AAC">
        <w:t xml:space="preserve">. </w:t>
      </w:r>
      <w:r w:rsidRPr="007F098B" w:rsidR="007F098B">
        <w:t xml:space="preserve">In deze brief </w:t>
      </w:r>
      <w:r w:rsidR="00455B91">
        <w:t>ga ik nader in op de insteek van het kabinet op het terrein van fiscale regelingen.</w:t>
      </w:r>
    </w:p>
    <w:p w:rsidR="007F098B" w:rsidP="00FC53A4" w:rsidRDefault="007F098B" w14:paraId="0FE8E7AB" w14:textId="77777777"/>
    <w:p w:rsidR="002B7500" w:rsidRDefault="00154F0B" w14:paraId="750C445D" w14:textId="77777777">
      <w:pPr>
        <w:rPr>
          <w:i/>
          <w:iCs/>
        </w:rPr>
      </w:pPr>
      <w:r>
        <w:rPr>
          <w:i/>
          <w:iCs/>
        </w:rPr>
        <w:t xml:space="preserve">Actueel overzicht </w:t>
      </w:r>
      <w:r w:rsidR="001E6236">
        <w:rPr>
          <w:i/>
          <w:iCs/>
        </w:rPr>
        <w:t xml:space="preserve">negatief beoordeelde </w:t>
      </w:r>
      <w:r>
        <w:rPr>
          <w:i/>
          <w:iCs/>
        </w:rPr>
        <w:t>fiscale regelingen</w:t>
      </w:r>
    </w:p>
    <w:p w:rsidR="00154F0B" w:rsidRDefault="002478B9" w14:paraId="72A79B4B" w14:textId="77777777">
      <w:r>
        <w:t>Volgens de laatste stand van zaken zijn</w:t>
      </w:r>
      <w:r w:rsidRPr="00154F0B" w:rsidR="00154F0B">
        <w:t xml:space="preserve"> van de 124</w:t>
      </w:r>
      <w:r w:rsidRPr="00154F0B" w:rsidR="00154F0B">
        <w:rPr>
          <w:rStyle w:val="Voetnootmarkering"/>
        </w:rPr>
        <w:footnoteReference w:id="2"/>
      </w:r>
      <w:r w:rsidRPr="00154F0B" w:rsidR="00154F0B">
        <w:t xml:space="preserve"> </w:t>
      </w:r>
      <w:r w:rsidR="00C03FE9">
        <w:t xml:space="preserve">geëvalueerde </w:t>
      </w:r>
      <w:r w:rsidR="00154F0B">
        <w:t xml:space="preserve">fiscale </w:t>
      </w:r>
      <w:r w:rsidRPr="00154F0B" w:rsidR="00154F0B">
        <w:t xml:space="preserve">regelingen </w:t>
      </w:r>
      <w:r w:rsidR="0010401E">
        <w:t xml:space="preserve">er </w:t>
      </w:r>
      <w:r w:rsidRPr="00154F0B" w:rsidR="00154F0B">
        <w:t xml:space="preserve">in totaal 55 negatief </w:t>
      </w:r>
      <w:r w:rsidR="00C03FE9">
        <w:t>beoordeeld</w:t>
      </w:r>
      <w:r w:rsidRPr="00154F0B" w:rsidR="00154F0B">
        <w:t>.</w:t>
      </w:r>
      <w:r w:rsidRPr="00154F0B" w:rsidR="00154F0B">
        <w:rPr>
          <w:rStyle w:val="Voetnootmarkering"/>
        </w:rPr>
        <w:footnoteReference w:id="3"/>
      </w:r>
      <w:r w:rsidRPr="00154F0B" w:rsidR="00154F0B">
        <w:t xml:space="preserve"> Dit betekent dat deze regelingen niet doen wat ze zouden moeten doen (niet doeltreffend), het doel van de regeling met minder middelen ook bereikt zou kunnen worden (niet doelmatig), of dat de regeling </w:t>
      </w:r>
      <w:r w:rsidR="009A16F3">
        <w:t xml:space="preserve">(te) </w:t>
      </w:r>
      <w:r w:rsidRPr="00154F0B" w:rsidR="00154F0B">
        <w:t xml:space="preserve">complex voor de uitvoering of belastingplichtige is. </w:t>
      </w:r>
      <w:r w:rsidR="00762C63">
        <w:t xml:space="preserve">De </w:t>
      </w:r>
      <w:r w:rsidRPr="00154F0B" w:rsidR="00154F0B">
        <w:t xml:space="preserve">fiscale regelingen </w:t>
      </w:r>
      <w:r w:rsidR="00762C63">
        <w:t xml:space="preserve">die negatief </w:t>
      </w:r>
      <w:r w:rsidR="00C03FE9">
        <w:t>zijn beoordeeld vertegenwoordigen</w:t>
      </w:r>
      <w:r w:rsidR="00762C63">
        <w:t xml:space="preserve"> een </w:t>
      </w:r>
      <w:r w:rsidRPr="00154F0B" w:rsidR="00154F0B">
        <w:t xml:space="preserve">budgettair belang van </w:t>
      </w:r>
      <w:proofErr w:type="gramStart"/>
      <w:r w:rsidRPr="00154F0B" w:rsidR="00154F0B">
        <w:t>circa</w:t>
      </w:r>
      <w:proofErr w:type="gramEnd"/>
      <w:r w:rsidRPr="00154F0B" w:rsidR="00154F0B">
        <w:t xml:space="preserve"> 90 miljard euro. </w:t>
      </w:r>
      <w:r w:rsidR="002525FB">
        <w:t>Een volledig overzicht van deze regelingen is te vinden in de bijlage bij deze brief.</w:t>
      </w:r>
    </w:p>
    <w:p w:rsidR="00154F0B" w:rsidRDefault="00154F0B" w14:paraId="22FD81A9" w14:textId="77777777"/>
    <w:p w:rsidR="00C03FE9" w:rsidRDefault="00C03FE9" w14:paraId="7263FC25" w14:textId="77777777">
      <w:r w:rsidRPr="004223B1">
        <w:rPr>
          <w:noProof/>
        </w:rPr>
        <w:lastRenderedPageBreak/>
        <w:drawing>
          <wp:inline distT="0" distB="0" distL="0" distR="0" wp14:anchorId="68E908F3" wp14:editId="4F0937A8">
            <wp:extent cx="4752340" cy="2964180"/>
            <wp:effectExtent l="0" t="0" r="0" b="7620"/>
            <wp:docPr id="2036854387" name="Grafiek 1">
              <a:extLst xmlns:a="http://schemas.openxmlformats.org/drawingml/2006/main">
                <a:ext uri="{FF2B5EF4-FFF2-40B4-BE49-F238E27FC236}">
                  <a16:creationId xmlns:a16="http://schemas.microsoft.com/office/drawing/2014/main" id="{C542F034-607B-E26B-A7D4-F9A8736997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C03FE9" w:rsidRDefault="00C03FE9" w14:paraId="00CD09C9" w14:textId="77777777"/>
    <w:p w:rsidR="00461073" w:rsidP="00461073" w:rsidRDefault="00461073" w14:paraId="54FD1EB0" w14:textId="77777777">
      <w:r>
        <w:t>Voor het herzien van negatief beoordeelde fiscale regelingen kan worden geput uit de beleidsopties uit het recente ambtelijk rapport ‘Kansen voor lagere tarieven</w:t>
      </w:r>
      <w:r w:rsidR="009A16F3">
        <w:t xml:space="preserve"> en beter beleid</w:t>
      </w:r>
      <w:r>
        <w:t>’.</w:t>
      </w:r>
      <w:r>
        <w:rPr>
          <w:rStyle w:val="Voetnootmarkering"/>
        </w:rPr>
        <w:footnoteReference w:id="4"/>
      </w:r>
      <w:r>
        <w:t xml:space="preserve"> Om enige structuur te bieden schets ik </w:t>
      </w:r>
      <w:r w:rsidR="00557A5F">
        <w:t>twee</w:t>
      </w:r>
      <w:r>
        <w:t xml:space="preserve"> lijnen waarlangs </w:t>
      </w:r>
      <w:r w:rsidR="00AE6F62">
        <w:t xml:space="preserve">de omvangrijke lijst aan opties benaderd kan worden. </w:t>
      </w:r>
    </w:p>
    <w:p w:rsidR="00461073" w:rsidP="00154F0B" w:rsidRDefault="00461073" w14:paraId="0D8F2866" w14:textId="77777777">
      <w:pPr>
        <w:rPr>
          <w:i/>
          <w:iCs/>
        </w:rPr>
      </w:pPr>
    </w:p>
    <w:p w:rsidRPr="008902BF" w:rsidR="008902BF" w:rsidP="00154F0B" w:rsidRDefault="008902BF" w14:paraId="480D838E" w14:textId="77777777">
      <w:pPr>
        <w:rPr>
          <w:i/>
          <w:iCs/>
        </w:rPr>
      </w:pPr>
      <w:r>
        <w:rPr>
          <w:i/>
          <w:iCs/>
        </w:rPr>
        <w:t xml:space="preserve">Vereenvoudiging </w:t>
      </w:r>
      <w:r w:rsidR="00F36977">
        <w:rPr>
          <w:i/>
          <w:iCs/>
        </w:rPr>
        <w:t xml:space="preserve">en verbetering </w:t>
      </w:r>
      <w:r>
        <w:rPr>
          <w:i/>
          <w:iCs/>
        </w:rPr>
        <w:t>belastingstelsel</w:t>
      </w:r>
    </w:p>
    <w:p w:rsidR="00EB364C" w:rsidP="00154F0B" w:rsidRDefault="00EA112C" w14:paraId="497CC8C2" w14:textId="77777777">
      <w:r>
        <w:t xml:space="preserve">Allereerst </w:t>
      </w:r>
      <w:r w:rsidR="00B159E7">
        <w:t>zou de</w:t>
      </w:r>
      <w:r w:rsidR="00862A7B">
        <w:t xml:space="preserve"> lijst met opties bekeken kunnen </w:t>
      </w:r>
      <w:r w:rsidR="00CC6CFF">
        <w:t xml:space="preserve">worden vanuit </w:t>
      </w:r>
      <w:r w:rsidR="008A3490">
        <w:t>de gedachte</w:t>
      </w:r>
      <w:r w:rsidR="00CC6CFF">
        <w:t xml:space="preserve"> om </w:t>
      </w:r>
      <w:r w:rsidR="008902BF">
        <w:t>het belastingstelsel</w:t>
      </w:r>
      <w:r w:rsidR="00CC6CFF">
        <w:t xml:space="preserve"> te vereenvoudigen en te verbeteren</w:t>
      </w:r>
      <w:r w:rsidR="008902BF">
        <w:t>.</w:t>
      </w:r>
      <w:r w:rsidRPr="00461073" w:rsidR="00461073">
        <w:t xml:space="preserve"> </w:t>
      </w:r>
      <w:r w:rsidR="006169CC">
        <w:t>Mede d</w:t>
      </w:r>
      <w:r w:rsidRPr="00461073" w:rsidR="00461073">
        <w:t xml:space="preserve">oordat er zoveel fiscale regelingen bestaan, is het stelsel niet gemakkelijk te begrijpen en moeilijk uit te voeren. De fiscale regelingen zorgen immers voor allerlei uitzonderingen, en weer uitzonderingen op uitzonderingen. </w:t>
      </w:r>
      <w:r w:rsidR="008020CA">
        <w:t xml:space="preserve">Het kabinet zet een aantal vereenvoudigingsstappen. </w:t>
      </w:r>
      <w:r w:rsidR="004B29D0">
        <w:t xml:space="preserve">Zo gaat het kabinet aan de slag met een hervormingsagenda voor het belasting- en toeslagenstelsel. </w:t>
      </w:r>
      <w:r w:rsidRPr="00EF72FA" w:rsidR="005F2369">
        <w:t>Verder heeft het kabinet voorgesteld de aftrek voor specifieke zorgkosten af te schaffen, mede omdat hier sprake is van veel niet- of foutief gebruik.</w:t>
      </w:r>
      <w:r w:rsidR="005F2369">
        <w:t xml:space="preserve"> </w:t>
      </w:r>
      <w:r w:rsidR="00CC6CFF">
        <w:t>Daarnaast stelt het kabinet voor om de startersaftrek af te schaffen</w:t>
      </w:r>
      <w:r w:rsidR="008A3490">
        <w:t>,</w:t>
      </w:r>
      <w:r w:rsidR="009963DE">
        <w:t xml:space="preserve"> wat bijdraagt aan een minder complexe </w:t>
      </w:r>
      <w:r w:rsidRPr="009963DE" w:rsidR="009963DE">
        <w:t>inkomstenbelasting</w:t>
      </w:r>
      <w:r w:rsidR="008A3490">
        <w:t>.</w:t>
      </w:r>
      <w:r w:rsidR="0066380C">
        <w:t xml:space="preserve"> Verder stelt het kabinet voor om de negatief geëvalueerde </w:t>
      </w:r>
      <w:r w:rsidRPr="0066380C" w:rsidR="0066380C">
        <w:t>gerichte vrijstelling in de werkkostenregeling voor korting op branche-eigen producten</w:t>
      </w:r>
      <w:r w:rsidR="0066380C">
        <w:t xml:space="preserve"> en het verlaagde btw-tarief op sierteel</w:t>
      </w:r>
      <w:r w:rsidR="00BD3EB7">
        <w:t>t</w:t>
      </w:r>
      <w:r w:rsidR="0066380C">
        <w:t xml:space="preserve"> af te schaffen</w:t>
      </w:r>
      <w:r w:rsidRPr="0066380C" w:rsidR="0066380C">
        <w:t xml:space="preserve">. </w:t>
      </w:r>
      <w:r w:rsidRPr="00FC53A4" w:rsidR="006169CC">
        <w:t xml:space="preserve">Ook </w:t>
      </w:r>
      <w:r w:rsidR="006169CC">
        <w:t>d</w:t>
      </w:r>
      <w:r w:rsidR="00D81504">
        <w:t xml:space="preserve">oor regelingen </w:t>
      </w:r>
      <w:r w:rsidR="00DE1D2A">
        <w:t xml:space="preserve">samen te voegen kan het belastingstelsel </w:t>
      </w:r>
      <w:r w:rsidRPr="00D81504" w:rsidR="00D81504">
        <w:t xml:space="preserve">eenvoudiger, toegankelijker en effectiever </w:t>
      </w:r>
      <w:r w:rsidR="00DE1D2A">
        <w:t>worden gemaakt.</w:t>
      </w:r>
      <w:r w:rsidR="00EE0449">
        <w:t xml:space="preserve"> </w:t>
      </w:r>
      <w:r w:rsidRPr="00EF72FA" w:rsidR="005F2369">
        <w:t>Zo worden de EIA, MIA en Vamil waar mogelijk samengevoegd tot één robuuste investeringsregeling.</w:t>
      </w:r>
      <w:r w:rsidR="00862A7B">
        <w:t xml:space="preserve"> </w:t>
      </w:r>
    </w:p>
    <w:p w:rsidR="00EA112C" w:rsidP="00154F0B" w:rsidRDefault="00EA112C" w14:paraId="532EA313" w14:textId="77777777"/>
    <w:p w:rsidRPr="006E4967" w:rsidR="00EA112C" w:rsidP="00154F0B" w:rsidRDefault="00D21ABE" w14:paraId="3F32FF9F" w14:textId="77777777">
      <w:pPr>
        <w:rPr>
          <w:i/>
          <w:iCs/>
        </w:rPr>
      </w:pPr>
      <w:r>
        <w:rPr>
          <w:i/>
          <w:iCs/>
        </w:rPr>
        <w:t>Ondersteunend aan</w:t>
      </w:r>
      <w:r w:rsidR="00D47A26">
        <w:rPr>
          <w:i/>
          <w:iCs/>
        </w:rPr>
        <w:t xml:space="preserve"> bredere</w:t>
      </w:r>
      <w:r>
        <w:rPr>
          <w:i/>
          <w:iCs/>
        </w:rPr>
        <w:t xml:space="preserve"> beleidsopgaven</w:t>
      </w:r>
    </w:p>
    <w:p w:rsidR="008E4E1E" w:rsidP="00D47A26" w:rsidRDefault="00A827D7" w14:paraId="228549EF" w14:textId="77777777">
      <w:r>
        <w:t xml:space="preserve">Een </w:t>
      </w:r>
      <w:r w:rsidR="00C65F1A">
        <w:t xml:space="preserve">aantal </w:t>
      </w:r>
      <w:r>
        <w:t xml:space="preserve">negatief beoordeelde </w:t>
      </w:r>
      <w:r w:rsidR="00C65F1A">
        <w:t xml:space="preserve">fiscale regelingen </w:t>
      </w:r>
      <w:r>
        <w:t>is gericht op beleidsdomeinen met een complexe problematiek</w:t>
      </w:r>
      <w:r w:rsidR="00C52917">
        <w:t xml:space="preserve">. Bij een </w:t>
      </w:r>
      <w:r w:rsidR="009A16F3">
        <w:t>mogelijke aanpassing</w:t>
      </w:r>
      <w:r w:rsidR="00C52917">
        <w:t xml:space="preserve"> van deze </w:t>
      </w:r>
      <w:r>
        <w:t xml:space="preserve">regelingen </w:t>
      </w:r>
      <w:r w:rsidRPr="00EF72FA" w:rsidR="00C52917">
        <w:t xml:space="preserve">kan </w:t>
      </w:r>
      <w:r w:rsidR="00C52917">
        <w:t>overwogen worden om (een deel van)</w:t>
      </w:r>
      <w:r w:rsidRPr="00EF72FA" w:rsidR="00C52917">
        <w:t xml:space="preserve"> de </w:t>
      </w:r>
      <w:r w:rsidR="002A54D9">
        <w:t xml:space="preserve">vrijgekomen </w:t>
      </w:r>
      <w:r w:rsidRPr="00EF72FA" w:rsidR="00C52917">
        <w:t xml:space="preserve">middelen </w:t>
      </w:r>
      <w:r w:rsidR="00C52917">
        <w:t xml:space="preserve">in </w:t>
      </w:r>
      <w:r w:rsidR="00C52917">
        <w:lastRenderedPageBreak/>
        <w:t xml:space="preserve">te zetten binnen hetzelfde beleidsdomein. Op deze manier kan er </w:t>
      </w:r>
      <w:r w:rsidR="00D10C86">
        <w:t xml:space="preserve">samenhangend beleid worden gemaakt. </w:t>
      </w:r>
      <w:r w:rsidR="003E28C8">
        <w:t>Ook bij d</w:t>
      </w:r>
      <w:r w:rsidRPr="008E4E1E" w:rsidR="008E4E1E">
        <w:t xml:space="preserve">e motie Dassen </w:t>
      </w:r>
      <w:r w:rsidR="003E28C8">
        <w:t>gaat het om een bredere beleidsopgave</w:t>
      </w:r>
      <w:r w:rsidR="008E4E1E">
        <w:t xml:space="preserve">. In het coalitieakkoord is afgesproken </w:t>
      </w:r>
      <w:r w:rsidRPr="00B123F0" w:rsidR="008E4E1E">
        <w:t>om een vrijheidsbijdrage in te voeren ter dekking van de voorgenomen stijging van de defensie</w:t>
      </w:r>
      <w:r w:rsidR="008E4E1E">
        <w:t>-</w:t>
      </w:r>
      <w:r w:rsidRPr="00B123F0" w:rsidR="008E4E1E">
        <w:t>uitgaven.</w:t>
      </w:r>
      <w:r w:rsidR="008E4E1E">
        <w:t xml:space="preserve"> </w:t>
      </w:r>
      <w:r w:rsidR="00D91598">
        <w:t>D</w:t>
      </w:r>
      <w:r w:rsidR="008E4E1E">
        <w:t xml:space="preserve">e vrijheidsbijdrage </w:t>
      </w:r>
      <w:r w:rsidR="00DA1C2C">
        <w:t xml:space="preserve">is bij burgers </w:t>
      </w:r>
      <w:r w:rsidR="008E4E1E">
        <w:t xml:space="preserve">vormgegeven via een beperkte toepassing van de tabelcorrectiefactor (tcf) en bij bedrijven via een verhoging van de arbeidsongeschiktheidsfonds-premie (aof). </w:t>
      </w:r>
      <w:r w:rsidRPr="00650EFD" w:rsidR="00650EFD">
        <w:t>De definitieve invulling van de vrijheidsbijdrage van bedrijven wordt nog besproken met werkgeversorganisaties en is onderdeel van de augustusbesluitvorming</w:t>
      </w:r>
      <w:r w:rsidR="00650EFD">
        <w:t>.</w:t>
      </w:r>
      <w:r w:rsidR="00650EFD">
        <w:rPr>
          <w:rStyle w:val="Voetnootmarkering"/>
        </w:rPr>
        <w:footnoteReference w:id="5"/>
      </w:r>
      <w:r w:rsidR="00650EFD">
        <w:t xml:space="preserve"> </w:t>
      </w:r>
      <w:r w:rsidR="008E4E1E">
        <w:t xml:space="preserve">De motie Dassen stelt voor om de </w:t>
      </w:r>
      <w:r w:rsidRPr="00CC2CD1" w:rsidR="008E4E1E">
        <w:t xml:space="preserve">voorgenomen belastingverhoging </w:t>
      </w:r>
      <w:r w:rsidR="008E4E1E">
        <w:t xml:space="preserve">uit het coalitieakkoord te verminderen </w:t>
      </w:r>
      <w:r w:rsidRPr="00B123F0" w:rsidR="008E4E1E">
        <w:t>door het afschaffen of versoberen van ondoelmatige en ondoeltreffende fiscale regelingen.</w:t>
      </w:r>
    </w:p>
    <w:p w:rsidR="008E4E1E" w:rsidP="00D47A26" w:rsidRDefault="008E4E1E" w14:paraId="6E722120" w14:textId="77777777"/>
    <w:p w:rsidR="002B7500" w:rsidRDefault="00CA5B95" w14:paraId="2B6DB785" w14:textId="77777777">
      <w:pPr>
        <w:rPr>
          <w:i/>
          <w:iCs/>
        </w:rPr>
      </w:pPr>
      <w:r>
        <w:rPr>
          <w:i/>
          <w:iCs/>
        </w:rPr>
        <w:t>Vervolg</w:t>
      </w:r>
    </w:p>
    <w:p w:rsidR="007310C7" w:rsidP="007310C7" w:rsidRDefault="00D47A26" w14:paraId="2B263C90" w14:textId="77777777">
      <w:r>
        <w:t>Bij de augustusbesluitvorming</w:t>
      </w:r>
      <w:r w:rsidR="0059003B">
        <w:t xml:space="preserve"> zal </w:t>
      </w:r>
      <w:r>
        <w:t>het kabinet</w:t>
      </w:r>
      <w:r w:rsidR="0059003B">
        <w:t xml:space="preserve"> de </w:t>
      </w:r>
      <w:r>
        <w:t xml:space="preserve">mogelijke </w:t>
      </w:r>
      <w:r w:rsidR="0059003B">
        <w:t xml:space="preserve">beleidsopties wegen. De uitkomst van de </w:t>
      </w:r>
      <w:r w:rsidR="00463B09">
        <w:t>a</w:t>
      </w:r>
      <w:r w:rsidR="007310C7">
        <w:t xml:space="preserve">ugustusbesluitvorming </w:t>
      </w:r>
      <w:r w:rsidR="0059003B">
        <w:t>zal deze</w:t>
      </w:r>
      <w:r w:rsidR="007310C7">
        <w:t xml:space="preserve"> Prinsjesdag</w:t>
      </w:r>
      <w:r w:rsidR="0059003B">
        <w:t xml:space="preserve"> met uw Kamer worden gedeeld in de Miljoenennota. Verder is ook na de augustusbesluitvorming het de inzet van het kabinet om te bezien waar kansen zich voordoen om het belastingstelsel te verbeteren door het aanpassen van fiscale regelingen die bovenmatig ingewikkeld zijn of niet op een efficiënte manier bereiken wat ze beleidsmatig beogen. </w:t>
      </w:r>
      <w:r w:rsidRPr="005370BC" w:rsidR="007310C7">
        <w:t xml:space="preserve">Het monitoren en periodiek evalueren van fiscale regelingen speelt hierbij een belangrijke rol. De budgettaire omvang, evaluatie-uitkomsten en de evaluatieagenda worden jaarlijks meegestuurd als bijlage bij de Miljoenennota. </w:t>
      </w:r>
      <w:r w:rsidR="003E28C8">
        <w:t>Evaluaties vinden periodiek plaats en o</w:t>
      </w:r>
      <w:r>
        <w:t xml:space="preserve">p een evaluatie volgt een kabinetsreactie. </w:t>
      </w:r>
      <w:r w:rsidRPr="005370BC" w:rsidR="007310C7">
        <w:t xml:space="preserve">De begrotingsregels </w:t>
      </w:r>
      <w:r>
        <w:t xml:space="preserve">van het kabinet </w:t>
      </w:r>
      <w:r w:rsidRPr="005370BC" w:rsidR="007310C7">
        <w:t>schrijven voor dat als fiscale regelingen negatief geëvalueerd zijn, het uitgangspunt is om deze regeling</w:t>
      </w:r>
      <w:r>
        <w:t xml:space="preserve"> aan te passen,</w:t>
      </w:r>
      <w:r w:rsidRPr="005370BC" w:rsidR="007310C7">
        <w:t xml:space="preserve"> </w:t>
      </w:r>
      <w:r>
        <w:t xml:space="preserve">om te vormen of </w:t>
      </w:r>
      <w:r w:rsidRPr="005370BC" w:rsidR="007310C7">
        <w:t xml:space="preserve">af te schaffen. </w:t>
      </w:r>
      <w:r w:rsidRPr="00EF72FA" w:rsidR="007310C7">
        <w:t>Bovendien zal het kabinet, mede op basis van de motie</w:t>
      </w:r>
      <w:r w:rsidR="002A54D9">
        <w:t xml:space="preserve"> </w:t>
      </w:r>
      <w:r w:rsidRPr="00EF72FA" w:rsidR="007310C7">
        <w:t>Maatoug</w:t>
      </w:r>
      <w:r w:rsidR="002A54D9">
        <w:rPr>
          <w:rStyle w:val="Voetnootmarkering"/>
        </w:rPr>
        <w:footnoteReference w:id="6"/>
      </w:r>
      <w:r w:rsidR="00D14070">
        <w:t>,</w:t>
      </w:r>
      <w:r w:rsidRPr="00EF72FA" w:rsidR="007310C7">
        <w:t xml:space="preserve"> </w:t>
      </w:r>
      <w:r>
        <w:t xml:space="preserve">na een evaluatie de afweging maken of </w:t>
      </w:r>
      <w:r w:rsidR="00E369C6">
        <w:t xml:space="preserve">standaard </w:t>
      </w:r>
      <w:r>
        <w:t>een horizonbepaling wordt opgenomen.</w:t>
      </w:r>
    </w:p>
    <w:p w:rsidR="0059003B" w:rsidP="0059003B" w:rsidRDefault="0059003B" w14:paraId="74EE3295" w14:textId="77777777"/>
    <w:p w:rsidR="00463B09" w:rsidRDefault="00463B09" w14:paraId="711768E6" w14:textId="77777777"/>
    <w:p w:rsidR="002B7500" w:rsidRDefault="007310C7" w14:paraId="2A20399D" w14:textId="77777777">
      <w:r>
        <w:t>Hoogachtend,</w:t>
      </w:r>
    </w:p>
    <w:p w:rsidR="005268CA" w:rsidRDefault="005268CA" w14:paraId="314F11D4" w14:textId="77777777"/>
    <w:p w:rsidR="002B7500" w:rsidRDefault="005268CA" w14:paraId="416BCB08" w14:textId="77777777">
      <w:r>
        <w:t>d</w:t>
      </w:r>
      <w:r w:rsidR="007310C7">
        <w:t xml:space="preserve">e </w:t>
      </w:r>
      <w:r>
        <w:t>s</w:t>
      </w:r>
      <w:r w:rsidR="007310C7">
        <w:t>taatssecretaris van Financiën</w:t>
      </w:r>
      <w:r w:rsidR="007310C7">
        <w:rPr>
          <w:i/>
        </w:rPr>
        <w:t>,</w:t>
      </w:r>
    </w:p>
    <w:p w:rsidR="002B7500" w:rsidRDefault="002B7500" w14:paraId="5F58C3A7" w14:textId="77777777"/>
    <w:p w:rsidR="002B7500" w:rsidRDefault="002B7500" w14:paraId="6B56BE06" w14:textId="77777777"/>
    <w:p w:rsidR="002B7500" w:rsidRDefault="002B7500" w14:paraId="79C4DCA5" w14:textId="77777777"/>
    <w:p w:rsidR="002B7500" w:rsidRDefault="002B7500" w14:paraId="10519883" w14:textId="77777777"/>
    <w:p w:rsidR="00D14070" w:rsidRDefault="00D14070" w14:paraId="255482BA" w14:textId="77777777"/>
    <w:p w:rsidR="002B7500" w:rsidRDefault="007310C7" w14:paraId="3627E8B2" w14:textId="77777777">
      <w:r>
        <w:t>E</w:t>
      </w:r>
      <w:r w:rsidR="00EB364C">
        <w:t>elco</w:t>
      </w:r>
      <w:r>
        <w:t xml:space="preserve"> Eerenberg</w:t>
      </w:r>
    </w:p>
    <w:p w:rsidR="002B7500" w:rsidRDefault="002B7500" w14:paraId="3416C750" w14:textId="77777777"/>
    <w:sectPr w:rsidR="002B7500">
      <w:headerReference w:type="default" r:id="rId8"/>
      <w:footerReference w:type="default" r:id="rId9"/>
      <w:headerReference w:type="first" r:id="rId10"/>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B7F1B" w14:textId="77777777" w:rsidR="00641FE9" w:rsidRDefault="00641FE9">
      <w:pPr>
        <w:spacing w:line="240" w:lineRule="auto"/>
      </w:pPr>
      <w:r>
        <w:separator/>
      </w:r>
    </w:p>
  </w:endnote>
  <w:endnote w:type="continuationSeparator" w:id="0">
    <w:p w14:paraId="5AB5A146" w14:textId="77777777" w:rsidR="00641FE9" w:rsidRDefault="00641F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5989" w14:textId="77777777" w:rsidR="002B7500" w:rsidRDefault="002B750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4C769" w14:textId="77777777" w:rsidR="00641FE9" w:rsidRDefault="00641FE9">
      <w:pPr>
        <w:spacing w:line="240" w:lineRule="auto"/>
      </w:pPr>
      <w:r>
        <w:separator/>
      </w:r>
    </w:p>
  </w:footnote>
  <w:footnote w:type="continuationSeparator" w:id="0">
    <w:p w14:paraId="6D2822C1" w14:textId="77777777" w:rsidR="00641FE9" w:rsidRDefault="00641FE9">
      <w:pPr>
        <w:spacing w:line="240" w:lineRule="auto"/>
      </w:pPr>
      <w:r>
        <w:continuationSeparator/>
      </w:r>
    </w:p>
  </w:footnote>
  <w:footnote w:id="1">
    <w:p w14:paraId="4D4BB7E7" w14:textId="77777777" w:rsidR="00DA5CCE" w:rsidRPr="006C515E" w:rsidRDefault="00DA5CCE" w:rsidP="00DA5CCE">
      <w:pPr>
        <w:pStyle w:val="Voetnoottekst"/>
        <w:rPr>
          <w:sz w:val="13"/>
          <w:szCs w:val="13"/>
        </w:rPr>
      </w:pPr>
      <w:r w:rsidRPr="006C515E">
        <w:rPr>
          <w:rStyle w:val="Voetnootmarkering"/>
          <w:sz w:val="13"/>
          <w:szCs w:val="13"/>
        </w:rPr>
        <w:footnoteRef/>
      </w:r>
      <w:r w:rsidRPr="006C515E">
        <w:rPr>
          <w:sz w:val="13"/>
          <w:szCs w:val="13"/>
        </w:rPr>
        <w:t xml:space="preserve"> Kamerstuk, 36848, nr. 101</w:t>
      </w:r>
    </w:p>
  </w:footnote>
  <w:footnote w:id="2">
    <w:p w14:paraId="6CDB0317" w14:textId="77777777" w:rsidR="00154F0B" w:rsidRPr="006C515E" w:rsidRDefault="00154F0B" w:rsidP="00154F0B">
      <w:pPr>
        <w:pStyle w:val="Voetnoottekst"/>
        <w:rPr>
          <w:sz w:val="13"/>
          <w:szCs w:val="13"/>
        </w:rPr>
      </w:pPr>
      <w:r w:rsidRPr="006C515E">
        <w:rPr>
          <w:rStyle w:val="Voetnootmarkering"/>
          <w:sz w:val="13"/>
          <w:szCs w:val="13"/>
        </w:rPr>
        <w:footnoteRef/>
      </w:r>
      <w:r w:rsidRPr="006C515E">
        <w:rPr>
          <w:sz w:val="13"/>
          <w:szCs w:val="13"/>
        </w:rPr>
        <w:t xml:space="preserve"> Dit zijn de 116 fiscale regelingen </w:t>
      </w:r>
      <w:r w:rsidR="00455B91">
        <w:rPr>
          <w:sz w:val="13"/>
          <w:szCs w:val="13"/>
        </w:rPr>
        <w:t>uit de recente ambtelijke rapporten aangevuld met</w:t>
      </w:r>
      <w:r w:rsidRPr="006C515E">
        <w:rPr>
          <w:sz w:val="13"/>
          <w:szCs w:val="13"/>
        </w:rPr>
        <w:t xml:space="preserve"> een aantal fiscale regelingen </w:t>
      </w:r>
      <w:r w:rsidR="00455B91">
        <w:rPr>
          <w:sz w:val="13"/>
          <w:szCs w:val="13"/>
        </w:rPr>
        <w:t xml:space="preserve">naar aanleiding van uitbreiding van </w:t>
      </w:r>
      <w:r w:rsidRPr="006C515E">
        <w:rPr>
          <w:sz w:val="13"/>
          <w:szCs w:val="13"/>
        </w:rPr>
        <w:t xml:space="preserve">de monitoring.  </w:t>
      </w:r>
    </w:p>
  </w:footnote>
  <w:footnote w:id="3">
    <w:p w14:paraId="291271F5" w14:textId="77777777" w:rsidR="00154F0B" w:rsidRDefault="00154F0B" w:rsidP="00154F0B">
      <w:pPr>
        <w:pStyle w:val="Voetnoottekst"/>
      </w:pPr>
      <w:r w:rsidRPr="006C515E">
        <w:rPr>
          <w:rStyle w:val="Voetnootmarkering"/>
          <w:sz w:val="13"/>
          <w:szCs w:val="13"/>
        </w:rPr>
        <w:footnoteRef/>
      </w:r>
      <w:r w:rsidRPr="006C515E">
        <w:rPr>
          <w:sz w:val="13"/>
          <w:szCs w:val="13"/>
        </w:rPr>
        <w:t xml:space="preserve"> Hierbij gaat het om regelingen die op ten minste één van de criteria zoals</w:t>
      </w:r>
      <w:r w:rsidRPr="007820B4">
        <w:rPr>
          <w:sz w:val="13"/>
          <w:szCs w:val="13"/>
        </w:rPr>
        <w:t xml:space="preserve"> benoemd in figuur 1 negatief scoren.</w:t>
      </w:r>
    </w:p>
  </w:footnote>
  <w:footnote w:id="4">
    <w:p w14:paraId="43AA8D5C" w14:textId="77777777" w:rsidR="00461073" w:rsidRPr="00467D19" w:rsidRDefault="00461073" w:rsidP="00461073">
      <w:pPr>
        <w:pStyle w:val="Voetnoottekst"/>
        <w:rPr>
          <w:sz w:val="16"/>
          <w:szCs w:val="16"/>
        </w:rPr>
      </w:pPr>
      <w:r w:rsidRPr="00467D19">
        <w:rPr>
          <w:rStyle w:val="Voetnootmarkering"/>
          <w:sz w:val="16"/>
          <w:szCs w:val="16"/>
        </w:rPr>
        <w:footnoteRef/>
      </w:r>
      <w:r w:rsidRPr="00467D19">
        <w:rPr>
          <w:sz w:val="16"/>
          <w:szCs w:val="16"/>
        </w:rPr>
        <w:t xml:space="preserve"> Kamerstukken II 2024/25, 32 140, nr. 266 </w:t>
      </w:r>
    </w:p>
  </w:footnote>
  <w:footnote w:id="5">
    <w:p w14:paraId="00FDD599" w14:textId="77777777" w:rsidR="00650EFD" w:rsidRPr="00A353DE" w:rsidRDefault="00650EFD" w:rsidP="00650EFD">
      <w:pPr>
        <w:pStyle w:val="Voetnoottekst"/>
        <w:rPr>
          <w:sz w:val="13"/>
          <w:szCs w:val="13"/>
        </w:rPr>
      </w:pPr>
      <w:r w:rsidRPr="00A353DE">
        <w:rPr>
          <w:rStyle w:val="Voetnootmarkering"/>
          <w:sz w:val="13"/>
          <w:szCs w:val="13"/>
        </w:rPr>
        <w:footnoteRef/>
      </w:r>
      <w:r w:rsidRPr="00A353DE">
        <w:rPr>
          <w:sz w:val="13"/>
          <w:szCs w:val="13"/>
        </w:rPr>
        <w:t xml:space="preserve"> Kamerstukken II 2025/26, 32 716, nr. 67</w:t>
      </w:r>
    </w:p>
  </w:footnote>
  <w:footnote w:id="6">
    <w:p w14:paraId="24F7F386" w14:textId="77777777" w:rsidR="002A54D9" w:rsidRPr="002A54D9" w:rsidRDefault="002A54D9">
      <w:pPr>
        <w:pStyle w:val="Voetnoottekst"/>
        <w:rPr>
          <w:sz w:val="13"/>
          <w:szCs w:val="13"/>
        </w:rPr>
      </w:pPr>
      <w:r w:rsidRPr="002A54D9">
        <w:rPr>
          <w:rStyle w:val="Voetnootmarkering"/>
          <w:sz w:val="13"/>
          <w:szCs w:val="13"/>
        </w:rPr>
        <w:footnoteRef/>
      </w:r>
      <w:r w:rsidRPr="002A54D9">
        <w:rPr>
          <w:sz w:val="13"/>
          <w:szCs w:val="13"/>
        </w:rPr>
        <w:t xml:space="preserve"> Kamerstuk 2022/2023, 36 202, nr. 112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21A05" w14:textId="77777777" w:rsidR="002B7500" w:rsidRDefault="007310C7">
    <w:r>
      <w:rPr>
        <w:noProof/>
      </w:rPr>
      <mc:AlternateContent>
        <mc:Choice Requires="wps">
          <w:drawing>
            <wp:anchor distT="0" distB="0" distL="0" distR="0" simplePos="0" relativeHeight="251652096" behindDoc="0" locked="1" layoutInCell="1" allowOverlap="1" wp14:anchorId="402C5BFE" wp14:editId="00D1E4D0">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E80A5D" w14:textId="77777777" w:rsidR="007310C7" w:rsidRDefault="007310C7"/>
                      </w:txbxContent>
                    </wps:txbx>
                    <wps:bodyPr vert="horz" wrap="square" lIns="0" tIns="0" rIns="0" bIns="0" anchor="t" anchorCtr="0"/>
                  </wps:wsp>
                </a:graphicData>
              </a:graphic>
            </wp:anchor>
          </w:drawing>
        </mc:Choice>
        <mc:Fallback>
          <w:pict>
            <v:shapetype w14:anchorId="402C5BF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38E80A5D" w14:textId="77777777" w:rsidR="007310C7" w:rsidRDefault="007310C7"/>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0F43B943" wp14:editId="3426ED93">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258BE82" w14:textId="77777777" w:rsidR="002B7500" w:rsidRDefault="007310C7">
                          <w:pPr>
                            <w:pStyle w:val="Referentiegegevensbold"/>
                          </w:pPr>
                          <w:r>
                            <w:t>Datum</w:t>
                          </w:r>
                        </w:p>
                        <w:p w14:paraId="0191791E" w14:textId="77777777" w:rsidR="002B7500" w:rsidRDefault="00A13E83">
                          <w:pPr>
                            <w:pStyle w:val="Referentiegegevens"/>
                          </w:pPr>
                          <w:sdt>
                            <w:sdtPr>
                              <w:id w:val="1183475443"/>
                              <w:date w:fullDate="2026-06-19T00:00:00Z">
                                <w:dateFormat w:val="d MMMM yyyy"/>
                                <w:lid w:val="nl"/>
                                <w:storeMappedDataAs w:val="dateTime"/>
                                <w:calendar w:val="gregorian"/>
                              </w:date>
                            </w:sdtPr>
                            <w:sdtEndPr/>
                            <w:sdtContent>
                              <w:r w:rsidR="00A353DE">
                                <w:rPr>
                                  <w:lang w:val="nl"/>
                                </w:rPr>
                                <w:t>19 juni 2026</w:t>
                              </w:r>
                            </w:sdtContent>
                          </w:sdt>
                        </w:p>
                        <w:p w14:paraId="44E018FD" w14:textId="77777777" w:rsidR="002B7500" w:rsidRDefault="002B7500">
                          <w:pPr>
                            <w:pStyle w:val="WitregelW1"/>
                          </w:pPr>
                        </w:p>
                        <w:p w14:paraId="642B7860" w14:textId="77777777" w:rsidR="002B7500" w:rsidRDefault="007310C7">
                          <w:pPr>
                            <w:pStyle w:val="Referentiegegevensbold"/>
                          </w:pPr>
                          <w:r>
                            <w:t>Onze referentie</w:t>
                          </w:r>
                        </w:p>
                        <w:p w14:paraId="72B5F7B4" w14:textId="77777777" w:rsidR="00446836" w:rsidRDefault="00DD254C">
                          <w:pPr>
                            <w:pStyle w:val="Referentiegegevens"/>
                          </w:pPr>
                          <w:fldSimple w:instr=" DOCPROPERTY  &quot;Kenmerk&quot;  \* MERGEFORMAT ">
                            <w:r w:rsidR="00A13E83">
                              <w:t>2026-0000265008</w:t>
                            </w:r>
                          </w:fldSimple>
                        </w:p>
                      </w:txbxContent>
                    </wps:txbx>
                    <wps:bodyPr vert="horz" wrap="square" lIns="0" tIns="0" rIns="0" bIns="0" anchor="t" anchorCtr="0"/>
                  </wps:wsp>
                </a:graphicData>
              </a:graphic>
            </wp:anchor>
          </w:drawing>
        </mc:Choice>
        <mc:Fallback>
          <w:pict>
            <v:shape w14:anchorId="0F43B943"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258BE82" w14:textId="77777777" w:rsidR="002B7500" w:rsidRDefault="007310C7">
                    <w:pPr>
                      <w:pStyle w:val="Referentiegegevensbold"/>
                    </w:pPr>
                    <w:r>
                      <w:t>Datum</w:t>
                    </w:r>
                  </w:p>
                  <w:p w14:paraId="0191791E" w14:textId="77777777" w:rsidR="002B7500" w:rsidRDefault="00A13E83">
                    <w:pPr>
                      <w:pStyle w:val="Referentiegegevens"/>
                    </w:pPr>
                    <w:sdt>
                      <w:sdtPr>
                        <w:id w:val="1183475443"/>
                        <w:date w:fullDate="2026-06-19T00:00:00Z">
                          <w:dateFormat w:val="d MMMM yyyy"/>
                          <w:lid w:val="nl"/>
                          <w:storeMappedDataAs w:val="dateTime"/>
                          <w:calendar w:val="gregorian"/>
                        </w:date>
                      </w:sdtPr>
                      <w:sdtEndPr/>
                      <w:sdtContent>
                        <w:r w:rsidR="00A353DE">
                          <w:rPr>
                            <w:lang w:val="nl"/>
                          </w:rPr>
                          <w:t>19 juni 2026</w:t>
                        </w:r>
                      </w:sdtContent>
                    </w:sdt>
                  </w:p>
                  <w:p w14:paraId="44E018FD" w14:textId="77777777" w:rsidR="002B7500" w:rsidRDefault="002B7500">
                    <w:pPr>
                      <w:pStyle w:val="WitregelW1"/>
                    </w:pPr>
                  </w:p>
                  <w:p w14:paraId="642B7860" w14:textId="77777777" w:rsidR="002B7500" w:rsidRDefault="007310C7">
                    <w:pPr>
                      <w:pStyle w:val="Referentiegegevensbold"/>
                    </w:pPr>
                    <w:r>
                      <w:t>Onze referentie</w:t>
                    </w:r>
                  </w:p>
                  <w:p w14:paraId="72B5F7B4" w14:textId="77777777" w:rsidR="00446836" w:rsidRDefault="00DD254C">
                    <w:pPr>
                      <w:pStyle w:val="Referentiegegevens"/>
                    </w:pPr>
                    <w:fldSimple w:instr=" DOCPROPERTY  &quot;Kenmerk&quot;  \* MERGEFORMAT ">
                      <w:r w:rsidR="00A13E83">
                        <w:t>2026-0000265008</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5474E227" wp14:editId="2314C7C7">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69FD693" w14:textId="77777777" w:rsidR="007310C7" w:rsidRDefault="007310C7"/>
                      </w:txbxContent>
                    </wps:txbx>
                    <wps:bodyPr vert="horz" wrap="square" lIns="0" tIns="0" rIns="0" bIns="0" anchor="t" anchorCtr="0"/>
                  </wps:wsp>
                </a:graphicData>
              </a:graphic>
            </wp:anchor>
          </w:drawing>
        </mc:Choice>
        <mc:Fallback>
          <w:pict>
            <v:shape w14:anchorId="5474E227"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69FD693" w14:textId="77777777" w:rsidR="007310C7" w:rsidRDefault="007310C7"/>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6F40D1BD" wp14:editId="24BB458F">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F6BE451" w14:textId="77777777" w:rsidR="00A07838" w:rsidRDefault="00A13E8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F40D1BD"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F6BE451" w14:textId="77777777" w:rsidR="00A07838" w:rsidRDefault="00A13E8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E872D" w14:textId="77777777" w:rsidR="002B7500" w:rsidRDefault="007310C7">
    <w:pPr>
      <w:spacing w:after="6377" w:line="14" w:lineRule="exact"/>
    </w:pPr>
    <w:r>
      <w:rPr>
        <w:noProof/>
      </w:rPr>
      <mc:AlternateContent>
        <mc:Choice Requires="wps">
          <w:drawing>
            <wp:anchor distT="0" distB="0" distL="0" distR="0" simplePos="0" relativeHeight="251656192" behindDoc="0" locked="1" layoutInCell="1" allowOverlap="1" wp14:anchorId="3F684934" wp14:editId="1ECD29F5">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0F7DD9F" w14:textId="77777777" w:rsidR="002B7500" w:rsidRDefault="002B7500">
                          <w:pPr>
                            <w:spacing w:line="240" w:lineRule="auto"/>
                          </w:pPr>
                        </w:p>
                      </w:txbxContent>
                    </wps:txbx>
                    <wps:bodyPr vert="horz" wrap="square" lIns="0" tIns="0" rIns="0" bIns="0" anchor="t" anchorCtr="0"/>
                  </wps:wsp>
                </a:graphicData>
              </a:graphic>
            </wp:anchor>
          </w:drawing>
        </mc:Choice>
        <mc:Fallback>
          <w:pict>
            <v:shapetype w14:anchorId="3F684934"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00F7DD9F" w14:textId="77777777" w:rsidR="002B7500" w:rsidRDefault="002B7500">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FCF5C38" wp14:editId="11119D60">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70AE742" w14:textId="77777777" w:rsidR="002B7500" w:rsidRDefault="007310C7">
                          <w:pPr>
                            <w:spacing w:line="240" w:lineRule="auto"/>
                          </w:pPr>
                          <w:r>
                            <w:rPr>
                              <w:noProof/>
                            </w:rPr>
                            <w:drawing>
                              <wp:inline distT="0" distB="0" distL="0" distR="0" wp14:anchorId="67EA5898" wp14:editId="2455BA41">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CF5C38"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70AE742" w14:textId="77777777" w:rsidR="002B7500" w:rsidRDefault="007310C7">
                    <w:pPr>
                      <w:spacing w:line="240" w:lineRule="auto"/>
                    </w:pPr>
                    <w:r>
                      <w:rPr>
                        <w:noProof/>
                      </w:rPr>
                      <w:drawing>
                        <wp:inline distT="0" distB="0" distL="0" distR="0" wp14:anchorId="67EA5898" wp14:editId="2455BA41">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BCF14DC" wp14:editId="0260237A">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C894EC6" w14:textId="77777777" w:rsidR="002B7500" w:rsidRDefault="007310C7">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6BCF14D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3C894EC6" w14:textId="77777777" w:rsidR="002B7500" w:rsidRDefault="007310C7">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D3DB3FF" wp14:editId="032F0BB8">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2EF9887" w14:textId="77777777" w:rsidR="002B7500" w:rsidRDefault="00921879">
                          <w:r>
                            <w:t xml:space="preserve">Voorzitter van de </w:t>
                          </w:r>
                          <w:r w:rsidR="007310C7">
                            <w:t>Tweede Kamer</w:t>
                          </w:r>
                          <w:r>
                            <w:t xml:space="preserve"> der Staten-Generaal</w:t>
                          </w:r>
                        </w:p>
                        <w:p w14:paraId="1CBB63F6" w14:textId="77777777" w:rsidR="00921879" w:rsidRDefault="00921879">
                          <w:r>
                            <w:t>Postbus 20018</w:t>
                          </w:r>
                        </w:p>
                        <w:p w14:paraId="5BF6A3F1" w14:textId="77777777" w:rsidR="00921879" w:rsidRDefault="00921879">
                          <w:r>
                            <w:t>2500 EA DEN HAAG</w:t>
                          </w:r>
                        </w:p>
                      </w:txbxContent>
                    </wps:txbx>
                    <wps:bodyPr vert="horz" wrap="square" lIns="0" tIns="0" rIns="0" bIns="0" anchor="t" anchorCtr="0"/>
                  </wps:wsp>
                </a:graphicData>
              </a:graphic>
            </wp:anchor>
          </w:drawing>
        </mc:Choice>
        <mc:Fallback>
          <w:pict>
            <v:shape w14:anchorId="3D3DB3FF"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2EF9887" w14:textId="77777777" w:rsidR="002B7500" w:rsidRDefault="00921879">
                    <w:r>
                      <w:t xml:space="preserve">Voorzitter van de </w:t>
                    </w:r>
                    <w:r w:rsidR="007310C7">
                      <w:t>Tweede Kamer</w:t>
                    </w:r>
                    <w:r>
                      <w:t xml:space="preserve"> der Staten-Generaal</w:t>
                    </w:r>
                  </w:p>
                  <w:p w14:paraId="1CBB63F6" w14:textId="77777777" w:rsidR="00921879" w:rsidRDefault="00921879">
                    <w:r>
                      <w:t>Postbus 20018</w:t>
                    </w:r>
                  </w:p>
                  <w:p w14:paraId="5BF6A3F1" w14:textId="77777777" w:rsidR="00921879" w:rsidRDefault="00921879">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EE1404D" wp14:editId="626C9520">
              <wp:simplePos x="1009015" y="3354704"/>
              <wp:positionH relativeFrom="page">
                <wp:posOffset>1009015</wp:posOffset>
              </wp:positionH>
              <wp:positionV relativeFrom="paragraph">
                <wp:posOffset>3354704</wp:posOffset>
              </wp:positionV>
              <wp:extent cx="4787900" cy="3238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B7500" w14:paraId="41DC996A" w14:textId="77777777">
                            <w:trPr>
                              <w:trHeight w:val="240"/>
                            </w:trPr>
                            <w:tc>
                              <w:tcPr>
                                <w:tcW w:w="1140" w:type="dxa"/>
                              </w:tcPr>
                              <w:p w14:paraId="27FCCA78" w14:textId="77777777" w:rsidR="002B7500" w:rsidRPr="00BD3EB7" w:rsidRDefault="007310C7">
                                <w:r w:rsidRPr="00BD3EB7">
                                  <w:t>Datum</w:t>
                                </w:r>
                              </w:p>
                            </w:tc>
                            <w:tc>
                              <w:tcPr>
                                <w:tcW w:w="5918" w:type="dxa"/>
                              </w:tcPr>
                              <w:p w14:paraId="27F01EDC" w14:textId="4E20214A" w:rsidR="002B7500" w:rsidRPr="00BD3EB7" w:rsidRDefault="00A13E83">
                                <w:sdt>
                                  <w:sdtPr>
                                    <w:id w:val="2108606977"/>
                                    <w:date w:fullDate="2026-06-23T00:00:00Z">
                                      <w:dateFormat w:val="d MMMM yyyy"/>
                                      <w:lid w:val="nl"/>
                                      <w:storeMappedDataAs w:val="dateTime"/>
                                      <w:calendar w:val="gregorian"/>
                                    </w:date>
                                  </w:sdtPr>
                                  <w:sdtEndPr/>
                                  <w:sdtContent>
                                    <w:r>
                                      <w:t>23 juni 2026</w:t>
                                    </w:r>
                                  </w:sdtContent>
                                </w:sdt>
                              </w:p>
                            </w:tc>
                          </w:tr>
                          <w:tr w:rsidR="002B7500" w14:paraId="710B4849" w14:textId="77777777">
                            <w:trPr>
                              <w:trHeight w:val="240"/>
                            </w:trPr>
                            <w:tc>
                              <w:tcPr>
                                <w:tcW w:w="1140" w:type="dxa"/>
                              </w:tcPr>
                              <w:p w14:paraId="46F659E3" w14:textId="77777777" w:rsidR="002B7500" w:rsidRDefault="007310C7">
                                <w:r>
                                  <w:t>Betreft</w:t>
                                </w:r>
                              </w:p>
                            </w:tc>
                            <w:tc>
                              <w:tcPr>
                                <w:tcW w:w="5918" w:type="dxa"/>
                              </w:tcPr>
                              <w:p w14:paraId="73E34642" w14:textId="77777777" w:rsidR="002B7500" w:rsidRDefault="00C52917">
                                <w:r>
                                  <w:t xml:space="preserve">Invalshoeken negatief beoordeelde fiscale regelingen </w:t>
                                </w:r>
                              </w:p>
                            </w:tc>
                          </w:tr>
                        </w:tbl>
                        <w:p w14:paraId="58E11187" w14:textId="77777777" w:rsidR="007310C7" w:rsidRDefault="007310C7"/>
                      </w:txbxContent>
                    </wps:txbx>
                    <wps:bodyPr vert="horz" wrap="square" lIns="0" tIns="0" rIns="0" bIns="0" anchor="t" anchorCtr="0"/>
                  </wps:wsp>
                </a:graphicData>
              </a:graphic>
            </wp:anchor>
          </w:drawing>
        </mc:Choice>
        <mc:Fallback>
          <w:pict>
            <v:shape w14:anchorId="3EE1404D" id="1670fa0c-13cb-45ec-92be-ef1f34d237c5" o:spid="_x0000_s1034" type="#_x0000_t202" style="position:absolute;margin-left:79.45pt;margin-top:264.15pt;width:377pt;height:25.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atgYNJ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B7500" w14:paraId="41DC996A" w14:textId="77777777">
                      <w:trPr>
                        <w:trHeight w:val="240"/>
                      </w:trPr>
                      <w:tc>
                        <w:tcPr>
                          <w:tcW w:w="1140" w:type="dxa"/>
                        </w:tcPr>
                        <w:p w14:paraId="27FCCA78" w14:textId="77777777" w:rsidR="002B7500" w:rsidRPr="00BD3EB7" w:rsidRDefault="007310C7">
                          <w:r w:rsidRPr="00BD3EB7">
                            <w:t>Datum</w:t>
                          </w:r>
                        </w:p>
                      </w:tc>
                      <w:tc>
                        <w:tcPr>
                          <w:tcW w:w="5918" w:type="dxa"/>
                        </w:tcPr>
                        <w:p w14:paraId="27F01EDC" w14:textId="4E20214A" w:rsidR="002B7500" w:rsidRPr="00BD3EB7" w:rsidRDefault="00A13E83">
                          <w:sdt>
                            <w:sdtPr>
                              <w:id w:val="2108606977"/>
                              <w:date w:fullDate="2026-06-23T00:00:00Z">
                                <w:dateFormat w:val="d MMMM yyyy"/>
                                <w:lid w:val="nl"/>
                                <w:storeMappedDataAs w:val="dateTime"/>
                                <w:calendar w:val="gregorian"/>
                              </w:date>
                            </w:sdtPr>
                            <w:sdtEndPr/>
                            <w:sdtContent>
                              <w:r>
                                <w:t>23 juni 2026</w:t>
                              </w:r>
                            </w:sdtContent>
                          </w:sdt>
                        </w:p>
                      </w:tc>
                    </w:tr>
                    <w:tr w:rsidR="002B7500" w14:paraId="710B4849" w14:textId="77777777">
                      <w:trPr>
                        <w:trHeight w:val="240"/>
                      </w:trPr>
                      <w:tc>
                        <w:tcPr>
                          <w:tcW w:w="1140" w:type="dxa"/>
                        </w:tcPr>
                        <w:p w14:paraId="46F659E3" w14:textId="77777777" w:rsidR="002B7500" w:rsidRDefault="007310C7">
                          <w:r>
                            <w:t>Betreft</w:t>
                          </w:r>
                        </w:p>
                      </w:tc>
                      <w:tc>
                        <w:tcPr>
                          <w:tcW w:w="5918" w:type="dxa"/>
                        </w:tcPr>
                        <w:p w14:paraId="73E34642" w14:textId="77777777" w:rsidR="002B7500" w:rsidRDefault="00C52917">
                          <w:r>
                            <w:t xml:space="preserve">Invalshoeken negatief beoordeelde fiscale regelingen </w:t>
                          </w:r>
                        </w:p>
                      </w:tc>
                    </w:tr>
                  </w:tbl>
                  <w:p w14:paraId="58E11187" w14:textId="77777777" w:rsidR="007310C7" w:rsidRDefault="007310C7"/>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7AA1E495" wp14:editId="2FCB20EA">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273B580" w14:textId="77777777" w:rsidR="00921879" w:rsidRPr="00921879" w:rsidRDefault="00921879">
                          <w:pPr>
                            <w:pStyle w:val="Referentiegegevens"/>
                            <w:rPr>
                              <w:b/>
                              <w:bCs/>
                            </w:rPr>
                          </w:pPr>
                          <w:r w:rsidRPr="00921879">
                            <w:rPr>
                              <w:b/>
                              <w:bCs/>
                            </w:rPr>
                            <w:t>Directie Algemene Fiscale Politiek</w:t>
                          </w:r>
                        </w:p>
                        <w:p w14:paraId="2C0695A4" w14:textId="77777777" w:rsidR="002B7500" w:rsidRDefault="007310C7">
                          <w:pPr>
                            <w:pStyle w:val="Referentiegegevens"/>
                          </w:pPr>
                          <w:r>
                            <w:t>Korte Voorhout 7</w:t>
                          </w:r>
                        </w:p>
                        <w:p w14:paraId="13A77984" w14:textId="77777777" w:rsidR="002B7500" w:rsidRDefault="007310C7">
                          <w:pPr>
                            <w:pStyle w:val="Referentiegegevens"/>
                          </w:pPr>
                          <w:r>
                            <w:t>2511 CW Den Haag</w:t>
                          </w:r>
                        </w:p>
                        <w:p w14:paraId="1AED8BA1" w14:textId="77777777" w:rsidR="002B7500" w:rsidRDefault="007310C7">
                          <w:pPr>
                            <w:pStyle w:val="Referentiegegevens"/>
                          </w:pPr>
                          <w:r>
                            <w:t>POSTBUS 20201</w:t>
                          </w:r>
                        </w:p>
                        <w:p w14:paraId="26126EB0" w14:textId="77777777" w:rsidR="002B7500" w:rsidRDefault="007310C7">
                          <w:pPr>
                            <w:pStyle w:val="Referentiegegevens"/>
                          </w:pPr>
                          <w:r>
                            <w:t>2500 EE  Den Haag</w:t>
                          </w:r>
                        </w:p>
                        <w:p w14:paraId="2C2D2F8E" w14:textId="77777777" w:rsidR="002B7500" w:rsidRDefault="002B7500">
                          <w:pPr>
                            <w:pStyle w:val="WitregelW1"/>
                          </w:pPr>
                        </w:p>
                        <w:p w14:paraId="5C86175A" w14:textId="77777777" w:rsidR="002B7500" w:rsidRDefault="007310C7">
                          <w:pPr>
                            <w:pStyle w:val="Referentiegegevensbold"/>
                          </w:pPr>
                          <w:r>
                            <w:t>Onze referentie</w:t>
                          </w:r>
                        </w:p>
                        <w:p w14:paraId="1F3ABD73" w14:textId="77777777" w:rsidR="00446836" w:rsidRDefault="00DD254C">
                          <w:pPr>
                            <w:pStyle w:val="Referentiegegevens"/>
                          </w:pPr>
                          <w:fldSimple w:instr=" DOCPROPERTY  &quot;Kenmerk&quot;  \* MERGEFORMAT ">
                            <w:r w:rsidR="00A13E83">
                              <w:t>2026-0000265008</w:t>
                            </w:r>
                          </w:fldSimple>
                        </w:p>
                        <w:p w14:paraId="2B82B1E1" w14:textId="77777777" w:rsidR="002B7500" w:rsidRDefault="002B7500">
                          <w:pPr>
                            <w:pStyle w:val="WitregelW1"/>
                          </w:pPr>
                        </w:p>
                        <w:p w14:paraId="4FEEDB0E" w14:textId="77777777" w:rsidR="00023BC3" w:rsidRDefault="00023BC3" w:rsidP="00023BC3">
                          <w:pPr>
                            <w:pStyle w:val="Referentiegegevensbold"/>
                          </w:pPr>
                          <w:r>
                            <w:t>Bijlagen</w:t>
                          </w:r>
                        </w:p>
                        <w:p w14:paraId="19568B85" w14:textId="77777777" w:rsidR="00023BC3" w:rsidRPr="00023BC3" w:rsidRDefault="00023BC3" w:rsidP="00023BC3">
                          <w:pPr>
                            <w:pStyle w:val="Lijstalinea"/>
                            <w:numPr>
                              <w:ilvl w:val="0"/>
                              <w:numId w:val="7"/>
                            </w:numPr>
                            <w:rPr>
                              <w:rFonts w:ascii="Verdana" w:hAnsi="Verdana"/>
                              <w:sz w:val="13"/>
                              <w:szCs w:val="13"/>
                            </w:rPr>
                          </w:pPr>
                          <w:r w:rsidRPr="00023BC3">
                            <w:rPr>
                              <w:rFonts w:ascii="Verdana" w:hAnsi="Verdana"/>
                              <w:sz w:val="13"/>
                              <w:szCs w:val="13"/>
                            </w:rPr>
                            <w:t>Overzicht negatief beoordeelde fiscale regelingen</w:t>
                          </w:r>
                        </w:p>
                        <w:p w14:paraId="28332238" w14:textId="77777777" w:rsidR="002B7500" w:rsidRDefault="002B7500"/>
                      </w:txbxContent>
                    </wps:txbx>
                    <wps:bodyPr vert="horz" wrap="square" lIns="0" tIns="0" rIns="0" bIns="0" anchor="t" anchorCtr="0"/>
                  </wps:wsp>
                </a:graphicData>
              </a:graphic>
            </wp:anchor>
          </w:drawing>
        </mc:Choice>
        <mc:Fallback>
          <w:pict>
            <v:shape w14:anchorId="7AA1E495"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273B580" w14:textId="77777777" w:rsidR="00921879" w:rsidRPr="00921879" w:rsidRDefault="00921879">
                    <w:pPr>
                      <w:pStyle w:val="Referentiegegevens"/>
                      <w:rPr>
                        <w:b/>
                        <w:bCs/>
                      </w:rPr>
                    </w:pPr>
                    <w:r w:rsidRPr="00921879">
                      <w:rPr>
                        <w:b/>
                        <w:bCs/>
                      </w:rPr>
                      <w:t>Directie Algemene Fiscale Politiek</w:t>
                    </w:r>
                  </w:p>
                  <w:p w14:paraId="2C0695A4" w14:textId="77777777" w:rsidR="002B7500" w:rsidRDefault="007310C7">
                    <w:pPr>
                      <w:pStyle w:val="Referentiegegevens"/>
                    </w:pPr>
                    <w:r>
                      <w:t>Korte Voorhout 7</w:t>
                    </w:r>
                  </w:p>
                  <w:p w14:paraId="13A77984" w14:textId="77777777" w:rsidR="002B7500" w:rsidRDefault="007310C7">
                    <w:pPr>
                      <w:pStyle w:val="Referentiegegevens"/>
                    </w:pPr>
                    <w:r>
                      <w:t>2511 CW Den Haag</w:t>
                    </w:r>
                  </w:p>
                  <w:p w14:paraId="1AED8BA1" w14:textId="77777777" w:rsidR="002B7500" w:rsidRDefault="007310C7">
                    <w:pPr>
                      <w:pStyle w:val="Referentiegegevens"/>
                    </w:pPr>
                    <w:r>
                      <w:t>POSTBUS 20201</w:t>
                    </w:r>
                  </w:p>
                  <w:p w14:paraId="26126EB0" w14:textId="77777777" w:rsidR="002B7500" w:rsidRDefault="007310C7">
                    <w:pPr>
                      <w:pStyle w:val="Referentiegegevens"/>
                    </w:pPr>
                    <w:r>
                      <w:t>2500 EE  Den Haag</w:t>
                    </w:r>
                  </w:p>
                  <w:p w14:paraId="2C2D2F8E" w14:textId="77777777" w:rsidR="002B7500" w:rsidRDefault="002B7500">
                    <w:pPr>
                      <w:pStyle w:val="WitregelW1"/>
                    </w:pPr>
                  </w:p>
                  <w:p w14:paraId="5C86175A" w14:textId="77777777" w:rsidR="002B7500" w:rsidRDefault="007310C7">
                    <w:pPr>
                      <w:pStyle w:val="Referentiegegevensbold"/>
                    </w:pPr>
                    <w:r>
                      <w:t>Onze referentie</w:t>
                    </w:r>
                  </w:p>
                  <w:p w14:paraId="1F3ABD73" w14:textId="77777777" w:rsidR="00446836" w:rsidRDefault="00DD254C">
                    <w:pPr>
                      <w:pStyle w:val="Referentiegegevens"/>
                    </w:pPr>
                    <w:fldSimple w:instr=" DOCPROPERTY  &quot;Kenmerk&quot;  \* MERGEFORMAT ">
                      <w:r w:rsidR="00A13E83">
                        <w:t>2026-0000265008</w:t>
                      </w:r>
                    </w:fldSimple>
                  </w:p>
                  <w:p w14:paraId="2B82B1E1" w14:textId="77777777" w:rsidR="002B7500" w:rsidRDefault="002B7500">
                    <w:pPr>
                      <w:pStyle w:val="WitregelW1"/>
                    </w:pPr>
                  </w:p>
                  <w:p w14:paraId="4FEEDB0E" w14:textId="77777777" w:rsidR="00023BC3" w:rsidRDefault="00023BC3" w:rsidP="00023BC3">
                    <w:pPr>
                      <w:pStyle w:val="Referentiegegevensbold"/>
                    </w:pPr>
                    <w:r>
                      <w:t>Bijlagen</w:t>
                    </w:r>
                  </w:p>
                  <w:p w14:paraId="19568B85" w14:textId="77777777" w:rsidR="00023BC3" w:rsidRPr="00023BC3" w:rsidRDefault="00023BC3" w:rsidP="00023BC3">
                    <w:pPr>
                      <w:pStyle w:val="Lijstalinea"/>
                      <w:numPr>
                        <w:ilvl w:val="0"/>
                        <w:numId w:val="7"/>
                      </w:numPr>
                      <w:rPr>
                        <w:rFonts w:ascii="Verdana" w:hAnsi="Verdana"/>
                        <w:sz w:val="13"/>
                        <w:szCs w:val="13"/>
                      </w:rPr>
                    </w:pPr>
                    <w:r w:rsidRPr="00023BC3">
                      <w:rPr>
                        <w:rFonts w:ascii="Verdana" w:hAnsi="Verdana"/>
                        <w:sz w:val="13"/>
                        <w:szCs w:val="13"/>
                      </w:rPr>
                      <w:t>Overzicht negatief beoordeelde fiscale regelingen</w:t>
                    </w:r>
                  </w:p>
                  <w:p w14:paraId="28332238" w14:textId="77777777" w:rsidR="002B7500" w:rsidRDefault="002B7500"/>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1EBA835B" wp14:editId="744E056F">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2DE072F" w14:textId="77777777" w:rsidR="00A07838" w:rsidRDefault="00A13E8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EBA835B"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2DE072F" w14:textId="77777777" w:rsidR="00A07838" w:rsidRDefault="00A13E8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7033692F" wp14:editId="7F5725A2">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913BD71" w14:textId="77777777" w:rsidR="007310C7" w:rsidRDefault="007310C7"/>
                      </w:txbxContent>
                    </wps:txbx>
                    <wps:bodyPr vert="horz" wrap="square" lIns="0" tIns="0" rIns="0" bIns="0" anchor="t" anchorCtr="0"/>
                  </wps:wsp>
                </a:graphicData>
              </a:graphic>
            </wp:anchor>
          </w:drawing>
        </mc:Choice>
        <mc:Fallback>
          <w:pict>
            <v:shape w14:anchorId="7033692F"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913BD71" w14:textId="77777777" w:rsidR="007310C7" w:rsidRDefault="007310C7"/>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D93B5D"/>
    <w:multiLevelType w:val="multilevel"/>
    <w:tmpl w:val="F6AD96E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136C5B36"/>
    <w:multiLevelType w:val="hybridMultilevel"/>
    <w:tmpl w:val="3AF2BC5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176C4774"/>
    <w:multiLevelType w:val="hybridMultilevel"/>
    <w:tmpl w:val="F9BAFA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AD2B85"/>
    <w:multiLevelType w:val="multilevel"/>
    <w:tmpl w:val="47F75203"/>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38FA8C8E"/>
    <w:multiLevelType w:val="multilevel"/>
    <w:tmpl w:val="86CBDF6A"/>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3CE42B1D"/>
    <w:multiLevelType w:val="hybridMultilevel"/>
    <w:tmpl w:val="E23E21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46DDB5D3"/>
    <w:multiLevelType w:val="multilevel"/>
    <w:tmpl w:val="5769966D"/>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082726611">
    <w:abstractNumId w:val="6"/>
  </w:num>
  <w:num w:numId="2" w16cid:durableId="7608664">
    <w:abstractNumId w:val="0"/>
  </w:num>
  <w:num w:numId="3" w16cid:durableId="1692684016">
    <w:abstractNumId w:val="4"/>
  </w:num>
  <w:num w:numId="4" w16cid:durableId="340746549">
    <w:abstractNumId w:val="3"/>
  </w:num>
  <w:num w:numId="5" w16cid:durableId="1504324310">
    <w:abstractNumId w:val="2"/>
  </w:num>
  <w:num w:numId="6" w16cid:durableId="304092491">
    <w:abstractNumId w:val="1"/>
  </w:num>
  <w:num w:numId="7" w16cid:durableId="7893993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500"/>
    <w:rsid w:val="00023BC3"/>
    <w:rsid w:val="00047036"/>
    <w:rsid w:val="00075DEA"/>
    <w:rsid w:val="000D0A4D"/>
    <w:rsid w:val="000D2B65"/>
    <w:rsid w:val="0010401E"/>
    <w:rsid w:val="00154F0B"/>
    <w:rsid w:val="0016531E"/>
    <w:rsid w:val="0018306A"/>
    <w:rsid w:val="001B09F0"/>
    <w:rsid w:val="001C223B"/>
    <w:rsid w:val="001C5E2E"/>
    <w:rsid w:val="001E6236"/>
    <w:rsid w:val="001F7896"/>
    <w:rsid w:val="00246E5C"/>
    <w:rsid w:val="002478B9"/>
    <w:rsid w:val="002525FB"/>
    <w:rsid w:val="00254509"/>
    <w:rsid w:val="00267AAD"/>
    <w:rsid w:val="00290748"/>
    <w:rsid w:val="002A47AF"/>
    <w:rsid w:val="002A54D9"/>
    <w:rsid w:val="002B72FE"/>
    <w:rsid w:val="002B7500"/>
    <w:rsid w:val="002C5D44"/>
    <w:rsid w:val="002E06F2"/>
    <w:rsid w:val="00324E7A"/>
    <w:rsid w:val="00357A1E"/>
    <w:rsid w:val="00364112"/>
    <w:rsid w:val="003A01A1"/>
    <w:rsid w:val="003C7AAC"/>
    <w:rsid w:val="003E28C8"/>
    <w:rsid w:val="003F112C"/>
    <w:rsid w:val="00435303"/>
    <w:rsid w:val="00446836"/>
    <w:rsid w:val="00455B91"/>
    <w:rsid w:val="00461073"/>
    <w:rsid w:val="00463B09"/>
    <w:rsid w:val="00472286"/>
    <w:rsid w:val="00483EFE"/>
    <w:rsid w:val="004B29D0"/>
    <w:rsid w:val="004E2608"/>
    <w:rsid w:val="00522352"/>
    <w:rsid w:val="005268CA"/>
    <w:rsid w:val="005370BC"/>
    <w:rsid w:val="00557A5F"/>
    <w:rsid w:val="0059003B"/>
    <w:rsid w:val="00593886"/>
    <w:rsid w:val="005C49E0"/>
    <w:rsid w:val="005E0BE1"/>
    <w:rsid w:val="005F2369"/>
    <w:rsid w:val="006169CC"/>
    <w:rsid w:val="00641FE9"/>
    <w:rsid w:val="00650EFD"/>
    <w:rsid w:val="00653878"/>
    <w:rsid w:val="0066380C"/>
    <w:rsid w:val="006C515E"/>
    <w:rsid w:val="006E4967"/>
    <w:rsid w:val="00710282"/>
    <w:rsid w:val="007310C7"/>
    <w:rsid w:val="0074789F"/>
    <w:rsid w:val="00762C63"/>
    <w:rsid w:val="007711F7"/>
    <w:rsid w:val="007820B4"/>
    <w:rsid w:val="007840C0"/>
    <w:rsid w:val="00791325"/>
    <w:rsid w:val="00793C1F"/>
    <w:rsid w:val="007A464A"/>
    <w:rsid w:val="007C2537"/>
    <w:rsid w:val="007C4C1B"/>
    <w:rsid w:val="007F098B"/>
    <w:rsid w:val="008020CA"/>
    <w:rsid w:val="008132FA"/>
    <w:rsid w:val="008240D3"/>
    <w:rsid w:val="00833C66"/>
    <w:rsid w:val="00846533"/>
    <w:rsid w:val="00862A7B"/>
    <w:rsid w:val="008857D2"/>
    <w:rsid w:val="008902BF"/>
    <w:rsid w:val="00893DEE"/>
    <w:rsid w:val="008A3490"/>
    <w:rsid w:val="008D4C1A"/>
    <w:rsid w:val="008E4E1E"/>
    <w:rsid w:val="008F22F9"/>
    <w:rsid w:val="00903FEB"/>
    <w:rsid w:val="00921879"/>
    <w:rsid w:val="0092442A"/>
    <w:rsid w:val="009471F8"/>
    <w:rsid w:val="00952BFE"/>
    <w:rsid w:val="0095732B"/>
    <w:rsid w:val="00977BDC"/>
    <w:rsid w:val="009963DE"/>
    <w:rsid w:val="009A16F3"/>
    <w:rsid w:val="009B3713"/>
    <w:rsid w:val="009C3407"/>
    <w:rsid w:val="009C7537"/>
    <w:rsid w:val="009E5A2A"/>
    <w:rsid w:val="00A07838"/>
    <w:rsid w:val="00A11F5E"/>
    <w:rsid w:val="00A13E83"/>
    <w:rsid w:val="00A353DE"/>
    <w:rsid w:val="00A45066"/>
    <w:rsid w:val="00A45975"/>
    <w:rsid w:val="00A6130E"/>
    <w:rsid w:val="00A827D7"/>
    <w:rsid w:val="00AE6F62"/>
    <w:rsid w:val="00AF3FB3"/>
    <w:rsid w:val="00B03338"/>
    <w:rsid w:val="00B159E7"/>
    <w:rsid w:val="00B46294"/>
    <w:rsid w:val="00B57920"/>
    <w:rsid w:val="00BB25CF"/>
    <w:rsid w:val="00BC1743"/>
    <w:rsid w:val="00BD3EB7"/>
    <w:rsid w:val="00BD60E4"/>
    <w:rsid w:val="00BE246C"/>
    <w:rsid w:val="00BF68BA"/>
    <w:rsid w:val="00C03FE9"/>
    <w:rsid w:val="00C52917"/>
    <w:rsid w:val="00C60FF1"/>
    <w:rsid w:val="00C65F1A"/>
    <w:rsid w:val="00C72151"/>
    <w:rsid w:val="00CA5B95"/>
    <w:rsid w:val="00CB43F0"/>
    <w:rsid w:val="00CC6CFF"/>
    <w:rsid w:val="00CD4E88"/>
    <w:rsid w:val="00D03313"/>
    <w:rsid w:val="00D10C86"/>
    <w:rsid w:val="00D14070"/>
    <w:rsid w:val="00D20786"/>
    <w:rsid w:val="00D21ABE"/>
    <w:rsid w:val="00D3145E"/>
    <w:rsid w:val="00D47A26"/>
    <w:rsid w:val="00D65909"/>
    <w:rsid w:val="00D72207"/>
    <w:rsid w:val="00D81504"/>
    <w:rsid w:val="00D91598"/>
    <w:rsid w:val="00DA1C2C"/>
    <w:rsid w:val="00DA5CCE"/>
    <w:rsid w:val="00DD254C"/>
    <w:rsid w:val="00DE1D2A"/>
    <w:rsid w:val="00DE2F1A"/>
    <w:rsid w:val="00DF3475"/>
    <w:rsid w:val="00E01737"/>
    <w:rsid w:val="00E11D00"/>
    <w:rsid w:val="00E20B81"/>
    <w:rsid w:val="00E33284"/>
    <w:rsid w:val="00E369C6"/>
    <w:rsid w:val="00E4128A"/>
    <w:rsid w:val="00E540C4"/>
    <w:rsid w:val="00E90ABB"/>
    <w:rsid w:val="00EA0505"/>
    <w:rsid w:val="00EA112C"/>
    <w:rsid w:val="00EB364C"/>
    <w:rsid w:val="00EB47F2"/>
    <w:rsid w:val="00ED1205"/>
    <w:rsid w:val="00ED6054"/>
    <w:rsid w:val="00EE0449"/>
    <w:rsid w:val="00EF5E2B"/>
    <w:rsid w:val="00F01762"/>
    <w:rsid w:val="00F06A9D"/>
    <w:rsid w:val="00F2668C"/>
    <w:rsid w:val="00F36977"/>
    <w:rsid w:val="00F43ED6"/>
    <w:rsid w:val="00F82DD4"/>
    <w:rsid w:val="00FB051C"/>
    <w:rsid w:val="00FC5289"/>
    <w:rsid w:val="00FC53A4"/>
    <w:rsid w:val="00FF416C"/>
    <w:rsid w:val="00FF5DC4"/>
    <w:rsid w:val="00FF63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59A0C"/>
  <w15:docId w15:val="{057CAE61-5B61-4D60-B41D-ED3AC8E0D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paragraph" w:styleId="Kop4">
    <w:name w:val="heading 4"/>
    <w:basedOn w:val="Standaard"/>
    <w:next w:val="Standaard"/>
    <w:link w:val="Kop4Char"/>
    <w:uiPriority w:val="9"/>
    <w:semiHidden/>
    <w:rsid w:val="006C515E"/>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tabs>
        <w:tab w:val="num" w:pos="360"/>
      </w:tabs>
      <w:ind w:left="0" w:firstLine="0"/>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2187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21879"/>
    <w:rPr>
      <w:rFonts w:ascii="Verdana" w:hAnsi="Verdana"/>
      <w:color w:val="000000"/>
      <w:sz w:val="18"/>
      <w:szCs w:val="18"/>
    </w:rPr>
  </w:style>
  <w:style w:type="paragraph" w:styleId="Voettekst">
    <w:name w:val="footer"/>
    <w:basedOn w:val="Standaard"/>
    <w:link w:val="VoettekstChar"/>
    <w:uiPriority w:val="99"/>
    <w:unhideWhenUsed/>
    <w:rsid w:val="0092187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21879"/>
    <w:rPr>
      <w:rFonts w:ascii="Verdana" w:hAnsi="Verdana"/>
      <w:color w:val="000000"/>
      <w:sz w:val="18"/>
      <w:szCs w:val="18"/>
    </w:rPr>
  </w:style>
  <w:style w:type="paragraph" w:styleId="Voetnoottekst">
    <w:name w:val="footnote text"/>
    <w:basedOn w:val="Standaard"/>
    <w:link w:val="VoetnoottekstChar"/>
    <w:uiPriority w:val="99"/>
    <w:semiHidden/>
    <w:unhideWhenUsed/>
    <w:rsid w:val="00154F0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54F0B"/>
    <w:rPr>
      <w:rFonts w:ascii="Verdana" w:hAnsi="Verdana"/>
      <w:color w:val="000000"/>
    </w:rPr>
  </w:style>
  <w:style w:type="character" w:styleId="Voetnootmarkering">
    <w:name w:val="footnote reference"/>
    <w:basedOn w:val="Standaardalinea-lettertype"/>
    <w:uiPriority w:val="99"/>
    <w:semiHidden/>
    <w:unhideWhenUsed/>
    <w:rsid w:val="00154F0B"/>
    <w:rPr>
      <w:vertAlign w:val="superscript"/>
    </w:rPr>
  </w:style>
  <w:style w:type="paragraph" w:styleId="Lijstalinea">
    <w:name w:val="List Paragraph"/>
    <w:basedOn w:val="Standaard"/>
    <w:uiPriority w:val="34"/>
    <w:qFormat/>
    <w:rsid w:val="00154F0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EB364C"/>
    <w:rPr>
      <w:sz w:val="16"/>
      <w:szCs w:val="16"/>
    </w:rPr>
  </w:style>
  <w:style w:type="paragraph" w:styleId="Tekstopmerking">
    <w:name w:val="annotation text"/>
    <w:basedOn w:val="Standaard"/>
    <w:link w:val="TekstopmerkingChar"/>
    <w:uiPriority w:val="99"/>
    <w:unhideWhenUsed/>
    <w:rsid w:val="00EB364C"/>
    <w:pPr>
      <w:spacing w:line="240" w:lineRule="auto"/>
    </w:pPr>
    <w:rPr>
      <w:sz w:val="20"/>
      <w:szCs w:val="20"/>
    </w:rPr>
  </w:style>
  <w:style w:type="character" w:customStyle="1" w:styleId="TekstopmerkingChar">
    <w:name w:val="Tekst opmerking Char"/>
    <w:basedOn w:val="Standaardalinea-lettertype"/>
    <w:link w:val="Tekstopmerking"/>
    <w:uiPriority w:val="99"/>
    <w:rsid w:val="00EB364C"/>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B364C"/>
    <w:rPr>
      <w:b/>
      <w:bCs/>
    </w:rPr>
  </w:style>
  <w:style w:type="character" w:customStyle="1" w:styleId="OnderwerpvanopmerkingChar">
    <w:name w:val="Onderwerp van opmerking Char"/>
    <w:basedOn w:val="TekstopmerkingChar"/>
    <w:link w:val="Onderwerpvanopmerking"/>
    <w:uiPriority w:val="99"/>
    <w:semiHidden/>
    <w:rsid w:val="00EB364C"/>
    <w:rPr>
      <w:rFonts w:ascii="Verdana" w:hAnsi="Verdana"/>
      <w:b/>
      <w:bCs/>
      <w:color w:val="000000"/>
    </w:rPr>
  </w:style>
  <w:style w:type="paragraph" w:styleId="Revisie">
    <w:name w:val="Revision"/>
    <w:hidden/>
    <w:uiPriority w:val="99"/>
    <w:semiHidden/>
    <w:rsid w:val="00D21ABE"/>
    <w:pPr>
      <w:autoSpaceDN/>
      <w:textAlignment w:val="auto"/>
    </w:pPr>
    <w:rPr>
      <w:rFonts w:ascii="Verdana" w:hAnsi="Verdana"/>
      <w:color w:val="000000"/>
      <w:sz w:val="18"/>
      <w:szCs w:val="18"/>
    </w:rPr>
  </w:style>
  <w:style w:type="character" w:customStyle="1" w:styleId="Kop4Char">
    <w:name w:val="Kop 4 Char"/>
    <w:basedOn w:val="Standaardalinea-lettertype"/>
    <w:link w:val="Kop4"/>
    <w:uiPriority w:val="9"/>
    <w:semiHidden/>
    <w:rsid w:val="006C515E"/>
    <w:rPr>
      <w:rFonts w:asciiTheme="majorHAnsi" w:eastAsiaTheme="majorEastAsia" w:hAnsiTheme="majorHAnsi" w:cstheme="majorBidi"/>
      <w:i/>
      <w:iCs/>
      <w:color w:val="0F4761" w:themeColor="accent1" w:themeShade="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59397">
      <w:bodyDiv w:val="1"/>
      <w:marLeft w:val="0"/>
      <w:marRight w:val="0"/>
      <w:marTop w:val="0"/>
      <w:marBottom w:val="0"/>
      <w:divBdr>
        <w:top w:val="none" w:sz="0" w:space="0" w:color="auto"/>
        <w:left w:val="none" w:sz="0" w:space="0" w:color="auto"/>
        <w:bottom w:val="none" w:sz="0" w:space="0" w:color="auto"/>
        <w:right w:val="none" w:sz="0" w:space="0" w:color="auto"/>
      </w:divBdr>
    </w:div>
    <w:div w:id="1035888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webSetting" Target="webSettings0.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H:\Application%20Data\Microsoft%20Office\Auto-Herstel\Excel\Kopie%20van%20Fiscale_Regelingen_Overzicht_compleet%20_JobMatthijs%20vdef%20(version%201).xlsb"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r>
              <a:rPr lang="en-US" sz="800"/>
              <a:t>Overzicht fiscale regelingen </a:t>
            </a:r>
          </a:p>
        </c:rich>
      </c:tx>
      <c:overlay val="0"/>
      <c:spPr>
        <a:noFill/>
        <a:ln>
          <a:noFill/>
        </a:ln>
        <a:effectLst/>
      </c:spPr>
      <c:txPr>
        <a:bodyPr rot="0" spcFirstLastPara="1" vertOverflow="ellipsis" vert="horz" wrap="square" anchor="ctr" anchorCtr="1"/>
        <a:lstStyle/>
        <a:p>
          <a:pPr>
            <a:defRPr sz="800" b="0" i="0" u="none" strike="noStrike" kern="1200" spc="0" baseline="0">
              <a:solidFill>
                <a:sysClr val="windowText" lastClr="000000"/>
              </a:solidFill>
              <a:latin typeface="Verdana" panose="020B0604030504040204" pitchFamily="34" charset="0"/>
              <a:ea typeface="Verdana" panose="020B0604030504040204" pitchFamily="34" charset="0"/>
              <a:cs typeface="+mn-cs"/>
            </a:defRPr>
          </a:pPr>
          <a:endParaRPr lang="nl-NL"/>
        </a:p>
      </c:txPr>
    </c:title>
    <c:autoTitleDeleted val="0"/>
    <c:plotArea>
      <c:layout/>
      <c:barChart>
        <c:barDir val="bar"/>
        <c:grouping val="percentStacked"/>
        <c:varyColors val="0"/>
        <c:ser>
          <c:idx val="3"/>
          <c:order val="0"/>
          <c:tx>
            <c:strRef>
              <c:f>'Evaluatie uitkomsten'!$M$5</c:f>
              <c:strCache>
                <c:ptCount val="1"/>
                <c:pt idx="0">
                  <c:v>Positief</c:v>
                </c:pt>
              </c:strCache>
            </c:strRef>
          </c:tx>
          <c:spPr>
            <a:solidFill>
              <a:srgbClr val="00B050"/>
            </a:solidFill>
            <a:ln>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'Evaluatie uitkomsten'!$N$1:$R$1</c:f>
              <c:strCache>
                <c:ptCount val="5"/>
                <c:pt idx="0">
                  <c:v>Rede voor overheidsingrijpen</c:v>
                </c:pt>
                <c:pt idx="1">
                  <c:v>Doenlijkheid</c:v>
                </c:pt>
                <c:pt idx="2">
                  <c:v>Complexiteit uitvoering</c:v>
                </c:pt>
                <c:pt idx="3">
                  <c:v>Doelmatig</c:v>
                </c:pt>
                <c:pt idx="4">
                  <c:v>Doeltreffend</c:v>
                </c:pt>
              </c:strCache>
            </c:strRef>
          </c:cat>
          <c:val>
            <c:numRef>
              <c:f>'Evaluatie uitkomsten'!$N$5:$R$5</c:f>
              <c:numCache>
                <c:formatCode>General</c:formatCode>
                <c:ptCount val="5"/>
                <c:pt idx="0">
                  <c:v>74</c:v>
                </c:pt>
                <c:pt idx="1">
                  <c:v>34</c:v>
                </c:pt>
                <c:pt idx="2">
                  <c:v>53</c:v>
                </c:pt>
                <c:pt idx="3">
                  <c:v>16</c:v>
                </c:pt>
                <c:pt idx="4">
                  <c:v>35</c:v>
                </c:pt>
              </c:numCache>
            </c:numRef>
          </c:val>
          <c:extLst>
            <c:ext xmlns:c16="http://schemas.microsoft.com/office/drawing/2014/chart" uri="{C3380CC4-5D6E-409C-BE32-E72D297353CC}">
              <c16:uniqueId val="{00000000-FBF4-4682-8094-51069A84E921}"/>
            </c:ext>
          </c:extLst>
        </c:ser>
        <c:ser>
          <c:idx val="4"/>
          <c:order val="1"/>
          <c:tx>
            <c:strRef>
              <c:f>'Evaluatie uitkomsten'!$M$6</c:f>
              <c:strCache>
                <c:ptCount val="1"/>
                <c:pt idx="0">
                  <c:v>geen aandachtspunt</c:v>
                </c:pt>
              </c:strCache>
            </c:strRef>
          </c:tx>
          <c:spPr>
            <a:pattFill prst="ltUpDiag">
              <a:fgClr>
                <a:srgbClr val="00B050"/>
              </a:fgClr>
              <a:bgClr>
                <a:schemeClr val="bg1"/>
              </a:bgClr>
            </a:pattFill>
            <a:ln>
              <a:solidFill>
                <a:srgbClr val="00B05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'Evaluatie uitkomsten'!$N$1:$R$1</c:f>
              <c:strCache>
                <c:ptCount val="5"/>
                <c:pt idx="0">
                  <c:v>Rede voor overheidsingrijpen</c:v>
                </c:pt>
                <c:pt idx="1">
                  <c:v>Doenlijkheid</c:v>
                </c:pt>
                <c:pt idx="2">
                  <c:v>Complexiteit uitvoering</c:v>
                </c:pt>
                <c:pt idx="3">
                  <c:v>Doelmatig</c:v>
                </c:pt>
                <c:pt idx="4">
                  <c:v>Doeltreffend</c:v>
                </c:pt>
              </c:strCache>
            </c:strRef>
          </c:cat>
          <c:val>
            <c:numRef>
              <c:f>'Evaluatie uitkomsten'!$N$6:$R$6</c:f>
              <c:numCache>
                <c:formatCode>General</c:formatCode>
                <c:ptCount val="5"/>
                <c:pt idx="1">
                  <c:v>74</c:v>
                </c:pt>
              </c:numCache>
            </c:numRef>
          </c:val>
          <c:extLst>
            <c:ext xmlns:c16="http://schemas.microsoft.com/office/drawing/2014/chart" uri="{C3380CC4-5D6E-409C-BE32-E72D297353CC}">
              <c16:uniqueId val="{00000001-FBF4-4682-8094-51069A84E921}"/>
            </c:ext>
          </c:extLst>
        </c:ser>
        <c:ser>
          <c:idx val="2"/>
          <c:order val="2"/>
          <c:tx>
            <c:strRef>
              <c:f>'Evaluatie uitkomsten'!$M$4</c:f>
              <c:strCache>
                <c:ptCount val="1"/>
                <c:pt idx="0">
                  <c:v>Onzeker / onduidelijk</c:v>
                </c:pt>
              </c:strCache>
            </c:strRef>
          </c:tx>
          <c:spPr>
            <a:solidFill>
              <a:srgbClr val="FFFF00"/>
            </a:solidFill>
            <a:ln>
              <a:solidFill>
                <a:srgbClr val="FFFF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'Evaluatie uitkomsten'!$N$1:$R$1</c:f>
              <c:strCache>
                <c:ptCount val="5"/>
                <c:pt idx="0">
                  <c:v>Rede voor overheidsingrijpen</c:v>
                </c:pt>
                <c:pt idx="1">
                  <c:v>Doenlijkheid</c:v>
                </c:pt>
                <c:pt idx="2">
                  <c:v>Complexiteit uitvoering</c:v>
                </c:pt>
                <c:pt idx="3">
                  <c:v>Doelmatig</c:v>
                </c:pt>
                <c:pt idx="4">
                  <c:v>Doeltreffend</c:v>
                </c:pt>
              </c:strCache>
            </c:strRef>
          </c:cat>
          <c:val>
            <c:numRef>
              <c:f>'Evaluatie uitkomsten'!$N$4:$R$4</c:f>
              <c:numCache>
                <c:formatCode>General</c:formatCode>
                <c:ptCount val="5"/>
                <c:pt idx="0">
                  <c:v>31</c:v>
                </c:pt>
                <c:pt idx="1">
                  <c:v>12</c:v>
                </c:pt>
                <c:pt idx="2">
                  <c:v>46</c:v>
                </c:pt>
                <c:pt idx="3">
                  <c:v>44</c:v>
                </c:pt>
                <c:pt idx="4">
                  <c:v>39</c:v>
                </c:pt>
              </c:numCache>
            </c:numRef>
          </c:val>
          <c:extLst>
            <c:ext xmlns:c16="http://schemas.microsoft.com/office/drawing/2014/chart" uri="{C3380CC4-5D6E-409C-BE32-E72D297353CC}">
              <c16:uniqueId val="{00000002-FBF4-4682-8094-51069A84E921}"/>
            </c:ext>
          </c:extLst>
        </c:ser>
        <c:ser>
          <c:idx val="1"/>
          <c:order val="3"/>
          <c:tx>
            <c:strRef>
              <c:f>'Evaluatie uitkomsten'!$M$3</c:f>
              <c:strCache>
                <c:ptCount val="1"/>
                <c:pt idx="0">
                  <c:v>Negatief</c:v>
                </c:pt>
              </c:strCache>
            </c:strRef>
          </c:tx>
          <c:spPr>
            <a:solidFill>
              <a:srgbClr val="FF0000"/>
            </a:solidFill>
            <a:ln>
              <a:solidFill>
                <a:srgbClr val="FF0000"/>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bg1"/>
                    </a:solidFill>
                    <a:latin typeface="Verdana" panose="020B0604030504040204" pitchFamily="34" charset="0"/>
                    <a:ea typeface="Verdana" panose="020B0604030504040204" pitchFamily="34" charset="0"/>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'Evaluatie uitkomsten'!$N$1:$R$1</c:f>
              <c:strCache>
                <c:ptCount val="5"/>
                <c:pt idx="0">
                  <c:v>Rede voor overheidsingrijpen</c:v>
                </c:pt>
                <c:pt idx="1">
                  <c:v>Doenlijkheid</c:v>
                </c:pt>
                <c:pt idx="2">
                  <c:v>Complexiteit uitvoering</c:v>
                </c:pt>
                <c:pt idx="3">
                  <c:v>Doelmatig</c:v>
                </c:pt>
                <c:pt idx="4">
                  <c:v>Doeltreffend</c:v>
                </c:pt>
              </c:strCache>
            </c:strRef>
          </c:cat>
          <c:val>
            <c:numRef>
              <c:f>'Evaluatie uitkomsten'!$N$3:$R$3</c:f>
              <c:numCache>
                <c:formatCode>General</c:formatCode>
                <c:ptCount val="5"/>
                <c:pt idx="0">
                  <c:v>19</c:v>
                </c:pt>
                <c:pt idx="1">
                  <c:v>4</c:v>
                </c:pt>
                <c:pt idx="2">
                  <c:v>25</c:v>
                </c:pt>
                <c:pt idx="3">
                  <c:v>33</c:v>
                </c:pt>
                <c:pt idx="4">
                  <c:v>19</c:v>
                </c:pt>
              </c:numCache>
            </c:numRef>
          </c:val>
          <c:extLst>
            <c:ext xmlns:c16="http://schemas.microsoft.com/office/drawing/2014/chart" uri="{C3380CC4-5D6E-409C-BE32-E72D297353CC}">
              <c16:uniqueId val="{00000003-FBF4-4682-8094-51069A84E921}"/>
            </c:ext>
          </c:extLst>
        </c:ser>
        <c:ser>
          <c:idx val="0"/>
          <c:order val="4"/>
          <c:tx>
            <c:strRef>
              <c:f>'Evaluatie uitkomsten'!$M$2</c:f>
              <c:strCache>
                <c:ptCount val="1"/>
                <c:pt idx="0">
                  <c:v>(nog) niet onderzocht</c:v>
                </c:pt>
              </c:strCache>
            </c:strRef>
          </c:tx>
          <c:spPr>
            <a:solidFill>
              <a:schemeClr val="bg1">
                <a:lumMod val="75000"/>
              </a:schemeClr>
            </a:solidFill>
            <a:ln>
              <a:solidFill>
                <a:schemeClr val="bg1">
                  <a:lumMod val="75000"/>
                </a:schemeClr>
              </a:solid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FBF4-4682-8094-51069A84E921}"/>
                </c:ext>
              </c:extLst>
            </c:dLbl>
            <c:dLbl>
              <c:idx val="1"/>
              <c:delete val="1"/>
              <c:extLst>
                <c:ext xmlns:c15="http://schemas.microsoft.com/office/drawing/2012/chart" uri="{CE6537A1-D6FC-4f65-9D91-7224C49458BB}"/>
                <c:ext xmlns:c16="http://schemas.microsoft.com/office/drawing/2014/chart" uri="{C3380CC4-5D6E-409C-BE32-E72D297353CC}">
                  <c16:uniqueId val="{00000005-FBF4-4682-8094-51069A84E921}"/>
                </c:ext>
              </c:extLst>
            </c:dLbl>
            <c:dLbl>
              <c:idx val="2"/>
              <c:delete val="1"/>
              <c:extLst>
                <c:ext xmlns:c15="http://schemas.microsoft.com/office/drawing/2012/chart" uri="{CE6537A1-D6FC-4f65-9D91-7224C49458BB}"/>
                <c:ext xmlns:c16="http://schemas.microsoft.com/office/drawing/2014/chart" uri="{C3380CC4-5D6E-409C-BE32-E72D297353CC}">
                  <c16:uniqueId val="{00000006-FBF4-4682-8094-51069A84E921}"/>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'Evaluatie uitkomsten'!$N$1:$R$1</c:f>
              <c:strCache>
                <c:ptCount val="5"/>
                <c:pt idx="0">
                  <c:v>Rede voor overheidsingrijpen</c:v>
                </c:pt>
                <c:pt idx="1">
                  <c:v>Doenlijkheid</c:v>
                </c:pt>
                <c:pt idx="2">
                  <c:v>Complexiteit uitvoering</c:v>
                </c:pt>
                <c:pt idx="3">
                  <c:v>Doelmatig</c:v>
                </c:pt>
                <c:pt idx="4">
                  <c:v>Doeltreffend</c:v>
                </c:pt>
              </c:strCache>
            </c:strRef>
          </c:cat>
          <c:val>
            <c:numRef>
              <c:f>'Evaluatie uitkomsten'!$N$2:$R$2</c:f>
              <c:numCache>
                <c:formatCode>General</c:formatCode>
                <c:ptCount val="5"/>
                <c:pt idx="0">
                  <c:v>0</c:v>
                </c:pt>
                <c:pt idx="1">
                  <c:v>0</c:v>
                </c:pt>
                <c:pt idx="2">
                  <c:v>0</c:v>
                </c:pt>
                <c:pt idx="3">
                  <c:v>31</c:v>
                </c:pt>
                <c:pt idx="4">
                  <c:v>31</c:v>
                </c:pt>
              </c:numCache>
            </c:numRef>
          </c:val>
          <c:extLst>
            <c:ext xmlns:c16="http://schemas.microsoft.com/office/drawing/2014/chart" uri="{C3380CC4-5D6E-409C-BE32-E72D297353CC}">
              <c16:uniqueId val="{00000007-FBF4-4682-8094-51069A84E921}"/>
            </c:ext>
          </c:extLst>
        </c:ser>
        <c:dLbls>
          <c:dLblPos val="ctr"/>
          <c:showLegendKey val="0"/>
          <c:showVal val="1"/>
          <c:showCatName val="0"/>
          <c:showSerName val="0"/>
          <c:showPercent val="0"/>
          <c:showBubbleSize val="0"/>
        </c:dLbls>
        <c:gapWidth val="150"/>
        <c:overlap val="100"/>
        <c:axId val="283844911"/>
        <c:axId val="283846351"/>
      </c:barChart>
      <c:catAx>
        <c:axId val="2838449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283846351"/>
        <c:crosses val="autoZero"/>
        <c:auto val="1"/>
        <c:lblAlgn val="ctr"/>
        <c:lblOffset val="100"/>
        <c:noMultiLvlLbl val="0"/>
      </c:catAx>
      <c:valAx>
        <c:axId val="28384635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crossAx val="28384491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Verdana" panose="020B0604030504040204" pitchFamily="34" charset="0"/>
              <a:ea typeface="Verdana" panose="020B0604030504040204" pitchFamily="34" charset="0"/>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Verdana" panose="020B0604030504040204" pitchFamily="34" charset="0"/>
          <a:ea typeface="Verdana" panose="020B0604030504040204" pitchFamily="34" charset="0"/>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863</ap:Words>
  <ap:Characters>4750</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 Motie Dassen</vt:lpstr>
    </vt:vector>
  </ap:TitlesOfParts>
  <ap:LinksUpToDate>false</ap:LinksUpToDate>
  <ap:CharactersWithSpaces>5602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2026-06-23T14:39:00.0000000Z</dcterms:created>
  <dcterms:modified xsi:type="dcterms:W3CDTF">2026-06-23T14:39:00.0000000Z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4 juni 2026</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2026-0000265008</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Motie Dassen</vt:lpwstr>
  </property>
  <property fmtid="{D5CDD505-2E9C-101B-9397-08002B2CF9AE}" pid="32" name="MSIP_Label_b2aa6e22-2c82-48c6-bf24-1790f4b9c128_Enabled">
    <vt:lpwstr>true</vt:lpwstr>
  </property>
  <property fmtid="{D5CDD505-2E9C-101B-9397-08002B2CF9AE}" pid="33" name="MSIP_Label_b2aa6e22-2c82-48c6-bf24-1790f4b9c128_SetDate">
    <vt:lpwstr>2026-06-05T11:18:23Z</vt:lpwstr>
  </property>
  <property fmtid="{D5CDD505-2E9C-101B-9397-08002B2CF9AE}" pid="34" name="MSIP_Label_b2aa6e22-2c82-48c6-bf24-1790f4b9c128_Method">
    <vt:lpwstr>Standard</vt:lpwstr>
  </property>
  <property fmtid="{D5CDD505-2E9C-101B-9397-08002B2CF9AE}" pid="35" name="MSIP_Label_b2aa6e22-2c82-48c6-bf24-1790f4b9c128_Name">
    <vt:lpwstr>FIN-DGFZ-Rijksoverheid</vt:lpwstr>
  </property>
  <property fmtid="{D5CDD505-2E9C-101B-9397-08002B2CF9AE}" pid="36" name="MSIP_Label_b2aa6e22-2c82-48c6-bf24-1790f4b9c128_SiteId">
    <vt:lpwstr>84712536-f524-40a0-913b-5d25ba502732</vt:lpwstr>
  </property>
  <property fmtid="{D5CDD505-2E9C-101B-9397-08002B2CF9AE}" pid="37" name="MSIP_Label_b2aa6e22-2c82-48c6-bf24-1790f4b9c128_ActionId">
    <vt:lpwstr>aabeed87-7b24-4731-a182-ff5b3e170026</vt:lpwstr>
  </property>
  <property fmtid="{D5CDD505-2E9C-101B-9397-08002B2CF9AE}" pid="38" name="MSIP_Label_b2aa6e22-2c82-48c6-bf24-1790f4b9c128_ContentBits">
    <vt:lpwstr>0</vt:lpwstr>
  </property>
  <property fmtid="{D5CDD505-2E9C-101B-9397-08002B2CF9AE}" pid="39" name="MSIP_Label_b2aa6e22-2c82-48c6-bf24-1790f4b9c128_Tag">
    <vt:lpwstr>10, 3, 0, 1</vt:lpwstr>
  </property>
</Properties>
</file>