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C046365" w14:textId="77777777">
        <w:tc>
          <w:tcPr>
            <w:tcW w:w="6379" w:type="dxa"/>
            <w:gridSpan w:val="2"/>
            <w:tcBorders>
              <w:top w:val="nil"/>
              <w:left w:val="nil"/>
              <w:bottom w:val="nil"/>
              <w:right w:val="nil"/>
            </w:tcBorders>
            <w:vAlign w:val="center"/>
          </w:tcPr>
          <w:p w:rsidR="004330ED" w:rsidP="00EA1CE4" w:rsidRDefault="004330ED" w14:paraId="39B7337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3E104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03A73C2" w14:textId="77777777">
        <w:trPr>
          <w:cantSplit/>
        </w:trPr>
        <w:tc>
          <w:tcPr>
            <w:tcW w:w="10348" w:type="dxa"/>
            <w:gridSpan w:val="3"/>
            <w:tcBorders>
              <w:top w:val="single" w:color="auto" w:sz="4" w:space="0"/>
              <w:left w:val="nil"/>
              <w:bottom w:val="nil"/>
              <w:right w:val="nil"/>
            </w:tcBorders>
          </w:tcPr>
          <w:p w:rsidR="004330ED" w:rsidP="004A1E29" w:rsidRDefault="004330ED" w14:paraId="6F65D21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39182D4" w14:textId="77777777">
        <w:trPr>
          <w:cantSplit/>
        </w:trPr>
        <w:tc>
          <w:tcPr>
            <w:tcW w:w="10348" w:type="dxa"/>
            <w:gridSpan w:val="3"/>
            <w:tcBorders>
              <w:top w:val="nil"/>
              <w:left w:val="nil"/>
              <w:bottom w:val="nil"/>
              <w:right w:val="nil"/>
            </w:tcBorders>
          </w:tcPr>
          <w:p w:rsidR="004330ED" w:rsidP="00BF623B" w:rsidRDefault="004330ED" w14:paraId="4D77AF6B" w14:textId="77777777">
            <w:pPr>
              <w:pStyle w:val="Amendement"/>
              <w:tabs>
                <w:tab w:val="clear" w:pos="3310"/>
                <w:tab w:val="clear" w:pos="3600"/>
              </w:tabs>
              <w:rPr>
                <w:rFonts w:ascii="Times New Roman" w:hAnsi="Times New Roman"/>
                <w:b w:val="0"/>
              </w:rPr>
            </w:pPr>
          </w:p>
        </w:tc>
      </w:tr>
      <w:tr w:rsidR="004330ED" w:rsidTr="00EA1CE4" w14:paraId="49DDB9A3" w14:textId="77777777">
        <w:trPr>
          <w:cantSplit/>
        </w:trPr>
        <w:tc>
          <w:tcPr>
            <w:tcW w:w="10348" w:type="dxa"/>
            <w:gridSpan w:val="3"/>
            <w:tcBorders>
              <w:top w:val="nil"/>
              <w:left w:val="nil"/>
              <w:bottom w:val="single" w:color="auto" w:sz="4" w:space="0"/>
              <w:right w:val="nil"/>
            </w:tcBorders>
          </w:tcPr>
          <w:p w:rsidR="004330ED" w:rsidP="00BF623B" w:rsidRDefault="004330ED" w14:paraId="0054A229" w14:textId="77777777">
            <w:pPr>
              <w:pStyle w:val="Amendement"/>
              <w:tabs>
                <w:tab w:val="clear" w:pos="3310"/>
                <w:tab w:val="clear" w:pos="3600"/>
              </w:tabs>
              <w:rPr>
                <w:rFonts w:ascii="Times New Roman" w:hAnsi="Times New Roman"/>
              </w:rPr>
            </w:pPr>
          </w:p>
        </w:tc>
      </w:tr>
      <w:tr w:rsidR="004330ED" w:rsidTr="00EA1CE4" w14:paraId="353B3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A278BA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24EA3F" w14:textId="77777777">
            <w:pPr>
              <w:suppressAutoHyphens/>
              <w:ind w:left="-70"/>
              <w:rPr>
                <w:b/>
              </w:rPr>
            </w:pPr>
          </w:p>
        </w:tc>
      </w:tr>
      <w:tr w:rsidR="003C21AC" w:rsidTr="00EA1CE4" w14:paraId="7E3FF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031EE" w14:paraId="3C382D0F" w14:textId="0FA6C6C5">
            <w:pPr>
              <w:pStyle w:val="Amendement"/>
              <w:tabs>
                <w:tab w:val="clear" w:pos="3310"/>
                <w:tab w:val="clear" w:pos="3600"/>
              </w:tabs>
              <w:rPr>
                <w:rFonts w:ascii="Times New Roman" w:hAnsi="Times New Roman"/>
              </w:rPr>
            </w:pPr>
            <w:r>
              <w:rPr>
                <w:rFonts w:ascii="Times New Roman" w:hAnsi="Times New Roman"/>
              </w:rPr>
              <w:t>36 731</w:t>
            </w:r>
          </w:p>
        </w:tc>
        <w:tc>
          <w:tcPr>
            <w:tcW w:w="7371" w:type="dxa"/>
            <w:gridSpan w:val="2"/>
          </w:tcPr>
          <w:p w:rsidRPr="003031EE" w:rsidR="003C21AC" w:rsidP="003031EE" w:rsidRDefault="003031EE" w14:paraId="52255BCF" w14:textId="64C3A8B7">
            <w:pPr>
              <w:rPr>
                <w:b/>
                <w:bCs/>
              </w:rPr>
            </w:pPr>
            <w:r w:rsidRPr="003031EE">
              <w:rPr>
                <w:b/>
                <w:bCs/>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003C21AC" w:rsidTr="00EA1CE4" w14:paraId="5BA8E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4DD3C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C24A49" w14:textId="77777777">
            <w:pPr>
              <w:pStyle w:val="Amendement"/>
              <w:tabs>
                <w:tab w:val="clear" w:pos="3310"/>
                <w:tab w:val="clear" w:pos="3600"/>
              </w:tabs>
              <w:ind w:left="-70"/>
              <w:rPr>
                <w:rFonts w:ascii="Times New Roman" w:hAnsi="Times New Roman"/>
              </w:rPr>
            </w:pPr>
          </w:p>
        </w:tc>
      </w:tr>
      <w:tr w:rsidR="003C21AC" w:rsidTr="00EA1CE4" w14:paraId="261C5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B3FD6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C0DBD1A" w14:textId="77777777">
            <w:pPr>
              <w:pStyle w:val="Amendement"/>
              <w:tabs>
                <w:tab w:val="clear" w:pos="3310"/>
                <w:tab w:val="clear" w:pos="3600"/>
              </w:tabs>
              <w:ind w:left="-70"/>
              <w:rPr>
                <w:rFonts w:ascii="Times New Roman" w:hAnsi="Times New Roman"/>
              </w:rPr>
            </w:pPr>
          </w:p>
        </w:tc>
      </w:tr>
      <w:tr w:rsidR="003C21AC" w:rsidTr="00EA1CE4" w14:paraId="79C9C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7363418" w14:textId="0C80512B">
            <w:pPr>
              <w:pStyle w:val="Amendement"/>
              <w:tabs>
                <w:tab w:val="clear" w:pos="3310"/>
                <w:tab w:val="clear" w:pos="3600"/>
              </w:tabs>
              <w:rPr>
                <w:rFonts w:ascii="Times New Roman" w:hAnsi="Times New Roman"/>
              </w:rPr>
            </w:pPr>
            <w:r w:rsidRPr="00C035D4">
              <w:rPr>
                <w:rFonts w:ascii="Times New Roman" w:hAnsi="Times New Roman"/>
              </w:rPr>
              <w:t xml:space="preserve">Nr. </w:t>
            </w:r>
            <w:r w:rsidR="00A57078">
              <w:rPr>
                <w:rFonts w:ascii="Times New Roman" w:hAnsi="Times New Roman"/>
                <w:caps/>
              </w:rPr>
              <w:t>9</w:t>
            </w:r>
          </w:p>
        </w:tc>
        <w:tc>
          <w:tcPr>
            <w:tcW w:w="7371" w:type="dxa"/>
            <w:gridSpan w:val="2"/>
          </w:tcPr>
          <w:p w:rsidRPr="00C035D4" w:rsidR="003C21AC" w:rsidP="006E0971" w:rsidRDefault="003C21AC" w14:paraId="65794E9D" w14:textId="4232D7E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C3432">
              <w:rPr>
                <w:rFonts w:ascii="Times New Roman" w:hAnsi="Times New Roman"/>
                <w:caps/>
              </w:rPr>
              <w:t xml:space="preserve">DE LEDEN </w:t>
            </w:r>
            <w:r w:rsidR="003031EE">
              <w:rPr>
                <w:rFonts w:ascii="Times New Roman" w:hAnsi="Times New Roman"/>
                <w:caps/>
              </w:rPr>
              <w:t>Sneller</w:t>
            </w:r>
            <w:r w:rsidR="000C3432">
              <w:rPr>
                <w:rFonts w:ascii="Times New Roman" w:hAnsi="Times New Roman"/>
                <w:caps/>
              </w:rPr>
              <w:t xml:space="preserve"> en Abdi</w:t>
            </w:r>
          </w:p>
        </w:tc>
      </w:tr>
      <w:tr w:rsidR="003C21AC" w:rsidTr="00EA1CE4" w14:paraId="0D013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D8A3DB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6F6EF9" w14:textId="1483E06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471BB">
              <w:rPr>
                <w:rFonts w:ascii="Times New Roman" w:hAnsi="Times New Roman"/>
                <w:b w:val="0"/>
              </w:rPr>
              <w:t>23 juni 2026</w:t>
            </w:r>
          </w:p>
        </w:tc>
      </w:tr>
      <w:tr w:rsidR="00B01BA6" w:rsidTr="00EA1CE4" w14:paraId="3F3DA5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262D1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4006C0B" w14:textId="77777777">
            <w:pPr>
              <w:pStyle w:val="Amendement"/>
              <w:tabs>
                <w:tab w:val="clear" w:pos="3310"/>
                <w:tab w:val="clear" w:pos="3600"/>
              </w:tabs>
              <w:ind w:left="-70"/>
              <w:rPr>
                <w:rFonts w:ascii="Times New Roman" w:hAnsi="Times New Roman"/>
                <w:b w:val="0"/>
              </w:rPr>
            </w:pPr>
          </w:p>
        </w:tc>
      </w:tr>
      <w:tr w:rsidRPr="00EA69AC" w:rsidR="00B01BA6" w:rsidTr="00EA1CE4" w14:paraId="65AC0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B090FB3" w14:textId="409CFA65">
            <w:pPr>
              <w:ind w:firstLine="284"/>
            </w:pPr>
            <w:r w:rsidRPr="00EA69AC">
              <w:t>De ondergetekende</w:t>
            </w:r>
            <w:r w:rsidR="000C3432">
              <w:t>n</w:t>
            </w:r>
            <w:r w:rsidRPr="00EA69AC">
              <w:t xml:space="preserve"> stel</w:t>
            </w:r>
            <w:r w:rsidR="000C3432">
              <w:t>len</w:t>
            </w:r>
            <w:r w:rsidRPr="00EA69AC">
              <w:t xml:space="preserve"> het volgende amendement voor:</w:t>
            </w:r>
          </w:p>
        </w:tc>
      </w:tr>
    </w:tbl>
    <w:p w:rsidR="004330ED" w:rsidP="00D774B3" w:rsidRDefault="004330ED" w14:paraId="14B75733" w14:textId="77777777"/>
    <w:p w:rsidR="000E7648" w:rsidP="00D774B3" w:rsidRDefault="000E7648" w14:paraId="22069742" w14:textId="3F1C4061">
      <w:r>
        <w:t>I</w:t>
      </w:r>
    </w:p>
    <w:p w:rsidR="000E7648" w:rsidP="00D774B3" w:rsidRDefault="000E7648" w14:paraId="6BBDE72D" w14:textId="77777777"/>
    <w:p w:rsidR="000E7648" w:rsidP="00BB556F" w:rsidRDefault="000E7648" w14:paraId="2D51F996" w14:textId="57B5E88B">
      <w:pPr>
        <w:ind w:firstLine="284"/>
      </w:pPr>
      <w:r>
        <w:t>In het opschrift wordt na “</w:t>
      </w:r>
      <w:r w:rsidR="00F741DE">
        <w:t>Wetboek van Burgerlijk</w:t>
      </w:r>
      <w:r w:rsidR="00876181">
        <w:t>e Rechtsvordering</w:t>
      </w:r>
      <w:r w:rsidR="00F741DE">
        <w:t>” ingevoegd “en het Burgerlijk Wetboek”.</w:t>
      </w:r>
    </w:p>
    <w:p w:rsidR="000E7648" w:rsidP="00D774B3" w:rsidRDefault="000E7648" w14:paraId="67BF714D" w14:textId="77777777"/>
    <w:p w:rsidRPr="00EA69AC" w:rsidR="000E7648" w:rsidP="00D774B3" w:rsidRDefault="000E7648" w14:paraId="471A6252" w14:textId="284D59EF">
      <w:r>
        <w:t>II</w:t>
      </w:r>
    </w:p>
    <w:p w:rsidR="00DC1CC8" w:rsidP="003031EE" w:rsidRDefault="00DC1CC8" w14:paraId="2B1F45A3" w14:textId="77777777">
      <w:pPr>
        <w:ind w:firstLine="284"/>
      </w:pPr>
    </w:p>
    <w:p w:rsidR="005B1DCC" w:rsidP="003031EE" w:rsidRDefault="003031EE" w14:paraId="224A4EB4" w14:textId="5DCA0B45">
      <w:pPr>
        <w:ind w:firstLine="284"/>
      </w:pPr>
      <w:r>
        <w:t>Na artikel I wordt een artikel ingevoegd, luidende:</w:t>
      </w:r>
    </w:p>
    <w:p w:rsidR="003031EE" w:rsidP="003031EE" w:rsidRDefault="003031EE" w14:paraId="4FEE1173" w14:textId="77777777"/>
    <w:p w:rsidRPr="00210A02" w:rsidR="003031EE" w:rsidP="003031EE" w:rsidRDefault="003031EE" w14:paraId="1F4C7D36" w14:textId="79B98D34">
      <w:pPr>
        <w:rPr>
          <w:b/>
          <w:bCs/>
        </w:rPr>
      </w:pPr>
      <w:r w:rsidRPr="00210A02">
        <w:rPr>
          <w:b/>
          <w:bCs/>
        </w:rPr>
        <w:t>ARTIKEL I</w:t>
      </w:r>
      <w:r w:rsidRPr="00210A02" w:rsidR="00210A02">
        <w:rPr>
          <w:b/>
          <w:bCs/>
        </w:rPr>
        <w:t>a</w:t>
      </w:r>
    </w:p>
    <w:p w:rsidR="003031EE" w:rsidP="003031EE" w:rsidRDefault="003031EE" w14:paraId="19B1EDDC" w14:textId="77777777"/>
    <w:p w:rsidRPr="007E560C" w:rsidR="003031EE" w:rsidP="0086019E" w:rsidRDefault="003031EE" w14:paraId="33C0EB13" w14:textId="2BE5DD16">
      <w:pPr>
        <w:ind w:firstLine="284"/>
      </w:pPr>
      <w:r>
        <w:t>A</w:t>
      </w:r>
      <w:r w:rsidR="0086019E">
        <w:t>an a</w:t>
      </w:r>
      <w:r>
        <w:t>rtikel 3:13 van het Burgerlijk Wetboek word</w:t>
      </w:r>
      <w:r w:rsidR="00C97E73">
        <w:t>en</w:t>
      </w:r>
      <w:r w:rsidR="00E1056C">
        <w:t xml:space="preserve"> </w:t>
      </w:r>
      <w:r w:rsidR="00C97E73">
        <w:t>twee</w:t>
      </w:r>
      <w:r w:rsidR="00E1056C">
        <w:t xml:space="preserve"> l</w:t>
      </w:r>
      <w:r w:rsidR="00C97E73">
        <w:t>eden</w:t>
      </w:r>
      <w:r w:rsidR="00E1056C">
        <w:t xml:space="preserve"> </w:t>
      </w:r>
      <w:r w:rsidR="0086019E">
        <w:t>toegevoegd, luidende:</w:t>
      </w:r>
    </w:p>
    <w:p w:rsidR="00812C16" w:rsidP="002145C5" w:rsidRDefault="007E560C" w14:paraId="617B8278" w14:textId="4785ED19">
      <w:pPr>
        <w:ind w:firstLine="284"/>
      </w:pPr>
      <w:r w:rsidRPr="007E560C">
        <w:t xml:space="preserve">4. </w:t>
      </w:r>
      <w:r w:rsidR="00207D32">
        <w:t xml:space="preserve">Een </w:t>
      </w:r>
      <w:r w:rsidRPr="007E560C">
        <w:t xml:space="preserve">bevoegdheid kan </w:t>
      </w:r>
      <w:r w:rsidR="00207D32">
        <w:t xml:space="preserve">worden misbruikt </w:t>
      </w:r>
      <w:r w:rsidR="005C656F">
        <w:t>door</w:t>
      </w:r>
      <w:r w:rsidR="003B6253">
        <w:t xml:space="preserve"> </w:t>
      </w:r>
      <w:r w:rsidR="00A4132B">
        <w:t xml:space="preserve">kennelijk ongegronde vorderingen </w:t>
      </w:r>
      <w:r w:rsidR="00096018">
        <w:t xml:space="preserve">of </w:t>
      </w:r>
      <w:r w:rsidRPr="00C079F6" w:rsidR="00C079F6">
        <w:t>misbruik van procesrecht gericht tegen publieke participatie</w:t>
      </w:r>
      <w:r w:rsidR="00507870">
        <w:t xml:space="preserve"> </w:t>
      </w:r>
      <w:r w:rsidRPr="0006764B" w:rsidR="003B6253">
        <w:t xml:space="preserve">als bedoeld in </w:t>
      </w:r>
      <w:r w:rsidR="00507870">
        <w:t xml:space="preserve">artikel </w:t>
      </w:r>
      <w:r w:rsidR="003D76E8">
        <w:t>4</w:t>
      </w:r>
      <w:r w:rsidR="000C3432">
        <w:t>, derde</w:t>
      </w:r>
      <w:r w:rsidR="008D788B">
        <w:t xml:space="preserve"> </w:t>
      </w:r>
      <w:r w:rsidR="00C562FC">
        <w:t>lid</w:t>
      </w:r>
      <w:r w:rsidR="000C3432">
        <w:t>,</w:t>
      </w:r>
      <w:r w:rsidR="003D76E8">
        <w:t xml:space="preserve"> van </w:t>
      </w:r>
      <w:r w:rsidRPr="0006764B" w:rsidR="003B6253">
        <w:t xml:space="preserve">de Richtlijn (EU) 2024/1069 van het Europees Parlement en de Raad van 11 april 2024 betreffende bescherming van bij publieke participatie betrokken personen tegen kennelijk ongegronde vorderingen of misbruik van procesrecht (“strategische rechtszaken </w:t>
      </w:r>
      <w:r w:rsidRPr="00F2075B" w:rsidR="003B6253">
        <w:t>tegen publieke participatie”)</w:t>
      </w:r>
      <w:r w:rsidRPr="00F2075B">
        <w:t xml:space="preserve">. </w:t>
      </w:r>
    </w:p>
    <w:p w:rsidR="00E76112" w:rsidP="002145C5" w:rsidRDefault="00E76112" w14:paraId="02634A39" w14:textId="2276DF3F">
      <w:pPr>
        <w:ind w:firstLine="284"/>
      </w:pPr>
      <w:r w:rsidRPr="00F2075B">
        <w:t xml:space="preserve">5. </w:t>
      </w:r>
      <w:r w:rsidRPr="002807C7" w:rsidR="000A2596">
        <w:t xml:space="preserve">Het </w:t>
      </w:r>
      <w:r w:rsidR="000A2596">
        <w:t xml:space="preserve">vierde </w:t>
      </w:r>
      <w:r w:rsidRPr="002807C7" w:rsidR="000A2596">
        <w:t xml:space="preserve">lid is van overeenkomstige toepassing op zaken zonder grensoverschrijdende gevolgen als bedoeld in artikel 5 van de richtlijn, genoemd in het </w:t>
      </w:r>
      <w:r w:rsidR="001471BB">
        <w:t>vierde</w:t>
      </w:r>
      <w:r w:rsidRPr="002807C7" w:rsidR="000A2596">
        <w:t xml:space="preserve"> lid</w:t>
      </w:r>
      <w:r w:rsidR="000A2596">
        <w:t>.</w:t>
      </w:r>
    </w:p>
    <w:p w:rsidRPr="00F2075B" w:rsidR="00812C16" w:rsidP="002145C5" w:rsidRDefault="00812C16" w14:paraId="40A27E55" w14:textId="77777777">
      <w:pPr>
        <w:ind w:firstLine="284"/>
      </w:pPr>
    </w:p>
    <w:p w:rsidRPr="00F2075B" w:rsidR="003C21AC" w:rsidP="008D788B" w:rsidRDefault="003C21AC" w14:paraId="5A23213F" w14:textId="080B8C99">
      <w:pPr>
        <w:rPr>
          <w:b/>
        </w:rPr>
      </w:pPr>
      <w:r w:rsidRPr="00F2075B">
        <w:rPr>
          <w:b/>
        </w:rPr>
        <w:t>Toelichting</w:t>
      </w:r>
    </w:p>
    <w:p w:rsidRPr="00F2075B" w:rsidR="003C21AC" w:rsidP="00F2075B" w:rsidRDefault="003C21AC" w14:paraId="10BF4362" w14:textId="77777777"/>
    <w:p w:rsidRPr="000A2596" w:rsidR="003031EE" w:rsidP="00F2075B" w:rsidRDefault="003031EE" w14:paraId="3DB4345A" w14:textId="4A2D6121">
      <w:r w:rsidRPr="000A2596">
        <w:t>Journalisten</w:t>
      </w:r>
      <w:r w:rsidRPr="000A2596" w:rsidR="00BB79D1">
        <w:t xml:space="preserve">, wetenschappers, </w:t>
      </w:r>
      <w:r w:rsidRPr="000A2596" w:rsidR="00B16F6E">
        <w:t>fotografen</w:t>
      </w:r>
      <w:r w:rsidRPr="000A2596" w:rsidR="00D13AE8">
        <w:t>, kunstenaars</w:t>
      </w:r>
      <w:r w:rsidRPr="000A2596" w:rsidR="001D6388">
        <w:t xml:space="preserve">, </w:t>
      </w:r>
      <w:r w:rsidRPr="000A2596" w:rsidR="0042458F">
        <w:t xml:space="preserve">mensenrechtenverdedigers </w:t>
      </w:r>
      <w:r w:rsidRPr="000A2596" w:rsidR="001D6388">
        <w:t xml:space="preserve">– allen </w:t>
      </w:r>
      <w:r w:rsidRPr="000A2596">
        <w:t xml:space="preserve">vervullen een essentiële rol in het functioneren van de democratische rechtsstaat. Niet alleen vormen zij een essentiële schakel tussen politiek en burgers maar ze fungeren ook als noodzakelijke waakhond die de overheid kan controleren en misstanden aan de kaak kan stellen. </w:t>
      </w:r>
      <w:r w:rsidRPr="000A2596" w:rsidR="00CA4056">
        <w:t xml:space="preserve">Wanneer burgers </w:t>
      </w:r>
      <w:r w:rsidRPr="000A2596" w:rsidR="00AD090E">
        <w:t>die op een dergelijke manier actief zijn in het publieke debat</w:t>
      </w:r>
      <w:r w:rsidRPr="000A2596" w:rsidR="00CA4056">
        <w:t>,</w:t>
      </w:r>
      <w:r w:rsidRPr="000A2596">
        <w:t xml:space="preserve"> worden geconfronteerd met strategische rechtszaken die primair zijn bedoeld om hen financieel en psychologisch onder druk te zetten, raakt </w:t>
      </w:r>
      <w:r w:rsidRPr="000A2596" w:rsidR="00CA4056">
        <w:t xml:space="preserve">dat </w:t>
      </w:r>
      <w:r w:rsidRPr="000A2596">
        <w:t>niet alleen</w:t>
      </w:r>
      <w:r w:rsidRPr="000A2596" w:rsidR="00335F82">
        <w:t xml:space="preserve"> het individu</w:t>
      </w:r>
      <w:r w:rsidRPr="000A2596">
        <w:t xml:space="preserve">, maar </w:t>
      </w:r>
      <w:r w:rsidRPr="000A2596" w:rsidR="00335F82">
        <w:t xml:space="preserve">dan </w:t>
      </w:r>
      <w:r w:rsidRPr="000A2596">
        <w:t xml:space="preserve">tast </w:t>
      </w:r>
      <w:r w:rsidRPr="000A2596" w:rsidR="00335F82">
        <w:t xml:space="preserve">dat </w:t>
      </w:r>
      <w:r w:rsidRPr="000A2596">
        <w:t>het maatschappelijk debat als geheel aan. Indiener</w:t>
      </w:r>
      <w:r w:rsidRPr="000A2596" w:rsidR="00335F82">
        <w:t>s</w:t>
      </w:r>
      <w:r w:rsidRPr="000A2596">
        <w:t xml:space="preserve"> </w:t>
      </w:r>
      <w:r w:rsidRPr="000A2596" w:rsidR="00335F82">
        <w:t>zijn</w:t>
      </w:r>
      <w:r w:rsidRPr="000A2596">
        <w:t xml:space="preserve"> dan ook van mening dat deze journalisten</w:t>
      </w:r>
      <w:r w:rsidR="0027515F">
        <w:t>, wetenschappers, fotografen, kunstenaars en mensenrechtenverdedigers</w:t>
      </w:r>
      <w:r w:rsidRPr="000A2596">
        <w:t xml:space="preserve"> volledige bescherming genieten. Zowel de Europese Commissie als de Raad voor Europa benadrukken ook dat lidstaten wettelijke handvaten moeten bieden om </w:t>
      </w:r>
      <w:proofErr w:type="spellStart"/>
      <w:r w:rsidRPr="000A2596">
        <w:t>SLAPPs</w:t>
      </w:r>
      <w:proofErr w:type="spellEnd"/>
      <w:r w:rsidRPr="000A2596">
        <w:t xml:space="preserve"> vroegtijdig te herkennen en effectief te bestrijden. Daartoe dient ook </w:t>
      </w:r>
      <w:r w:rsidR="000C3432">
        <w:t xml:space="preserve">de </w:t>
      </w:r>
      <w:r w:rsidRPr="00E7575D" w:rsidR="000C3432">
        <w:t xml:space="preserve">Richtlijn </w:t>
      </w:r>
      <w:r w:rsidRPr="00E7575D" w:rsidR="000C3432">
        <w:rPr>
          <w:rFonts w:eastAsia="Verdana"/>
          <w:szCs w:val="24"/>
        </w:rPr>
        <w:t xml:space="preserve">(EU) 2024/1069 van het Europees Parlement en de Raad van 11 april 2024 betreffende bescherming van bij publieke participatie betrokken personen tegen kennelijk ongegronde vorderingen of </w:t>
      </w:r>
      <w:r w:rsidRPr="00E7575D" w:rsidR="000C3432">
        <w:rPr>
          <w:rFonts w:eastAsia="Verdana"/>
          <w:szCs w:val="24"/>
        </w:rPr>
        <w:lastRenderedPageBreak/>
        <w:t>misbruik van procesrecht (‘strategische rechtszaken tegen publieke participatie’</w:t>
      </w:r>
      <w:r w:rsidR="000C3432">
        <w:rPr>
          <w:rFonts w:eastAsia="Verdana"/>
          <w:szCs w:val="24"/>
        </w:rPr>
        <w:t>)</w:t>
      </w:r>
      <w:r w:rsidRPr="00E7575D" w:rsidR="000C3432">
        <w:rPr>
          <w:rFonts w:eastAsia="Verdana"/>
          <w:szCs w:val="24"/>
        </w:rPr>
        <w:t xml:space="preserve"> </w:t>
      </w:r>
      <w:r w:rsidR="000C3432">
        <w:rPr>
          <w:rFonts w:eastAsia="Verdana"/>
          <w:szCs w:val="24"/>
        </w:rPr>
        <w:t>(</w:t>
      </w:r>
      <w:r w:rsidRPr="000A2596">
        <w:t>anti-SLAPP richtlijn</w:t>
      </w:r>
      <w:r w:rsidR="000C3432">
        <w:t>)</w:t>
      </w:r>
      <w:r w:rsidRPr="000A2596">
        <w:t xml:space="preserve"> en de anti-SLAPP aanbevelingen van deze Europese organen, die met het wetsvoorstel omgezet wordt naar het Nederlands recht. Het huidige Nederlandse wetsvoorstel blijft echter achter. </w:t>
      </w:r>
    </w:p>
    <w:p w:rsidRPr="000A2596" w:rsidR="003031EE" w:rsidP="003031EE" w:rsidRDefault="003031EE" w14:paraId="45492CAC" w14:textId="77777777"/>
    <w:p w:rsidRPr="000A2596" w:rsidR="003031EE" w:rsidP="003031EE" w:rsidRDefault="003031EE" w14:paraId="2343A35E" w14:textId="70B052DB">
      <w:r w:rsidRPr="000A2596">
        <w:t xml:space="preserve">Dit amendement ziet toe op de expliciete wettelijke verankering van </w:t>
      </w:r>
      <w:r w:rsidRPr="000A2596" w:rsidR="00605A37">
        <w:t xml:space="preserve">de </w:t>
      </w:r>
      <w:r w:rsidRPr="000A2596">
        <w:t>indicatoren die duiden op misbruik van procesrecht gericht tegen publieke participatie</w:t>
      </w:r>
      <w:r w:rsidRPr="000A2596" w:rsidR="001F015F">
        <w:t>, via een verwijzing naar het betreffende artikel en lid in de Richtlijn</w:t>
      </w:r>
      <w:r w:rsidRPr="000A2596">
        <w:t>. Die ontbreekt op dit moment in het wetsvoorstel. Het Nederlands recht biedt enkel het generieke</w:t>
      </w:r>
      <w:r w:rsidRPr="000A2596" w:rsidR="003B7DF1">
        <w:t xml:space="preserve"> artikel</w:t>
      </w:r>
      <w:r w:rsidRPr="000A2596">
        <w:t xml:space="preserve"> 3:13 </w:t>
      </w:r>
      <w:r w:rsidR="001471BB">
        <w:t xml:space="preserve">van het </w:t>
      </w:r>
      <w:r w:rsidRPr="000A2596" w:rsidR="003B7DF1">
        <w:t>Burgerlijk Wetboek (</w:t>
      </w:r>
      <w:r w:rsidRPr="000A2596">
        <w:t>BW</w:t>
      </w:r>
      <w:r w:rsidRPr="000A2596" w:rsidR="003B7DF1">
        <w:t xml:space="preserve">) </w:t>
      </w:r>
      <w:r w:rsidRPr="000A2596">
        <w:t>over misbruik van bevoegdheid, waarvan de drempel in de praktijk aanzienlijk te hoog ligt. Een beroep op art</w:t>
      </w:r>
      <w:r w:rsidRPr="000A2596" w:rsidR="00AA66D8">
        <w:t>ikel</w:t>
      </w:r>
      <w:r w:rsidRPr="000A2596">
        <w:t xml:space="preserve"> 3:13 </w:t>
      </w:r>
      <w:r w:rsidR="001471BB">
        <w:t xml:space="preserve">van het </w:t>
      </w:r>
      <w:r w:rsidRPr="000A2596">
        <w:t xml:space="preserve">BW wordt in de geldende jurisprudentie vrijwel nooit toegekend en sluit niet goed aan bij de realiteit van SLAPP-zaken. Zo blijkt uit de Richtlijn en Aanbevelingen helder dat voor </w:t>
      </w:r>
      <w:proofErr w:type="spellStart"/>
      <w:r w:rsidRPr="000A2596">
        <w:t>SLAPPs</w:t>
      </w:r>
      <w:proofErr w:type="spellEnd"/>
      <w:r w:rsidRPr="000A2596">
        <w:t xml:space="preserve"> het geheel van rechtshandelingen, alsmede intimidatie en pesterijen (b</w:t>
      </w:r>
      <w:r w:rsidRPr="000A2596" w:rsidR="00F32916">
        <w:t>ijvoorbeeld</w:t>
      </w:r>
      <w:r w:rsidRPr="000A2596">
        <w:t xml:space="preserve"> lastercampagnes) buiten de rechtszaal meegewogen moet kunnen worden. </w:t>
      </w:r>
      <w:r w:rsidRPr="000A2596" w:rsidR="003B7DF1">
        <w:t xml:space="preserve">Artikel </w:t>
      </w:r>
      <w:r w:rsidRPr="000A2596">
        <w:t xml:space="preserve">3:13 </w:t>
      </w:r>
      <w:r w:rsidR="001471BB">
        <w:t xml:space="preserve">van het </w:t>
      </w:r>
      <w:r w:rsidRPr="000A2596">
        <w:t xml:space="preserve">BW staat echter alleen beoordeling van de toelaatbaarheid van de inzet van een specifieke bevoegdheid toe. Daarnaast kijkt </w:t>
      </w:r>
      <w:r w:rsidRPr="000A2596" w:rsidR="003B7DF1">
        <w:t xml:space="preserve">artikel </w:t>
      </w:r>
      <w:r w:rsidRPr="000A2596">
        <w:t>3:13</w:t>
      </w:r>
      <w:r w:rsidR="001471BB">
        <w:t xml:space="preserve"> van het</w:t>
      </w:r>
      <w:r w:rsidRPr="000A2596">
        <w:t xml:space="preserve"> BW nauw naar de vraag of een bevoegdheid voor een ander doel wordt ingezet dan waar die voor bedoeld is – dat is bij </w:t>
      </w:r>
      <w:proofErr w:type="spellStart"/>
      <w:r w:rsidRPr="000A2596">
        <w:t>SLAPPs</w:t>
      </w:r>
      <w:proofErr w:type="spellEnd"/>
      <w:r w:rsidRPr="000A2596">
        <w:t xml:space="preserve"> niet altijd het geval. Zowel </w:t>
      </w:r>
      <w:proofErr w:type="spellStart"/>
      <w:r w:rsidRPr="000A2596">
        <w:t>SLAPPs</w:t>
      </w:r>
      <w:proofErr w:type="spellEnd"/>
      <w:r w:rsidRPr="000A2596">
        <w:t xml:space="preserve"> die onder de Richtlijn gedefinieerd worden als ‘kennelijk ongegronde vorderingen’ (</w:t>
      </w:r>
      <w:proofErr w:type="spellStart"/>
      <w:r w:rsidRPr="000A2596">
        <w:t>manifestly</w:t>
      </w:r>
      <w:proofErr w:type="spellEnd"/>
      <w:r w:rsidRPr="000A2596">
        <w:t xml:space="preserve"> </w:t>
      </w:r>
      <w:proofErr w:type="spellStart"/>
      <w:r w:rsidRPr="000A2596">
        <w:t>unfounded</w:t>
      </w:r>
      <w:proofErr w:type="spellEnd"/>
      <w:r w:rsidRPr="000A2596">
        <w:t>) als ‘misbruik van procesrecht’ (</w:t>
      </w:r>
      <w:proofErr w:type="spellStart"/>
      <w:r w:rsidRPr="000A2596">
        <w:t>abusive</w:t>
      </w:r>
      <w:proofErr w:type="spellEnd"/>
      <w:r w:rsidRPr="000A2596">
        <w:t xml:space="preserve"> </w:t>
      </w:r>
      <w:proofErr w:type="spellStart"/>
      <w:r w:rsidRPr="000A2596">
        <w:t>proceedings</w:t>
      </w:r>
      <w:proofErr w:type="spellEnd"/>
      <w:r w:rsidRPr="000A2596">
        <w:t xml:space="preserve">) kunnen deze toets halen. </w:t>
      </w:r>
    </w:p>
    <w:p w:rsidRPr="000A2596" w:rsidR="003031EE" w:rsidP="003031EE" w:rsidRDefault="003031EE" w14:paraId="74DF21AA" w14:textId="77777777"/>
    <w:p w:rsidRPr="000A2596" w:rsidR="003031EE" w:rsidP="003031EE" w:rsidRDefault="003031EE" w14:paraId="2F1B72C4" w14:textId="796E202E">
      <w:r w:rsidRPr="000A2596">
        <w:t>Recente jurisprudentie toont ook terughoudendheid bij rechters om aan art</w:t>
      </w:r>
      <w:r w:rsidRPr="000A2596" w:rsidR="00AA66D8">
        <w:t xml:space="preserve">ikel </w:t>
      </w:r>
      <w:r w:rsidRPr="000A2596">
        <w:t xml:space="preserve">3:13 </w:t>
      </w:r>
      <w:r w:rsidR="001471BB">
        <w:t xml:space="preserve">van het </w:t>
      </w:r>
      <w:r w:rsidRPr="000A2596">
        <w:t xml:space="preserve">BW in het huidige kader toe te passen bij een beroep op SLAPP (zie daarvoor ook </w:t>
      </w:r>
      <w:r w:rsidRPr="000A2596">
        <w:rPr>
          <w:i/>
          <w:iCs/>
        </w:rPr>
        <w:t xml:space="preserve">NRC vs. </w:t>
      </w:r>
      <w:proofErr w:type="spellStart"/>
      <w:r w:rsidRPr="000A2596">
        <w:rPr>
          <w:i/>
          <w:iCs/>
        </w:rPr>
        <w:t>Bunq</w:t>
      </w:r>
      <w:proofErr w:type="spellEnd"/>
      <w:r w:rsidRPr="000A2596">
        <w:rPr>
          <w:i/>
          <w:iCs/>
        </w:rPr>
        <w:t xml:space="preserve">). </w:t>
      </w:r>
      <w:r w:rsidRPr="000A2596">
        <w:t>Rechters hanteren een terughoudende toetsing, waarbij intentie moeilijk te bewijzen is en gedragingen zoals intimidatie, disproportionele claims, of reeksen van procedures onvoldoende meewegen. O</w:t>
      </w:r>
      <w:r w:rsidRPr="000A2596" w:rsidR="007A6B69">
        <w:t xml:space="preserve">nder </w:t>
      </w:r>
      <w:r w:rsidRPr="000A2596">
        <w:t>a</w:t>
      </w:r>
      <w:r w:rsidRPr="000A2596" w:rsidR="007A6B69">
        <w:t>ndere</w:t>
      </w:r>
      <w:r w:rsidRPr="000A2596">
        <w:t xml:space="preserve"> de ‘</w:t>
      </w:r>
      <w:proofErr w:type="spellStart"/>
      <w:r w:rsidRPr="000A2596">
        <w:t>Coalition</w:t>
      </w:r>
      <w:proofErr w:type="spellEnd"/>
      <w:r w:rsidRPr="000A2596">
        <w:t xml:space="preserve"> </w:t>
      </w:r>
      <w:proofErr w:type="spellStart"/>
      <w:r w:rsidRPr="000A2596">
        <w:t>Against</w:t>
      </w:r>
      <w:proofErr w:type="spellEnd"/>
      <w:r w:rsidRPr="000A2596">
        <w:t xml:space="preserve"> </w:t>
      </w:r>
      <w:proofErr w:type="spellStart"/>
      <w:r w:rsidRPr="000A2596">
        <w:t>SLAPPs</w:t>
      </w:r>
      <w:proofErr w:type="spellEnd"/>
      <w:r w:rsidRPr="000A2596">
        <w:t xml:space="preserve"> in Europe’ (CASE) en de Nederlandse anti-SLAPP-werkgroep pleiten daarom voor het wettelijk opnemen van handvatten voor de beoordeling van een SLAPP. In de</w:t>
      </w:r>
      <w:r w:rsidRPr="000A2596" w:rsidR="00261C35">
        <w:t xml:space="preserve"> memorie van toelichting</w:t>
      </w:r>
      <w:r w:rsidRPr="000A2596" w:rsidR="001E5A52">
        <w:t xml:space="preserve"> </w:t>
      </w:r>
      <w:r w:rsidRPr="000A2596">
        <w:t xml:space="preserve">wordt echter gesteld dat deze handvatten zich niet goed lenen voor opname in </w:t>
      </w:r>
      <w:r w:rsidRPr="000A2596" w:rsidR="00261C35">
        <w:t xml:space="preserve">het </w:t>
      </w:r>
      <w:r w:rsidRPr="000A2596">
        <w:t>wet</w:t>
      </w:r>
      <w:r w:rsidRPr="000A2596" w:rsidR="00261C35">
        <w:t>svoorstel</w:t>
      </w:r>
      <w:r w:rsidRPr="000A2596">
        <w:t xml:space="preserve">. Vanwege het gebrek aan SLAPP-gerelateerde beoordelingscriteria en de terughoudende toetsing in het kader van </w:t>
      </w:r>
      <w:r w:rsidRPr="000A2596" w:rsidR="0075358D">
        <w:t xml:space="preserve">artikel </w:t>
      </w:r>
      <w:r w:rsidRPr="000A2596">
        <w:t>3:13 BW is niet gegarandeerd dat het SLAPP-doelwit beschermd wordt in de zin van artikel 11 Richtlijn.</w:t>
      </w:r>
      <w:r w:rsidRPr="000A2596">
        <w:rPr>
          <w:rStyle w:val="Voetnootmarkering"/>
        </w:rPr>
        <w:footnoteReference w:id="1"/>
      </w:r>
      <w:r w:rsidR="009922EE">
        <w:rPr>
          <w:rStyle w:val="Voetnootmarkering"/>
        </w:rPr>
        <w:footnoteReference w:id="2"/>
      </w:r>
    </w:p>
    <w:p w:rsidR="00DF1117" w:rsidP="003031EE" w:rsidRDefault="00DF1117" w14:paraId="59E0769E" w14:textId="77777777"/>
    <w:p w:rsidR="00AC2105" w:rsidP="003031EE" w:rsidRDefault="00AC2105" w14:paraId="3FE7C1E4" w14:textId="723FB49C">
      <w:r w:rsidRPr="007D1C44">
        <w:t>V</w:t>
      </w:r>
      <w:r>
        <w:t>oorts betreffen v</w:t>
      </w:r>
      <w:r w:rsidRPr="007D1C44">
        <w:t>erreweg de meeste SLAPP-procedures of dreigementen die nu al spelen in Nederland, nationale kwesties. Dit is in heel Europa het geval (volgens data van CASE is slechts 8.5% van de zaken grensoverschrijdend)</w:t>
      </w:r>
      <w:r w:rsidR="001471BB">
        <w:t>.</w:t>
      </w:r>
      <w:r>
        <w:rPr>
          <w:rStyle w:val="Voetnootmarkering"/>
        </w:rPr>
        <w:footnoteReference w:id="3"/>
      </w:r>
      <w:r w:rsidRPr="007D1C44">
        <w:t xml:space="preserve"> De Europese Commissie en de Raad van Europa moedigen, zoals het kabinet onderschrijft in de </w:t>
      </w:r>
      <w:proofErr w:type="spellStart"/>
      <w:r w:rsidRPr="007D1C44">
        <w:t>MvT</w:t>
      </w:r>
      <w:proofErr w:type="spellEnd"/>
      <w:r w:rsidRPr="007D1C44">
        <w:t>, lidstaten daarom aan om SLAPP-waarborgen ook op puur nationale casussen van toepassing te laten zijn. In navolging daarvan hebben onder andere Frankrijk, België, en Polen in de implementatiewetten gekozen voor nationale toepassing van SLAPP-waarborgen. Zonder nationale toepassing dreigen de nieuwe waarborgen niet alleen doel te missen, maar kan er ook een ongelijke rechtspositie ontstaan bij gelijke gevallen (waarbij het enige verschil het grensoverschrijdende karakter is). Dat staat op gespannen voet met het gelijkheidsbeginsel. Bovendien ontstaat, nu meerdere Europese (buur)landen wél voor nationale toepassing kiezen, het risico dat Nederland een extra aantrekkelijke jurisdictie wordt voor partijen die SLAPP-zaken initiëren. Tot slot duidt recente rechtspraak er niet op dat, zoals het kabinet veronderstelt, het geldende recht ook in nationale gevallen tot toepassing van de waarborgen uit de richtlijn kan leiden. Zo stelde de rechter recent in</w:t>
      </w:r>
      <w:r w:rsidR="001C6DD2">
        <w:t xml:space="preserve"> dezelfde </w:t>
      </w:r>
      <w:r w:rsidRPr="008C3F65" w:rsidR="001C6DD2">
        <w:rPr>
          <w:i/>
          <w:iCs/>
        </w:rPr>
        <w:t xml:space="preserve">NRC v. </w:t>
      </w:r>
      <w:proofErr w:type="spellStart"/>
      <w:r w:rsidRPr="008C3F65" w:rsidR="001C6DD2">
        <w:rPr>
          <w:i/>
          <w:iCs/>
        </w:rPr>
        <w:t>Bunq</w:t>
      </w:r>
      <w:proofErr w:type="spellEnd"/>
      <w:r w:rsidRPr="007D1C44">
        <w:t xml:space="preserve"> zaak waarin beroep werd gedaan op richtlijnconforme interpretatie</w:t>
      </w:r>
      <w:r w:rsidR="009922EE">
        <w:rPr>
          <w:rStyle w:val="Voetnootmarkering"/>
        </w:rPr>
        <w:t>2</w:t>
      </w:r>
      <w:r w:rsidRPr="007D1C44">
        <w:t xml:space="preserve">: </w:t>
      </w:r>
      <w:r w:rsidRPr="007B44E4">
        <w:rPr>
          <w:i/>
          <w:iCs/>
        </w:rPr>
        <w:t>De richtlijn is nog niet (voldoende) omgezet in Nederlandse wetgeving en is bovendien alleen van toepassing op burgerlijke of handelszaken met grensoverschrijdende gevolgen. Niet gesteld of gebleken is dat deze zaak grensoverschrijdende gevolgen heeft.</w:t>
      </w:r>
    </w:p>
    <w:p w:rsidRPr="000A2596" w:rsidR="00AC2105" w:rsidP="003031EE" w:rsidRDefault="00AC2105" w14:paraId="6942281B" w14:textId="77777777"/>
    <w:p w:rsidRPr="00E7575D" w:rsidR="00AE5131" w:rsidP="00AE5131" w:rsidRDefault="00AE5131" w14:paraId="361612D7" w14:textId="77777777">
      <w:r w:rsidRPr="00E7575D">
        <w:rPr>
          <w:shd w:val="clear" w:color="auto" w:fill="FFFFFF"/>
        </w:rPr>
        <w:t>Ook blijkt uit recente jurisprudentie</w:t>
      </w:r>
      <w:r>
        <w:rPr>
          <w:rStyle w:val="Voetnootmarkering"/>
          <w:shd w:val="clear" w:color="auto" w:fill="FFFFFF"/>
        </w:rPr>
        <w:footnoteReference w:id="4"/>
      </w:r>
      <w:r w:rsidRPr="00E7575D">
        <w:rPr>
          <w:shd w:val="clear" w:color="auto" w:fill="FFFFFF"/>
        </w:rPr>
        <w:t xml:space="preserve"> dat rechters in de </w:t>
      </w:r>
      <w:r>
        <w:rPr>
          <w:shd w:val="clear" w:color="auto" w:fill="FFFFFF"/>
        </w:rPr>
        <w:t>r</w:t>
      </w:r>
      <w:r w:rsidRPr="00E7575D">
        <w:rPr>
          <w:shd w:val="clear" w:color="auto" w:fill="FFFFFF"/>
        </w:rPr>
        <w:t xml:space="preserve">ichtlijn de lezing van de regering, uiteengezet in de </w:t>
      </w:r>
      <w:r w:rsidRPr="00E7575D">
        <w:rPr>
          <w:shd w:val="clear" w:color="auto" w:fill="FFFFFF"/>
        </w:rPr>
        <w:lastRenderedPageBreak/>
        <w:t>memorie van toelichting,</w:t>
      </w:r>
      <w:r w:rsidRPr="00E7575D">
        <w:rPr>
          <w:rStyle w:val="apple-converted-space"/>
          <w:shd w:val="clear" w:color="auto" w:fill="FFFFFF"/>
        </w:rPr>
        <w:t> </w:t>
      </w:r>
      <w:r w:rsidRPr="00E7575D">
        <w:t>alsmede die van de adviescommissie burgerlijk procesrecht,</w:t>
      </w:r>
      <w:r w:rsidRPr="00E7575D">
        <w:rPr>
          <w:rStyle w:val="apple-converted-space"/>
        </w:rPr>
        <w:t> </w:t>
      </w:r>
      <w:r w:rsidRPr="00E7575D">
        <w:t>niet</w:t>
      </w:r>
      <w:r w:rsidRPr="00E7575D">
        <w:rPr>
          <w:rStyle w:val="apple-converted-space"/>
        </w:rPr>
        <w:t> </w:t>
      </w:r>
      <w:r w:rsidRPr="00E7575D">
        <w:rPr>
          <w:shd w:val="clear" w:color="auto" w:fill="FFFFFF"/>
        </w:rPr>
        <w:t>delen wat betreft</w:t>
      </w:r>
      <w:r w:rsidRPr="00E7575D">
        <w:rPr>
          <w:rStyle w:val="apple-converted-space"/>
          <w:shd w:val="clear" w:color="auto" w:fill="FFFFFF"/>
        </w:rPr>
        <w:t> </w:t>
      </w:r>
      <w:r w:rsidRPr="00E7575D">
        <w:t>het al volstaan van het geldend recht</w:t>
      </w:r>
      <w:r w:rsidRPr="00E7575D">
        <w:rPr>
          <w:shd w:val="clear" w:color="auto" w:fill="FFFFFF"/>
        </w:rPr>
        <w:t>. Dat blijkt bijvoorbeeld uit</w:t>
      </w:r>
      <w:r w:rsidRPr="00E7575D">
        <w:rPr>
          <w:rStyle w:val="apple-converted-space"/>
          <w:shd w:val="clear" w:color="auto" w:fill="FFFFFF"/>
        </w:rPr>
        <w:t> </w:t>
      </w:r>
      <w:r w:rsidRPr="00E7575D">
        <w:rPr>
          <w:i/>
          <w:iCs/>
        </w:rPr>
        <w:t>Greenpeace vs. Energy Transfer</w:t>
      </w:r>
      <w:r w:rsidRPr="00E7575D">
        <w:rPr>
          <w:shd w:val="clear" w:color="auto" w:fill="FFFFFF"/>
        </w:rPr>
        <w:t>, uitspraak op datum 03-06-2026. In de uitspraak</w:t>
      </w:r>
      <w:r w:rsidRPr="00E7575D">
        <w:rPr>
          <w:rStyle w:val="apple-converted-space"/>
          <w:shd w:val="clear" w:color="auto" w:fill="FFFFFF"/>
        </w:rPr>
        <w:t> </w:t>
      </w:r>
      <w:r w:rsidRPr="00E7575D">
        <w:t>concludeert de rechtbank</w:t>
      </w:r>
      <w:r w:rsidRPr="00E7575D">
        <w:rPr>
          <w:shd w:val="clear" w:color="auto" w:fill="FFFFFF"/>
        </w:rPr>
        <w:t>: ‘de SLAPP Richtlijn in deze zaak geen toepassing kan vinden en ook niet via richtlijnconforme interpretatie een rol kan spelen,</w:t>
      </w:r>
      <w:r w:rsidRPr="00E7575D">
        <w:rPr>
          <w:rStyle w:val="apple-converted-space"/>
          <w:shd w:val="clear" w:color="auto" w:fill="FFFFFF"/>
        </w:rPr>
        <w:t> </w:t>
      </w:r>
      <w:r w:rsidRPr="00E7575D">
        <w:t>terwijl evenmin kan worden aangenomen dat artikel 17 van de SLAPP Richtlijn al geldend recht is in Nederland</w:t>
      </w:r>
      <w:r w:rsidRPr="00E7575D">
        <w:rPr>
          <w:shd w:val="clear" w:color="auto" w:fill="FFFFFF"/>
        </w:rPr>
        <w:t>’. De uitspraak is, als een van de eerste procedures waarin expliciet een beroep gedaan is op een artikel uit de richtlijn, een duidelijk signaal dat de lezing dat het geldende recht volstaat, niet klopt. Het is, gezien de analoge redenering m</w:t>
      </w:r>
      <w:r>
        <w:rPr>
          <w:shd w:val="clear" w:color="auto" w:fill="FFFFFF"/>
        </w:rPr>
        <w:t>et betrekking tot</w:t>
      </w:r>
      <w:r w:rsidRPr="00E7575D">
        <w:rPr>
          <w:shd w:val="clear" w:color="auto" w:fill="FFFFFF"/>
        </w:rPr>
        <w:t xml:space="preserve"> de andere onderdelen (zoals vroegtijdige afwijzing) uit de memorie van toelichting, aannemelijk dat een vergelijkbare redenering zal volgen met betrekking tot de andere onderdelen van de richtlijn, hetgeen zorgen oproept over toekomstige procedures en een eventuele toekomstige beoordeling in Luxemburg</w:t>
      </w:r>
      <w:r w:rsidRPr="00E7575D">
        <w:t xml:space="preserve">. </w:t>
      </w:r>
    </w:p>
    <w:p w:rsidRPr="000A2596" w:rsidR="003031EE" w:rsidP="003031EE" w:rsidRDefault="003031EE" w14:paraId="4B0E945B" w14:textId="77777777"/>
    <w:p w:rsidRPr="000A2596" w:rsidR="003031EE" w:rsidP="003031EE" w:rsidRDefault="003031EE" w14:paraId="095E4805" w14:textId="2D18467A">
      <w:r w:rsidRPr="000A2596">
        <w:t>Het voorliggend amendement introduceert daarom een aparte bepaling in het Burgerlijk Wetboek die specifiek ziet op SLAPP-indicatoren</w:t>
      </w:r>
      <w:r w:rsidRPr="000A2596" w:rsidR="00C52519">
        <w:t xml:space="preserve"> die in de Richtlijn </w:t>
      </w:r>
      <w:r w:rsidRPr="000A2596" w:rsidR="0081187B">
        <w:t>genoemd worden</w:t>
      </w:r>
      <w:r w:rsidRPr="000A2596">
        <w:t>. Deze aanvulling vergroot volgens indiener</w:t>
      </w:r>
      <w:r w:rsidR="00C97E73">
        <w:t>s</w:t>
      </w:r>
      <w:r w:rsidRPr="000A2596">
        <w:t xml:space="preserve"> rechtszekerheid, verlaagt de drempel voor bescherming vanwege heldere criteria en biedt rechters concrete handvatten om </w:t>
      </w:r>
      <w:proofErr w:type="spellStart"/>
      <w:r w:rsidRPr="000A2596">
        <w:t>SLAPPs</w:t>
      </w:r>
      <w:proofErr w:type="spellEnd"/>
      <w:r w:rsidRPr="000A2596">
        <w:t xml:space="preserve"> te herkennen. Hiermee wordt het wetsvoorstel beter toepasbaar, en wordt een belangrijke lacune in het </w:t>
      </w:r>
      <w:r w:rsidRPr="000A2596" w:rsidR="003F04D9">
        <w:t>wets</w:t>
      </w:r>
      <w:r w:rsidRPr="000A2596">
        <w:t xml:space="preserve">voorstel en de rechtsbescherming bij SLAPP-zaken gedicht. </w:t>
      </w:r>
      <w:r w:rsidRPr="000A2596" w:rsidR="0081187B">
        <w:t xml:space="preserve">Daarnaast biedt het expliciet verwijzen naar de richtlijn – en daarmee naar de criteria voor het beoordelen van een SLAPP, incluis de </w:t>
      </w:r>
      <w:r w:rsidRPr="000A2596" w:rsidR="00B9560F">
        <w:t xml:space="preserve">wetshistorie en toelichting die de Richtlijn daarmee biedt. Dit geeft de Nederlandse rechtspraak </w:t>
      </w:r>
      <w:r w:rsidRPr="000A2596" w:rsidR="00E93B88">
        <w:t>de nodige</w:t>
      </w:r>
      <w:r w:rsidRPr="000A2596" w:rsidR="00B9560F">
        <w:t xml:space="preserve"> aanknopingspunten om jurisprudentie op te ontwikkelen</w:t>
      </w:r>
      <w:r w:rsidRPr="000A2596" w:rsidR="00E93B88">
        <w:t>.</w:t>
      </w:r>
    </w:p>
    <w:p w:rsidRPr="000A2596" w:rsidR="005B1DCC" w:rsidP="00BF623B" w:rsidRDefault="005B1DCC" w14:paraId="5DCA3241" w14:textId="77777777"/>
    <w:p w:rsidRPr="000A2596" w:rsidR="00B4708A" w:rsidP="00EA1CE4" w:rsidRDefault="003031EE" w14:paraId="30F6C679" w14:textId="31DFA1A7">
      <w:r w:rsidRPr="000A2596">
        <w:t>Sneller</w:t>
      </w:r>
    </w:p>
    <w:p w:rsidRPr="000A2596" w:rsidR="00B379E7" w:rsidP="00EA1CE4" w:rsidRDefault="00B379E7" w14:paraId="159C54A5" w14:textId="2230A710">
      <w:r w:rsidRPr="000A2596">
        <w:t>Abdi</w:t>
      </w:r>
    </w:p>
    <w:sectPr w:rsidRPr="000A2596" w:rsidR="00B379E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96DF" w14:textId="77777777" w:rsidR="00026D32" w:rsidRDefault="00026D32">
      <w:pPr>
        <w:spacing w:line="20" w:lineRule="exact"/>
      </w:pPr>
    </w:p>
  </w:endnote>
  <w:endnote w:type="continuationSeparator" w:id="0">
    <w:p w14:paraId="543BAD5A" w14:textId="77777777" w:rsidR="00026D32" w:rsidRDefault="00026D32">
      <w:pPr>
        <w:pStyle w:val="Amendement"/>
      </w:pPr>
      <w:r>
        <w:rPr>
          <w:b w:val="0"/>
        </w:rPr>
        <w:t xml:space="preserve"> </w:t>
      </w:r>
    </w:p>
  </w:endnote>
  <w:endnote w:type="continuationNotice" w:id="1">
    <w:p w14:paraId="23F2EAF3" w14:textId="77777777" w:rsidR="00026D32" w:rsidRDefault="00026D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E2C7" w14:textId="77777777" w:rsidR="00026D32" w:rsidRDefault="00026D32">
      <w:pPr>
        <w:pStyle w:val="Amendement"/>
      </w:pPr>
      <w:r>
        <w:rPr>
          <w:b w:val="0"/>
        </w:rPr>
        <w:separator/>
      </w:r>
    </w:p>
  </w:footnote>
  <w:footnote w:type="continuationSeparator" w:id="0">
    <w:p w14:paraId="72E7E470" w14:textId="77777777" w:rsidR="00026D32" w:rsidRDefault="00026D32">
      <w:r>
        <w:continuationSeparator/>
      </w:r>
    </w:p>
  </w:footnote>
  <w:footnote w:id="1">
    <w:p w14:paraId="00FD9CF2" w14:textId="77777777" w:rsidR="003031EE" w:rsidRPr="001471BB" w:rsidRDefault="003031EE" w:rsidP="003031EE">
      <w:pPr>
        <w:pStyle w:val="Voetnoottekst"/>
        <w:rPr>
          <w:sz w:val="20"/>
        </w:rPr>
      </w:pPr>
      <w:r w:rsidRPr="001471BB">
        <w:rPr>
          <w:rStyle w:val="Voetnootmarkering"/>
          <w:sz w:val="20"/>
        </w:rPr>
        <w:footnoteRef/>
      </w:r>
      <w:r w:rsidRPr="001471BB">
        <w:rPr>
          <w:sz w:val="20"/>
        </w:rPr>
        <w:t xml:space="preserve"> ‘Het tekortschietende Nederlandse wetsvoorstel implementatie anti-SLAPP-richtlijn’, Birgit van Houtert, NJB 2025.</w:t>
      </w:r>
    </w:p>
  </w:footnote>
  <w:footnote w:id="2">
    <w:p w14:paraId="3B9311C5" w14:textId="4B31AC39" w:rsidR="009922EE" w:rsidRPr="001471BB" w:rsidRDefault="009922EE">
      <w:pPr>
        <w:pStyle w:val="Voetnoottekst"/>
        <w:rPr>
          <w:sz w:val="20"/>
        </w:rPr>
      </w:pPr>
      <w:r w:rsidRPr="001471BB">
        <w:rPr>
          <w:rStyle w:val="Voetnootmarkering"/>
          <w:sz w:val="20"/>
        </w:rPr>
        <w:footnoteRef/>
      </w:r>
      <w:r w:rsidRPr="001471BB">
        <w:rPr>
          <w:sz w:val="20"/>
        </w:rPr>
        <w:t xml:space="preserve"> </w:t>
      </w:r>
      <w:r w:rsidR="0056545A" w:rsidRPr="001471BB">
        <w:rPr>
          <w:sz w:val="20"/>
        </w:rPr>
        <w:t>Rb. Gelderland 1 september 2025, ECLI:NL:RBGEL:2025:7700.</w:t>
      </w:r>
    </w:p>
  </w:footnote>
  <w:footnote w:id="3">
    <w:p w14:paraId="24071ECA" w14:textId="77777777" w:rsidR="00AC2105" w:rsidRPr="001471BB" w:rsidRDefault="00AC2105" w:rsidP="00AC2105">
      <w:pPr>
        <w:pStyle w:val="Voetnoottekst"/>
        <w:rPr>
          <w:lang w:val="en-US"/>
        </w:rPr>
      </w:pPr>
      <w:r w:rsidRPr="001471BB">
        <w:rPr>
          <w:rStyle w:val="Voetnootmarkering"/>
          <w:sz w:val="20"/>
        </w:rPr>
        <w:footnoteRef/>
      </w:r>
      <w:r w:rsidRPr="001471BB">
        <w:rPr>
          <w:sz w:val="20"/>
          <w:lang w:val="en-US"/>
        </w:rPr>
        <w:t xml:space="preserve"> Coalition Against SLAPPs in Europe (CASE), 2025 Report ‘Democracy in the Dock’, p. 20, via https://www.the-case.eu/wp-content/uploads/2026/01/CASE-2025-Report-layoutted-vf.pdf</w:t>
      </w:r>
    </w:p>
  </w:footnote>
  <w:footnote w:id="4">
    <w:p w14:paraId="5609657A" w14:textId="35F2CB21" w:rsidR="00AE5131" w:rsidRPr="001471BB" w:rsidRDefault="00AE5131" w:rsidP="00AE5131">
      <w:pPr>
        <w:pStyle w:val="Voetnoottekst"/>
        <w:rPr>
          <w:sz w:val="20"/>
        </w:rPr>
      </w:pPr>
      <w:r w:rsidRPr="001471BB">
        <w:rPr>
          <w:rStyle w:val="Voetnootmarkering"/>
          <w:sz w:val="20"/>
        </w:rPr>
        <w:footnoteRef/>
      </w:r>
      <w:r w:rsidRPr="001471BB">
        <w:rPr>
          <w:sz w:val="20"/>
        </w:rPr>
        <w:t xml:space="preserve"> </w:t>
      </w:r>
      <w:r w:rsidR="00CA7EA9" w:rsidRPr="001471BB">
        <w:rPr>
          <w:color w:val="000000"/>
          <w:sz w:val="20"/>
          <w:shd w:val="clear" w:color="auto" w:fill="FFFFFF"/>
        </w:rPr>
        <w:t>Rb. Amsterdam 3 juni 2026, ECLI:NL:RBAMS:2026:5461.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3B83"/>
    <w:multiLevelType w:val="multilevel"/>
    <w:tmpl w:val="C60E79D8"/>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1" w15:restartNumberingAfterBreak="0">
    <w:nsid w:val="5F0F1749"/>
    <w:multiLevelType w:val="hybridMultilevel"/>
    <w:tmpl w:val="3B7C83A8"/>
    <w:lvl w:ilvl="0" w:tplc="04130017">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5FCA2515"/>
    <w:multiLevelType w:val="multilevel"/>
    <w:tmpl w:val="C19CF9F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918558686">
    <w:abstractNumId w:val="2"/>
  </w:num>
  <w:num w:numId="2" w16cid:durableId="620527108">
    <w:abstractNumId w:val="0"/>
  </w:num>
  <w:num w:numId="3" w16cid:durableId="212823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EE"/>
    <w:rsid w:val="00026D32"/>
    <w:rsid w:val="00052244"/>
    <w:rsid w:val="0007471A"/>
    <w:rsid w:val="000913B6"/>
    <w:rsid w:val="00096018"/>
    <w:rsid w:val="000A2596"/>
    <w:rsid w:val="000B0087"/>
    <w:rsid w:val="000B440B"/>
    <w:rsid w:val="000C03C8"/>
    <w:rsid w:val="000C1C36"/>
    <w:rsid w:val="000C3432"/>
    <w:rsid w:val="000C48AB"/>
    <w:rsid w:val="000D17BF"/>
    <w:rsid w:val="000D7D26"/>
    <w:rsid w:val="000E7648"/>
    <w:rsid w:val="000F3CC5"/>
    <w:rsid w:val="000F3D6B"/>
    <w:rsid w:val="00121ECB"/>
    <w:rsid w:val="001228C9"/>
    <w:rsid w:val="00131895"/>
    <w:rsid w:val="00145CB1"/>
    <w:rsid w:val="001471BB"/>
    <w:rsid w:val="00157CAF"/>
    <w:rsid w:val="001656EE"/>
    <w:rsid w:val="0016653D"/>
    <w:rsid w:val="00176C0C"/>
    <w:rsid w:val="00194C50"/>
    <w:rsid w:val="00197B38"/>
    <w:rsid w:val="001A1B85"/>
    <w:rsid w:val="001A7050"/>
    <w:rsid w:val="001B0F11"/>
    <w:rsid w:val="001C4C74"/>
    <w:rsid w:val="001C6DD2"/>
    <w:rsid w:val="001C7BB2"/>
    <w:rsid w:val="001D0C29"/>
    <w:rsid w:val="001D56AF"/>
    <w:rsid w:val="001D6388"/>
    <w:rsid w:val="001E0E21"/>
    <w:rsid w:val="001E5016"/>
    <w:rsid w:val="001E5A52"/>
    <w:rsid w:val="001F015F"/>
    <w:rsid w:val="001F2AD5"/>
    <w:rsid w:val="00207D32"/>
    <w:rsid w:val="00210A02"/>
    <w:rsid w:val="00212E0A"/>
    <w:rsid w:val="002145C5"/>
    <w:rsid w:val="0021487E"/>
    <w:rsid w:val="002153B0"/>
    <w:rsid w:val="0021777F"/>
    <w:rsid w:val="002219E8"/>
    <w:rsid w:val="00241DD0"/>
    <w:rsid w:val="00242FE2"/>
    <w:rsid w:val="00261C35"/>
    <w:rsid w:val="002622E1"/>
    <w:rsid w:val="0027515F"/>
    <w:rsid w:val="002806DA"/>
    <w:rsid w:val="002831E5"/>
    <w:rsid w:val="002956CE"/>
    <w:rsid w:val="002A0713"/>
    <w:rsid w:val="002A2A9B"/>
    <w:rsid w:val="002B01CD"/>
    <w:rsid w:val="002B1415"/>
    <w:rsid w:val="0030140D"/>
    <w:rsid w:val="0030237B"/>
    <w:rsid w:val="003031EE"/>
    <w:rsid w:val="003200E9"/>
    <w:rsid w:val="00335F82"/>
    <w:rsid w:val="003431B4"/>
    <w:rsid w:val="003550A6"/>
    <w:rsid w:val="00371F9B"/>
    <w:rsid w:val="003813C0"/>
    <w:rsid w:val="00381D3F"/>
    <w:rsid w:val="003926E1"/>
    <w:rsid w:val="003A48B2"/>
    <w:rsid w:val="003A5295"/>
    <w:rsid w:val="003B4E31"/>
    <w:rsid w:val="003B6253"/>
    <w:rsid w:val="003B7DF1"/>
    <w:rsid w:val="003C21AC"/>
    <w:rsid w:val="003C5218"/>
    <w:rsid w:val="003C7876"/>
    <w:rsid w:val="003D76E8"/>
    <w:rsid w:val="003E2308"/>
    <w:rsid w:val="003E2F98"/>
    <w:rsid w:val="003E47A5"/>
    <w:rsid w:val="003F04D9"/>
    <w:rsid w:val="003F6388"/>
    <w:rsid w:val="00413B00"/>
    <w:rsid w:val="0042458F"/>
    <w:rsid w:val="0042574B"/>
    <w:rsid w:val="00430331"/>
    <w:rsid w:val="004330ED"/>
    <w:rsid w:val="00473BB3"/>
    <w:rsid w:val="00481C91"/>
    <w:rsid w:val="004911E3"/>
    <w:rsid w:val="0049131A"/>
    <w:rsid w:val="00493964"/>
    <w:rsid w:val="00497D57"/>
    <w:rsid w:val="004A1E29"/>
    <w:rsid w:val="004A7DD4"/>
    <w:rsid w:val="004B3574"/>
    <w:rsid w:val="004B3FA3"/>
    <w:rsid w:val="004B50D8"/>
    <w:rsid w:val="004B53D0"/>
    <w:rsid w:val="004B5B90"/>
    <w:rsid w:val="004C1448"/>
    <w:rsid w:val="004C14E4"/>
    <w:rsid w:val="004E14D6"/>
    <w:rsid w:val="00501109"/>
    <w:rsid w:val="00501F33"/>
    <w:rsid w:val="00507870"/>
    <w:rsid w:val="0056545A"/>
    <w:rsid w:val="005665A5"/>
    <w:rsid w:val="005703C9"/>
    <w:rsid w:val="00573A78"/>
    <w:rsid w:val="00594087"/>
    <w:rsid w:val="00595C38"/>
    <w:rsid w:val="00597703"/>
    <w:rsid w:val="00597FAC"/>
    <w:rsid w:val="005A6097"/>
    <w:rsid w:val="005B1DCC"/>
    <w:rsid w:val="005B2F1A"/>
    <w:rsid w:val="005B7323"/>
    <w:rsid w:val="005C25B9"/>
    <w:rsid w:val="005C4B22"/>
    <w:rsid w:val="005C656F"/>
    <w:rsid w:val="00605A37"/>
    <w:rsid w:val="00613564"/>
    <w:rsid w:val="006267E6"/>
    <w:rsid w:val="006311EA"/>
    <w:rsid w:val="006558D2"/>
    <w:rsid w:val="006623B8"/>
    <w:rsid w:val="00665B67"/>
    <w:rsid w:val="00672D25"/>
    <w:rsid w:val="006738BC"/>
    <w:rsid w:val="00682572"/>
    <w:rsid w:val="006A405D"/>
    <w:rsid w:val="006C2C39"/>
    <w:rsid w:val="006D3E69"/>
    <w:rsid w:val="006E0971"/>
    <w:rsid w:val="006E43ED"/>
    <w:rsid w:val="007007C3"/>
    <w:rsid w:val="00702240"/>
    <w:rsid w:val="00702A7A"/>
    <w:rsid w:val="007112D4"/>
    <w:rsid w:val="00735BB5"/>
    <w:rsid w:val="0075358D"/>
    <w:rsid w:val="00755990"/>
    <w:rsid w:val="007602A9"/>
    <w:rsid w:val="007709F6"/>
    <w:rsid w:val="007810C9"/>
    <w:rsid w:val="00783215"/>
    <w:rsid w:val="00791EC7"/>
    <w:rsid w:val="007965FC"/>
    <w:rsid w:val="007A5FB6"/>
    <w:rsid w:val="007A6B69"/>
    <w:rsid w:val="007B0ABB"/>
    <w:rsid w:val="007D2608"/>
    <w:rsid w:val="007E560C"/>
    <w:rsid w:val="007F1EFD"/>
    <w:rsid w:val="0081187B"/>
    <w:rsid w:val="00812C16"/>
    <w:rsid w:val="008164E5"/>
    <w:rsid w:val="0081750B"/>
    <w:rsid w:val="008214E9"/>
    <w:rsid w:val="00823E05"/>
    <w:rsid w:val="00830081"/>
    <w:rsid w:val="008465BA"/>
    <w:rsid w:val="008467D7"/>
    <w:rsid w:val="00847E75"/>
    <w:rsid w:val="00852541"/>
    <w:rsid w:val="008538F7"/>
    <w:rsid w:val="0086019E"/>
    <w:rsid w:val="00865D47"/>
    <w:rsid w:val="00876181"/>
    <w:rsid w:val="0088452C"/>
    <w:rsid w:val="008C3F65"/>
    <w:rsid w:val="008D788B"/>
    <w:rsid w:val="008D7DCB"/>
    <w:rsid w:val="00903D5F"/>
    <w:rsid w:val="009055DB"/>
    <w:rsid w:val="00905ECB"/>
    <w:rsid w:val="00922B95"/>
    <w:rsid w:val="00944669"/>
    <w:rsid w:val="009507EF"/>
    <w:rsid w:val="0096165D"/>
    <w:rsid w:val="009712E6"/>
    <w:rsid w:val="00985754"/>
    <w:rsid w:val="009922EE"/>
    <w:rsid w:val="00993E91"/>
    <w:rsid w:val="009A0C89"/>
    <w:rsid w:val="009A409F"/>
    <w:rsid w:val="009B5845"/>
    <w:rsid w:val="009C0C1F"/>
    <w:rsid w:val="009C3550"/>
    <w:rsid w:val="009C5864"/>
    <w:rsid w:val="009D2B8A"/>
    <w:rsid w:val="009D74ED"/>
    <w:rsid w:val="00A1036A"/>
    <w:rsid w:val="00A10505"/>
    <w:rsid w:val="00A1288B"/>
    <w:rsid w:val="00A3515F"/>
    <w:rsid w:val="00A36F40"/>
    <w:rsid w:val="00A4132B"/>
    <w:rsid w:val="00A5066C"/>
    <w:rsid w:val="00A53203"/>
    <w:rsid w:val="00A57078"/>
    <w:rsid w:val="00A67BBD"/>
    <w:rsid w:val="00A772EB"/>
    <w:rsid w:val="00A8273C"/>
    <w:rsid w:val="00A93CEA"/>
    <w:rsid w:val="00AA66D8"/>
    <w:rsid w:val="00AB1DA4"/>
    <w:rsid w:val="00AB1FB7"/>
    <w:rsid w:val="00AB400F"/>
    <w:rsid w:val="00AC2105"/>
    <w:rsid w:val="00AD090E"/>
    <w:rsid w:val="00AE5131"/>
    <w:rsid w:val="00AE7FCB"/>
    <w:rsid w:val="00B01BA6"/>
    <w:rsid w:val="00B16F6E"/>
    <w:rsid w:val="00B379E7"/>
    <w:rsid w:val="00B4708A"/>
    <w:rsid w:val="00B52A5C"/>
    <w:rsid w:val="00B777F6"/>
    <w:rsid w:val="00B83795"/>
    <w:rsid w:val="00B94E71"/>
    <w:rsid w:val="00B9560F"/>
    <w:rsid w:val="00B96ED2"/>
    <w:rsid w:val="00BA59DA"/>
    <w:rsid w:val="00BB556F"/>
    <w:rsid w:val="00BB79D1"/>
    <w:rsid w:val="00BC2B66"/>
    <w:rsid w:val="00BD042A"/>
    <w:rsid w:val="00BE05C1"/>
    <w:rsid w:val="00BE0F9F"/>
    <w:rsid w:val="00BE1875"/>
    <w:rsid w:val="00BE4701"/>
    <w:rsid w:val="00BF623B"/>
    <w:rsid w:val="00C035D4"/>
    <w:rsid w:val="00C079F6"/>
    <w:rsid w:val="00C124F7"/>
    <w:rsid w:val="00C52519"/>
    <w:rsid w:val="00C562FC"/>
    <w:rsid w:val="00C56631"/>
    <w:rsid w:val="00C679BF"/>
    <w:rsid w:val="00C81BBD"/>
    <w:rsid w:val="00C97E73"/>
    <w:rsid w:val="00CA4056"/>
    <w:rsid w:val="00CA7EA9"/>
    <w:rsid w:val="00CC00CD"/>
    <w:rsid w:val="00CC5106"/>
    <w:rsid w:val="00CC5258"/>
    <w:rsid w:val="00CD276C"/>
    <w:rsid w:val="00CD3132"/>
    <w:rsid w:val="00CD4BD2"/>
    <w:rsid w:val="00CE27CD"/>
    <w:rsid w:val="00D00A46"/>
    <w:rsid w:val="00D12978"/>
    <w:rsid w:val="00D134F3"/>
    <w:rsid w:val="00D13AE8"/>
    <w:rsid w:val="00D13E48"/>
    <w:rsid w:val="00D1726D"/>
    <w:rsid w:val="00D4148B"/>
    <w:rsid w:val="00D42776"/>
    <w:rsid w:val="00D45615"/>
    <w:rsid w:val="00D47D01"/>
    <w:rsid w:val="00D72BA2"/>
    <w:rsid w:val="00D774B3"/>
    <w:rsid w:val="00D858C0"/>
    <w:rsid w:val="00D85C28"/>
    <w:rsid w:val="00DC1CC8"/>
    <w:rsid w:val="00DD32B2"/>
    <w:rsid w:val="00DD35A5"/>
    <w:rsid w:val="00DE2948"/>
    <w:rsid w:val="00DF1117"/>
    <w:rsid w:val="00DF68BE"/>
    <w:rsid w:val="00DF712A"/>
    <w:rsid w:val="00E1056C"/>
    <w:rsid w:val="00E25DF4"/>
    <w:rsid w:val="00E3485D"/>
    <w:rsid w:val="00E437D7"/>
    <w:rsid w:val="00E53FBF"/>
    <w:rsid w:val="00E56A7C"/>
    <w:rsid w:val="00E6619B"/>
    <w:rsid w:val="00E76112"/>
    <w:rsid w:val="00E908D7"/>
    <w:rsid w:val="00E93B58"/>
    <w:rsid w:val="00E93B88"/>
    <w:rsid w:val="00EA1CE4"/>
    <w:rsid w:val="00EA69AC"/>
    <w:rsid w:val="00EA72BD"/>
    <w:rsid w:val="00EB40A1"/>
    <w:rsid w:val="00EC3112"/>
    <w:rsid w:val="00EC5245"/>
    <w:rsid w:val="00ED5E57"/>
    <w:rsid w:val="00EE1BD8"/>
    <w:rsid w:val="00F2075B"/>
    <w:rsid w:val="00F2585F"/>
    <w:rsid w:val="00F30572"/>
    <w:rsid w:val="00F3252D"/>
    <w:rsid w:val="00F32916"/>
    <w:rsid w:val="00F34343"/>
    <w:rsid w:val="00F422DC"/>
    <w:rsid w:val="00F46FD8"/>
    <w:rsid w:val="00F65D84"/>
    <w:rsid w:val="00F669B1"/>
    <w:rsid w:val="00F73775"/>
    <w:rsid w:val="00F741DE"/>
    <w:rsid w:val="00F77A1C"/>
    <w:rsid w:val="00F84E8B"/>
    <w:rsid w:val="00FA33EF"/>
    <w:rsid w:val="00FA5BBE"/>
    <w:rsid w:val="00FC0481"/>
    <w:rsid w:val="00FD3360"/>
    <w:rsid w:val="00FE03AF"/>
    <w:rsid w:val="00FF28A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BA8F8"/>
  <w15:docId w15:val="{7F7E628C-170F-D845-A569-BF90398D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rsid w:val="003031EE"/>
    <w:rPr>
      <w:vertAlign w:val="superscript"/>
    </w:rPr>
  </w:style>
  <w:style w:type="paragraph" w:styleId="Revisie">
    <w:name w:val="Revision"/>
    <w:hidden/>
    <w:uiPriority w:val="99"/>
    <w:semiHidden/>
    <w:rsid w:val="00F32916"/>
    <w:rPr>
      <w:sz w:val="24"/>
    </w:rPr>
  </w:style>
  <w:style w:type="character" w:styleId="Verwijzingopmerking">
    <w:name w:val="annotation reference"/>
    <w:basedOn w:val="Standaardalinea-lettertype"/>
    <w:semiHidden/>
    <w:unhideWhenUsed/>
    <w:rsid w:val="00C56631"/>
    <w:rPr>
      <w:sz w:val="16"/>
      <w:szCs w:val="16"/>
    </w:rPr>
  </w:style>
  <w:style w:type="paragraph" w:styleId="Tekstopmerking">
    <w:name w:val="annotation text"/>
    <w:basedOn w:val="Standaard"/>
    <w:link w:val="TekstopmerkingChar"/>
    <w:unhideWhenUsed/>
    <w:rsid w:val="00C56631"/>
    <w:rPr>
      <w:sz w:val="20"/>
    </w:rPr>
  </w:style>
  <w:style w:type="character" w:customStyle="1" w:styleId="TekstopmerkingChar">
    <w:name w:val="Tekst opmerking Char"/>
    <w:basedOn w:val="Standaardalinea-lettertype"/>
    <w:link w:val="Tekstopmerking"/>
    <w:rsid w:val="00C56631"/>
  </w:style>
  <w:style w:type="paragraph" w:styleId="Onderwerpvanopmerking">
    <w:name w:val="annotation subject"/>
    <w:basedOn w:val="Tekstopmerking"/>
    <w:next w:val="Tekstopmerking"/>
    <w:link w:val="OnderwerpvanopmerkingChar"/>
    <w:semiHidden/>
    <w:unhideWhenUsed/>
    <w:rsid w:val="00C56631"/>
    <w:rPr>
      <w:b/>
      <w:bCs/>
    </w:rPr>
  </w:style>
  <w:style w:type="character" w:customStyle="1" w:styleId="OnderwerpvanopmerkingChar">
    <w:name w:val="Onderwerp van opmerking Char"/>
    <w:basedOn w:val="TekstopmerkingChar"/>
    <w:link w:val="Onderwerpvanopmerking"/>
    <w:semiHidden/>
    <w:rsid w:val="00C56631"/>
    <w:rPr>
      <w:b/>
      <w:bCs/>
    </w:rPr>
  </w:style>
  <w:style w:type="paragraph" w:styleId="Lijstalinea">
    <w:name w:val="List Paragraph"/>
    <w:basedOn w:val="Standaard"/>
    <w:uiPriority w:val="34"/>
    <w:qFormat/>
    <w:rsid w:val="00F77A1C"/>
    <w:pPr>
      <w:ind w:left="720"/>
      <w:contextualSpacing/>
    </w:pPr>
  </w:style>
  <w:style w:type="character" w:styleId="Vermelding">
    <w:name w:val="Mention"/>
    <w:basedOn w:val="Standaardalinea-lettertype"/>
    <w:uiPriority w:val="99"/>
    <w:unhideWhenUsed/>
    <w:rsid w:val="00BD042A"/>
    <w:rPr>
      <w:color w:val="2B579A"/>
      <w:shd w:val="clear" w:color="auto" w:fill="E1DFDD"/>
    </w:rPr>
  </w:style>
  <w:style w:type="character" w:customStyle="1" w:styleId="apple-converted-space">
    <w:name w:val="apple-converted-space"/>
    <w:basedOn w:val="Standaardalinea-lettertype"/>
    <w:rsid w:val="00E56A7C"/>
  </w:style>
  <w:style w:type="character" w:styleId="Hyperlink">
    <w:name w:val="Hyperlink"/>
    <w:basedOn w:val="Standaardalinea-lettertype"/>
    <w:uiPriority w:val="99"/>
    <w:semiHidden/>
    <w:unhideWhenUsed/>
    <w:rsid w:val="00AE5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1360</ap:Words>
  <ap:Characters>7484</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2026-06-23T09:46:00.0000000Z</dcterms:created>
  <dcterms:modified xsi:type="dcterms:W3CDTF">2026-06-23T09:46:00.0000000Z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docLang">
    <vt:lpwstr>nl</vt:lpwstr>
  </property>
</Properties>
</file>