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815C8" w:rsidR="00B6758D" w:rsidP="00B6758D" w:rsidRDefault="005F6B91" w14:paraId="28D3FD96" w14:textId="5588D212">
      <w:pPr>
        <w:rPr>
          <w:rFonts w:ascii="Verdana" w:hAnsi="Verdana" w:cstheme="minorHAnsi"/>
          <w:b/>
          <w:bCs/>
          <w:sz w:val="18"/>
          <w:szCs w:val="18"/>
          <w:lang w:val="en-GB"/>
        </w:rPr>
      </w:pPr>
      <w:r w:rsidRPr="00D815C8">
        <w:rPr>
          <w:rFonts w:ascii="Verdana" w:hAnsi="Verdana" w:cstheme="minorHAnsi"/>
          <w:b/>
          <w:bCs/>
          <w:sz w:val="18"/>
          <w:szCs w:val="18"/>
          <w:lang w:val="en-US"/>
        </w:rPr>
        <w:t>Non-paper on Responsible Business Conduct legislation, C</w:t>
      </w:r>
      <w:r w:rsidRPr="00D815C8" w:rsidR="00896AB1">
        <w:rPr>
          <w:rFonts w:ascii="Verdana" w:hAnsi="Verdana" w:cstheme="minorHAnsi"/>
          <w:b/>
          <w:bCs/>
          <w:sz w:val="18"/>
          <w:szCs w:val="18"/>
          <w:lang w:val="en-US"/>
        </w:rPr>
        <w:t>SDDD</w:t>
      </w:r>
      <w:r w:rsidRPr="00D815C8">
        <w:rPr>
          <w:rFonts w:ascii="Verdana" w:hAnsi="Verdana" w:cstheme="minorHAnsi"/>
          <w:b/>
          <w:bCs/>
          <w:sz w:val="18"/>
          <w:szCs w:val="18"/>
          <w:lang w:val="en-US"/>
        </w:rPr>
        <w:t xml:space="preserve"> guidelines and transposition</w:t>
      </w:r>
      <w:r w:rsidRPr="00D815C8" w:rsidR="00872D3E">
        <w:rPr>
          <w:rFonts w:ascii="Verdana" w:hAnsi="Verdana" w:cstheme="minorHAnsi"/>
          <w:b/>
          <w:bCs/>
          <w:sz w:val="18"/>
          <w:szCs w:val="18"/>
          <w:lang w:val="en-US"/>
        </w:rPr>
        <w:t xml:space="preserve"> -</w:t>
      </w:r>
      <w:r w:rsidRPr="00D815C8">
        <w:rPr>
          <w:rFonts w:ascii="Verdana" w:hAnsi="Verdana" w:cstheme="minorHAnsi"/>
          <w:b/>
          <w:bCs/>
          <w:sz w:val="18"/>
          <w:szCs w:val="18"/>
          <w:lang w:val="en-US"/>
        </w:rPr>
        <w:t xml:space="preserve"> </w:t>
      </w:r>
      <w:r w:rsidRPr="00D815C8" w:rsidR="007F0C72">
        <w:rPr>
          <w:rFonts w:ascii="Verdana" w:hAnsi="Verdana" w:cstheme="minorHAnsi"/>
          <w:b/>
          <w:bCs/>
          <w:sz w:val="18"/>
          <w:szCs w:val="18"/>
          <w:lang w:val="en-GB"/>
        </w:rPr>
        <w:t xml:space="preserve">by </w:t>
      </w:r>
      <w:r w:rsidRPr="00D815C8" w:rsidR="00361BC8">
        <w:rPr>
          <w:rFonts w:ascii="Verdana" w:hAnsi="Verdana" w:cstheme="minorHAnsi"/>
          <w:b/>
          <w:bCs/>
          <w:sz w:val="18"/>
          <w:szCs w:val="18"/>
          <w:lang w:val="en-GB"/>
        </w:rPr>
        <w:t>Germany</w:t>
      </w:r>
      <w:r w:rsidRPr="00D815C8" w:rsidR="00B569D8">
        <w:rPr>
          <w:rFonts w:ascii="Verdana" w:hAnsi="Verdana" w:cstheme="minorHAnsi"/>
          <w:b/>
          <w:bCs/>
          <w:sz w:val="18"/>
          <w:szCs w:val="18"/>
          <w:lang w:val="en-GB"/>
        </w:rPr>
        <w:t xml:space="preserve">, </w:t>
      </w:r>
      <w:r w:rsidRPr="00D815C8" w:rsidR="007F0C72">
        <w:rPr>
          <w:rFonts w:ascii="Verdana" w:hAnsi="Verdana" w:cstheme="minorHAnsi"/>
          <w:b/>
          <w:bCs/>
          <w:sz w:val="18"/>
          <w:szCs w:val="18"/>
          <w:lang w:val="en-GB"/>
        </w:rPr>
        <w:t xml:space="preserve">Sweden </w:t>
      </w:r>
      <w:r w:rsidRPr="00D815C8" w:rsidR="00B569D8">
        <w:rPr>
          <w:rFonts w:ascii="Verdana" w:hAnsi="Verdana" w:cstheme="minorHAnsi"/>
          <w:b/>
          <w:bCs/>
          <w:sz w:val="18"/>
          <w:szCs w:val="18"/>
          <w:lang w:val="en-GB"/>
        </w:rPr>
        <w:t xml:space="preserve">and </w:t>
      </w:r>
      <w:r w:rsidRPr="00D815C8" w:rsidR="00B6758D">
        <w:rPr>
          <w:rFonts w:ascii="Verdana" w:hAnsi="Verdana" w:cstheme="minorHAnsi"/>
          <w:b/>
          <w:bCs/>
          <w:sz w:val="18"/>
          <w:szCs w:val="18"/>
          <w:lang w:val="en-GB"/>
        </w:rPr>
        <w:t>Kingdom of The Netherlands</w:t>
      </w:r>
    </w:p>
    <w:p w:rsidRPr="00D815C8" w:rsidR="00AF64AF" w:rsidP="70DD657E" w:rsidRDefault="70DD657E" w14:paraId="27B83DBA" w14:textId="167C576B">
      <w:pPr>
        <w:rPr>
          <w:rFonts w:ascii="Verdana" w:hAnsi="Verdana"/>
          <w:sz w:val="18"/>
          <w:szCs w:val="18"/>
          <w:lang w:val="en-US"/>
        </w:rPr>
      </w:pPr>
      <w:r w:rsidRPr="00D815C8">
        <w:rPr>
          <w:rFonts w:ascii="Verdana" w:hAnsi="Verdana"/>
          <w:sz w:val="18"/>
          <w:szCs w:val="18"/>
          <w:lang w:val="en-GB"/>
        </w:rPr>
        <w:t xml:space="preserve">The </w:t>
      </w:r>
      <w:r w:rsidRPr="00D815C8" w:rsidR="00AB7DFE">
        <w:rPr>
          <w:rFonts w:ascii="Verdana" w:hAnsi="Verdana"/>
          <w:sz w:val="18"/>
          <w:szCs w:val="18"/>
          <w:lang w:val="en-GB"/>
        </w:rPr>
        <w:t>O</w:t>
      </w:r>
      <w:r w:rsidRPr="00D815C8">
        <w:rPr>
          <w:rFonts w:ascii="Verdana" w:hAnsi="Verdana"/>
          <w:sz w:val="18"/>
          <w:szCs w:val="18"/>
          <w:lang w:val="en-GB"/>
        </w:rPr>
        <w:t xml:space="preserve">mnibus I negotiations have been finalized and a revised </w:t>
      </w:r>
      <w:r w:rsidRPr="00D815C8">
        <w:rPr>
          <w:rFonts w:ascii="Verdana" w:hAnsi="Verdana"/>
          <w:sz w:val="18"/>
          <w:szCs w:val="18"/>
          <w:lang w:val="en-US"/>
        </w:rPr>
        <w:t>CSDDD has entered into force. The focus of EU member states</w:t>
      </w:r>
      <w:r w:rsidRPr="00D815C8" w:rsidR="00ED2DCF">
        <w:rPr>
          <w:rFonts w:ascii="Verdana" w:hAnsi="Verdana"/>
          <w:sz w:val="18"/>
          <w:szCs w:val="18"/>
          <w:lang w:val="en-US"/>
        </w:rPr>
        <w:t xml:space="preserve"> is</w:t>
      </w:r>
      <w:r w:rsidRPr="00D815C8">
        <w:rPr>
          <w:rFonts w:ascii="Verdana" w:hAnsi="Verdana"/>
          <w:sz w:val="18"/>
          <w:szCs w:val="18"/>
          <w:lang w:val="en-US"/>
        </w:rPr>
        <w:t xml:space="preserve"> now shift</w:t>
      </w:r>
      <w:r w:rsidRPr="00D815C8" w:rsidR="00ED2DCF">
        <w:rPr>
          <w:rFonts w:ascii="Verdana" w:hAnsi="Verdana"/>
          <w:sz w:val="18"/>
          <w:szCs w:val="18"/>
          <w:lang w:val="en-US"/>
        </w:rPr>
        <w:t>ing</w:t>
      </w:r>
      <w:r w:rsidRPr="00D815C8">
        <w:rPr>
          <w:rFonts w:ascii="Verdana" w:hAnsi="Verdana"/>
          <w:sz w:val="18"/>
          <w:szCs w:val="18"/>
          <w:lang w:val="en-US"/>
        </w:rPr>
        <w:t xml:space="preserve"> to the transposition of the Directive into national law, and to </w:t>
      </w:r>
      <w:r w:rsidRPr="00D815C8" w:rsidR="00ED2DCF">
        <w:rPr>
          <w:rFonts w:ascii="Verdana" w:hAnsi="Verdana"/>
          <w:sz w:val="18"/>
          <w:szCs w:val="18"/>
          <w:lang w:val="en-US"/>
        </w:rPr>
        <w:t>the establishment of</w:t>
      </w:r>
      <w:r w:rsidRPr="00D815C8">
        <w:rPr>
          <w:rFonts w:ascii="Verdana" w:hAnsi="Verdana"/>
          <w:sz w:val="18"/>
          <w:szCs w:val="18"/>
          <w:lang w:val="en-US"/>
        </w:rPr>
        <w:t xml:space="preserve"> supervision and enforcement mechanisms.</w:t>
      </w:r>
      <w:r w:rsidRPr="00D815C8">
        <w:rPr>
          <w:rFonts w:ascii="Verdana" w:hAnsi="Verdana"/>
          <w:sz w:val="16"/>
          <w:szCs w:val="16"/>
          <w:lang w:val="en-US"/>
        </w:rPr>
        <w:t xml:space="preserve"> </w:t>
      </w:r>
      <w:r w:rsidRPr="00D815C8">
        <w:rPr>
          <w:rFonts w:ascii="Verdana" w:hAnsi="Verdana"/>
          <w:sz w:val="18"/>
          <w:szCs w:val="18"/>
          <w:lang w:val="en-US"/>
        </w:rPr>
        <w:t xml:space="preserve">Businesses, partner countries, supervisory authorities and member states </w:t>
      </w:r>
      <w:r w:rsidRPr="00D815C8" w:rsidR="00361BC8">
        <w:rPr>
          <w:rFonts w:ascii="Verdana" w:hAnsi="Verdana"/>
          <w:sz w:val="18"/>
          <w:szCs w:val="18"/>
          <w:lang w:val="en-US"/>
        </w:rPr>
        <w:t>should all</w:t>
      </w:r>
      <w:r w:rsidRPr="00D815C8">
        <w:rPr>
          <w:rFonts w:ascii="Verdana" w:hAnsi="Verdana"/>
          <w:sz w:val="18"/>
          <w:szCs w:val="18"/>
          <w:lang w:val="en-US"/>
        </w:rPr>
        <w:t xml:space="preserve"> benefit from swift and clear transposition, including accompanying guidelines, support measures and other tools. By continuing our collective efforts, the EU can make the CSDDD implementation a global success story, setting an ambitious bar for future instrument</w:t>
      </w:r>
      <w:r w:rsidRPr="00D815C8" w:rsidR="00361BC8">
        <w:rPr>
          <w:rFonts w:ascii="Verdana" w:hAnsi="Verdana"/>
          <w:sz w:val="18"/>
          <w:szCs w:val="18"/>
          <w:lang w:val="en-US"/>
        </w:rPr>
        <w:t>s and</w:t>
      </w:r>
      <w:r w:rsidRPr="00D815C8" w:rsidR="00ED2DCF">
        <w:rPr>
          <w:rFonts w:ascii="Verdana" w:hAnsi="Verdana"/>
          <w:sz w:val="18"/>
          <w:szCs w:val="18"/>
          <w:lang w:val="en-US"/>
        </w:rPr>
        <w:t xml:space="preserve"> responsible business conduct worldwide,</w:t>
      </w:r>
      <w:r w:rsidRPr="00D815C8">
        <w:rPr>
          <w:rFonts w:ascii="Verdana" w:hAnsi="Verdana"/>
          <w:sz w:val="18"/>
          <w:szCs w:val="18"/>
          <w:lang w:val="en-US"/>
        </w:rPr>
        <w:t xml:space="preserve"> a</w:t>
      </w:r>
      <w:r w:rsidRPr="00D815C8" w:rsidR="00361BC8">
        <w:rPr>
          <w:rFonts w:ascii="Verdana" w:hAnsi="Verdana"/>
          <w:sz w:val="18"/>
          <w:szCs w:val="18"/>
          <w:lang w:val="en-US"/>
        </w:rPr>
        <w:t>s well as</w:t>
      </w:r>
      <w:r w:rsidRPr="00D815C8">
        <w:rPr>
          <w:rFonts w:ascii="Verdana" w:hAnsi="Verdana"/>
          <w:sz w:val="18"/>
          <w:szCs w:val="18"/>
          <w:lang w:val="en-US"/>
        </w:rPr>
        <w:t xml:space="preserve"> Sustainable Development Goals. In a context of mounting geopolitical tensions, climate change</w:t>
      </w:r>
      <w:r w:rsidRPr="00D815C8" w:rsidR="00361BC8">
        <w:rPr>
          <w:rFonts w:ascii="Verdana" w:hAnsi="Verdana"/>
          <w:sz w:val="18"/>
          <w:szCs w:val="18"/>
          <w:lang w:val="en-US"/>
        </w:rPr>
        <w:t xml:space="preserve">, food </w:t>
      </w:r>
      <w:r w:rsidRPr="00D815C8">
        <w:rPr>
          <w:rFonts w:ascii="Verdana" w:hAnsi="Verdana"/>
          <w:sz w:val="18"/>
          <w:szCs w:val="18"/>
          <w:lang w:val="en-US"/>
        </w:rPr>
        <w:t xml:space="preserve">and resource scarcity, responsible business conduct in global value chains is indispensable for a resilient European economy, for the protection of people and the environment and the EU’s long-term competitiveness. Due diligence helps </w:t>
      </w:r>
      <w:r w:rsidRPr="00D815C8" w:rsidR="00ED2DCF">
        <w:rPr>
          <w:rFonts w:ascii="Verdana" w:hAnsi="Verdana"/>
          <w:sz w:val="18"/>
          <w:szCs w:val="18"/>
          <w:lang w:val="en-US"/>
        </w:rPr>
        <w:t xml:space="preserve">companies </w:t>
      </w:r>
      <w:r w:rsidRPr="00D815C8">
        <w:rPr>
          <w:rFonts w:ascii="Verdana" w:hAnsi="Verdana"/>
          <w:sz w:val="18"/>
          <w:szCs w:val="18"/>
          <w:lang w:val="en-US"/>
        </w:rPr>
        <w:t xml:space="preserve">to identify vulnerabilities in value chains, mitigate risks and secure the supply of critical resources. </w:t>
      </w:r>
      <w:r w:rsidRPr="00D815C8" w:rsidR="00361BC8">
        <w:rPr>
          <w:rFonts w:ascii="Verdana" w:hAnsi="Verdana"/>
          <w:sz w:val="18"/>
          <w:szCs w:val="18"/>
          <w:lang w:val="en-US"/>
        </w:rPr>
        <w:t>At the same time, a balance must be struck with the need to avoid overburdening companies, and the revised CSDDD can be considered a success in that regard.</w:t>
      </w:r>
    </w:p>
    <w:p w:rsidRPr="00D815C8" w:rsidR="005D4FDE" w:rsidP="70DD657E" w:rsidRDefault="70DD657E" w14:paraId="0208BF54" w14:textId="02973C3B">
      <w:pPr>
        <w:rPr>
          <w:rFonts w:ascii="Verdana" w:hAnsi="Verdana"/>
          <w:sz w:val="18"/>
          <w:szCs w:val="18"/>
          <w:lang w:val="en-US"/>
        </w:rPr>
      </w:pPr>
      <w:r w:rsidRPr="00D815C8">
        <w:rPr>
          <w:rFonts w:ascii="Verdana" w:hAnsi="Verdana"/>
          <w:sz w:val="18"/>
          <w:szCs w:val="18"/>
          <w:lang w:val="en-US"/>
        </w:rPr>
        <w:t xml:space="preserve">The </w:t>
      </w:r>
      <w:r w:rsidRPr="00D815C8" w:rsidR="00361BC8">
        <w:rPr>
          <w:rFonts w:ascii="Verdana" w:hAnsi="Verdana"/>
          <w:sz w:val="18"/>
          <w:szCs w:val="18"/>
          <w:lang w:val="en-US"/>
        </w:rPr>
        <w:t>Netherlands</w:t>
      </w:r>
      <w:r w:rsidRPr="00D815C8" w:rsidR="007F0C72">
        <w:rPr>
          <w:rFonts w:ascii="Verdana" w:hAnsi="Verdana"/>
          <w:sz w:val="18"/>
          <w:szCs w:val="18"/>
          <w:lang w:val="en-US"/>
        </w:rPr>
        <w:t xml:space="preserve">, </w:t>
      </w:r>
      <w:r w:rsidRPr="00D815C8" w:rsidR="00361BC8">
        <w:rPr>
          <w:rFonts w:ascii="Verdana" w:hAnsi="Verdana"/>
          <w:sz w:val="18"/>
          <w:szCs w:val="18"/>
          <w:lang w:val="en-US"/>
        </w:rPr>
        <w:t>Germany</w:t>
      </w:r>
      <w:r w:rsidRPr="00D815C8" w:rsidR="000B3794">
        <w:rPr>
          <w:rFonts w:ascii="Verdana" w:hAnsi="Verdana"/>
          <w:sz w:val="18"/>
          <w:szCs w:val="18"/>
          <w:lang w:val="en-US"/>
        </w:rPr>
        <w:t xml:space="preserve"> </w:t>
      </w:r>
      <w:r w:rsidRPr="00D815C8" w:rsidR="007F0C72">
        <w:rPr>
          <w:rFonts w:ascii="Verdana" w:hAnsi="Verdana"/>
          <w:sz w:val="18"/>
          <w:szCs w:val="18"/>
          <w:lang w:val="en-US"/>
        </w:rPr>
        <w:t>and Sweden</w:t>
      </w:r>
      <w:r w:rsidRPr="00D815C8">
        <w:rPr>
          <w:rFonts w:ascii="Verdana" w:hAnsi="Verdana"/>
          <w:sz w:val="18"/>
          <w:szCs w:val="18"/>
          <w:lang w:val="en-US"/>
        </w:rPr>
        <w:t xml:space="preserve"> </w:t>
      </w:r>
      <w:r w:rsidRPr="00D815C8" w:rsidR="00361BC8">
        <w:rPr>
          <w:rFonts w:ascii="Verdana" w:hAnsi="Verdana"/>
          <w:sz w:val="18"/>
          <w:szCs w:val="18"/>
          <w:lang w:val="en-US"/>
        </w:rPr>
        <w:t>await the</w:t>
      </w:r>
      <w:r w:rsidRPr="00D815C8">
        <w:rPr>
          <w:rFonts w:ascii="Verdana" w:hAnsi="Verdana"/>
          <w:sz w:val="18"/>
          <w:szCs w:val="18"/>
          <w:lang w:val="en-US"/>
        </w:rPr>
        <w:t xml:space="preserve"> Commission</w:t>
      </w:r>
      <w:r w:rsidRPr="00D815C8" w:rsidR="00ED2DCF">
        <w:rPr>
          <w:rFonts w:ascii="Verdana" w:hAnsi="Verdana"/>
          <w:sz w:val="18"/>
          <w:szCs w:val="18"/>
          <w:lang w:val="en-US"/>
        </w:rPr>
        <w:t xml:space="preserve">’s </w:t>
      </w:r>
      <w:r w:rsidRPr="00D815C8" w:rsidR="00361BC8">
        <w:rPr>
          <w:rFonts w:ascii="Verdana" w:hAnsi="Verdana"/>
          <w:sz w:val="18"/>
          <w:szCs w:val="18"/>
          <w:lang w:val="en-US"/>
        </w:rPr>
        <w:t xml:space="preserve">first </w:t>
      </w:r>
      <w:r w:rsidRPr="00D815C8" w:rsidR="00ED2DCF">
        <w:rPr>
          <w:rFonts w:ascii="Verdana" w:hAnsi="Verdana"/>
          <w:sz w:val="18"/>
          <w:szCs w:val="18"/>
          <w:lang w:val="en-US"/>
        </w:rPr>
        <w:t>guidelines</w:t>
      </w:r>
      <w:r w:rsidRPr="00D815C8">
        <w:rPr>
          <w:rFonts w:ascii="Verdana" w:hAnsi="Verdana"/>
          <w:sz w:val="18"/>
          <w:szCs w:val="18"/>
          <w:lang w:val="en-US"/>
        </w:rPr>
        <w:t>, expected in July 2027</w:t>
      </w:r>
      <w:r w:rsidRPr="00D815C8" w:rsidR="00361BC8">
        <w:rPr>
          <w:rFonts w:ascii="Verdana" w:hAnsi="Verdana"/>
          <w:sz w:val="18"/>
          <w:szCs w:val="18"/>
          <w:lang w:val="en-US"/>
        </w:rPr>
        <w:t xml:space="preserve"> at the latest</w:t>
      </w:r>
      <w:r w:rsidRPr="00D815C8">
        <w:rPr>
          <w:rFonts w:ascii="Verdana" w:hAnsi="Verdana"/>
          <w:sz w:val="18"/>
          <w:szCs w:val="18"/>
          <w:lang w:val="en-US"/>
        </w:rPr>
        <w:t xml:space="preserve">, that </w:t>
      </w:r>
      <w:r w:rsidRPr="00D815C8" w:rsidR="00A12FE9">
        <w:rPr>
          <w:rFonts w:ascii="Verdana" w:hAnsi="Verdana"/>
          <w:sz w:val="18"/>
          <w:szCs w:val="18"/>
          <w:lang w:val="en-US"/>
        </w:rPr>
        <w:t>should</w:t>
      </w:r>
      <w:r w:rsidRPr="00D815C8" w:rsidR="00ED2DCF">
        <w:rPr>
          <w:rFonts w:ascii="Verdana" w:hAnsi="Verdana"/>
          <w:sz w:val="18"/>
          <w:szCs w:val="18"/>
          <w:lang w:val="en-US"/>
        </w:rPr>
        <w:t xml:space="preserve"> </w:t>
      </w:r>
      <w:r w:rsidRPr="00D815C8">
        <w:rPr>
          <w:rFonts w:ascii="Verdana" w:hAnsi="Verdana"/>
          <w:sz w:val="18"/>
          <w:szCs w:val="18"/>
          <w:lang w:val="en-US"/>
        </w:rPr>
        <w:t>provide clarification</w:t>
      </w:r>
      <w:r w:rsidRPr="00D815C8" w:rsidR="00A12FE9">
        <w:rPr>
          <w:rFonts w:ascii="Verdana" w:hAnsi="Verdana"/>
          <w:sz w:val="18"/>
          <w:szCs w:val="18"/>
          <w:lang w:val="en-US"/>
        </w:rPr>
        <w:t>,</w:t>
      </w:r>
      <w:r w:rsidRPr="00D815C8" w:rsidR="00BC3EA9">
        <w:rPr>
          <w:rFonts w:ascii="Verdana" w:hAnsi="Verdana"/>
          <w:sz w:val="18"/>
          <w:szCs w:val="18"/>
          <w:lang w:val="en-US"/>
        </w:rPr>
        <w:t xml:space="preserve"> </w:t>
      </w:r>
      <w:r w:rsidRPr="00D815C8" w:rsidR="00A12FE9">
        <w:rPr>
          <w:rFonts w:ascii="Verdana" w:hAnsi="Verdana"/>
          <w:sz w:val="18"/>
          <w:szCs w:val="18"/>
          <w:lang w:val="en-US"/>
        </w:rPr>
        <w:t xml:space="preserve">and </w:t>
      </w:r>
      <w:r w:rsidRPr="00D815C8" w:rsidR="00ED2DCF">
        <w:rPr>
          <w:rFonts w:ascii="Verdana" w:hAnsi="Verdana"/>
          <w:sz w:val="18"/>
          <w:szCs w:val="18"/>
          <w:lang w:val="en-US"/>
        </w:rPr>
        <w:t>practical guidance including</w:t>
      </w:r>
      <w:r w:rsidRPr="00D815C8">
        <w:rPr>
          <w:rFonts w:ascii="Verdana" w:hAnsi="Verdana"/>
          <w:sz w:val="18"/>
          <w:szCs w:val="18"/>
          <w:lang w:val="en-US"/>
        </w:rPr>
        <w:t xml:space="preserve"> best practices in applying the CSDDD. </w:t>
      </w:r>
      <w:r w:rsidRPr="00D815C8" w:rsidR="00AA6EB2">
        <w:rPr>
          <w:rFonts w:ascii="Verdana" w:hAnsi="Verdana"/>
          <w:sz w:val="18"/>
          <w:szCs w:val="18"/>
          <w:lang w:val="en-US"/>
        </w:rPr>
        <w:t xml:space="preserve">Uniform transposition </w:t>
      </w:r>
      <w:r w:rsidRPr="00D815C8">
        <w:rPr>
          <w:rFonts w:ascii="Verdana" w:hAnsi="Verdana"/>
          <w:sz w:val="18"/>
          <w:szCs w:val="18"/>
          <w:lang w:val="en-US"/>
        </w:rPr>
        <w:t xml:space="preserve">by member states supported by clear guidelines is crucial to ensure that the Directive will be effective in reaching its policy objectives and will safeguard a level playing field. The countries </w:t>
      </w:r>
      <w:r w:rsidRPr="00D815C8" w:rsidR="00ED2DCF">
        <w:rPr>
          <w:rFonts w:ascii="Verdana" w:hAnsi="Verdana"/>
          <w:sz w:val="18"/>
          <w:szCs w:val="18"/>
          <w:lang w:val="en-US"/>
        </w:rPr>
        <w:t>listed draw attention</w:t>
      </w:r>
      <w:r w:rsidRPr="00D815C8">
        <w:rPr>
          <w:rFonts w:ascii="Verdana" w:hAnsi="Verdana"/>
          <w:sz w:val="18"/>
          <w:szCs w:val="18"/>
          <w:lang w:val="en-US"/>
        </w:rPr>
        <w:t xml:space="preserve"> to the following topics for due consideration by the European Commission. </w:t>
      </w:r>
    </w:p>
    <w:p w:rsidRPr="00D815C8" w:rsidR="00D311C8" w:rsidP="00B6758D" w:rsidRDefault="00D311C8" w14:paraId="18152B4E" w14:textId="7239DD7E">
      <w:pPr>
        <w:rPr>
          <w:rFonts w:ascii="Verdana" w:hAnsi="Verdana" w:cstheme="minorHAnsi"/>
          <w:i/>
          <w:iCs/>
          <w:sz w:val="18"/>
          <w:szCs w:val="18"/>
          <w:lang w:val="en-US"/>
        </w:rPr>
      </w:pPr>
      <w:r w:rsidRPr="00D815C8">
        <w:rPr>
          <w:rFonts w:ascii="Verdana" w:hAnsi="Verdana" w:cstheme="minorHAnsi"/>
          <w:i/>
          <w:iCs/>
          <w:sz w:val="18"/>
          <w:szCs w:val="18"/>
          <w:lang w:val="en-US"/>
        </w:rPr>
        <w:t>CSDDD guidelines</w:t>
      </w:r>
    </w:p>
    <w:p w:rsidRPr="00D815C8" w:rsidR="00C86A11" w:rsidP="70DD657E" w:rsidRDefault="009E51C4" w14:paraId="51734F40" w14:textId="4BEABFC0">
      <w:pPr>
        <w:pStyle w:val="ListParagraph"/>
        <w:numPr>
          <w:ilvl w:val="0"/>
          <w:numId w:val="7"/>
        </w:numPr>
        <w:rPr>
          <w:rFonts w:ascii="Verdana" w:hAnsi="Verdana"/>
          <w:sz w:val="18"/>
          <w:szCs w:val="18"/>
          <w:lang w:val="en-US"/>
        </w:rPr>
      </w:pPr>
      <w:r w:rsidRPr="00D815C8">
        <w:rPr>
          <w:rFonts w:ascii="Verdana" w:hAnsi="Verdana"/>
          <w:b/>
          <w:bCs/>
          <w:sz w:val="18"/>
          <w:szCs w:val="18"/>
          <w:u w:val="single"/>
          <w:lang w:val="en-US"/>
        </w:rPr>
        <w:t>Public consultation of the guidelines</w:t>
      </w:r>
      <w:r w:rsidRPr="00D815C8">
        <w:rPr>
          <w:rFonts w:ascii="Verdana" w:hAnsi="Verdana"/>
          <w:sz w:val="18"/>
          <w:szCs w:val="18"/>
          <w:lang w:val="en-US"/>
        </w:rPr>
        <w:t xml:space="preserve">: </w:t>
      </w:r>
      <w:r w:rsidRPr="00D815C8" w:rsidR="70DD657E">
        <w:rPr>
          <w:rFonts w:ascii="Verdana" w:hAnsi="Verdana"/>
          <w:sz w:val="18"/>
          <w:szCs w:val="18"/>
          <w:lang w:val="en-US"/>
        </w:rPr>
        <w:t xml:space="preserve">We </w:t>
      </w:r>
      <w:r w:rsidRPr="00D815C8" w:rsidR="003D144D">
        <w:rPr>
          <w:rFonts w:ascii="Verdana" w:hAnsi="Verdana"/>
          <w:sz w:val="18"/>
          <w:szCs w:val="18"/>
          <w:lang w:val="en-US"/>
        </w:rPr>
        <w:t xml:space="preserve">commend </w:t>
      </w:r>
      <w:r w:rsidRPr="00D815C8" w:rsidR="70DD657E">
        <w:rPr>
          <w:rFonts w:ascii="Verdana" w:hAnsi="Verdana"/>
          <w:sz w:val="18"/>
          <w:szCs w:val="18"/>
          <w:lang w:val="en-US"/>
        </w:rPr>
        <w:t xml:space="preserve">the Commission </w:t>
      </w:r>
      <w:r w:rsidRPr="00D815C8" w:rsidR="003D144D">
        <w:rPr>
          <w:rFonts w:ascii="Verdana" w:hAnsi="Verdana"/>
          <w:sz w:val="18"/>
          <w:szCs w:val="18"/>
          <w:lang w:val="en-US"/>
        </w:rPr>
        <w:t>for</w:t>
      </w:r>
      <w:r w:rsidRPr="00D815C8" w:rsidR="70DD657E">
        <w:rPr>
          <w:rFonts w:ascii="Verdana" w:hAnsi="Verdana"/>
          <w:sz w:val="18"/>
          <w:szCs w:val="18"/>
          <w:lang w:val="en-US"/>
        </w:rPr>
        <w:t xml:space="preserve"> </w:t>
      </w:r>
      <w:proofErr w:type="spellStart"/>
      <w:r w:rsidRPr="00D815C8" w:rsidR="70DD657E">
        <w:rPr>
          <w:rFonts w:ascii="Verdana" w:hAnsi="Verdana"/>
          <w:sz w:val="18"/>
          <w:szCs w:val="18"/>
          <w:lang w:val="en-US"/>
        </w:rPr>
        <w:t>organi</w:t>
      </w:r>
      <w:r w:rsidRPr="00D815C8" w:rsidR="003D144D">
        <w:rPr>
          <w:rFonts w:ascii="Verdana" w:hAnsi="Verdana"/>
          <w:sz w:val="18"/>
          <w:szCs w:val="18"/>
          <w:lang w:val="en-US"/>
        </w:rPr>
        <w:t>sing</w:t>
      </w:r>
      <w:proofErr w:type="spellEnd"/>
      <w:r w:rsidRPr="00D815C8" w:rsidR="70DD657E">
        <w:rPr>
          <w:rFonts w:ascii="Verdana" w:hAnsi="Verdana"/>
          <w:sz w:val="18"/>
          <w:szCs w:val="18"/>
          <w:lang w:val="en-US"/>
        </w:rPr>
        <w:t xml:space="preserve"> </w:t>
      </w:r>
      <w:r w:rsidRPr="00D815C8" w:rsidR="003D144D">
        <w:rPr>
          <w:rFonts w:ascii="Verdana" w:hAnsi="Verdana"/>
          <w:sz w:val="18"/>
          <w:szCs w:val="18"/>
          <w:lang w:val="en-US"/>
        </w:rPr>
        <w:t>an</w:t>
      </w:r>
      <w:r w:rsidRPr="00D815C8" w:rsidR="70DD657E">
        <w:rPr>
          <w:rFonts w:ascii="Verdana" w:hAnsi="Verdana"/>
          <w:sz w:val="18"/>
          <w:szCs w:val="18"/>
          <w:lang w:val="en-US"/>
        </w:rPr>
        <w:t xml:space="preserve"> </w:t>
      </w:r>
      <w:r w:rsidRPr="00D815C8" w:rsidR="00361BC8">
        <w:rPr>
          <w:rFonts w:ascii="Verdana" w:hAnsi="Verdana"/>
          <w:sz w:val="18"/>
          <w:szCs w:val="18"/>
          <w:lang w:val="en-US"/>
        </w:rPr>
        <w:t xml:space="preserve">open </w:t>
      </w:r>
      <w:r w:rsidRPr="00D815C8" w:rsidR="70DD657E">
        <w:rPr>
          <w:rFonts w:ascii="Verdana" w:hAnsi="Verdana"/>
          <w:sz w:val="18"/>
          <w:szCs w:val="18"/>
          <w:lang w:val="en-US"/>
        </w:rPr>
        <w:t>public</w:t>
      </w:r>
      <w:r w:rsidRPr="00D815C8" w:rsidR="00426041">
        <w:rPr>
          <w:rFonts w:ascii="Verdana" w:hAnsi="Verdana"/>
          <w:sz w:val="18"/>
          <w:szCs w:val="18"/>
          <w:lang w:val="en-US"/>
        </w:rPr>
        <w:t xml:space="preserve"> </w:t>
      </w:r>
      <w:r w:rsidRPr="00D815C8" w:rsidR="70DD657E">
        <w:rPr>
          <w:rFonts w:ascii="Verdana" w:hAnsi="Verdana"/>
          <w:sz w:val="18"/>
          <w:szCs w:val="18"/>
          <w:lang w:val="en-US"/>
        </w:rPr>
        <w:t>consultation for the upcoming guidelines</w:t>
      </w:r>
      <w:r w:rsidRPr="00D815C8" w:rsidR="003D144D">
        <w:rPr>
          <w:rFonts w:ascii="Verdana" w:hAnsi="Verdana"/>
          <w:sz w:val="18"/>
          <w:szCs w:val="18"/>
          <w:lang w:val="en-US"/>
        </w:rPr>
        <w:t xml:space="preserve">, which contains </w:t>
      </w:r>
      <w:r w:rsidRPr="00D815C8" w:rsidR="00361BC8">
        <w:rPr>
          <w:rFonts w:ascii="Verdana" w:hAnsi="Verdana"/>
          <w:sz w:val="18"/>
          <w:szCs w:val="18"/>
          <w:lang w:val="en-US"/>
        </w:rPr>
        <w:t>a questionnaire on all guidelines as a first step</w:t>
      </w:r>
      <w:r w:rsidRPr="00D815C8" w:rsidR="70DD657E">
        <w:rPr>
          <w:rFonts w:ascii="Verdana" w:hAnsi="Verdana"/>
          <w:sz w:val="18"/>
          <w:szCs w:val="18"/>
          <w:lang w:val="en-US"/>
        </w:rPr>
        <w:t xml:space="preserve">. </w:t>
      </w:r>
      <w:r w:rsidRPr="00D815C8" w:rsidR="00361BC8">
        <w:rPr>
          <w:rFonts w:ascii="Verdana" w:hAnsi="Verdana"/>
          <w:sz w:val="18"/>
          <w:szCs w:val="18"/>
          <w:lang w:val="en-US"/>
        </w:rPr>
        <w:t>In addition, w</w:t>
      </w:r>
      <w:r w:rsidRPr="00D815C8">
        <w:rPr>
          <w:rFonts w:ascii="Verdana" w:hAnsi="Verdana"/>
          <w:sz w:val="18"/>
          <w:szCs w:val="18"/>
          <w:lang w:val="en-US"/>
        </w:rPr>
        <w:t>e would specifically appreciate</w:t>
      </w:r>
      <w:r w:rsidRPr="00D815C8" w:rsidR="00361BC8">
        <w:rPr>
          <w:rFonts w:ascii="Verdana" w:hAnsi="Verdana"/>
          <w:sz w:val="18"/>
          <w:szCs w:val="18"/>
          <w:lang w:val="en-US"/>
        </w:rPr>
        <w:t xml:space="preserve"> targeted</w:t>
      </w:r>
      <w:r w:rsidRPr="00D815C8">
        <w:rPr>
          <w:rFonts w:ascii="Verdana" w:hAnsi="Verdana"/>
          <w:sz w:val="18"/>
          <w:szCs w:val="18"/>
          <w:lang w:val="en-US"/>
        </w:rPr>
        <w:t xml:space="preserve"> ex ante consultations on draft guidelines</w:t>
      </w:r>
      <w:r w:rsidRPr="00D815C8" w:rsidR="00A12FE9">
        <w:rPr>
          <w:rFonts w:ascii="Verdana" w:hAnsi="Verdana"/>
          <w:sz w:val="18"/>
          <w:szCs w:val="18"/>
          <w:lang w:val="en-US"/>
        </w:rPr>
        <w:t>.</w:t>
      </w:r>
      <w:r w:rsidRPr="00D815C8" w:rsidR="00361BC8">
        <w:rPr>
          <w:rFonts w:ascii="Verdana" w:hAnsi="Verdana"/>
          <w:sz w:val="18"/>
          <w:szCs w:val="18"/>
          <w:lang w:val="en-US"/>
        </w:rPr>
        <w:t xml:space="preserve"> </w:t>
      </w:r>
      <w:r w:rsidRPr="00D815C8" w:rsidR="70DD657E">
        <w:rPr>
          <w:rFonts w:ascii="Verdana" w:hAnsi="Verdana"/>
          <w:sz w:val="18"/>
          <w:szCs w:val="18"/>
          <w:lang w:val="en-US"/>
        </w:rPr>
        <w:t xml:space="preserve">The experiences and input from companies, civil society </w:t>
      </w:r>
      <w:proofErr w:type="spellStart"/>
      <w:r w:rsidRPr="00D815C8" w:rsidR="70DD657E">
        <w:rPr>
          <w:rFonts w:ascii="Verdana" w:hAnsi="Verdana"/>
          <w:sz w:val="18"/>
          <w:szCs w:val="18"/>
          <w:lang w:val="en-US"/>
        </w:rPr>
        <w:t>organisations</w:t>
      </w:r>
      <w:proofErr w:type="spellEnd"/>
      <w:r w:rsidRPr="00D815C8" w:rsidR="70DD657E">
        <w:rPr>
          <w:rFonts w:ascii="Verdana" w:hAnsi="Verdana"/>
          <w:sz w:val="18"/>
          <w:szCs w:val="18"/>
          <w:lang w:val="en-US"/>
        </w:rPr>
        <w:t xml:space="preserve">, and other stakeholders, including in third countries, are crucial for effective implementation, avoiding unnecessary regulatory burdens and making tangible impact. </w:t>
      </w:r>
      <w:r w:rsidRPr="00D815C8" w:rsidR="009F6908">
        <w:rPr>
          <w:rFonts w:ascii="Verdana" w:hAnsi="Verdana"/>
          <w:sz w:val="18"/>
          <w:szCs w:val="18"/>
          <w:lang w:val="en-US"/>
        </w:rPr>
        <w:t xml:space="preserve">We would welcome  practical </w:t>
      </w:r>
      <w:r w:rsidRPr="00D815C8" w:rsidR="00A12FE9">
        <w:rPr>
          <w:rFonts w:ascii="Verdana" w:hAnsi="Verdana"/>
          <w:sz w:val="18"/>
          <w:szCs w:val="18"/>
          <w:lang w:val="en-US"/>
        </w:rPr>
        <w:t>testing</w:t>
      </w:r>
      <w:r w:rsidRPr="00D815C8" w:rsidR="009F6908">
        <w:rPr>
          <w:rFonts w:ascii="Verdana" w:hAnsi="Verdana"/>
          <w:sz w:val="18"/>
          <w:szCs w:val="18"/>
          <w:lang w:val="en-US"/>
        </w:rPr>
        <w:t xml:space="preserve"> of draft guidelines with companies, including SMEs, as well as supervisory authorities. Such testing should assess whether the guidance is workable</w:t>
      </w:r>
      <w:r w:rsidRPr="00D815C8" w:rsidR="00A12FE9">
        <w:rPr>
          <w:rFonts w:ascii="Verdana" w:hAnsi="Verdana"/>
          <w:sz w:val="18"/>
          <w:szCs w:val="18"/>
          <w:lang w:val="en-US"/>
        </w:rPr>
        <w:t>,</w:t>
      </w:r>
      <w:r w:rsidRPr="00D815C8" w:rsidR="009F6908">
        <w:rPr>
          <w:rFonts w:ascii="Verdana" w:hAnsi="Verdana"/>
          <w:sz w:val="18"/>
          <w:szCs w:val="18"/>
          <w:lang w:val="en-US"/>
        </w:rPr>
        <w:t xml:space="preserve"> </w:t>
      </w:r>
      <w:r w:rsidRPr="00D815C8" w:rsidR="00A12FE9">
        <w:rPr>
          <w:rFonts w:ascii="Verdana" w:hAnsi="Verdana"/>
          <w:sz w:val="18"/>
          <w:szCs w:val="18"/>
          <w:lang w:val="en-US"/>
        </w:rPr>
        <w:t>while</w:t>
      </w:r>
      <w:r w:rsidRPr="00D815C8" w:rsidR="009F6908">
        <w:rPr>
          <w:rFonts w:ascii="Verdana" w:hAnsi="Verdana"/>
          <w:sz w:val="18"/>
          <w:szCs w:val="18"/>
          <w:lang w:val="en-US"/>
        </w:rPr>
        <w:t xml:space="preserve"> prevent</w:t>
      </w:r>
      <w:r w:rsidRPr="00D815C8" w:rsidR="00A12FE9">
        <w:rPr>
          <w:rFonts w:ascii="Verdana" w:hAnsi="Verdana"/>
          <w:sz w:val="18"/>
          <w:szCs w:val="18"/>
          <w:lang w:val="en-US"/>
        </w:rPr>
        <w:t>ing</w:t>
      </w:r>
      <w:r w:rsidRPr="00D815C8" w:rsidR="009F6908">
        <w:rPr>
          <w:rFonts w:ascii="Verdana" w:hAnsi="Verdana"/>
          <w:sz w:val="18"/>
          <w:szCs w:val="18"/>
          <w:lang w:val="en-US"/>
        </w:rPr>
        <w:t xml:space="preserve"> unnecessary administrative burdens</w:t>
      </w:r>
      <w:r w:rsidRPr="00D815C8" w:rsidR="00A12FE9">
        <w:rPr>
          <w:rFonts w:ascii="Verdana" w:hAnsi="Verdana"/>
          <w:sz w:val="18"/>
          <w:szCs w:val="18"/>
          <w:lang w:val="en-US"/>
        </w:rPr>
        <w:t xml:space="preserve"> and without</w:t>
      </w:r>
      <w:r w:rsidRPr="00D815C8" w:rsidR="009F6908">
        <w:rPr>
          <w:rFonts w:ascii="Verdana" w:hAnsi="Verdana"/>
          <w:sz w:val="18"/>
          <w:szCs w:val="18"/>
          <w:lang w:val="en-US"/>
        </w:rPr>
        <w:t xml:space="preserve"> lead</w:t>
      </w:r>
      <w:r w:rsidRPr="00D815C8" w:rsidR="00A12FE9">
        <w:rPr>
          <w:rFonts w:ascii="Verdana" w:hAnsi="Verdana"/>
          <w:sz w:val="18"/>
          <w:szCs w:val="18"/>
          <w:lang w:val="en-US"/>
        </w:rPr>
        <w:t>ing</w:t>
      </w:r>
      <w:r w:rsidRPr="00D815C8" w:rsidR="009F6908">
        <w:rPr>
          <w:rFonts w:ascii="Verdana" w:hAnsi="Verdana"/>
          <w:sz w:val="18"/>
          <w:szCs w:val="18"/>
          <w:lang w:val="en-US"/>
        </w:rPr>
        <w:t xml:space="preserve"> to divergent or excessive information requests</w:t>
      </w:r>
      <w:r w:rsidRPr="00D815C8" w:rsidR="00A12FE9">
        <w:rPr>
          <w:rFonts w:ascii="Verdana" w:hAnsi="Verdana"/>
          <w:sz w:val="18"/>
          <w:szCs w:val="18"/>
          <w:lang w:val="en-US"/>
        </w:rPr>
        <w:t xml:space="preserve"> or other practical implications</w:t>
      </w:r>
      <w:r w:rsidRPr="00D815C8" w:rsidR="00426041">
        <w:rPr>
          <w:rFonts w:ascii="Verdana" w:hAnsi="Verdana"/>
          <w:sz w:val="18"/>
          <w:szCs w:val="18"/>
          <w:lang w:val="en-US"/>
        </w:rPr>
        <w:t xml:space="preserve"> and unintended impacts</w:t>
      </w:r>
      <w:r w:rsidRPr="00D815C8" w:rsidR="00A12FE9">
        <w:rPr>
          <w:rFonts w:ascii="Verdana" w:hAnsi="Verdana"/>
          <w:sz w:val="18"/>
          <w:szCs w:val="18"/>
          <w:lang w:val="en-US"/>
        </w:rPr>
        <w:t xml:space="preserve"> that are not foreseen.</w:t>
      </w:r>
      <w:r w:rsidRPr="00D815C8" w:rsidR="00827C07">
        <w:rPr>
          <w:rFonts w:ascii="Verdana" w:hAnsi="Verdana"/>
          <w:sz w:val="18"/>
          <w:szCs w:val="18"/>
          <w:lang w:val="en-US"/>
        </w:rPr>
        <w:t xml:space="preserve"> In addition, companies need guidance on voluntary model contractual clauses as soon as possible.</w:t>
      </w:r>
      <w:r w:rsidRPr="00D815C8" w:rsidR="00A12FE9">
        <w:rPr>
          <w:rFonts w:ascii="Verdana" w:hAnsi="Verdana"/>
          <w:sz w:val="18"/>
          <w:szCs w:val="18"/>
          <w:lang w:val="en-US"/>
        </w:rPr>
        <w:t xml:space="preserve">  </w:t>
      </w:r>
      <w:r w:rsidRPr="00D815C8" w:rsidDel="00F63ED8" w:rsidR="009F6908">
        <w:rPr>
          <w:rFonts w:ascii="Verdana" w:hAnsi="Verdana"/>
          <w:sz w:val="18"/>
          <w:szCs w:val="18"/>
          <w:lang w:val="en-US"/>
        </w:rPr>
        <w:t xml:space="preserve"> </w:t>
      </w:r>
      <w:bookmarkStart w:name="_Hlk228458965" w:id="0"/>
      <w:bookmarkEnd w:id="0"/>
    </w:p>
    <w:p w:rsidRPr="00D815C8" w:rsidR="006D107C" w:rsidP="001E2E66" w:rsidRDefault="009E51C4" w14:paraId="57D86413" w14:textId="3C2B1CC0">
      <w:pPr>
        <w:pStyle w:val="ListParagraph"/>
        <w:numPr>
          <w:ilvl w:val="0"/>
          <w:numId w:val="7"/>
        </w:numPr>
        <w:rPr>
          <w:rFonts w:ascii="Verdana" w:hAnsi="Verdana" w:cstheme="minorHAnsi"/>
          <w:sz w:val="18"/>
          <w:szCs w:val="18"/>
          <w:lang w:val="en-US"/>
        </w:rPr>
      </w:pPr>
      <w:r w:rsidRPr="00D815C8">
        <w:rPr>
          <w:rFonts w:ascii="Verdana" w:hAnsi="Verdana" w:cstheme="minorHAnsi"/>
          <w:b/>
          <w:bCs/>
          <w:sz w:val="18"/>
          <w:szCs w:val="18"/>
          <w:u w:val="single"/>
          <w:lang w:val="en-US"/>
        </w:rPr>
        <w:t>Coherence across EU Legal Due Diligence Instruments</w:t>
      </w:r>
      <w:r w:rsidRPr="00D815C8">
        <w:rPr>
          <w:rFonts w:ascii="Verdana" w:hAnsi="Verdana" w:cstheme="minorHAnsi"/>
          <w:sz w:val="18"/>
          <w:szCs w:val="18"/>
          <w:lang w:val="en-US"/>
        </w:rPr>
        <w:t xml:space="preserve">: </w:t>
      </w:r>
      <w:r w:rsidRPr="00D815C8" w:rsidR="009B235C">
        <w:rPr>
          <w:rFonts w:ascii="Verdana" w:hAnsi="Verdana" w:cstheme="minorHAnsi"/>
          <w:sz w:val="18"/>
          <w:szCs w:val="18"/>
          <w:lang w:val="en-US"/>
        </w:rPr>
        <w:t>We</w:t>
      </w:r>
      <w:r w:rsidRPr="00D815C8" w:rsidR="00BE4AA0">
        <w:rPr>
          <w:rFonts w:ascii="Verdana" w:hAnsi="Verdana" w:cstheme="minorHAnsi"/>
          <w:sz w:val="18"/>
          <w:szCs w:val="18"/>
          <w:lang w:val="en-US"/>
        </w:rPr>
        <w:t xml:space="preserve"> </w:t>
      </w:r>
      <w:r w:rsidRPr="00D815C8" w:rsidR="00610995">
        <w:rPr>
          <w:rFonts w:ascii="Verdana" w:hAnsi="Verdana" w:cstheme="minorHAnsi"/>
          <w:sz w:val="18"/>
          <w:szCs w:val="18"/>
          <w:lang w:val="en-US"/>
        </w:rPr>
        <w:t xml:space="preserve">deem it crucial that </w:t>
      </w:r>
      <w:r w:rsidRPr="00D815C8" w:rsidR="00BE4AA0">
        <w:rPr>
          <w:rFonts w:ascii="Verdana" w:hAnsi="Verdana" w:cstheme="minorHAnsi"/>
          <w:sz w:val="18"/>
          <w:szCs w:val="18"/>
          <w:lang w:val="en-US"/>
        </w:rPr>
        <w:t xml:space="preserve">coherence and clarity </w:t>
      </w:r>
      <w:r w:rsidRPr="00D815C8" w:rsidR="006850ED">
        <w:rPr>
          <w:rFonts w:ascii="Verdana" w:hAnsi="Verdana" w:cstheme="minorHAnsi"/>
          <w:sz w:val="18"/>
          <w:szCs w:val="18"/>
          <w:lang w:val="en-US"/>
        </w:rPr>
        <w:t xml:space="preserve">is established </w:t>
      </w:r>
      <w:r w:rsidRPr="00D815C8" w:rsidR="00BE4AA0">
        <w:rPr>
          <w:rFonts w:ascii="Verdana" w:hAnsi="Verdana" w:cstheme="minorHAnsi"/>
          <w:sz w:val="18"/>
          <w:szCs w:val="18"/>
          <w:lang w:val="en-US"/>
        </w:rPr>
        <w:t xml:space="preserve">across various EU due diligence requirements stemming from different legal instruments. </w:t>
      </w:r>
      <w:r w:rsidRPr="00D815C8" w:rsidR="006850ED">
        <w:rPr>
          <w:rFonts w:ascii="Verdana" w:hAnsi="Verdana" w:cstheme="minorHAnsi"/>
          <w:sz w:val="18"/>
          <w:szCs w:val="18"/>
          <w:lang w:val="en-US"/>
        </w:rPr>
        <w:t xml:space="preserve">The Commission </w:t>
      </w:r>
      <w:r w:rsidRPr="00D815C8" w:rsidR="00A12FE9">
        <w:rPr>
          <w:rFonts w:ascii="Verdana" w:hAnsi="Verdana" w:cstheme="minorHAnsi"/>
          <w:sz w:val="18"/>
          <w:szCs w:val="18"/>
          <w:lang w:val="en-US"/>
        </w:rPr>
        <w:t>has</w:t>
      </w:r>
      <w:r w:rsidRPr="00D815C8" w:rsidR="006850ED">
        <w:rPr>
          <w:rFonts w:ascii="Verdana" w:hAnsi="Verdana" w:cstheme="minorHAnsi"/>
          <w:sz w:val="18"/>
          <w:szCs w:val="18"/>
          <w:lang w:val="en-US"/>
        </w:rPr>
        <w:t xml:space="preserve"> an important </w:t>
      </w:r>
      <w:r w:rsidRPr="00D815C8" w:rsidR="00A35B1E">
        <w:rPr>
          <w:rFonts w:ascii="Verdana" w:hAnsi="Verdana" w:cstheme="minorHAnsi"/>
          <w:sz w:val="18"/>
          <w:szCs w:val="18"/>
          <w:lang w:val="en-US"/>
        </w:rPr>
        <w:t>responsibility</w:t>
      </w:r>
      <w:r w:rsidRPr="00D815C8" w:rsidR="006850ED">
        <w:rPr>
          <w:rFonts w:ascii="Verdana" w:hAnsi="Verdana" w:cstheme="minorHAnsi"/>
          <w:sz w:val="18"/>
          <w:szCs w:val="18"/>
          <w:lang w:val="en-US"/>
        </w:rPr>
        <w:t xml:space="preserve"> in this</w:t>
      </w:r>
      <w:r w:rsidRPr="00D815C8" w:rsidR="00A35B1E">
        <w:rPr>
          <w:rFonts w:ascii="Verdana" w:hAnsi="Verdana" w:cstheme="minorHAnsi"/>
          <w:sz w:val="18"/>
          <w:szCs w:val="18"/>
          <w:lang w:val="en-US"/>
        </w:rPr>
        <w:t xml:space="preserve"> regard</w:t>
      </w:r>
      <w:r w:rsidRPr="00D815C8" w:rsidR="006850ED">
        <w:rPr>
          <w:rFonts w:ascii="Verdana" w:hAnsi="Verdana" w:cstheme="minorHAnsi"/>
          <w:sz w:val="18"/>
          <w:szCs w:val="18"/>
          <w:lang w:val="en-US"/>
        </w:rPr>
        <w:t xml:space="preserve">. </w:t>
      </w:r>
      <w:r w:rsidRPr="00D815C8" w:rsidR="00BE4AA0">
        <w:rPr>
          <w:rFonts w:ascii="Verdana" w:hAnsi="Verdana" w:cstheme="minorHAnsi"/>
          <w:sz w:val="18"/>
          <w:szCs w:val="18"/>
          <w:lang w:val="en-US"/>
        </w:rPr>
        <w:t xml:space="preserve">The guidelines should clarify how the obligations under the CSDDD </w:t>
      </w:r>
      <w:r w:rsidRPr="00D815C8" w:rsidR="00F63ED8">
        <w:rPr>
          <w:rFonts w:ascii="Verdana" w:hAnsi="Verdana" w:cstheme="minorHAnsi"/>
          <w:sz w:val="18"/>
          <w:szCs w:val="18"/>
          <w:lang w:val="en-US"/>
        </w:rPr>
        <w:t xml:space="preserve">interact </w:t>
      </w:r>
      <w:r w:rsidRPr="00D815C8" w:rsidR="00BE4AA0">
        <w:rPr>
          <w:rFonts w:ascii="Verdana" w:hAnsi="Verdana" w:cstheme="minorHAnsi"/>
          <w:sz w:val="18"/>
          <w:szCs w:val="18"/>
          <w:lang w:val="en-US"/>
        </w:rPr>
        <w:t xml:space="preserve">with those under the other EU </w:t>
      </w:r>
      <w:r w:rsidRPr="00D815C8" w:rsidR="00AA6EB2">
        <w:rPr>
          <w:rFonts w:ascii="Verdana" w:hAnsi="Verdana" w:cstheme="minorHAnsi"/>
          <w:sz w:val="18"/>
          <w:szCs w:val="18"/>
          <w:lang w:val="en-US"/>
        </w:rPr>
        <w:t xml:space="preserve">instruments </w:t>
      </w:r>
      <w:r w:rsidRPr="00D815C8" w:rsidR="00BE4AA0">
        <w:rPr>
          <w:rFonts w:ascii="Verdana" w:hAnsi="Verdana" w:cstheme="minorHAnsi"/>
          <w:sz w:val="18"/>
          <w:szCs w:val="18"/>
          <w:lang w:val="en-US"/>
        </w:rPr>
        <w:t xml:space="preserve">and how the due diligence requirements from several lex </w:t>
      </w:r>
      <w:proofErr w:type="spellStart"/>
      <w:r w:rsidRPr="00D815C8" w:rsidR="00BE4AA0">
        <w:rPr>
          <w:rFonts w:ascii="Verdana" w:hAnsi="Verdana" w:cstheme="minorHAnsi"/>
          <w:sz w:val="18"/>
          <w:szCs w:val="18"/>
          <w:lang w:val="en-US"/>
        </w:rPr>
        <w:t>specialis</w:t>
      </w:r>
      <w:proofErr w:type="spellEnd"/>
      <w:r w:rsidRPr="00D815C8" w:rsidR="00BE4AA0">
        <w:rPr>
          <w:rFonts w:ascii="Verdana" w:hAnsi="Verdana" w:cstheme="minorHAnsi"/>
          <w:sz w:val="18"/>
          <w:szCs w:val="18"/>
          <w:lang w:val="en-US"/>
        </w:rPr>
        <w:t xml:space="preserve"> instruments relate to the CSDDD</w:t>
      </w:r>
      <w:r w:rsidRPr="00D815C8" w:rsidR="00361BC8">
        <w:rPr>
          <w:rFonts w:ascii="Verdana" w:hAnsi="Verdana" w:cstheme="minorHAnsi"/>
          <w:sz w:val="18"/>
          <w:szCs w:val="18"/>
          <w:lang w:val="en-US"/>
        </w:rPr>
        <w:t xml:space="preserve"> aiming at less burdens for companies</w:t>
      </w:r>
      <w:r w:rsidRPr="00D815C8" w:rsidR="00BE4AA0">
        <w:rPr>
          <w:rFonts w:ascii="Verdana" w:hAnsi="Verdana" w:cstheme="minorHAnsi"/>
          <w:sz w:val="18"/>
          <w:szCs w:val="18"/>
          <w:lang w:val="en-US"/>
        </w:rPr>
        <w:t>.</w:t>
      </w:r>
      <w:r w:rsidRPr="00D815C8" w:rsidR="00F63ED8">
        <w:rPr>
          <w:rFonts w:ascii="Verdana" w:hAnsi="Verdana" w:cstheme="minorHAnsi"/>
          <w:sz w:val="18"/>
          <w:szCs w:val="18"/>
          <w:lang w:val="en-US"/>
        </w:rPr>
        <w:t xml:space="preserve"> </w:t>
      </w:r>
      <w:r w:rsidRPr="00D815C8" w:rsidR="00426041">
        <w:rPr>
          <w:rFonts w:ascii="Verdana" w:hAnsi="Verdana" w:cstheme="minorHAnsi"/>
          <w:sz w:val="18"/>
          <w:szCs w:val="18"/>
          <w:lang w:val="en"/>
        </w:rPr>
        <w:t xml:space="preserve">In particular, an analysis should be made to ensure there are no contradictions in the implementation of the resulting obligations for companies, and that all instruments involve the same understanding of crucial principles explaining the approach to due diligence. </w:t>
      </w:r>
      <w:r w:rsidRPr="00D815C8" w:rsidR="00F63ED8">
        <w:rPr>
          <w:rFonts w:ascii="Verdana" w:hAnsi="Verdana" w:cstheme="minorHAnsi"/>
          <w:sz w:val="18"/>
          <w:szCs w:val="18"/>
          <w:lang w:val="en-US"/>
        </w:rPr>
        <w:t>Companies also need clarification about which rules take precedence in case of overlap.</w:t>
      </w:r>
      <w:r w:rsidRPr="00D815C8" w:rsidR="00BE4AA0">
        <w:rPr>
          <w:rFonts w:ascii="Verdana" w:hAnsi="Verdana" w:cstheme="minorHAnsi"/>
          <w:sz w:val="18"/>
          <w:szCs w:val="18"/>
          <w:lang w:val="en-US"/>
        </w:rPr>
        <w:t xml:space="preserve"> This can provide </w:t>
      </w:r>
      <w:r w:rsidRPr="00D815C8" w:rsidR="00534367">
        <w:rPr>
          <w:rFonts w:ascii="Verdana" w:hAnsi="Verdana" w:cstheme="minorHAnsi"/>
          <w:sz w:val="18"/>
          <w:szCs w:val="18"/>
          <w:lang w:val="en-US"/>
        </w:rPr>
        <w:t xml:space="preserve">companies </w:t>
      </w:r>
      <w:r w:rsidRPr="00D815C8" w:rsidR="00BE4AA0">
        <w:rPr>
          <w:rFonts w:ascii="Verdana" w:hAnsi="Verdana" w:cstheme="minorHAnsi"/>
          <w:sz w:val="18"/>
          <w:szCs w:val="18"/>
          <w:lang w:val="en-US"/>
        </w:rPr>
        <w:t>with a coherent, predictable and workable regulatory framework, instead of fragmented</w:t>
      </w:r>
      <w:r w:rsidRPr="00D815C8" w:rsidR="007C1E12">
        <w:rPr>
          <w:rFonts w:ascii="Verdana" w:hAnsi="Verdana" w:cstheme="minorHAnsi"/>
          <w:sz w:val="18"/>
          <w:szCs w:val="18"/>
          <w:lang w:val="en-US"/>
        </w:rPr>
        <w:t xml:space="preserve">, </w:t>
      </w:r>
      <w:r w:rsidRPr="00D815C8" w:rsidR="00BE4AA0">
        <w:rPr>
          <w:rFonts w:ascii="Verdana" w:hAnsi="Verdana" w:cstheme="minorHAnsi"/>
          <w:sz w:val="18"/>
          <w:szCs w:val="18"/>
          <w:lang w:val="en-US"/>
        </w:rPr>
        <w:t xml:space="preserve">overlapping obligations. This should include guidance for supervisory authorities on how to </w:t>
      </w:r>
      <w:r w:rsidRPr="00D815C8" w:rsidR="001E2E66">
        <w:rPr>
          <w:rFonts w:ascii="Verdana" w:hAnsi="Verdana" w:cstheme="minorHAnsi"/>
          <w:sz w:val="18"/>
          <w:szCs w:val="18"/>
          <w:lang w:val="en-US"/>
        </w:rPr>
        <w:t xml:space="preserve">ensure coherence and alignment </w:t>
      </w:r>
      <w:r w:rsidRPr="00D815C8" w:rsidR="00E5782C">
        <w:rPr>
          <w:rFonts w:ascii="Verdana" w:hAnsi="Verdana" w:cstheme="minorHAnsi"/>
          <w:sz w:val="18"/>
          <w:szCs w:val="18"/>
          <w:lang w:val="en-US"/>
        </w:rPr>
        <w:t>through cooperation</w:t>
      </w:r>
      <w:r w:rsidRPr="00D815C8" w:rsidR="00F63ED8">
        <w:rPr>
          <w:rFonts w:ascii="Verdana" w:hAnsi="Verdana" w:cstheme="minorHAnsi"/>
          <w:sz w:val="18"/>
          <w:szCs w:val="18"/>
          <w:lang w:val="en-US"/>
        </w:rPr>
        <w:t xml:space="preserve"> and coordination. Parallel or double sanctioning under multiple regimes should be avoided, and clarity about which supervisory authority is competent is needed to provide legal certainty to both companies and supervisory authorities.</w:t>
      </w:r>
    </w:p>
    <w:p w:rsidRPr="00D815C8" w:rsidR="002C0BEF" w:rsidP="002C0BEF" w:rsidRDefault="00822B57" w14:paraId="02F0B815" w14:textId="1089999D">
      <w:pPr>
        <w:pStyle w:val="ListParagraph"/>
        <w:numPr>
          <w:ilvl w:val="0"/>
          <w:numId w:val="7"/>
        </w:numPr>
        <w:rPr>
          <w:rFonts w:ascii="Verdana" w:hAnsi="Verdana"/>
          <w:sz w:val="18"/>
          <w:szCs w:val="18"/>
          <w:lang w:val="en-US"/>
        </w:rPr>
      </w:pPr>
      <w:r w:rsidRPr="00D815C8">
        <w:rPr>
          <w:rFonts w:ascii="Verdana" w:hAnsi="Verdana"/>
          <w:b/>
          <w:bCs/>
          <w:sz w:val="18"/>
          <w:szCs w:val="18"/>
          <w:u w:val="single"/>
          <w:lang w:val="en-US"/>
        </w:rPr>
        <w:t>Building on Existing International Due Diligence Standards and Guidance:</w:t>
      </w:r>
      <w:r w:rsidRPr="00D815C8">
        <w:rPr>
          <w:rFonts w:ascii="Verdana" w:hAnsi="Verdana"/>
          <w:sz w:val="18"/>
          <w:szCs w:val="18"/>
          <w:lang w:val="en-US"/>
        </w:rPr>
        <w:t xml:space="preserve"> </w:t>
      </w:r>
      <w:r w:rsidRPr="00D815C8" w:rsidR="70DD657E">
        <w:rPr>
          <w:rFonts w:ascii="Verdana" w:hAnsi="Verdana"/>
          <w:sz w:val="18"/>
          <w:szCs w:val="18"/>
          <w:lang w:val="en-US"/>
        </w:rPr>
        <w:t xml:space="preserve">We deem it important that the guidelines </w:t>
      </w:r>
      <w:r w:rsidRPr="00D815C8" w:rsidR="00361BC8">
        <w:rPr>
          <w:rFonts w:ascii="Verdana" w:hAnsi="Verdana"/>
          <w:sz w:val="18"/>
          <w:szCs w:val="18"/>
          <w:lang w:val="en-US"/>
        </w:rPr>
        <w:t>take into account</w:t>
      </w:r>
      <w:r w:rsidRPr="00D815C8" w:rsidR="70DD657E">
        <w:rPr>
          <w:rFonts w:ascii="Verdana" w:hAnsi="Verdana"/>
          <w:sz w:val="18"/>
          <w:szCs w:val="18"/>
          <w:lang w:val="en-US"/>
        </w:rPr>
        <w:t xml:space="preserve"> on existing international due diligence standards and practices, especially the vast body of sector-specific and generic guidance generated by the OECD and UN through years of collecting best practices negotiating in multi-stakeholder setting. This is important because </w:t>
      </w:r>
      <w:proofErr w:type="spellStart"/>
      <w:r w:rsidRPr="00D815C8" w:rsidR="70DD657E">
        <w:rPr>
          <w:rFonts w:ascii="Verdana" w:hAnsi="Verdana"/>
          <w:sz w:val="18"/>
          <w:szCs w:val="18"/>
          <w:lang w:val="en-US"/>
        </w:rPr>
        <w:t>i</w:t>
      </w:r>
      <w:proofErr w:type="spellEnd"/>
      <w:r w:rsidRPr="00D815C8" w:rsidR="70DD657E">
        <w:rPr>
          <w:rFonts w:ascii="Verdana" w:hAnsi="Verdana"/>
          <w:sz w:val="18"/>
          <w:szCs w:val="18"/>
          <w:lang w:val="en-US"/>
        </w:rPr>
        <w:t xml:space="preserve">) companies are </w:t>
      </w:r>
      <w:r w:rsidRPr="00D815C8" w:rsidR="70DD657E">
        <w:rPr>
          <w:rFonts w:ascii="Verdana" w:hAnsi="Verdana"/>
          <w:sz w:val="18"/>
          <w:szCs w:val="18"/>
          <w:lang w:val="en-US"/>
        </w:rPr>
        <w:lastRenderedPageBreak/>
        <w:t>currently already basing their due diligence efforts on them,  ii) these standards are also relevant beyond EU borders and inspire legislation in other jurisdictions</w:t>
      </w:r>
      <w:r w:rsidRPr="00D815C8" w:rsidR="00361BC8">
        <w:rPr>
          <w:rFonts w:ascii="Verdana" w:hAnsi="Verdana"/>
          <w:sz w:val="18"/>
          <w:szCs w:val="18"/>
          <w:lang w:val="en-US"/>
        </w:rPr>
        <w:t>, including partner countries outside of the EU, especially in the Global South</w:t>
      </w:r>
      <w:r w:rsidRPr="00D815C8" w:rsidR="00426041">
        <w:rPr>
          <w:rFonts w:ascii="Verdana" w:hAnsi="Verdana"/>
          <w:sz w:val="18"/>
          <w:szCs w:val="18"/>
          <w:lang w:val="en-US"/>
        </w:rPr>
        <w:t xml:space="preserve">, </w:t>
      </w:r>
      <w:r w:rsidRPr="00D815C8" w:rsidR="00426041">
        <w:rPr>
          <w:rFonts w:ascii="Verdana" w:hAnsi="Verdana" w:cstheme="minorHAnsi"/>
          <w:sz w:val="18"/>
          <w:szCs w:val="18"/>
          <w:lang w:val="en-US"/>
        </w:rPr>
        <w:t xml:space="preserve">and iii) </w:t>
      </w:r>
      <w:proofErr w:type="spellStart"/>
      <w:r w:rsidRPr="00D815C8" w:rsidR="00426041">
        <w:rPr>
          <w:rFonts w:ascii="Verdana" w:hAnsi="Verdana" w:cstheme="minorHAnsi"/>
          <w:sz w:val="18"/>
          <w:szCs w:val="18"/>
          <w:lang w:val="en-US"/>
        </w:rPr>
        <w:t>t</w:t>
      </w:r>
      <w:r w:rsidRPr="00D815C8" w:rsidR="00426041">
        <w:rPr>
          <w:rFonts w:ascii="Verdana" w:hAnsi="Verdana" w:cstheme="minorHAnsi"/>
          <w:sz w:val="18"/>
          <w:szCs w:val="18"/>
          <w:lang w:val="en"/>
        </w:rPr>
        <w:t>he</w:t>
      </w:r>
      <w:proofErr w:type="spellEnd"/>
      <w:r w:rsidRPr="00D815C8" w:rsidR="00426041">
        <w:rPr>
          <w:rFonts w:ascii="Verdana" w:hAnsi="Verdana" w:cstheme="minorHAnsi"/>
          <w:sz w:val="18"/>
          <w:szCs w:val="18"/>
          <w:lang w:val="en"/>
        </w:rPr>
        <w:t xml:space="preserve"> OECD and UN Guidelines, to which the regulations refer directly, </w:t>
      </w:r>
      <w:r w:rsidRPr="00D815C8" w:rsidR="009C6C0F">
        <w:rPr>
          <w:rFonts w:ascii="Verdana" w:hAnsi="Verdana" w:cstheme="minorHAnsi"/>
          <w:sz w:val="18"/>
          <w:szCs w:val="18"/>
          <w:lang w:val="en"/>
        </w:rPr>
        <w:t>can serve as</w:t>
      </w:r>
      <w:r w:rsidRPr="00D815C8" w:rsidR="00426041">
        <w:rPr>
          <w:rFonts w:ascii="Verdana" w:hAnsi="Verdana" w:cstheme="minorHAnsi"/>
          <w:sz w:val="18"/>
          <w:szCs w:val="18"/>
          <w:lang w:val="en"/>
        </w:rPr>
        <w:t xml:space="preserve"> a core element </w:t>
      </w:r>
      <w:r w:rsidRPr="00D815C8" w:rsidR="009C6C0F">
        <w:rPr>
          <w:rFonts w:ascii="Verdana" w:hAnsi="Verdana" w:cstheme="minorHAnsi"/>
          <w:sz w:val="18"/>
          <w:szCs w:val="18"/>
          <w:lang w:val="en"/>
        </w:rPr>
        <w:t>to</w:t>
      </w:r>
      <w:r w:rsidRPr="00D815C8" w:rsidR="00426041">
        <w:rPr>
          <w:rFonts w:ascii="Verdana" w:hAnsi="Verdana" w:cstheme="minorHAnsi"/>
          <w:sz w:val="18"/>
          <w:szCs w:val="18"/>
          <w:lang w:val="en"/>
        </w:rPr>
        <w:t xml:space="preserve"> ensure the coherence of </w:t>
      </w:r>
      <w:r w:rsidRPr="00D815C8" w:rsidR="009C6C0F">
        <w:rPr>
          <w:rFonts w:ascii="Verdana" w:hAnsi="Verdana" w:cstheme="minorHAnsi"/>
          <w:sz w:val="18"/>
          <w:szCs w:val="18"/>
          <w:lang w:val="en"/>
        </w:rPr>
        <w:t>instruments</w:t>
      </w:r>
      <w:r w:rsidRPr="00D815C8" w:rsidR="00426041">
        <w:rPr>
          <w:rFonts w:ascii="Verdana" w:hAnsi="Verdana" w:cstheme="minorHAnsi"/>
          <w:sz w:val="18"/>
          <w:szCs w:val="18"/>
          <w:lang w:val="en"/>
        </w:rPr>
        <w:t xml:space="preserve"> in the field of due diligence</w:t>
      </w:r>
      <w:r w:rsidRPr="00D815C8" w:rsidR="00426041">
        <w:rPr>
          <w:rFonts w:ascii="Verdana" w:hAnsi="Verdana"/>
          <w:sz w:val="18"/>
          <w:szCs w:val="18"/>
          <w:lang w:val="en-US"/>
        </w:rPr>
        <w:t>.</w:t>
      </w:r>
      <w:r w:rsidRPr="00D815C8" w:rsidR="00361BC8">
        <w:rPr>
          <w:rFonts w:ascii="Verdana" w:hAnsi="Verdana"/>
          <w:sz w:val="18"/>
          <w:szCs w:val="18"/>
          <w:lang w:val="en-US"/>
        </w:rPr>
        <w:t xml:space="preserve"> </w:t>
      </w:r>
      <w:r w:rsidRPr="00D815C8" w:rsidR="70DD657E">
        <w:rPr>
          <w:rFonts w:ascii="Verdana" w:hAnsi="Verdana"/>
          <w:sz w:val="18"/>
          <w:szCs w:val="18"/>
          <w:lang w:val="en-US"/>
        </w:rPr>
        <w:t xml:space="preserve">Sticking to these standards is therefore also in the interest of </w:t>
      </w:r>
      <w:r w:rsidRPr="00D815C8" w:rsidR="00361BC8">
        <w:rPr>
          <w:rFonts w:ascii="Verdana" w:hAnsi="Verdana"/>
          <w:sz w:val="18"/>
          <w:szCs w:val="18"/>
          <w:lang w:val="en-US"/>
        </w:rPr>
        <w:t xml:space="preserve"> setting an international standard to ensure </w:t>
      </w:r>
      <w:r w:rsidRPr="00D815C8" w:rsidR="70DD657E">
        <w:rPr>
          <w:rFonts w:ascii="Verdana" w:hAnsi="Verdana"/>
          <w:sz w:val="18"/>
          <w:szCs w:val="18"/>
          <w:lang w:val="en-US"/>
        </w:rPr>
        <w:t xml:space="preserve">a global level playing field. </w:t>
      </w:r>
    </w:p>
    <w:p w:rsidRPr="00D815C8" w:rsidR="00C86A11" w:rsidP="70DD657E" w:rsidRDefault="00A35B1E" w14:paraId="70097B70" w14:textId="42038865">
      <w:pPr>
        <w:pStyle w:val="ListParagraph"/>
        <w:numPr>
          <w:ilvl w:val="0"/>
          <w:numId w:val="7"/>
        </w:numPr>
        <w:rPr>
          <w:rFonts w:ascii="Verdana" w:hAnsi="Verdana"/>
          <w:sz w:val="18"/>
          <w:szCs w:val="18"/>
          <w:lang w:val="en-US"/>
        </w:rPr>
      </w:pPr>
      <w:r w:rsidRPr="00D815C8">
        <w:rPr>
          <w:rFonts w:ascii="Verdana" w:hAnsi="Verdana"/>
          <w:b/>
          <w:bCs/>
          <w:sz w:val="18"/>
          <w:szCs w:val="18"/>
          <w:u w:val="single"/>
          <w:lang w:val="en-US"/>
        </w:rPr>
        <w:t>Due diligence</w:t>
      </w:r>
      <w:r w:rsidRPr="00D815C8" w:rsidR="00C37078">
        <w:rPr>
          <w:rFonts w:ascii="Verdana" w:hAnsi="Verdana"/>
          <w:b/>
          <w:bCs/>
          <w:sz w:val="18"/>
          <w:szCs w:val="18"/>
          <w:u w:val="single"/>
          <w:lang w:val="en-US"/>
        </w:rPr>
        <w:t xml:space="preserve"> in complex situations</w:t>
      </w:r>
      <w:r w:rsidRPr="00D815C8" w:rsidR="00C37078">
        <w:rPr>
          <w:rFonts w:ascii="Verdana" w:hAnsi="Verdana"/>
          <w:sz w:val="18"/>
          <w:szCs w:val="18"/>
          <w:lang w:val="en-US"/>
        </w:rPr>
        <w:t xml:space="preserve">: </w:t>
      </w:r>
      <w:r w:rsidRPr="00D815C8" w:rsidR="70DD657E">
        <w:rPr>
          <w:rFonts w:ascii="Verdana" w:hAnsi="Verdana"/>
          <w:sz w:val="18"/>
          <w:szCs w:val="18"/>
          <w:lang w:val="en-US"/>
        </w:rPr>
        <w:t>The guidelines should include guidance for companies on how they are expected to conduct due diligence in complex situations in which they face difficulties or in which they are actively obstructed. For example in case local legislation conflicts with due diligence obligations, or where host governments actively hinder the due diligence process (we have seen recent examples of this). The guidelines should provide guidance for companies on what is expected from them in such contexts and for regulatory authorities how to enforce in these specific situations.</w:t>
      </w:r>
    </w:p>
    <w:p w:rsidRPr="00D815C8" w:rsidR="009F6908" w:rsidP="009F6908" w:rsidRDefault="002C0BEF" w14:paraId="33059FA3" w14:textId="630E9198">
      <w:pPr>
        <w:pStyle w:val="ListParagraph"/>
        <w:numPr>
          <w:ilvl w:val="0"/>
          <w:numId w:val="7"/>
        </w:numPr>
        <w:rPr>
          <w:rFonts w:ascii="Verdana" w:hAnsi="Verdana" w:cstheme="minorHAnsi"/>
          <w:sz w:val="18"/>
          <w:szCs w:val="18"/>
          <w:lang w:val="en-US"/>
        </w:rPr>
      </w:pPr>
      <w:r w:rsidRPr="00D815C8">
        <w:rPr>
          <w:rFonts w:ascii="Verdana" w:hAnsi="Verdana" w:cstheme="minorHAnsi"/>
          <w:b/>
          <w:bCs/>
          <w:sz w:val="18"/>
          <w:szCs w:val="18"/>
          <w:u w:val="single"/>
          <w:lang w:val="en-US"/>
        </w:rPr>
        <w:t>Best practices</w:t>
      </w:r>
      <w:r w:rsidRPr="00D815C8" w:rsidR="00A35B1E">
        <w:rPr>
          <w:rFonts w:ascii="Verdana" w:hAnsi="Verdana" w:cstheme="minorHAnsi"/>
          <w:b/>
          <w:bCs/>
          <w:sz w:val="18"/>
          <w:szCs w:val="18"/>
          <w:u w:val="single"/>
          <w:lang w:val="en-US"/>
        </w:rPr>
        <w:t xml:space="preserve"> &amp; </w:t>
      </w:r>
      <w:r w:rsidRPr="00D815C8">
        <w:rPr>
          <w:rFonts w:ascii="Verdana" w:hAnsi="Verdana" w:cstheme="minorHAnsi"/>
          <w:b/>
          <w:bCs/>
          <w:sz w:val="18"/>
          <w:szCs w:val="18"/>
          <w:u w:val="single"/>
          <w:lang w:val="en-US"/>
        </w:rPr>
        <w:t>standardizing formats for information requests</w:t>
      </w:r>
      <w:r w:rsidRPr="00D815C8">
        <w:rPr>
          <w:rFonts w:ascii="Verdana" w:hAnsi="Verdana" w:cstheme="minorHAnsi"/>
          <w:b/>
          <w:bCs/>
          <w:sz w:val="18"/>
          <w:szCs w:val="18"/>
          <w:lang w:val="en-US"/>
        </w:rPr>
        <w:t>:</w:t>
      </w:r>
      <w:r w:rsidRPr="00D815C8">
        <w:rPr>
          <w:rFonts w:ascii="Verdana" w:hAnsi="Verdana" w:cstheme="minorHAnsi"/>
          <w:sz w:val="18"/>
          <w:szCs w:val="18"/>
          <w:lang w:val="en-US"/>
        </w:rPr>
        <w:t xml:space="preserve"> </w:t>
      </w:r>
      <w:r w:rsidRPr="00D815C8" w:rsidR="00580E46">
        <w:rPr>
          <w:rFonts w:ascii="Verdana" w:hAnsi="Verdana" w:cstheme="minorHAnsi"/>
          <w:sz w:val="18"/>
          <w:szCs w:val="18"/>
          <w:lang w:val="en-US"/>
        </w:rPr>
        <w:t>The guidelines should include guidance on best practices of information requests by companies to business partner</w:t>
      </w:r>
      <w:r w:rsidRPr="00D815C8" w:rsidR="00F91811">
        <w:rPr>
          <w:rFonts w:ascii="Verdana" w:hAnsi="Verdana" w:cstheme="minorHAnsi"/>
          <w:sz w:val="18"/>
          <w:szCs w:val="18"/>
          <w:lang w:val="en-US"/>
        </w:rPr>
        <w:t>s</w:t>
      </w:r>
      <w:r w:rsidRPr="00D815C8" w:rsidR="00580E46">
        <w:rPr>
          <w:rFonts w:ascii="Verdana" w:hAnsi="Verdana" w:cstheme="minorHAnsi"/>
          <w:sz w:val="18"/>
          <w:szCs w:val="18"/>
          <w:lang w:val="en-US"/>
        </w:rPr>
        <w:t xml:space="preserve"> further in the value chain. </w:t>
      </w:r>
      <w:r w:rsidRPr="00D815C8" w:rsidR="00C86A11">
        <w:rPr>
          <w:rFonts w:ascii="Verdana" w:hAnsi="Verdana" w:cstheme="minorHAnsi"/>
          <w:sz w:val="18"/>
          <w:szCs w:val="18"/>
          <w:lang w:val="en-US"/>
        </w:rPr>
        <w:t xml:space="preserve">The revised CSDDD includes limitations to information requests as such, but does not provide rules on the design or format of such requests. </w:t>
      </w:r>
      <w:r w:rsidRPr="00D815C8" w:rsidR="00580E46">
        <w:rPr>
          <w:rFonts w:ascii="Verdana" w:hAnsi="Verdana" w:cstheme="minorHAnsi"/>
          <w:sz w:val="18"/>
          <w:szCs w:val="18"/>
          <w:lang w:val="en-US"/>
        </w:rPr>
        <w:t>Many companies, especially SMEs, receive information requests from in-scope companies which differ substantially per request. This can make the regulatory burden for business partners in the chain unnecessarily high. Uniform standards</w:t>
      </w:r>
      <w:r w:rsidRPr="00D815C8" w:rsidR="00094164">
        <w:rPr>
          <w:rFonts w:ascii="Verdana" w:hAnsi="Verdana" w:cstheme="minorHAnsi"/>
          <w:sz w:val="18"/>
          <w:szCs w:val="18"/>
          <w:lang w:val="en-US"/>
        </w:rPr>
        <w:t>,</w:t>
      </w:r>
      <w:r w:rsidRPr="00D815C8" w:rsidR="00580E46">
        <w:rPr>
          <w:rFonts w:ascii="Verdana" w:hAnsi="Verdana" w:cstheme="minorHAnsi"/>
          <w:sz w:val="18"/>
          <w:szCs w:val="18"/>
          <w:lang w:val="en-US"/>
        </w:rPr>
        <w:t xml:space="preserve"> best practices </w:t>
      </w:r>
      <w:r w:rsidRPr="00D815C8" w:rsidR="00094164">
        <w:rPr>
          <w:rFonts w:ascii="Verdana" w:hAnsi="Verdana" w:cstheme="minorHAnsi"/>
          <w:sz w:val="18"/>
          <w:szCs w:val="18"/>
          <w:lang w:val="en-US"/>
        </w:rPr>
        <w:t xml:space="preserve">and references to existing standards that companies already use </w:t>
      </w:r>
      <w:r w:rsidRPr="00D815C8" w:rsidR="00580E46">
        <w:rPr>
          <w:rFonts w:ascii="Verdana" w:hAnsi="Verdana" w:cstheme="minorHAnsi"/>
          <w:sz w:val="18"/>
          <w:szCs w:val="18"/>
          <w:lang w:val="en-US"/>
        </w:rPr>
        <w:t xml:space="preserve">can prevent this and ensure </w:t>
      </w:r>
      <w:r w:rsidRPr="00D815C8" w:rsidR="00A16519">
        <w:rPr>
          <w:rFonts w:ascii="Verdana" w:hAnsi="Verdana" w:cstheme="minorHAnsi"/>
          <w:sz w:val="18"/>
          <w:szCs w:val="18"/>
          <w:lang w:val="en-US"/>
        </w:rPr>
        <w:t xml:space="preserve">that </w:t>
      </w:r>
      <w:r w:rsidRPr="00D815C8" w:rsidR="00580E46">
        <w:rPr>
          <w:rFonts w:ascii="Verdana" w:hAnsi="Verdana" w:cstheme="minorHAnsi"/>
          <w:sz w:val="18"/>
          <w:szCs w:val="18"/>
          <w:lang w:val="en-US"/>
        </w:rPr>
        <w:t>the effective impact of the CSDDD in value chains can be increased.</w:t>
      </w:r>
      <w:r w:rsidRPr="00D815C8" w:rsidR="009B5FBB">
        <w:rPr>
          <w:rFonts w:ascii="Verdana" w:hAnsi="Verdana" w:cstheme="minorHAnsi"/>
          <w:sz w:val="18"/>
          <w:szCs w:val="18"/>
          <w:lang w:val="en-US"/>
        </w:rPr>
        <w:t xml:space="preserve"> In particular, the guidelines should provide clarity and alignment, particularly regarding the similarities and differences compared to other standards for information requests, such as the voluntary sustainability reporting standard (VS</w:t>
      </w:r>
      <w:r w:rsidRPr="00D815C8" w:rsidR="00CF6320">
        <w:rPr>
          <w:rFonts w:ascii="Verdana" w:hAnsi="Verdana" w:cstheme="minorHAnsi"/>
          <w:sz w:val="18"/>
          <w:szCs w:val="18"/>
          <w:lang w:val="en-US"/>
        </w:rPr>
        <w:t>ME</w:t>
      </w:r>
      <w:r w:rsidRPr="00D815C8" w:rsidR="009B5FBB">
        <w:rPr>
          <w:rFonts w:ascii="Verdana" w:hAnsi="Verdana" w:cstheme="minorHAnsi"/>
          <w:sz w:val="18"/>
          <w:szCs w:val="18"/>
          <w:lang w:val="en-US"/>
        </w:rPr>
        <w:t>), without prejudice to CSDDD provisions, and while safeguarding the necessary flexibility for companies in line with the risk-based approach enshrined in the CSDDD.</w:t>
      </w:r>
      <w:r w:rsidRPr="00D815C8" w:rsidR="00580E46">
        <w:rPr>
          <w:rFonts w:ascii="Verdana" w:hAnsi="Verdana" w:cstheme="minorHAnsi"/>
          <w:sz w:val="18"/>
          <w:szCs w:val="18"/>
          <w:lang w:val="en-US"/>
        </w:rPr>
        <w:t xml:space="preserve"> </w:t>
      </w:r>
      <w:r w:rsidRPr="00D815C8" w:rsidR="009F6908">
        <w:rPr>
          <w:rFonts w:ascii="Verdana" w:hAnsi="Verdana" w:cstheme="minorHAnsi"/>
          <w:sz w:val="18"/>
          <w:szCs w:val="18"/>
          <w:lang w:val="en-US"/>
        </w:rPr>
        <w:t>In line with the principle of ‘report once, use many times’, the Commission should promote standardi</w:t>
      </w:r>
      <w:r w:rsidRPr="00D815C8" w:rsidR="00A35B1E">
        <w:rPr>
          <w:rFonts w:ascii="Verdana" w:hAnsi="Verdana" w:cstheme="minorHAnsi"/>
          <w:sz w:val="18"/>
          <w:szCs w:val="18"/>
          <w:lang w:val="en-US"/>
        </w:rPr>
        <w:t>z</w:t>
      </w:r>
      <w:r w:rsidRPr="00D815C8" w:rsidR="009F6908">
        <w:rPr>
          <w:rFonts w:ascii="Verdana" w:hAnsi="Verdana" w:cstheme="minorHAnsi"/>
          <w:sz w:val="18"/>
          <w:szCs w:val="18"/>
          <w:lang w:val="en-US"/>
        </w:rPr>
        <w:t xml:space="preserve">ed and interoperable formats for information requests, allowing companies, especially SMEs, to reuse existing information where possible. </w:t>
      </w:r>
    </w:p>
    <w:p w:rsidRPr="00D815C8" w:rsidR="004D28AA" w:rsidP="004D28AA" w:rsidRDefault="00A35B1E" w14:paraId="67BCC31C" w14:textId="5A6506CE">
      <w:pPr>
        <w:pStyle w:val="ListParagraph"/>
        <w:numPr>
          <w:ilvl w:val="0"/>
          <w:numId w:val="7"/>
        </w:numPr>
        <w:rPr>
          <w:rFonts w:ascii="Verdana" w:hAnsi="Verdana" w:cstheme="minorHAnsi"/>
          <w:i/>
          <w:iCs/>
          <w:sz w:val="18"/>
          <w:szCs w:val="18"/>
          <w:lang w:val="en-US"/>
        </w:rPr>
      </w:pPr>
      <w:r w:rsidRPr="00D815C8">
        <w:rPr>
          <w:rFonts w:ascii="Verdana" w:hAnsi="Verdana" w:cstheme="minorHAnsi"/>
          <w:b/>
          <w:bCs/>
          <w:sz w:val="18"/>
          <w:szCs w:val="18"/>
          <w:u w:val="single"/>
          <w:lang w:val="en-US"/>
        </w:rPr>
        <w:t>Digital supporting tools</w:t>
      </w:r>
      <w:r w:rsidRPr="00D815C8">
        <w:rPr>
          <w:rFonts w:ascii="Verdana" w:hAnsi="Verdana" w:cstheme="minorHAnsi"/>
          <w:sz w:val="18"/>
          <w:szCs w:val="18"/>
          <w:u w:val="single"/>
          <w:lang w:val="en-US"/>
        </w:rPr>
        <w:t>:</w:t>
      </w:r>
      <w:r w:rsidRPr="00D815C8">
        <w:rPr>
          <w:rFonts w:ascii="Verdana" w:hAnsi="Verdana" w:cstheme="minorHAnsi"/>
          <w:sz w:val="18"/>
          <w:szCs w:val="18"/>
          <w:lang w:val="en-US"/>
        </w:rPr>
        <w:t xml:space="preserve"> </w:t>
      </w:r>
      <w:r w:rsidRPr="00D815C8" w:rsidR="00733B86">
        <w:rPr>
          <w:rFonts w:ascii="Verdana" w:hAnsi="Verdana" w:cstheme="minorHAnsi"/>
          <w:sz w:val="18"/>
          <w:szCs w:val="18"/>
          <w:lang w:val="en-US"/>
        </w:rPr>
        <w:t>T</w:t>
      </w:r>
      <w:r w:rsidRPr="00D815C8" w:rsidR="004D28AA">
        <w:rPr>
          <w:rFonts w:ascii="Verdana" w:hAnsi="Verdana" w:cstheme="minorHAnsi"/>
          <w:sz w:val="18"/>
          <w:szCs w:val="18"/>
          <w:lang w:val="en-US"/>
        </w:rPr>
        <w:t xml:space="preserve">he Commission </w:t>
      </w:r>
      <w:r w:rsidRPr="00D815C8" w:rsidR="00733B86">
        <w:rPr>
          <w:rFonts w:ascii="Verdana" w:hAnsi="Verdana" w:cstheme="minorHAnsi"/>
          <w:sz w:val="18"/>
          <w:szCs w:val="18"/>
          <w:lang w:val="en-US"/>
        </w:rPr>
        <w:t xml:space="preserve">should also </w:t>
      </w:r>
      <w:r w:rsidRPr="00D815C8" w:rsidR="00493C51">
        <w:rPr>
          <w:rFonts w:ascii="Verdana" w:hAnsi="Verdana" w:cstheme="minorHAnsi"/>
          <w:sz w:val="18"/>
          <w:szCs w:val="18"/>
          <w:lang w:val="en-US"/>
        </w:rPr>
        <w:t xml:space="preserve">stimulate innovation </w:t>
      </w:r>
      <w:r w:rsidRPr="00D815C8" w:rsidR="005F06DA">
        <w:rPr>
          <w:rFonts w:ascii="Verdana" w:hAnsi="Verdana" w:cstheme="minorHAnsi"/>
          <w:sz w:val="18"/>
          <w:szCs w:val="18"/>
          <w:lang w:val="en-US"/>
        </w:rPr>
        <w:t>with</w:t>
      </w:r>
      <w:r w:rsidRPr="00D815C8" w:rsidR="00493C51">
        <w:rPr>
          <w:rFonts w:ascii="Verdana" w:hAnsi="Verdana" w:cstheme="minorHAnsi"/>
          <w:sz w:val="18"/>
          <w:szCs w:val="18"/>
          <w:lang w:val="en-US"/>
        </w:rPr>
        <w:t xml:space="preserve"> regards to (digital) tools,</w:t>
      </w:r>
      <w:r w:rsidRPr="00D815C8" w:rsidR="00733B86">
        <w:rPr>
          <w:rFonts w:ascii="Verdana" w:hAnsi="Verdana" w:cstheme="minorHAnsi"/>
          <w:sz w:val="18"/>
          <w:szCs w:val="18"/>
          <w:lang w:val="en-US"/>
        </w:rPr>
        <w:t xml:space="preserve"> </w:t>
      </w:r>
      <w:r w:rsidRPr="00D815C8" w:rsidR="004D28AA">
        <w:rPr>
          <w:rFonts w:ascii="Verdana" w:hAnsi="Verdana" w:cstheme="minorHAnsi"/>
          <w:sz w:val="18"/>
          <w:szCs w:val="18"/>
          <w:lang w:val="en-US"/>
        </w:rPr>
        <w:t>facilitate reliable, interoperable and open source data systems and infrastructure. This can help</w:t>
      </w:r>
      <w:r w:rsidRPr="00D815C8" w:rsidR="00733B86">
        <w:rPr>
          <w:rFonts w:ascii="Verdana" w:hAnsi="Verdana" w:cstheme="minorHAnsi"/>
          <w:sz w:val="18"/>
          <w:szCs w:val="18"/>
          <w:lang w:val="en-US"/>
        </w:rPr>
        <w:t xml:space="preserve"> companies with the collection of relevant </w:t>
      </w:r>
      <w:r w:rsidRPr="00D815C8" w:rsidR="004D28AA">
        <w:rPr>
          <w:rFonts w:ascii="Verdana" w:hAnsi="Verdana" w:cstheme="minorHAnsi"/>
          <w:sz w:val="18"/>
          <w:szCs w:val="18"/>
          <w:lang w:val="en-US"/>
        </w:rPr>
        <w:t>and reliable information.</w:t>
      </w:r>
    </w:p>
    <w:p w:rsidRPr="00D815C8" w:rsidR="00F0150C" w:rsidP="70DD657E" w:rsidRDefault="00822B57" w14:paraId="38746327" w14:textId="17F40E7C">
      <w:pPr>
        <w:pStyle w:val="ListParagraph"/>
        <w:numPr>
          <w:ilvl w:val="0"/>
          <w:numId w:val="7"/>
        </w:numPr>
        <w:rPr>
          <w:rFonts w:ascii="Verdana" w:hAnsi="Verdana"/>
          <w:sz w:val="18"/>
          <w:szCs w:val="18"/>
          <w:lang w:val="en-US"/>
        </w:rPr>
      </w:pPr>
      <w:r w:rsidRPr="00D815C8">
        <w:rPr>
          <w:rFonts w:ascii="Verdana" w:hAnsi="Verdana"/>
          <w:b/>
          <w:bCs/>
          <w:sz w:val="18"/>
          <w:szCs w:val="18"/>
          <w:u w:val="single"/>
          <w:lang w:val="en-US"/>
        </w:rPr>
        <w:t>Guidance on open norms:</w:t>
      </w:r>
      <w:r w:rsidRPr="00D815C8">
        <w:rPr>
          <w:rFonts w:ascii="Verdana" w:hAnsi="Verdana"/>
          <w:sz w:val="18"/>
          <w:szCs w:val="18"/>
          <w:lang w:val="en-US"/>
        </w:rPr>
        <w:t xml:space="preserve"> </w:t>
      </w:r>
      <w:r w:rsidRPr="00D815C8" w:rsidR="70DD657E">
        <w:rPr>
          <w:rFonts w:ascii="Verdana" w:hAnsi="Verdana"/>
          <w:sz w:val="18"/>
          <w:szCs w:val="18"/>
          <w:lang w:val="en-US"/>
        </w:rPr>
        <w:t>The guidelines should provide guidance to ensure clarification of various open norms and definitions subject to varying interpretation included in the CSDDD. It is essential that this is done at EU-level to ensure uniform interpretation in view of a level playing field and</w:t>
      </w:r>
      <w:r w:rsidRPr="00D815C8" w:rsidR="00AA6EB2">
        <w:rPr>
          <w:rFonts w:ascii="Verdana" w:hAnsi="Verdana"/>
          <w:sz w:val="18"/>
          <w:szCs w:val="18"/>
          <w:lang w:val="en-US"/>
        </w:rPr>
        <w:t xml:space="preserve"> uniform</w:t>
      </w:r>
      <w:r w:rsidRPr="00D815C8" w:rsidR="70DD657E">
        <w:rPr>
          <w:rFonts w:ascii="Verdana" w:hAnsi="Verdana"/>
          <w:sz w:val="18"/>
          <w:szCs w:val="18"/>
          <w:lang w:val="en-US"/>
        </w:rPr>
        <w:t xml:space="preserve"> supervision</w:t>
      </w:r>
      <w:r w:rsidRPr="00D815C8" w:rsidR="0033297B">
        <w:rPr>
          <w:rFonts w:ascii="Verdana" w:hAnsi="Verdana"/>
          <w:sz w:val="18"/>
          <w:szCs w:val="18"/>
          <w:lang w:val="en-US"/>
        </w:rPr>
        <w:t>, while also allowing sufficient flexibility for companies.</w:t>
      </w:r>
      <w:r w:rsidRPr="00D815C8" w:rsidR="70DD657E">
        <w:rPr>
          <w:rFonts w:ascii="Verdana" w:hAnsi="Verdana"/>
          <w:sz w:val="18"/>
          <w:szCs w:val="18"/>
          <w:lang w:val="en-US"/>
        </w:rPr>
        <w:t xml:space="preserve"> </w:t>
      </w:r>
    </w:p>
    <w:p w:rsidRPr="00D815C8" w:rsidR="00D311C8" w:rsidP="00C57DC6" w:rsidRDefault="00D311C8" w14:paraId="240E241A" w14:textId="3C39AA8F">
      <w:pPr>
        <w:rPr>
          <w:rFonts w:ascii="Verdana" w:hAnsi="Verdana" w:cstheme="minorHAnsi"/>
          <w:i/>
          <w:iCs/>
          <w:sz w:val="18"/>
          <w:szCs w:val="18"/>
          <w:lang w:val="en-US"/>
        </w:rPr>
      </w:pPr>
      <w:r w:rsidRPr="00D815C8">
        <w:rPr>
          <w:rFonts w:ascii="Verdana" w:hAnsi="Verdana" w:cstheme="minorHAnsi"/>
          <w:i/>
          <w:iCs/>
          <w:sz w:val="18"/>
          <w:szCs w:val="18"/>
          <w:lang w:val="en-US"/>
        </w:rPr>
        <w:t>CSDDD implementation</w:t>
      </w:r>
    </w:p>
    <w:p w:rsidRPr="00D815C8" w:rsidR="009F6908" w:rsidP="009F6908" w:rsidRDefault="009F6908" w14:paraId="28F23793" w14:textId="39212735">
      <w:pPr>
        <w:pStyle w:val="ListParagraph"/>
        <w:numPr>
          <w:ilvl w:val="0"/>
          <w:numId w:val="6"/>
        </w:numPr>
        <w:rPr>
          <w:rFonts w:ascii="Verdana" w:hAnsi="Verdana" w:cstheme="minorHAnsi"/>
          <w:sz w:val="18"/>
          <w:szCs w:val="18"/>
          <w:lang w:val="en-GB"/>
        </w:rPr>
      </w:pPr>
      <w:r w:rsidRPr="00D815C8">
        <w:rPr>
          <w:rFonts w:ascii="Verdana" w:hAnsi="Verdana" w:cstheme="minorHAnsi"/>
          <w:b/>
          <w:bCs/>
          <w:sz w:val="18"/>
          <w:szCs w:val="18"/>
          <w:u w:val="single"/>
          <w:lang w:val="en-GB"/>
        </w:rPr>
        <w:t>Uniform and burden-light transposition:</w:t>
      </w:r>
      <w:r w:rsidRPr="00D815C8">
        <w:rPr>
          <w:rFonts w:ascii="Verdana" w:hAnsi="Verdana" w:cstheme="minorHAnsi"/>
          <w:b/>
          <w:bCs/>
          <w:sz w:val="18"/>
          <w:szCs w:val="18"/>
          <w:lang w:val="en-GB"/>
        </w:rPr>
        <w:t xml:space="preserve"> </w:t>
      </w:r>
      <w:r w:rsidRPr="00D815C8">
        <w:rPr>
          <w:rFonts w:ascii="Verdana" w:hAnsi="Verdana" w:cstheme="minorHAnsi"/>
          <w:sz w:val="18"/>
          <w:szCs w:val="18"/>
          <w:lang w:val="en-US"/>
        </w:rPr>
        <w:t>The Commission should support Member States in a uniform and burden-light transposition of the Directive, including through early Q&amp;A documents, transposition guidance and exchange of best practices. This should help prevent fragmentation</w:t>
      </w:r>
      <w:r w:rsidRPr="00D815C8" w:rsidR="00C37078">
        <w:rPr>
          <w:rFonts w:ascii="Verdana" w:hAnsi="Verdana" w:cstheme="minorHAnsi"/>
          <w:sz w:val="18"/>
          <w:szCs w:val="18"/>
          <w:lang w:val="en-US"/>
        </w:rPr>
        <w:t xml:space="preserve"> </w:t>
      </w:r>
      <w:r w:rsidRPr="00D815C8">
        <w:rPr>
          <w:rFonts w:ascii="Verdana" w:hAnsi="Verdana" w:cstheme="minorHAnsi"/>
          <w:sz w:val="18"/>
          <w:szCs w:val="18"/>
          <w:lang w:val="en-US"/>
        </w:rPr>
        <w:t>and diverging supervisory practices across the internal market.</w:t>
      </w:r>
    </w:p>
    <w:p w:rsidRPr="00D815C8" w:rsidR="00A34040" w:rsidP="004A602D" w:rsidRDefault="00822B57" w14:paraId="25F4D2D1" w14:textId="61705B75">
      <w:pPr>
        <w:pStyle w:val="ListParagraph"/>
        <w:numPr>
          <w:ilvl w:val="0"/>
          <w:numId w:val="6"/>
        </w:numPr>
        <w:rPr>
          <w:rFonts w:ascii="Verdana" w:hAnsi="Verdana" w:cstheme="minorHAnsi"/>
          <w:sz w:val="18"/>
          <w:szCs w:val="18"/>
          <w:lang w:val="en-GB"/>
        </w:rPr>
      </w:pPr>
      <w:r w:rsidRPr="00D815C8">
        <w:rPr>
          <w:rFonts w:ascii="Verdana" w:hAnsi="Verdana" w:cstheme="minorHAnsi"/>
          <w:b/>
          <w:bCs/>
          <w:sz w:val="18"/>
          <w:szCs w:val="18"/>
          <w:u w:val="single"/>
          <w:lang w:val="en-GB"/>
        </w:rPr>
        <w:t>The European Network of Supervisory Authorities:</w:t>
      </w:r>
      <w:r w:rsidRPr="00D815C8">
        <w:rPr>
          <w:rFonts w:ascii="Verdana" w:hAnsi="Verdana" w:cstheme="minorHAnsi"/>
          <w:b/>
          <w:bCs/>
          <w:sz w:val="18"/>
          <w:szCs w:val="18"/>
          <w:lang w:val="en-GB"/>
        </w:rPr>
        <w:t xml:space="preserve"> </w:t>
      </w:r>
      <w:r w:rsidRPr="00D815C8" w:rsidR="009B235C">
        <w:rPr>
          <w:rFonts w:ascii="Verdana" w:hAnsi="Verdana" w:cstheme="minorHAnsi"/>
          <w:sz w:val="18"/>
          <w:szCs w:val="18"/>
          <w:lang w:val="en-GB"/>
        </w:rPr>
        <w:t>We</w:t>
      </w:r>
      <w:r w:rsidRPr="00D815C8" w:rsidR="00565894">
        <w:rPr>
          <w:rFonts w:ascii="Verdana" w:hAnsi="Verdana" w:cstheme="minorHAnsi"/>
          <w:sz w:val="18"/>
          <w:szCs w:val="18"/>
          <w:lang w:val="en-GB"/>
        </w:rPr>
        <w:t xml:space="preserve"> also encourage </w:t>
      </w:r>
      <w:r w:rsidRPr="00D815C8" w:rsidR="00AA6EB2">
        <w:rPr>
          <w:rFonts w:ascii="Verdana" w:hAnsi="Verdana" w:cstheme="minorHAnsi"/>
          <w:sz w:val="18"/>
          <w:szCs w:val="18"/>
          <w:lang w:val="en-GB"/>
        </w:rPr>
        <w:t>uniform</w:t>
      </w:r>
      <w:r w:rsidRPr="00D815C8" w:rsidR="00565894">
        <w:rPr>
          <w:rFonts w:ascii="Verdana" w:hAnsi="Verdana" w:cstheme="minorHAnsi"/>
          <w:sz w:val="18"/>
          <w:szCs w:val="18"/>
          <w:lang w:val="en-GB"/>
        </w:rPr>
        <w:t xml:space="preserve"> </w:t>
      </w:r>
      <w:r w:rsidRPr="00D815C8" w:rsidR="0033297B">
        <w:rPr>
          <w:rFonts w:ascii="Verdana" w:hAnsi="Verdana" w:cstheme="minorHAnsi"/>
          <w:sz w:val="18"/>
          <w:szCs w:val="18"/>
          <w:lang w:val="en-GB"/>
        </w:rPr>
        <w:t xml:space="preserve">standards of </w:t>
      </w:r>
      <w:r w:rsidRPr="00D815C8" w:rsidR="00565894">
        <w:rPr>
          <w:rFonts w:ascii="Verdana" w:hAnsi="Verdana" w:cstheme="minorHAnsi"/>
          <w:sz w:val="18"/>
          <w:szCs w:val="18"/>
          <w:lang w:val="en-GB"/>
        </w:rPr>
        <w:t>enforcemen</w:t>
      </w:r>
      <w:r w:rsidRPr="00D815C8" w:rsidR="005F6B91">
        <w:rPr>
          <w:rFonts w:ascii="Verdana" w:hAnsi="Verdana" w:cstheme="minorHAnsi"/>
          <w:sz w:val="18"/>
          <w:szCs w:val="18"/>
          <w:lang w:val="en-GB"/>
        </w:rPr>
        <w:t>t</w:t>
      </w:r>
      <w:r w:rsidRPr="00D815C8" w:rsidR="00565894">
        <w:rPr>
          <w:rFonts w:ascii="Verdana" w:hAnsi="Verdana" w:cstheme="minorHAnsi"/>
          <w:sz w:val="18"/>
          <w:szCs w:val="18"/>
          <w:lang w:val="en-GB"/>
        </w:rPr>
        <w:t xml:space="preserve">, by encouraging the Commission to set up the </w:t>
      </w:r>
      <w:r w:rsidRPr="00D815C8" w:rsidR="005F6B91">
        <w:rPr>
          <w:rFonts w:ascii="Verdana" w:hAnsi="Verdana" w:cstheme="minorHAnsi"/>
          <w:sz w:val="18"/>
          <w:szCs w:val="18"/>
          <w:lang w:val="en-GB"/>
        </w:rPr>
        <w:t>EU network</w:t>
      </w:r>
      <w:r w:rsidRPr="00D815C8" w:rsidR="00565894">
        <w:rPr>
          <w:rFonts w:ascii="Verdana" w:hAnsi="Verdana" w:cstheme="minorHAnsi"/>
          <w:sz w:val="18"/>
          <w:szCs w:val="18"/>
          <w:lang w:val="en-GB"/>
        </w:rPr>
        <w:t xml:space="preserve"> of supervisory authorities</w:t>
      </w:r>
      <w:r w:rsidRPr="00D815C8" w:rsidR="00615245">
        <w:rPr>
          <w:rFonts w:ascii="Verdana" w:hAnsi="Verdana" w:cstheme="minorHAnsi"/>
          <w:sz w:val="18"/>
          <w:szCs w:val="18"/>
          <w:lang w:val="en-GB"/>
        </w:rPr>
        <w:t>, foreseen in the directive,</w:t>
      </w:r>
      <w:r w:rsidRPr="00D815C8" w:rsidR="00565894">
        <w:rPr>
          <w:rFonts w:ascii="Verdana" w:hAnsi="Verdana" w:cstheme="minorHAnsi"/>
          <w:sz w:val="18"/>
          <w:szCs w:val="18"/>
          <w:lang w:val="en-GB"/>
        </w:rPr>
        <w:t xml:space="preserve"> as early as possible. This will </w:t>
      </w:r>
      <w:r w:rsidRPr="00D815C8" w:rsidR="00D905F7">
        <w:rPr>
          <w:rFonts w:ascii="Verdana" w:hAnsi="Verdana" w:cstheme="minorHAnsi"/>
          <w:sz w:val="18"/>
          <w:szCs w:val="18"/>
          <w:lang w:val="en-GB"/>
        </w:rPr>
        <w:t xml:space="preserve">contribute </w:t>
      </w:r>
      <w:r w:rsidRPr="00D815C8" w:rsidR="00565894">
        <w:rPr>
          <w:rFonts w:ascii="Verdana" w:hAnsi="Verdana" w:cstheme="minorHAnsi"/>
          <w:sz w:val="18"/>
          <w:szCs w:val="18"/>
          <w:lang w:val="en-GB"/>
        </w:rPr>
        <w:t xml:space="preserve">to </w:t>
      </w:r>
      <w:r w:rsidRPr="00D815C8" w:rsidR="00AA6EB2">
        <w:rPr>
          <w:rFonts w:ascii="Verdana" w:hAnsi="Verdana" w:cstheme="minorHAnsi"/>
          <w:sz w:val="18"/>
          <w:szCs w:val="18"/>
          <w:lang w:val="en-GB"/>
        </w:rPr>
        <w:t xml:space="preserve">uniform </w:t>
      </w:r>
      <w:r w:rsidRPr="00D815C8" w:rsidR="00565894">
        <w:rPr>
          <w:rFonts w:ascii="Verdana" w:hAnsi="Verdana" w:cstheme="minorHAnsi"/>
          <w:sz w:val="18"/>
          <w:szCs w:val="18"/>
          <w:lang w:val="en-GB"/>
        </w:rPr>
        <w:t>supervision and enforcement strategies amongst EU members states and a level playing field</w:t>
      </w:r>
      <w:r w:rsidRPr="00D815C8" w:rsidR="005F6B91">
        <w:rPr>
          <w:rFonts w:ascii="Verdana" w:hAnsi="Verdana" w:cstheme="minorHAnsi"/>
          <w:sz w:val="18"/>
          <w:szCs w:val="18"/>
          <w:lang w:val="en-GB"/>
        </w:rPr>
        <w:t>.</w:t>
      </w:r>
    </w:p>
    <w:p w:rsidRPr="00D815C8" w:rsidR="00362C68" w:rsidP="004A602D" w:rsidRDefault="00362C68" w14:paraId="44C28413" w14:textId="76258B84">
      <w:pPr>
        <w:pStyle w:val="ListParagraph"/>
        <w:numPr>
          <w:ilvl w:val="0"/>
          <w:numId w:val="6"/>
        </w:numPr>
        <w:rPr>
          <w:rFonts w:ascii="Verdana" w:hAnsi="Verdana" w:cstheme="minorHAnsi"/>
          <w:sz w:val="18"/>
          <w:szCs w:val="18"/>
          <w:lang w:val="en-GB"/>
        </w:rPr>
      </w:pPr>
      <w:r w:rsidRPr="00D815C8">
        <w:rPr>
          <w:rFonts w:ascii="Verdana" w:hAnsi="Verdana" w:cstheme="minorHAnsi"/>
          <w:b/>
          <w:bCs/>
          <w:sz w:val="18"/>
          <w:szCs w:val="18"/>
          <w:u w:val="single"/>
          <w:lang w:val="en-GB"/>
        </w:rPr>
        <w:t>Identification of in-scope franchises and third-country companies:</w:t>
      </w:r>
      <w:r w:rsidRPr="00D815C8">
        <w:rPr>
          <w:rFonts w:ascii="Verdana" w:hAnsi="Verdana" w:cstheme="minorHAnsi"/>
          <w:sz w:val="18"/>
          <w:szCs w:val="18"/>
          <w:lang w:val="en-GB"/>
        </w:rPr>
        <w:t xml:space="preserve"> In order to ensure effective supervision of companies under CSDDD as well as their preparedness for new obligations, the European Commission should lead efforts in mapping and targeting in-scope franchises and third-country companies</w:t>
      </w:r>
      <w:r w:rsidRPr="00D815C8" w:rsidR="002D5751">
        <w:rPr>
          <w:rFonts w:ascii="Verdana" w:hAnsi="Verdana" w:cstheme="minorHAnsi"/>
          <w:sz w:val="18"/>
          <w:szCs w:val="18"/>
          <w:lang w:val="en-GB"/>
        </w:rPr>
        <w:t xml:space="preserve">. This will help those companies prepare to comply with the CSDDD </w:t>
      </w:r>
      <w:r w:rsidRPr="00D815C8">
        <w:rPr>
          <w:rFonts w:ascii="Verdana" w:hAnsi="Verdana" w:cstheme="minorHAnsi"/>
          <w:sz w:val="18"/>
          <w:szCs w:val="18"/>
          <w:lang w:val="en-GB"/>
        </w:rPr>
        <w:t>implement it in their specific business context.</w:t>
      </w:r>
    </w:p>
    <w:p w:rsidRPr="00D815C8" w:rsidR="00D311C8" w:rsidP="00B6758D" w:rsidRDefault="00D03E8C" w14:paraId="78BC6D7B" w14:textId="119E87C3">
      <w:pPr>
        <w:pStyle w:val="ListParagraph"/>
        <w:numPr>
          <w:ilvl w:val="0"/>
          <w:numId w:val="6"/>
        </w:numPr>
        <w:rPr>
          <w:rFonts w:ascii="Verdana" w:hAnsi="Verdana" w:cstheme="minorHAnsi"/>
          <w:sz w:val="18"/>
          <w:szCs w:val="18"/>
          <w:lang w:val="en-GB"/>
        </w:rPr>
      </w:pPr>
      <w:r w:rsidRPr="00D815C8">
        <w:rPr>
          <w:rFonts w:ascii="Verdana" w:hAnsi="Verdana"/>
          <w:b/>
          <w:bCs/>
          <w:sz w:val="18"/>
          <w:szCs w:val="18"/>
          <w:u w:val="single"/>
          <w:lang w:val="en-US"/>
        </w:rPr>
        <w:t>Engagement with third countries:</w:t>
      </w:r>
      <w:r w:rsidRPr="00D815C8">
        <w:rPr>
          <w:rFonts w:ascii="Verdana" w:hAnsi="Verdana"/>
          <w:sz w:val="18"/>
          <w:szCs w:val="18"/>
          <w:lang w:val="en-US"/>
        </w:rPr>
        <w:t xml:space="preserve"> </w:t>
      </w:r>
      <w:r w:rsidRPr="00D815C8" w:rsidR="00A34040">
        <w:rPr>
          <w:rFonts w:ascii="Verdana" w:hAnsi="Verdana" w:cstheme="minorHAnsi"/>
          <w:sz w:val="18"/>
          <w:szCs w:val="18"/>
          <w:lang w:val="en-GB"/>
        </w:rPr>
        <w:t xml:space="preserve">During </w:t>
      </w:r>
      <w:r w:rsidRPr="00D815C8" w:rsidR="00610995">
        <w:rPr>
          <w:rFonts w:ascii="Verdana" w:hAnsi="Verdana" w:cstheme="minorHAnsi"/>
          <w:sz w:val="18"/>
          <w:szCs w:val="18"/>
          <w:lang w:val="en-GB"/>
        </w:rPr>
        <w:t>the</w:t>
      </w:r>
      <w:r w:rsidRPr="00D815C8" w:rsidR="00A34040">
        <w:rPr>
          <w:rFonts w:ascii="Verdana" w:hAnsi="Verdana" w:cstheme="minorHAnsi"/>
          <w:sz w:val="18"/>
          <w:szCs w:val="18"/>
          <w:lang w:val="en-GB"/>
        </w:rPr>
        <w:t xml:space="preserve"> CSDDD</w:t>
      </w:r>
      <w:r w:rsidRPr="00D815C8" w:rsidR="00D03B4E">
        <w:rPr>
          <w:rFonts w:ascii="Verdana" w:hAnsi="Verdana" w:cstheme="minorHAnsi"/>
          <w:sz w:val="18"/>
          <w:szCs w:val="18"/>
          <w:lang w:val="en-GB"/>
        </w:rPr>
        <w:t xml:space="preserve"> </w:t>
      </w:r>
      <w:r w:rsidRPr="00D815C8" w:rsidR="00A34040">
        <w:rPr>
          <w:rFonts w:ascii="Verdana" w:hAnsi="Verdana" w:cstheme="minorHAnsi"/>
          <w:sz w:val="18"/>
          <w:szCs w:val="18"/>
          <w:lang w:val="en-GB"/>
        </w:rPr>
        <w:t xml:space="preserve">negotiations, </w:t>
      </w:r>
      <w:r w:rsidRPr="00D815C8" w:rsidR="0033297B">
        <w:rPr>
          <w:rFonts w:ascii="Verdana" w:hAnsi="Verdana" w:cstheme="minorHAnsi"/>
          <w:sz w:val="18"/>
          <w:szCs w:val="18"/>
          <w:lang w:val="en-GB"/>
        </w:rPr>
        <w:t>we have</w:t>
      </w:r>
      <w:r w:rsidRPr="00D815C8" w:rsidR="00A34040">
        <w:rPr>
          <w:rFonts w:ascii="Verdana" w:hAnsi="Verdana" w:cstheme="minorHAnsi"/>
          <w:sz w:val="18"/>
          <w:szCs w:val="18"/>
          <w:lang w:val="en-GB"/>
        </w:rPr>
        <w:t xml:space="preserve"> called on the Commission and EEAS to proactively engage with partner countries to </w:t>
      </w:r>
      <w:r w:rsidRPr="00D815C8" w:rsidR="00D03B4E">
        <w:rPr>
          <w:rFonts w:ascii="Verdana" w:hAnsi="Verdana" w:cstheme="minorHAnsi"/>
          <w:sz w:val="18"/>
          <w:szCs w:val="18"/>
          <w:lang w:val="en-GB"/>
        </w:rPr>
        <w:t xml:space="preserve">discuss </w:t>
      </w:r>
      <w:r w:rsidRPr="00D815C8" w:rsidR="00A34040">
        <w:rPr>
          <w:rFonts w:ascii="Verdana" w:hAnsi="Verdana" w:cstheme="minorHAnsi"/>
          <w:sz w:val="18"/>
          <w:szCs w:val="18"/>
          <w:lang w:val="en-GB"/>
        </w:rPr>
        <w:t xml:space="preserve">the </w:t>
      </w:r>
      <w:r w:rsidRPr="00D815C8" w:rsidR="00A34040">
        <w:rPr>
          <w:rFonts w:ascii="Verdana" w:hAnsi="Verdana" w:cstheme="minorHAnsi"/>
          <w:sz w:val="18"/>
          <w:szCs w:val="18"/>
          <w:lang w:val="en-GB"/>
        </w:rPr>
        <w:lastRenderedPageBreak/>
        <w:t>CSDDD, to clear up misunderstandings, and explore collaborative approaches in order to maximise positive impact, including through development policies. Reaching out to trade partners remains of importance</w:t>
      </w:r>
      <w:r w:rsidRPr="00D815C8" w:rsidR="009E2521">
        <w:rPr>
          <w:rFonts w:ascii="Verdana" w:hAnsi="Verdana" w:cstheme="minorHAnsi"/>
          <w:sz w:val="18"/>
          <w:szCs w:val="18"/>
          <w:lang w:val="en-GB"/>
        </w:rPr>
        <w:t>, also to those countries critical of the CSDDD</w:t>
      </w:r>
      <w:r w:rsidRPr="00D815C8" w:rsidR="00EA2173">
        <w:rPr>
          <w:rFonts w:ascii="Verdana" w:hAnsi="Verdana" w:cstheme="minorHAnsi"/>
          <w:sz w:val="18"/>
          <w:szCs w:val="18"/>
          <w:lang w:val="en-GB"/>
        </w:rPr>
        <w:t>.</w:t>
      </w:r>
      <w:r w:rsidRPr="00D815C8" w:rsidR="00A34040">
        <w:rPr>
          <w:rFonts w:ascii="Verdana" w:hAnsi="Verdana" w:cstheme="minorHAnsi"/>
          <w:sz w:val="18"/>
          <w:szCs w:val="18"/>
          <w:lang w:val="en-GB"/>
        </w:rPr>
        <w:t xml:space="preserve"> Member states can support these efforts </w:t>
      </w:r>
      <w:r w:rsidRPr="00D815C8" w:rsidR="004A602D">
        <w:rPr>
          <w:rFonts w:ascii="Verdana" w:hAnsi="Verdana" w:cstheme="minorHAnsi"/>
          <w:sz w:val="18"/>
          <w:szCs w:val="18"/>
          <w:lang w:val="en-GB"/>
        </w:rPr>
        <w:t>and en</w:t>
      </w:r>
      <w:r w:rsidRPr="00D815C8" w:rsidR="00A34040">
        <w:rPr>
          <w:rFonts w:ascii="Verdana" w:hAnsi="Verdana" w:cstheme="minorHAnsi"/>
          <w:sz w:val="18"/>
          <w:szCs w:val="18"/>
          <w:lang w:val="en-GB"/>
        </w:rPr>
        <w:t xml:space="preserve">sure </w:t>
      </w:r>
      <w:r w:rsidRPr="00D815C8" w:rsidR="004A602D">
        <w:rPr>
          <w:rFonts w:ascii="Verdana" w:hAnsi="Verdana" w:cstheme="minorHAnsi"/>
          <w:sz w:val="18"/>
          <w:szCs w:val="18"/>
          <w:lang w:val="en-GB"/>
        </w:rPr>
        <w:t xml:space="preserve">that </w:t>
      </w:r>
      <w:r w:rsidRPr="00D815C8" w:rsidR="00A34040">
        <w:rPr>
          <w:rFonts w:ascii="Verdana" w:hAnsi="Verdana" w:cstheme="minorHAnsi"/>
          <w:sz w:val="18"/>
          <w:szCs w:val="18"/>
          <w:lang w:val="en-GB"/>
        </w:rPr>
        <w:t>the EU sends a coherent message and extends a hand of partnership to our trading partners.</w:t>
      </w:r>
    </w:p>
    <w:p w:rsidRPr="00D815C8" w:rsidR="00D03E8C" w:rsidP="00D03E8C" w:rsidRDefault="00D03E8C" w14:paraId="2E172D34" w14:textId="52CCA86C">
      <w:pPr>
        <w:pStyle w:val="ListParagraph"/>
        <w:numPr>
          <w:ilvl w:val="0"/>
          <w:numId w:val="6"/>
        </w:numPr>
        <w:rPr>
          <w:rFonts w:ascii="Verdana" w:hAnsi="Verdana"/>
          <w:sz w:val="18"/>
          <w:szCs w:val="18"/>
          <w:lang w:val="en-US"/>
        </w:rPr>
      </w:pPr>
      <w:r w:rsidRPr="00D815C8">
        <w:rPr>
          <w:rFonts w:ascii="Verdana" w:hAnsi="Verdana"/>
          <w:sz w:val="18"/>
          <w:szCs w:val="18"/>
          <w:lang w:val="en-US"/>
        </w:rPr>
        <w:t>In order to build further support for the CSDDD and its implementation in partner countries, it is crucial that the EU and its member states discuss RBC policy and laws with production countries, and that they adopt accompanying measures to assist countries with making value chains more sustainable. We point to the OECD Inclusive Platform on Due Diligence Policy Cooperation as an excellent forum to bring together government officials from OECD and partner countries to discuss coherent and effective RBC policies and laws.</w:t>
      </w:r>
    </w:p>
    <w:p w:rsidRPr="00D815C8" w:rsidR="00B6758D" w:rsidP="000F00DD" w:rsidRDefault="00822B57" w14:paraId="6718A0EF" w14:textId="55DDE771">
      <w:pPr>
        <w:pStyle w:val="ListParagraph"/>
        <w:numPr>
          <w:ilvl w:val="0"/>
          <w:numId w:val="6"/>
        </w:numPr>
        <w:rPr>
          <w:rFonts w:ascii="Verdana" w:hAnsi="Verdana"/>
          <w:sz w:val="18"/>
          <w:szCs w:val="18"/>
          <w:lang w:val="en-US"/>
        </w:rPr>
      </w:pPr>
      <w:r w:rsidRPr="00D815C8">
        <w:rPr>
          <w:rFonts w:ascii="Verdana" w:hAnsi="Verdana"/>
          <w:b/>
          <w:bCs/>
          <w:sz w:val="18"/>
          <w:szCs w:val="18"/>
          <w:u w:val="single"/>
          <w:lang w:val="en-US"/>
        </w:rPr>
        <w:t>Ensuring Coherent Alignment Between National and EU-Level Support Structures/tools:</w:t>
      </w:r>
      <w:r w:rsidRPr="00D815C8">
        <w:rPr>
          <w:rFonts w:ascii="Verdana" w:hAnsi="Verdana"/>
          <w:b/>
          <w:bCs/>
          <w:sz w:val="18"/>
          <w:szCs w:val="18"/>
          <w:lang w:val="en-US"/>
        </w:rPr>
        <w:t xml:space="preserve"> </w:t>
      </w:r>
      <w:r w:rsidRPr="00D815C8" w:rsidR="00D03E8C">
        <w:rPr>
          <w:rFonts w:ascii="Verdana" w:hAnsi="Verdana"/>
          <w:sz w:val="18"/>
          <w:szCs w:val="18"/>
          <w:lang w:val="en-GB"/>
        </w:rPr>
        <w:t>Lastly, w</w:t>
      </w:r>
      <w:r w:rsidRPr="00D815C8" w:rsidR="009B235C">
        <w:rPr>
          <w:rFonts w:ascii="Verdana" w:hAnsi="Verdana"/>
          <w:sz w:val="18"/>
          <w:szCs w:val="18"/>
          <w:lang w:val="en-GB"/>
        </w:rPr>
        <w:t>e welcome</w:t>
      </w:r>
      <w:r w:rsidRPr="00D815C8" w:rsidR="00580E46">
        <w:rPr>
          <w:rFonts w:ascii="Verdana" w:hAnsi="Verdana"/>
          <w:sz w:val="18"/>
          <w:szCs w:val="18"/>
          <w:lang w:val="en-GB"/>
        </w:rPr>
        <w:t xml:space="preserve"> the</w:t>
      </w:r>
      <w:r w:rsidRPr="00D815C8" w:rsidR="005E7C6A">
        <w:rPr>
          <w:rFonts w:ascii="Verdana" w:hAnsi="Verdana"/>
          <w:sz w:val="18"/>
          <w:szCs w:val="18"/>
          <w:lang w:val="en-GB"/>
        </w:rPr>
        <w:t xml:space="preserve"> Team Europe Initiative on Sustainable Value Chains</w:t>
      </w:r>
      <w:r w:rsidRPr="00D815C8" w:rsidR="00580E46">
        <w:rPr>
          <w:rFonts w:ascii="Verdana" w:hAnsi="Verdana"/>
          <w:sz w:val="18"/>
          <w:szCs w:val="18"/>
          <w:lang w:val="en-GB"/>
        </w:rPr>
        <w:t>, as well as the launch of the</w:t>
      </w:r>
      <w:r w:rsidRPr="00D815C8" w:rsidR="005E7C6A">
        <w:rPr>
          <w:rFonts w:ascii="Verdana" w:hAnsi="Verdana"/>
          <w:sz w:val="18"/>
          <w:szCs w:val="18"/>
          <w:lang w:val="en-GB"/>
        </w:rPr>
        <w:t xml:space="preserve"> EU Due Diligence Navigator</w:t>
      </w:r>
      <w:r w:rsidRPr="00D815C8" w:rsidR="006E4929">
        <w:rPr>
          <w:rFonts w:ascii="Verdana" w:hAnsi="Verdana"/>
          <w:sz w:val="18"/>
          <w:szCs w:val="18"/>
          <w:lang w:val="en-GB"/>
        </w:rPr>
        <w:t xml:space="preserve"> and the EU Due Diligence Portal</w:t>
      </w:r>
      <w:r w:rsidRPr="00D815C8">
        <w:rPr>
          <w:rFonts w:ascii="Verdana" w:hAnsi="Verdana"/>
          <w:sz w:val="18"/>
          <w:szCs w:val="18"/>
          <w:lang w:val="en-GB"/>
        </w:rPr>
        <w:t xml:space="preserve"> and future initiatives</w:t>
      </w:r>
      <w:r w:rsidRPr="00D815C8" w:rsidR="00362C68">
        <w:rPr>
          <w:rFonts w:ascii="Verdana" w:hAnsi="Verdana"/>
          <w:sz w:val="18"/>
          <w:szCs w:val="18"/>
          <w:lang w:val="en-GB"/>
        </w:rPr>
        <w:t>.</w:t>
      </w:r>
      <w:r w:rsidRPr="00D815C8" w:rsidR="00580E46">
        <w:rPr>
          <w:rFonts w:ascii="Verdana" w:hAnsi="Verdana"/>
          <w:sz w:val="18"/>
          <w:szCs w:val="18"/>
          <w:lang w:val="en-GB"/>
        </w:rPr>
        <w:t xml:space="preserve"> </w:t>
      </w:r>
      <w:r w:rsidRPr="00D815C8" w:rsidR="00580E46">
        <w:rPr>
          <w:rFonts w:ascii="Verdana" w:hAnsi="Verdana"/>
          <w:sz w:val="18"/>
          <w:szCs w:val="18"/>
          <w:lang w:val="en-US"/>
        </w:rPr>
        <w:t xml:space="preserve">It remains important that different national and EU helpdesks are aligned. </w:t>
      </w:r>
      <w:r w:rsidRPr="00D815C8" w:rsidR="005E7C6A">
        <w:rPr>
          <w:rFonts w:ascii="Verdana" w:hAnsi="Verdana"/>
          <w:sz w:val="18"/>
          <w:szCs w:val="18"/>
          <w:lang w:val="en-US"/>
        </w:rPr>
        <w:t xml:space="preserve"> </w:t>
      </w:r>
    </w:p>
    <w:sectPr w:rsidRPr="00D815C8" w:rsidR="00B6758D" w:rsidSect="009A6058">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1ED67F" w14:textId="77777777" w:rsidR="00D815C8" w:rsidRDefault="00D815C8" w:rsidP="00D815C8">
      <w:pPr>
        <w:spacing w:after="0" w:line="240" w:lineRule="auto"/>
      </w:pPr>
      <w:r>
        <w:separator/>
      </w:r>
    </w:p>
  </w:endnote>
  <w:endnote w:type="continuationSeparator" w:id="0">
    <w:p w14:paraId="795BAAA3" w14:textId="77777777" w:rsidR="00D815C8" w:rsidRDefault="00D815C8" w:rsidP="00D815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A7C77" w14:textId="77777777" w:rsidR="00D815C8" w:rsidRDefault="00D815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7374630"/>
      <w:docPartObj>
        <w:docPartGallery w:val="Page Numbers (Bottom of Page)"/>
        <w:docPartUnique/>
      </w:docPartObj>
    </w:sdtPr>
    <w:sdtContent>
      <w:p w14:paraId="20C72815" w14:textId="66F4DA38" w:rsidR="00D815C8" w:rsidRDefault="00D815C8">
        <w:pPr>
          <w:pStyle w:val="Footer"/>
          <w:jc w:val="center"/>
        </w:pPr>
        <w:r>
          <w:fldChar w:fldCharType="begin"/>
        </w:r>
        <w:r>
          <w:instrText>PAGE   \* MERGEFORMAT</w:instrText>
        </w:r>
        <w:r>
          <w:fldChar w:fldCharType="separate"/>
        </w:r>
        <w:r>
          <w:t>2</w:t>
        </w:r>
        <w:r>
          <w:fldChar w:fldCharType="end"/>
        </w:r>
      </w:p>
    </w:sdtContent>
  </w:sdt>
  <w:p w14:paraId="564967E3" w14:textId="77777777" w:rsidR="00D815C8" w:rsidRDefault="00D815C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8EA54" w14:textId="77777777" w:rsidR="00D815C8" w:rsidRDefault="00D815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1E95DA" w14:textId="77777777" w:rsidR="00D815C8" w:rsidRDefault="00D815C8" w:rsidP="00D815C8">
      <w:pPr>
        <w:spacing w:after="0" w:line="240" w:lineRule="auto"/>
      </w:pPr>
      <w:r>
        <w:separator/>
      </w:r>
    </w:p>
  </w:footnote>
  <w:footnote w:type="continuationSeparator" w:id="0">
    <w:p w14:paraId="0965928E" w14:textId="77777777" w:rsidR="00D815C8" w:rsidRDefault="00D815C8" w:rsidP="00D815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0E335" w14:textId="77777777" w:rsidR="00D815C8" w:rsidRDefault="00D815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C54D0" w14:textId="77777777" w:rsidR="00D815C8" w:rsidRDefault="00D815C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2E6E1" w14:textId="77777777" w:rsidR="00D815C8" w:rsidRDefault="00D815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67EF7"/>
    <w:multiLevelType w:val="hybridMultilevel"/>
    <w:tmpl w:val="3D44AE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1D2733A"/>
    <w:multiLevelType w:val="hybridMultilevel"/>
    <w:tmpl w:val="AF444DA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 w15:restartNumberingAfterBreak="0">
    <w:nsid w:val="352D457D"/>
    <w:multiLevelType w:val="hybridMultilevel"/>
    <w:tmpl w:val="19D0CAF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6B507A5"/>
    <w:multiLevelType w:val="hybridMultilevel"/>
    <w:tmpl w:val="D7A451AC"/>
    <w:lvl w:ilvl="0" w:tplc="C756E26A">
      <w:start w:val="1"/>
      <w:numFmt w:val="bullet"/>
      <w:lvlText w:val=""/>
      <w:lvlJc w:val="left"/>
      <w:pPr>
        <w:ind w:left="1020" w:hanging="360"/>
      </w:pPr>
      <w:rPr>
        <w:rFonts w:ascii="Symbol" w:hAnsi="Symbol"/>
      </w:rPr>
    </w:lvl>
    <w:lvl w:ilvl="1" w:tplc="BF387EF6">
      <w:start w:val="1"/>
      <w:numFmt w:val="bullet"/>
      <w:lvlText w:val=""/>
      <w:lvlJc w:val="left"/>
      <w:pPr>
        <w:ind w:left="1020" w:hanging="360"/>
      </w:pPr>
      <w:rPr>
        <w:rFonts w:ascii="Symbol" w:hAnsi="Symbol"/>
      </w:rPr>
    </w:lvl>
    <w:lvl w:ilvl="2" w:tplc="251ABB6C">
      <w:start w:val="1"/>
      <w:numFmt w:val="bullet"/>
      <w:lvlText w:val=""/>
      <w:lvlJc w:val="left"/>
      <w:pPr>
        <w:ind w:left="1020" w:hanging="360"/>
      </w:pPr>
      <w:rPr>
        <w:rFonts w:ascii="Symbol" w:hAnsi="Symbol"/>
      </w:rPr>
    </w:lvl>
    <w:lvl w:ilvl="3" w:tplc="A6A0BAD0">
      <w:start w:val="1"/>
      <w:numFmt w:val="bullet"/>
      <w:lvlText w:val=""/>
      <w:lvlJc w:val="left"/>
      <w:pPr>
        <w:ind w:left="1020" w:hanging="360"/>
      </w:pPr>
      <w:rPr>
        <w:rFonts w:ascii="Symbol" w:hAnsi="Symbol"/>
      </w:rPr>
    </w:lvl>
    <w:lvl w:ilvl="4" w:tplc="3DCAD2A2">
      <w:start w:val="1"/>
      <w:numFmt w:val="bullet"/>
      <w:lvlText w:val=""/>
      <w:lvlJc w:val="left"/>
      <w:pPr>
        <w:ind w:left="1020" w:hanging="360"/>
      </w:pPr>
      <w:rPr>
        <w:rFonts w:ascii="Symbol" w:hAnsi="Symbol"/>
      </w:rPr>
    </w:lvl>
    <w:lvl w:ilvl="5" w:tplc="49D603A2">
      <w:start w:val="1"/>
      <w:numFmt w:val="bullet"/>
      <w:lvlText w:val=""/>
      <w:lvlJc w:val="left"/>
      <w:pPr>
        <w:ind w:left="1020" w:hanging="360"/>
      </w:pPr>
      <w:rPr>
        <w:rFonts w:ascii="Symbol" w:hAnsi="Symbol"/>
      </w:rPr>
    </w:lvl>
    <w:lvl w:ilvl="6" w:tplc="D970186A">
      <w:start w:val="1"/>
      <w:numFmt w:val="bullet"/>
      <w:lvlText w:val=""/>
      <w:lvlJc w:val="left"/>
      <w:pPr>
        <w:ind w:left="1020" w:hanging="360"/>
      </w:pPr>
      <w:rPr>
        <w:rFonts w:ascii="Symbol" w:hAnsi="Symbol"/>
      </w:rPr>
    </w:lvl>
    <w:lvl w:ilvl="7" w:tplc="18DAE100">
      <w:start w:val="1"/>
      <w:numFmt w:val="bullet"/>
      <w:lvlText w:val=""/>
      <w:lvlJc w:val="left"/>
      <w:pPr>
        <w:ind w:left="1020" w:hanging="360"/>
      </w:pPr>
      <w:rPr>
        <w:rFonts w:ascii="Symbol" w:hAnsi="Symbol"/>
      </w:rPr>
    </w:lvl>
    <w:lvl w:ilvl="8" w:tplc="3D9AA322">
      <w:start w:val="1"/>
      <w:numFmt w:val="bullet"/>
      <w:lvlText w:val=""/>
      <w:lvlJc w:val="left"/>
      <w:pPr>
        <w:ind w:left="1020" w:hanging="360"/>
      </w:pPr>
      <w:rPr>
        <w:rFonts w:ascii="Symbol" w:hAnsi="Symbol"/>
      </w:rPr>
    </w:lvl>
  </w:abstractNum>
  <w:abstractNum w:abstractNumId="4" w15:restartNumberingAfterBreak="0">
    <w:nsid w:val="5CF0394F"/>
    <w:multiLevelType w:val="hybridMultilevel"/>
    <w:tmpl w:val="A95E0B0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5" w15:restartNumberingAfterBreak="0">
    <w:nsid w:val="5DF7139A"/>
    <w:multiLevelType w:val="hybridMultilevel"/>
    <w:tmpl w:val="49E8D880"/>
    <w:lvl w:ilvl="0" w:tplc="5AF292F8">
      <w:start w:val="1"/>
      <w:numFmt w:val="bullet"/>
      <w:lvlText w:val=""/>
      <w:lvlJc w:val="left"/>
      <w:pPr>
        <w:ind w:left="1080" w:hanging="360"/>
      </w:pPr>
      <w:rPr>
        <w:rFonts w:ascii="Symbol" w:hAnsi="Symbol"/>
      </w:rPr>
    </w:lvl>
    <w:lvl w:ilvl="1" w:tplc="C096BD8C">
      <w:start w:val="1"/>
      <w:numFmt w:val="bullet"/>
      <w:lvlText w:val=""/>
      <w:lvlJc w:val="left"/>
      <w:pPr>
        <w:ind w:left="1080" w:hanging="360"/>
      </w:pPr>
      <w:rPr>
        <w:rFonts w:ascii="Symbol" w:hAnsi="Symbol"/>
      </w:rPr>
    </w:lvl>
    <w:lvl w:ilvl="2" w:tplc="22E27B22">
      <w:start w:val="1"/>
      <w:numFmt w:val="bullet"/>
      <w:lvlText w:val=""/>
      <w:lvlJc w:val="left"/>
      <w:pPr>
        <w:ind w:left="1080" w:hanging="360"/>
      </w:pPr>
      <w:rPr>
        <w:rFonts w:ascii="Symbol" w:hAnsi="Symbol"/>
      </w:rPr>
    </w:lvl>
    <w:lvl w:ilvl="3" w:tplc="37809BCE">
      <w:start w:val="1"/>
      <w:numFmt w:val="bullet"/>
      <w:lvlText w:val=""/>
      <w:lvlJc w:val="left"/>
      <w:pPr>
        <w:ind w:left="1080" w:hanging="360"/>
      </w:pPr>
      <w:rPr>
        <w:rFonts w:ascii="Symbol" w:hAnsi="Symbol"/>
      </w:rPr>
    </w:lvl>
    <w:lvl w:ilvl="4" w:tplc="9C923B80">
      <w:start w:val="1"/>
      <w:numFmt w:val="bullet"/>
      <w:lvlText w:val=""/>
      <w:lvlJc w:val="left"/>
      <w:pPr>
        <w:ind w:left="1080" w:hanging="360"/>
      </w:pPr>
      <w:rPr>
        <w:rFonts w:ascii="Symbol" w:hAnsi="Symbol"/>
      </w:rPr>
    </w:lvl>
    <w:lvl w:ilvl="5" w:tplc="FD0A1190">
      <w:start w:val="1"/>
      <w:numFmt w:val="bullet"/>
      <w:lvlText w:val=""/>
      <w:lvlJc w:val="left"/>
      <w:pPr>
        <w:ind w:left="1080" w:hanging="360"/>
      </w:pPr>
      <w:rPr>
        <w:rFonts w:ascii="Symbol" w:hAnsi="Symbol"/>
      </w:rPr>
    </w:lvl>
    <w:lvl w:ilvl="6" w:tplc="1BE69884">
      <w:start w:val="1"/>
      <w:numFmt w:val="bullet"/>
      <w:lvlText w:val=""/>
      <w:lvlJc w:val="left"/>
      <w:pPr>
        <w:ind w:left="1080" w:hanging="360"/>
      </w:pPr>
      <w:rPr>
        <w:rFonts w:ascii="Symbol" w:hAnsi="Symbol"/>
      </w:rPr>
    </w:lvl>
    <w:lvl w:ilvl="7" w:tplc="9CB2CA90">
      <w:start w:val="1"/>
      <w:numFmt w:val="bullet"/>
      <w:lvlText w:val=""/>
      <w:lvlJc w:val="left"/>
      <w:pPr>
        <w:ind w:left="1080" w:hanging="360"/>
      </w:pPr>
      <w:rPr>
        <w:rFonts w:ascii="Symbol" w:hAnsi="Symbol"/>
      </w:rPr>
    </w:lvl>
    <w:lvl w:ilvl="8" w:tplc="AA504C6E">
      <w:start w:val="1"/>
      <w:numFmt w:val="bullet"/>
      <w:lvlText w:val=""/>
      <w:lvlJc w:val="left"/>
      <w:pPr>
        <w:ind w:left="1080" w:hanging="360"/>
      </w:pPr>
      <w:rPr>
        <w:rFonts w:ascii="Symbol" w:hAnsi="Symbol"/>
      </w:rPr>
    </w:lvl>
  </w:abstractNum>
  <w:abstractNum w:abstractNumId="6" w15:restartNumberingAfterBreak="0">
    <w:nsid w:val="5E6F0ED9"/>
    <w:multiLevelType w:val="hybridMultilevel"/>
    <w:tmpl w:val="A8A08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56D2B17"/>
    <w:multiLevelType w:val="hybridMultilevel"/>
    <w:tmpl w:val="AEF6A2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43064613">
    <w:abstractNumId w:val="1"/>
  </w:num>
  <w:num w:numId="2" w16cid:durableId="155341447">
    <w:abstractNumId w:val="4"/>
  </w:num>
  <w:num w:numId="3" w16cid:durableId="336813034">
    <w:abstractNumId w:val="6"/>
  </w:num>
  <w:num w:numId="4" w16cid:durableId="310909542">
    <w:abstractNumId w:val="7"/>
  </w:num>
  <w:num w:numId="5" w16cid:durableId="211356871">
    <w:abstractNumId w:val="1"/>
  </w:num>
  <w:num w:numId="6" w16cid:durableId="1448155624">
    <w:abstractNumId w:val="0"/>
  </w:num>
  <w:num w:numId="7" w16cid:durableId="2031376017">
    <w:abstractNumId w:val="2"/>
  </w:num>
  <w:num w:numId="8" w16cid:durableId="2046171298">
    <w:abstractNumId w:val="3"/>
  </w:num>
  <w:num w:numId="9" w16cid:durableId="967054550">
    <w:abstractNumId w:val="5"/>
  </w:num>
  <w:num w:numId="10" w16cid:durableId="1090104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462"/>
    <w:rsid w:val="000429B7"/>
    <w:rsid w:val="00094164"/>
    <w:rsid w:val="000A7B9E"/>
    <w:rsid w:val="000B061E"/>
    <w:rsid w:val="000B108F"/>
    <w:rsid w:val="000B3794"/>
    <w:rsid w:val="000E049A"/>
    <w:rsid w:val="000F00DD"/>
    <w:rsid w:val="001007BA"/>
    <w:rsid w:val="0010271E"/>
    <w:rsid w:val="001066B2"/>
    <w:rsid w:val="00113E47"/>
    <w:rsid w:val="00115D57"/>
    <w:rsid w:val="001557E0"/>
    <w:rsid w:val="001C2E56"/>
    <w:rsid w:val="001E2E66"/>
    <w:rsid w:val="001F2C2E"/>
    <w:rsid w:val="001F45D9"/>
    <w:rsid w:val="00202676"/>
    <w:rsid w:val="002212A8"/>
    <w:rsid w:val="00262BA4"/>
    <w:rsid w:val="002646A9"/>
    <w:rsid w:val="002A7B89"/>
    <w:rsid w:val="002B42C9"/>
    <w:rsid w:val="002C0BEF"/>
    <w:rsid w:val="002C615F"/>
    <w:rsid w:val="002D5751"/>
    <w:rsid w:val="00307A5C"/>
    <w:rsid w:val="00326A55"/>
    <w:rsid w:val="0033297B"/>
    <w:rsid w:val="00333849"/>
    <w:rsid w:val="003451D9"/>
    <w:rsid w:val="00361494"/>
    <w:rsid w:val="00361BC8"/>
    <w:rsid w:val="0036210B"/>
    <w:rsid w:val="00362C68"/>
    <w:rsid w:val="003770F9"/>
    <w:rsid w:val="003978B3"/>
    <w:rsid w:val="003B52A7"/>
    <w:rsid w:val="003B65D7"/>
    <w:rsid w:val="003C59F4"/>
    <w:rsid w:val="003C6927"/>
    <w:rsid w:val="003D144D"/>
    <w:rsid w:val="003D4DC2"/>
    <w:rsid w:val="003D66B8"/>
    <w:rsid w:val="003F2897"/>
    <w:rsid w:val="003F5846"/>
    <w:rsid w:val="00406553"/>
    <w:rsid w:val="00426041"/>
    <w:rsid w:val="00455FAA"/>
    <w:rsid w:val="00474C58"/>
    <w:rsid w:val="00493C51"/>
    <w:rsid w:val="00496E64"/>
    <w:rsid w:val="004A602D"/>
    <w:rsid w:val="004D28AA"/>
    <w:rsid w:val="004E12E5"/>
    <w:rsid w:val="004F3AB0"/>
    <w:rsid w:val="00534367"/>
    <w:rsid w:val="005376EF"/>
    <w:rsid w:val="00565894"/>
    <w:rsid w:val="005758D8"/>
    <w:rsid w:val="00580E46"/>
    <w:rsid w:val="005B36F5"/>
    <w:rsid w:val="005D49CB"/>
    <w:rsid w:val="005D4FDE"/>
    <w:rsid w:val="005E572C"/>
    <w:rsid w:val="005E7C6A"/>
    <w:rsid w:val="005F06DA"/>
    <w:rsid w:val="005F3EBE"/>
    <w:rsid w:val="005F6B91"/>
    <w:rsid w:val="005F73F4"/>
    <w:rsid w:val="00610995"/>
    <w:rsid w:val="00615245"/>
    <w:rsid w:val="00627759"/>
    <w:rsid w:val="0063050F"/>
    <w:rsid w:val="00642560"/>
    <w:rsid w:val="006847D0"/>
    <w:rsid w:val="006850ED"/>
    <w:rsid w:val="006B75EC"/>
    <w:rsid w:val="006C4100"/>
    <w:rsid w:val="006C48E3"/>
    <w:rsid w:val="006D107C"/>
    <w:rsid w:val="006E4929"/>
    <w:rsid w:val="006E77EB"/>
    <w:rsid w:val="006F1403"/>
    <w:rsid w:val="00720948"/>
    <w:rsid w:val="0072446A"/>
    <w:rsid w:val="00733B86"/>
    <w:rsid w:val="00742FC1"/>
    <w:rsid w:val="0077142E"/>
    <w:rsid w:val="0077518A"/>
    <w:rsid w:val="0079141F"/>
    <w:rsid w:val="007C1085"/>
    <w:rsid w:val="007C1E12"/>
    <w:rsid w:val="007D2AAC"/>
    <w:rsid w:val="007E0BA4"/>
    <w:rsid w:val="007F0C72"/>
    <w:rsid w:val="007F2BA0"/>
    <w:rsid w:val="00800881"/>
    <w:rsid w:val="0080576C"/>
    <w:rsid w:val="00822B57"/>
    <w:rsid w:val="00827C07"/>
    <w:rsid w:val="00845D6B"/>
    <w:rsid w:val="008641F5"/>
    <w:rsid w:val="008728C9"/>
    <w:rsid w:val="00872D3E"/>
    <w:rsid w:val="00873F13"/>
    <w:rsid w:val="008915BD"/>
    <w:rsid w:val="00896AB1"/>
    <w:rsid w:val="008A4187"/>
    <w:rsid w:val="008A4B9D"/>
    <w:rsid w:val="008B3652"/>
    <w:rsid w:val="008D1420"/>
    <w:rsid w:val="008E2F65"/>
    <w:rsid w:val="00923EFB"/>
    <w:rsid w:val="00931938"/>
    <w:rsid w:val="009363A3"/>
    <w:rsid w:val="009A6058"/>
    <w:rsid w:val="009B235C"/>
    <w:rsid w:val="009B4A60"/>
    <w:rsid w:val="009B5FBB"/>
    <w:rsid w:val="009C6C0F"/>
    <w:rsid w:val="009E1462"/>
    <w:rsid w:val="009E2521"/>
    <w:rsid w:val="009E51C4"/>
    <w:rsid w:val="009F6908"/>
    <w:rsid w:val="00A12FE9"/>
    <w:rsid w:val="00A16519"/>
    <w:rsid w:val="00A34040"/>
    <w:rsid w:val="00A35B1E"/>
    <w:rsid w:val="00A6237B"/>
    <w:rsid w:val="00A7771A"/>
    <w:rsid w:val="00A92B27"/>
    <w:rsid w:val="00A93226"/>
    <w:rsid w:val="00AA4587"/>
    <w:rsid w:val="00AA6EB2"/>
    <w:rsid w:val="00AB7DFE"/>
    <w:rsid w:val="00AD6322"/>
    <w:rsid w:val="00AE0F54"/>
    <w:rsid w:val="00AE151C"/>
    <w:rsid w:val="00AF64AF"/>
    <w:rsid w:val="00B14305"/>
    <w:rsid w:val="00B14763"/>
    <w:rsid w:val="00B35660"/>
    <w:rsid w:val="00B51664"/>
    <w:rsid w:val="00B569D8"/>
    <w:rsid w:val="00B56C87"/>
    <w:rsid w:val="00B6758D"/>
    <w:rsid w:val="00B774FD"/>
    <w:rsid w:val="00B80437"/>
    <w:rsid w:val="00B80632"/>
    <w:rsid w:val="00B94EDE"/>
    <w:rsid w:val="00BC3EA9"/>
    <w:rsid w:val="00BD16BF"/>
    <w:rsid w:val="00BE4AA0"/>
    <w:rsid w:val="00BF4634"/>
    <w:rsid w:val="00C05FB7"/>
    <w:rsid w:val="00C14E71"/>
    <w:rsid w:val="00C16A0C"/>
    <w:rsid w:val="00C23F81"/>
    <w:rsid w:val="00C37078"/>
    <w:rsid w:val="00C57DC6"/>
    <w:rsid w:val="00C64C57"/>
    <w:rsid w:val="00C86A11"/>
    <w:rsid w:val="00C878FB"/>
    <w:rsid w:val="00C92AE4"/>
    <w:rsid w:val="00C92EB5"/>
    <w:rsid w:val="00CA67FE"/>
    <w:rsid w:val="00CD161F"/>
    <w:rsid w:val="00CD1942"/>
    <w:rsid w:val="00CF6320"/>
    <w:rsid w:val="00D03B4E"/>
    <w:rsid w:val="00D03E8C"/>
    <w:rsid w:val="00D12CD3"/>
    <w:rsid w:val="00D311C8"/>
    <w:rsid w:val="00D815C8"/>
    <w:rsid w:val="00D905F7"/>
    <w:rsid w:val="00D90C0F"/>
    <w:rsid w:val="00DA3A9C"/>
    <w:rsid w:val="00DA5D46"/>
    <w:rsid w:val="00DD18EB"/>
    <w:rsid w:val="00DD68C4"/>
    <w:rsid w:val="00DE016E"/>
    <w:rsid w:val="00E01463"/>
    <w:rsid w:val="00E1392E"/>
    <w:rsid w:val="00E20F89"/>
    <w:rsid w:val="00E5782C"/>
    <w:rsid w:val="00EA2173"/>
    <w:rsid w:val="00EA74DB"/>
    <w:rsid w:val="00EB08F0"/>
    <w:rsid w:val="00EC653F"/>
    <w:rsid w:val="00ED2DCF"/>
    <w:rsid w:val="00F0150C"/>
    <w:rsid w:val="00F05CFB"/>
    <w:rsid w:val="00F16B21"/>
    <w:rsid w:val="00F201C5"/>
    <w:rsid w:val="00F23F7B"/>
    <w:rsid w:val="00F37080"/>
    <w:rsid w:val="00F55D62"/>
    <w:rsid w:val="00F63ED8"/>
    <w:rsid w:val="00F75AB2"/>
    <w:rsid w:val="00F91811"/>
    <w:rsid w:val="00FD4009"/>
    <w:rsid w:val="00FE6CE0"/>
    <w:rsid w:val="70DD657E"/>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ADA11"/>
  <w15:chartTrackingRefBased/>
  <w15:docId w15:val="{6F435F40-1054-4AE6-8DA9-607B80685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E146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E146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E146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E146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E146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E146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146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146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146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146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E146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E146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E146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E146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E14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14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14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1462"/>
    <w:rPr>
      <w:rFonts w:eastAsiaTheme="majorEastAsia" w:cstheme="majorBidi"/>
      <w:color w:val="272727" w:themeColor="text1" w:themeTint="D8"/>
    </w:rPr>
  </w:style>
  <w:style w:type="paragraph" w:styleId="Title">
    <w:name w:val="Title"/>
    <w:basedOn w:val="Normal"/>
    <w:next w:val="Normal"/>
    <w:link w:val="TitleChar"/>
    <w:uiPriority w:val="10"/>
    <w:qFormat/>
    <w:rsid w:val="009E14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14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146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14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1462"/>
    <w:pPr>
      <w:spacing w:before="160"/>
      <w:jc w:val="center"/>
    </w:pPr>
    <w:rPr>
      <w:i/>
      <w:iCs/>
      <w:color w:val="404040" w:themeColor="text1" w:themeTint="BF"/>
    </w:rPr>
  </w:style>
  <w:style w:type="character" w:customStyle="1" w:styleId="QuoteChar">
    <w:name w:val="Quote Char"/>
    <w:basedOn w:val="DefaultParagraphFont"/>
    <w:link w:val="Quote"/>
    <w:uiPriority w:val="29"/>
    <w:rsid w:val="009E1462"/>
    <w:rPr>
      <w:i/>
      <w:iCs/>
      <w:color w:val="404040" w:themeColor="text1" w:themeTint="BF"/>
    </w:rPr>
  </w:style>
  <w:style w:type="paragraph" w:styleId="ListParagraph">
    <w:name w:val="List Paragraph"/>
    <w:basedOn w:val="Normal"/>
    <w:uiPriority w:val="34"/>
    <w:qFormat/>
    <w:rsid w:val="009E1462"/>
    <w:pPr>
      <w:ind w:left="720"/>
      <w:contextualSpacing/>
    </w:pPr>
  </w:style>
  <w:style w:type="character" w:styleId="IntenseEmphasis">
    <w:name w:val="Intense Emphasis"/>
    <w:basedOn w:val="DefaultParagraphFont"/>
    <w:uiPriority w:val="21"/>
    <w:qFormat/>
    <w:rsid w:val="009E1462"/>
    <w:rPr>
      <w:i/>
      <w:iCs/>
      <w:color w:val="2F5496" w:themeColor="accent1" w:themeShade="BF"/>
    </w:rPr>
  </w:style>
  <w:style w:type="paragraph" w:styleId="IntenseQuote">
    <w:name w:val="Intense Quote"/>
    <w:basedOn w:val="Normal"/>
    <w:next w:val="Normal"/>
    <w:link w:val="IntenseQuoteChar"/>
    <w:uiPriority w:val="30"/>
    <w:qFormat/>
    <w:rsid w:val="009E146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E1462"/>
    <w:rPr>
      <w:i/>
      <w:iCs/>
      <w:color w:val="2F5496" w:themeColor="accent1" w:themeShade="BF"/>
    </w:rPr>
  </w:style>
  <w:style w:type="character" w:styleId="IntenseReference">
    <w:name w:val="Intense Reference"/>
    <w:basedOn w:val="DefaultParagraphFont"/>
    <w:uiPriority w:val="32"/>
    <w:qFormat/>
    <w:rsid w:val="009E1462"/>
    <w:rPr>
      <w:b/>
      <w:bCs/>
      <w:smallCaps/>
      <w:color w:val="2F5496" w:themeColor="accent1" w:themeShade="BF"/>
      <w:spacing w:val="5"/>
    </w:rPr>
  </w:style>
  <w:style w:type="character" w:styleId="CommentReference">
    <w:name w:val="annotation reference"/>
    <w:basedOn w:val="DefaultParagraphFont"/>
    <w:uiPriority w:val="99"/>
    <w:semiHidden/>
    <w:unhideWhenUsed/>
    <w:rsid w:val="005D4FDE"/>
    <w:rPr>
      <w:sz w:val="16"/>
      <w:szCs w:val="16"/>
    </w:rPr>
  </w:style>
  <w:style w:type="paragraph" w:styleId="CommentText">
    <w:name w:val="annotation text"/>
    <w:basedOn w:val="Normal"/>
    <w:link w:val="CommentTextChar"/>
    <w:uiPriority w:val="99"/>
    <w:unhideWhenUsed/>
    <w:rsid w:val="005D4FDE"/>
    <w:pPr>
      <w:spacing w:line="240" w:lineRule="auto"/>
    </w:pPr>
    <w:rPr>
      <w:rFonts w:eastAsiaTheme="minorEastAsia"/>
      <w:kern w:val="0"/>
      <w:sz w:val="20"/>
      <w:szCs w:val="20"/>
      <w:lang w:val="en-US" w:eastAsia="zh-CN"/>
      <w14:ligatures w14:val="none"/>
    </w:rPr>
  </w:style>
  <w:style w:type="character" w:customStyle="1" w:styleId="CommentTextChar">
    <w:name w:val="Comment Text Char"/>
    <w:basedOn w:val="DefaultParagraphFont"/>
    <w:link w:val="CommentText"/>
    <w:uiPriority w:val="99"/>
    <w:rsid w:val="005D4FDE"/>
    <w:rPr>
      <w:rFonts w:eastAsiaTheme="minorEastAsia"/>
      <w:kern w:val="0"/>
      <w:sz w:val="20"/>
      <w:szCs w:val="20"/>
      <w:lang w:val="en-US" w:eastAsia="zh-CN"/>
      <w14:ligatures w14:val="none"/>
    </w:rPr>
  </w:style>
  <w:style w:type="paragraph" w:styleId="CommentSubject">
    <w:name w:val="annotation subject"/>
    <w:basedOn w:val="CommentText"/>
    <w:next w:val="CommentText"/>
    <w:link w:val="CommentSubjectChar"/>
    <w:uiPriority w:val="99"/>
    <w:semiHidden/>
    <w:unhideWhenUsed/>
    <w:rsid w:val="00580E46"/>
    <w:rPr>
      <w:rFonts w:eastAsiaTheme="minorHAnsi"/>
      <w:b/>
      <w:bCs/>
      <w:kern w:val="2"/>
      <w:lang w:val="nl-NL" w:eastAsia="en-US"/>
      <w14:ligatures w14:val="standardContextual"/>
    </w:rPr>
  </w:style>
  <w:style w:type="character" w:customStyle="1" w:styleId="CommentSubjectChar">
    <w:name w:val="Comment Subject Char"/>
    <w:basedOn w:val="CommentTextChar"/>
    <w:link w:val="CommentSubject"/>
    <w:uiPriority w:val="99"/>
    <w:semiHidden/>
    <w:rsid w:val="00580E46"/>
    <w:rPr>
      <w:rFonts w:eastAsiaTheme="minorEastAsia"/>
      <w:b/>
      <w:bCs/>
      <w:kern w:val="0"/>
      <w:sz w:val="20"/>
      <w:szCs w:val="20"/>
      <w:lang w:val="en-US" w:eastAsia="zh-CN"/>
      <w14:ligatures w14:val="none"/>
    </w:rPr>
  </w:style>
  <w:style w:type="paragraph" w:styleId="Revision">
    <w:name w:val="Revision"/>
    <w:hidden/>
    <w:uiPriority w:val="99"/>
    <w:semiHidden/>
    <w:rsid w:val="00F91811"/>
    <w:pPr>
      <w:spacing w:after="0" w:line="240" w:lineRule="auto"/>
    </w:pPr>
  </w:style>
  <w:style w:type="paragraph" w:styleId="Header">
    <w:name w:val="header"/>
    <w:basedOn w:val="Normal"/>
    <w:link w:val="HeaderChar"/>
    <w:uiPriority w:val="99"/>
    <w:unhideWhenUsed/>
    <w:rsid w:val="00D815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815C8"/>
  </w:style>
  <w:style w:type="paragraph" w:styleId="Footer">
    <w:name w:val="footer"/>
    <w:basedOn w:val="Normal"/>
    <w:link w:val="FooterChar"/>
    <w:uiPriority w:val="99"/>
    <w:unhideWhenUsed/>
    <w:rsid w:val="00D815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15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134444">
      <w:bodyDiv w:val="1"/>
      <w:marLeft w:val="0"/>
      <w:marRight w:val="0"/>
      <w:marTop w:val="0"/>
      <w:marBottom w:val="0"/>
      <w:divBdr>
        <w:top w:val="none" w:sz="0" w:space="0" w:color="auto"/>
        <w:left w:val="none" w:sz="0" w:space="0" w:color="auto"/>
        <w:bottom w:val="none" w:sz="0" w:space="0" w:color="auto"/>
        <w:right w:val="none" w:sz="0" w:space="0" w:color="auto"/>
      </w:divBdr>
    </w:div>
    <w:div w:id="499737310">
      <w:bodyDiv w:val="1"/>
      <w:marLeft w:val="0"/>
      <w:marRight w:val="0"/>
      <w:marTop w:val="0"/>
      <w:marBottom w:val="0"/>
      <w:divBdr>
        <w:top w:val="none" w:sz="0" w:space="0" w:color="auto"/>
        <w:left w:val="none" w:sz="0" w:space="0" w:color="auto"/>
        <w:bottom w:val="none" w:sz="0" w:space="0" w:color="auto"/>
        <w:right w:val="none" w:sz="0" w:space="0" w:color="auto"/>
      </w:divBdr>
    </w:div>
    <w:div w:id="640617912">
      <w:bodyDiv w:val="1"/>
      <w:marLeft w:val="0"/>
      <w:marRight w:val="0"/>
      <w:marTop w:val="0"/>
      <w:marBottom w:val="0"/>
      <w:divBdr>
        <w:top w:val="none" w:sz="0" w:space="0" w:color="auto"/>
        <w:left w:val="none" w:sz="0" w:space="0" w:color="auto"/>
        <w:bottom w:val="none" w:sz="0" w:space="0" w:color="auto"/>
        <w:right w:val="none" w:sz="0" w:space="0" w:color="auto"/>
      </w:divBdr>
    </w:div>
    <w:div w:id="660429764">
      <w:bodyDiv w:val="1"/>
      <w:marLeft w:val="0"/>
      <w:marRight w:val="0"/>
      <w:marTop w:val="0"/>
      <w:marBottom w:val="0"/>
      <w:divBdr>
        <w:top w:val="none" w:sz="0" w:space="0" w:color="auto"/>
        <w:left w:val="none" w:sz="0" w:space="0" w:color="auto"/>
        <w:bottom w:val="none" w:sz="0" w:space="0" w:color="auto"/>
        <w:right w:val="none" w:sz="0" w:space="0" w:color="auto"/>
      </w:divBdr>
    </w:div>
    <w:div w:id="674385859">
      <w:bodyDiv w:val="1"/>
      <w:marLeft w:val="0"/>
      <w:marRight w:val="0"/>
      <w:marTop w:val="0"/>
      <w:marBottom w:val="0"/>
      <w:divBdr>
        <w:top w:val="none" w:sz="0" w:space="0" w:color="auto"/>
        <w:left w:val="none" w:sz="0" w:space="0" w:color="auto"/>
        <w:bottom w:val="none" w:sz="0" w:space="0" w:color="auto"/>
        <w:right w:val="none" w:sz="0" w:space="0" w:color="auto"/>
      </w:divBdr>
    </w:div>
    <w:div w:id="980499793">
      <w:bodyDiv w:val="1"/>
      <w:marLeft w:val="0"/>
      <w:marRight w:val="0"/>
      <w:marTop w:val="0"/>
      <w:marBottom w:val="0"/>
      <w:divBdr>
        <w:top w:val="none" w:sz="0" w:space="0" w:color="auto"/>
        <w:left w:val="none" w:sz="0" w:space="0" w:color="auto"/>
        <w:bottom w:val="none" w:sz="0" w:space="0" w:color="auto"/>
        <w:right w:val="none" w:sz="0" w:space="0" w:color="auto"/>
      </w:divBdr>
    </w:div>
    <w:div w:id="1007708092">
      <w:bodyDiv w:val="1"/>
      <w:marLeft w:val="0"/>
      <w:marRight w:val="0"/>
      <w:marTop w:val="0"/>
      <w:marBottom w:val="0"/>
      <w:divBdr>
        <w:top w:val="none" w:sz="0" w:space="0" w:color="auto"/>
        <w:left w:val="none" w:sz="0" w:space="0" w:color="auto"/>
        <w:bottom w:val="none" w:sz="0" w:space="0" w:color="auto"/>
        <w:right w:val="none" w:sz="0" w:space="0" w:color="auto"/>
      </w:divBdr>
    </w:div>
    <w:div w:id="1199733222">
      <w:bodyDiv w:val="1"/>
      <w:marLeft w:val="0"/>
      <w:marRight w:val="0"/>
      <w:marTop w:val="0"/>
      <w:marBottom w:val="0"/>
      <w:divBdr>
        <w:top w:val="none" w:sz="0" w:space="0" w:color="auto"/>
        <w:left w:val="none" w:sz="0" w:space="0" w:color="auto"/>
        <w:bottom w:val="none" w:sz="0" w:space="0" w:color="auto"/>
        <w:right w:val="none" w:sz="0" w:space="0" w:color="auto"/>
      </w:divBdr>
    </w:div>
    <w:div w:id="1553420282">
      <w:bodyDiv w:val="1"/>
      <w:marLeft w:val="0"/>
      <w:marRight w:val="0"/>
      <w:marTop w:val="0"/>
      <w:marBottom w:val="0"/>
      <w:divBdr>
        <w:top w:val="none" w:sz="0" w:space="0" w:color="auto"/>
        <w:left w:val="none" w:sz="0" w:space="0" w:color="auto"/>
        <w:bottom w:val="none" w:sz="0" w:space="0" w:color="auto"/>
        <w:right w:val="none" w:sz="0" w:space="0" w:color="auto"/>
      </w:divBdr>
    </w:div>
    <w:div w:id="1864662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theme" Target="theme/theme1.xml" Id="rId19" /><Relationship Type="http://schemas.openxmlformats.org/officeDocument/2006/relationships/webSettings" Target="webSettings.xml" Id="rId9" /><Relationship Type="http://schemas.openxmlformats.org/officeDocument/2006/relationships/footer" Target="footer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1625</ap:Words>
  <ap:Characters>8942</ap:Characters>
  <ap:DocSecurity>0</ap:DocSecurity>
  <ap:Lines>74</ap:Lines>
  <ap:Paragraphs>21</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10546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2026-06-19T13:47:00.0000000Z</lastPrinted>
  <dcterms:created xsi:type="dcterms:W3CDTF">2026-06-23T07:43:00.0000000Z</dcterms:created>
  <dcterms:modified xsi:type="dcterms:W3CDTF">2026-06-23T07:43:00.0000000Z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gc2efd3bfea04f7f8169be07009f5536">
    <vt:lpwstr/>
  </property>
  <property fmtid="{D5CDD505-2E9C-101B-9397-08002B2CF9AE}" pid="3" name="BZForumOrganisation">
    <vt:lpwstr>2;#Not applicable|0049e722-bfb1-4a3f-9d08-af7366a9af40</vt:lpwstr>
  </property>
  <property fmtid="{D5CDD505-2E9C-101B-9397-08002B2CF9AE}" pid="4" name="BZDossierBudgetManager">
    <vt:lpwstr/>
  </property>
  <property fmtid="{D5CDD505-2E9C-101B-9397-08002B2CF9AE}" pid="5" name="BZDossierSendTo">
    <vt:lpwstr/>
  </property>
  <property fmtid="{D5CDD505-2E9C-101B-9397-08002B2CF9AE}" pid="6" name="BZTheme">
    <vt:lpwstr>1;#Not applicable|ec01d90b-9d0f-4785-8785-e1ea615196bf</vt:lpwstr>
  </property>
  <property fmtid="{D5CDD505-2E9C-101B-9397-08002B2CF9AE}" pid="7" name="ContentTypeId">
    <vt:lpwstr>0x0101009C7CE436063D44E9BE7DC0259EF7C32F006EB9F9836A634AE58B6169785FD3936F0029DC2512963FB149993F93CA39A28C7E</vt:lpwstr>
  </property>
  <property fmtid="{D5CDD505-2E9C-101B-9397-08002B2CF9AE}" pid="8" name="BZDossierResponsibleDepartment">
    <vt:lpwstr/>
  </property>
  <property fmtid="{D5CDD505-2E9C-101B-9397-08002B2CF9AE}" pid="9" name="BZCountryState">
    <vt:lpwstr>3;#Not applicable|ec01d90b-9d0f-4785-8785-e1ea615196bf</vt:lpwstr>
  </property>
  <property fmtid="{D5CDD505-2E9C-101B-9397-08002B2CF9AE}" pid="10" name="BZDossierGovernmentOfficial">
    <vt:lpwstr/>
  </property>
  <property fmtid="{D5CDD505-2E9C-101B-9397-08002B2CF9AE}" pid="11" name="BZDossierProcessLocation">
    <vt:lpwstr/>
  </property>
  <property fmtid="{D5CDD505-2E9C-101B-9397-08002B2CF9AE}" pid="12" name="i42ef48d5fa942a0ad0d60e44f201751">
    <vt:lpwstr/>
  </property>
  <property fmtid="{D5CDD505-2E9C-101B-9397-08002B2CF9AE}" pid="13" name="BZDossierPublishingWOOCategory">
    <vt:lpwstr/>
  </property>
  <property fmtid="{D5CDD505-2E9C-101B-9397-08002B2CF9AE}" pid="14" name="f2fb2a8e39404f1ab554e4e4a49d2918">
    <vt:lpwstr/>
  </property>
  <property fmtid="{D5CDD505-2E9C-101B-9397-08002B2CF9AE}" pid="15" name="BZMarking">
    <vt:lpwstr>5;#NO MARKING|0a4eb9ae-69eb-4d9e-b573-43ab99ef8592</vt:lpwstr>
  </property>
  <property fmtid="{D5CDD505-2E9C-101B-9397-08002B2CF9AE}" pid="16" name="f8e003236e1c4ac2ab9051d5d8789bbb">
    <vt:lpwstr/>
  </property>
  <property fmtid="{D5CDD505-2E9C-101B-9397-08002B2CF9AE}" pid="17" name="BZClassification">
    <vt:lpwstr>4;#UNCLASSIFIED (U)|284e6a62-15ab-4017-be27-a1e965f4e940</vt:lpwstr>
  </property>
  <property fmtid="{D5CDD505-2E9C-101B-9397-08002B2CF9AE}" pid="18" name="p29721a54a5c4bbe9786e930fc91e270">
    <vt:lpwstr/>
  </property>
  <property fmtid="{D5CDD505-2E9C-101B-9397-08002B2CF9AE}" pid="19" name="e256f556a7b748329ab47889947c7d40">
    <vt:lpwstr/>
  </property>
  <property fmtid="{D5CDD505-2E9C-101B-9397-08002B2CF9AE}" pid="20" name="ed9282a3f18446ec8c17c7829edf82dd">
    <vt:lpwstr/>
  </property>
  <property fmtid="{D5CDD505-2E9C-101B-9397-08002B2CF9AE}" pid="21" name="BZDossierProcessType">
    <vt:lpwstr/>
  </property>
  <property fmtid="{D5CDD505-2E9C-101B-9397-08002B2CF9AE}" pid="22" name="_dlc_DocIdItemGuid">
    <vt:lpwstr>20fb22fd-3670-4348-a212-822909dc37a0</vt:lpwstr>
  </property>
  <property fmtid="{D5CDD505-2E9C-101B-9397-08002B2CF9AE}" pid="23" name="BZDossierTemplate">
    <vt:lpwstr>Verzoek</vt:lpwstr>
  </property>
  <property fmtid="{D5CDD505-2E9C-101B-9397-08002B2CF9AE}" pid="24" name="URL">
    <vt:lpwstr>https://247.plaza.buzaservices.nl/subject/AC-OC2026022026/BZ2627720/Non-paper%20CSDDD%20guidelines%20and%20transposition%20(1).docx, </vt:lpwstr>
  </property>
  <property fmtid="{D5CDD505-2E9C-101B-9397-08002B2CF9AE}" pid="25" name="_docset_NoMedatataSyncRequired">
    <vt:lpwstr>False</vt:lpwstr>
  </property>
</Properties>
</file>