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1FD" w:rsidP="00773831" w:rsidRDefault="001856D0" w14:paraId="530F1D06" w14:textId="19F551BF">
      <w:pPr>
        <w:autoSpaceDE w:val="0"/>
        <w:autoSpaceDN w:val="0"/>
        <w:adjustRightInd w:val="0"/>
        <w:spacing w:before="0" w:after="0"/>
        <w:ind w:left="45"/>
        <w:rPr>
          <w:b/>
          <w:bCs/>
          <w:sz w:val="23"/>
          <w:szCs w:val="23"/>
        </w:rPr>
      </w:pPr>
      <w:r>
        <w:rPr>
          <w:b/>
          <w:bCs/>
          <w:sz w:val="23"/>
          <w:szCs w:val="23"/>
        </w:rPr>
        <w:t>36800-V-103</w:t>
      </w:r>
      <w:r>
        <w:rPr>
          <w:b/>
          <w:bCs/>
          <w:sz w:val="23"/>
          <w:szCs w:val="23"/>
        </w:rPr>
        <w:tab/>
        <w:t>Beleidsbrief Buitenlandse Zaken 2026 (onderwerpen op het terrein van Buitenlandse Handel en Ontwikkelingssamenwerking)</w:t>
      </w:r>
    </w:p>
    <w:p w:rsidR="006051FD" w:rsidRDefault="006051FD" w14:paraId="05D961C0" w14:textId="77777777">
      <w:pPr>
        <w:autoSpaceDE w:val="0"/>
        <w:autoSpaceDN w:val="0"/>
        <w:adjustRightInd w:val="0"/>
        <w:spacing w:before="0" w:after="0"/>
        <w:ind w:left="1416" w:hanging="1371"/>
        <w:rPr>
          <w:b/>
        </w:rPr>
      </w:pPr>
    </w:p>
    <w:p w:rsidR="006051FD" w:rsidP="77463C5C" w:rsidRDefault="001856D0" w14:paraId="7F87ABCF" w14:textId="77777777">
      <w:pPr>
        <w:rPr>
          <w:b/>
          <w:bCs/>
        </w:rPr>
      </w:pPr>
      <w:r w:rsidRPr="77463C5C">
        <w:rPr>
          <w:b/>
          <w:bCs/>
        </w:rPr>
        <w:t xml:space="preserve">nr. </w:t>
      </w:r>
      <w:r>
        <w:rPr>
          <w:b/>
        </w:rPr>
        <w:tab/>
      </w:r>
      <w:r>
        <w:rPr>
          <w:b/>
        </w:rPr>
        <w:tab/>
      </w:r>
      <w:r w:rsidRPr="77463C5C">
        <w:rPr>
          <w:b/>
          <w:bCs/>
        </w:rPr>
        <w:t>Lijst van vragen en antwoorden</w:t>
      </w:r>
    </w:p>
    <w:p w:rsidR="006051FD" w:rsidRDefault="001856D0" w14:paraId="12D712B9" w14:textId="77777777">
      <w:r>
        <w:tab/>
      </w:r>
      <w:r>
        <w:tab/>
      </w:r>
    </w:p>
    <w:p w:rsidR="006051FD" w:rsidP="77463C5C" w:rsidRDefault="77463C5C" w14:paraId="5FF5F3AF" w14:textId="77777777">
      <w:pPr>
        <w:ind w:left="702" w:firstLine="708"/>
        <w:rPr>
          <w:i/>
          <w:iCs/>
        </w:rPr>
      </w:pPr>
      <w:r>
        <w:t xml:space="preserve">Vastgesteld </w:t>
      </w:r>
      <w:r w:rsidRPr="77463C5C">
        <w:rPr>
          <w:i/>
          <w:iCs/>
        </w:rPr>
        <w:t>(wordt door griffie ingevuld als antwoorden er zijn)</w:t>
      </w:r>
    </w:p>
    <w:p w:rsidR="006051FD" w:rsidRDefault="77463C5C" w14:paraId="79926E6A" w14:textId="69F02FB0">
      <w:pPr>
        <w:ind w:left="1410"/>
      </w:pPr>
      <w:r>
        <w:t xml:space="preserve">De vaste commissie voor Buitenlandse Handel en Ontwikkelingssamenwerking heeft een aantal vragen voorgelegd aan de minister van Buitenlandse Handel en Ontwikkelingssamenwerking over de </w:t>
      </w:r>
      <w:r w:rsidRPr="77463C5C">
        <w:rPr>
          <w:b/>
          <w:bCs/>
        </w:rPr>
        <w:t>Beleidsbrief Buitenlandse Zaken 2026 (onderwerpen op het terrein van Buitenlandse Handel en Ontwikkelingssamenwerking)</w:t>
      </w:r>
      <w:r>
        <w:t xml:space="preserve"> (</w:t>
      </w:r>
      <w:r w:rsidRPr="77463C5C">
        <w:rPr>
          <w:b/>
          <w:bCs/>
        </w:rPr>
        <w:t>36800-V</w:t>
      </w:r>
      <w:r>
        <w:t xml:space="preserve">, nr. </w:t>
      </w:r>
      <w:r w:rsidRPr="77463C5C">
        <w:rPr>
          <w:b/>
          <w:bCs/>
        </w:rPr>
        <w:t>103</w:t>
      </w:r>
      <w:r>
        <w:t>).</w:t>
      </w:r>
    </w:p>
    <w:p w:rsidR="006051FD" w:rsidRDefault="77463C5C" w14:paraId="01A2E3A7" w14:textId="7A224717">
      <w:pPr>
        <w:ind w:left="1410"/>
      </w:pPr>
      <w:r>
        <w:t>De daarop door de minister gegeven antwoorden zijn hierbij afgedrukt.</w:t>
      </w:r>
    </w:p>
    <w:p w:rsidR="006051FD" w:rsidRDefault="006051FD" w14:paraId="61043CFB" w14:textId="77777777">
      <w:pPr>
        <w:spacing w:before="0" w:after="0"/>
      </w:pPr>
    </w:p>
    <w:p w:rsidR="006051FD" w:rsidRDefault="77463C5C" w14:paraId="7AA455AD" w14:textId="77777777">
      <w:pPr>
        <w:spacing w:before="0" w:after="0"/>
        <w:ind w:left="703" w:firstLine="709"/>
      </w:pPr>
      <w:r>
        <w:t xml:space="preserve">Voorzitter van de commissie, </w:t>
      </w:r>
    </w:p>
    <w:p w:rsidRPr="003D4F94" w:rsidR="006051FD" w:rsidRDefault="001856D0" w14:paraId="0D77DA1E" w14:textId="741C1DAB">
      <w:pPr>
        <w:spacing w:before="0" w:after="0"/>
      </w:pPr>
      <w:r>
        <w:tab/>
      </w:r>
      <w:r>
        <w:tab/>
      </w:r>
      <w:r w:rsidR="00CA7320">
        <w:t>Den Hollander</w:t>
      </w:r>
    </w:p>
    <w:p w:rsidR="006051FD" w:rsidRDefault="001856D0" w14:paraId="49F76593" w14:textId="77777777">
      <w:pPr>
        <w:spacing w:before="0" w:after="0"/>
      </w:pPr>
      <w:r>
        <w:tab/>
      </w:r>
      <w:r>
        <w:tab/>
      </w:r>
    </w:p>
    <w:p w:rsidR="006051FD" w:rsidRDefault="001856D0" w14:paraId="3300867B" w14:textId="77777777">
      <w:pPr>
        <w:spacing w:before="0" w:after="0"/>
      </w:pPr>
      <w:r>
        <w:tab/>
      </w:r>
      <w:r>
        <w:tab/>
        <w:t>Griffier van de commissie,</w:t>
      </w:r>
    </w:p>
    <w:p w:rsidR="006051FD" w:rsidRDefault="001856D0" w14:paraId="3633DA80" w14:textId="757C3521">
      <w:pPr>
        <w:spacing w:before="0" w:after="0"/>
      </w:pPr>
      <w:r>
        <w:tab/>
      </w:r>
      <w:r>
        <w:tab/>
      </w:r>
      <w:r w:rsidR="00CA7320">
        <w:t xml:space="preserve">Van der </w:t>
      </w:r>
      <w:proofErr w:type="spellStart"/>
      <w:r w:rsidR="00CA7320">
        <w:t>Leeden</w:t>
      </w:r>
      <w:proofErr w:type="spellEnd"/>
    </w:p>
    <w:p w:rsidR="006051FD" w:rsidRDefault="006051FD" w14:paraId="7E5234B7" w14:textId="77777777"/>
    <w:tbl>
      <w:tblPr>
        <w:tblW w:w="9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051FD" w:rsidTr="00827B5E" w14:paraId="6C00F686" w14:textId="77777777">
        <w:trPr>
          <w:cantSplit/>
        </w:trPr>
        <w:tc>
          <w:tcPr>
            <w:tcW w:w="567" w:type="dxa"/>
            <w:tcBorders>
              <w:top w:val="nil"/>
              <w:left w:val="nil"/>
              <w:bottom w:val="nil"/>
              <w:right w:val="nil"/>
            </w:tcBorders>
          </w:tcPr>
          <w:p w:rsidR="006051FD" w:rsidRDefault="77463C5C" w14:paraId="32BD56FA" w14:textId="77777777">
            <w:bookmarkStart w:name="bmkStartTabel" w:id="0"/>
            <w:bookmarkEnd w:id="0"/>
            <w:proofErr w:type="spellStart"/>
            <w:r>
              <w:t>Nr</w:t>
            </w:r>
            <w:proofErr w:type="spellEnd"/>
          </w:p>
        </w:tc>
        <w:tc>
          <w:tcPr>
            <w:tcW w:w="6521" w:type="dxa"/>
            <w:tcBorders>
              <w:top w:val="nil"/>
              <w:left w:val="nil"/>
              <w:bottom w:val="nil"/>
              <w:right w:val="nil"/>
            </w:tcBorders>
          </w:tcPr>
          <w:p w:rsidR="006051FD" w:rsidRDefault="77463C5C" w14:paraId="24BE9076" w14:textId="77777777">
            <w:r>
              <w:t>Vraag</w:t>
            </w:r>
          </w:p>
        </w:tc>
        <w:tc>
          <w:tcPr>
            <w:tcW w:w="850" w:type="dxa"/>
            <w:tcBorders>
              <w:top w:val="nil"/>
              <w:left w:val="nil"/>
              <w:bottom w:val="nil"/>
              <w:right w:val="nil"/>
            </w:tcBorders>
          </w:tcPr>
          <w:p w:rsidR="006051FD" w:rsidRDefault="77463C5C" w14:paraId="3DB8B7F7" w14:textId="77777777">
            <w:pPr>
              <w:jc w:val="right"/>
            </w:pPr>
            <w:r>
              <w:t>Bijlage</w:t>
            </w:r>
          </w:p>
        </w:tc>
        <w:tc>
          <w:tcPr>
            <w:tcW w:w="992" w:type="dxa"/>
            <w:tcBorders>
              <w:top w:val="nil"/>
              <w:left w:val="nil"/>
              <w:bottom w:val="nil"/>
              <w:right w:val="nil"/>
            </w:tcBorders>
          </w:tcPr>
          <w:p w:rsidR="006051FD" w:rsidP="00E7153D" w:rsidRDefault="77463C5C" w14:paraId="727641F0" w14:textId="77777777">
            <w:pPr>
              <w:jc w:val="right"/>
            </w:pPr>
            <w:r>
              <w:t>Blz. (van)</w:t>
            </w:r>
          </w:p>
        </w:tc>
        <w:tc>
          <w:tcPr>
            <w:tcW w:w="567" w:type="dxa"/>
            <w:tcBorders>
              <w:top w:val="nil"/>
              <w:left w:val="nil"/>
              <w:bottom w:val="nil"/>
              <w:right w:val="nil"/>
            </w:tcBorders>
          </w:tcPr>
          <w:p w:rsidR="006051FD" w:rsidP="00E7153D" w:rsidRDefault="77463C5C" w14:paraId="3DCC91C5" w14:textId="77777777">
            <w:pPr>
              <w:jc w:val="center"/>
            </w:pPr>
            <w:r>
              <w:t>t/m</w:t>
            </w:r>
          </w:p>
        </w:tc>
      </w:tr>
      <w:tr w:rsidR="006051FD" w:rsidTr="00827B5E" w14:paraId="10EC903F" w14:textId="77777777">
        <w:tc>
          <w:tcPr>
            <w:tcW w:w="567" w:type="dxa"/>
            <w:tcBorders>
              <w:top w:val="nil"/>
              <w:left w:val="nil"/>
              <w:bottom w:val="nil"/>
              <w:right w:val="nil"/>
            </w:tcBorders>
          </w:tcPr>
          <w:p w:rsidR="006051FD" w:rsidRDefault="77463C5C" w14:paraId="7BFE6937" w14:textId="77777777">
            <w:bookmarkStart w:name="_Hlk232759833" w:id="1"/>
            <w:r>
              <w:t>1</w:t>
            </w:r>
          </w:p>
        </w:tc>
        <w:tc>
          <w:tcPr>
            <w:tcW w:w="6521" w:type="dxa"/>
            <w:tcBorders>
              <w:top w:val="nil"/>
              <w:left w:val="nil"/>
              <w:bottom w:val="nil"/>
              <w:right w:val="nil"/>
            </w:tcBorders>
          </w:tcPr>
          <w:p w:rsidR="006051FD" w:rsidRDefault="77463C5C" w14:paraId="5A6A8FD3" w14:textId="77777777">
            <w:r>
              <w:t>Kunt u de begrippen “gelijkwaardigheid” en “partnerschap” concretiseren? Hoe krijgt dit in de praktijk vorm? Hoe wordt getoetst of partnerschappen inderdaad gelijkwaardiger worden? Welke veranderingen in besluitvorming, financiering en machtsverhoudingen zijn hiervoor nodig?</w:t>
            </w:r>
          </w:p>
          <w:p w:rsidRPr="005D262C" w:rsidR="005D262C" w:rsidRDefault="005D262C" w14:paraId="6DDEB7BF" w14:textId="77777777">
            <w:pPr>
              <w:rPr>
                <w:b/>
                <w:bCs/>
              </w:rPr>
            </w:pPr>
          </w:p>
          <w:p w:rsidR="005D262C" w:rsidP="77463C5C" w:rsidRDefault="77463C5C" w14:paraId="535B2286" w14:textId="4BFD22CE">
            <w:pPr>
              <w:rPr>
                <w:b/>
                <w:color w:val="FF0000"/>
              </w:rPr>
            </w:pPr>
            <w:r w:rsidRPr="77463C5C">
              <w:rPr>
                <w:b/>
                <w:bCs/>
              </w:rPr>
              <w:t>Antwoord</w:t>
            </w:r>
          </w:p>
          <w:p w:rsidR="00A973B9" w:rsidP="77463C5C" w:rsidRDefault="00A973B9" w14:paraId="5D90BD4E" w14:textId="4B5A1458">
            <w:pPr>
              <w:rPr>
                <w:b/>
                <w:bCs/>
              </w:rPr>
            </w:pPr>
            <w:bookmarkStart w:name="_Hlk231975066" w:id="2"/>
            <w:r w:rsidRPr="00827B5E">
              <w:rPr>
                <w:b/>
                <w:bCs/>
              </w:rPr>
              <w:t>Zoals aangekondigd in de beleidsbrief is het kabinet voornemens partnerschappen te verbreden en te versterken op basis van wederzijdse belangen. Het kabinet doet dit aanvullend op partnerschappen die de EU aangaat. Het betreft partnerschappen met de zogenaamde middenmachten, landen die in hun eigen regio richtinggevend</w:t>
            </w:r>
            <w:r w:rsidRPr="00827B5E" w:rsidR="00E47217">
              <w:rPr>
                <w:b/>
                <w:bCs/>
              </w:rPr>
              <w:t xml:space="preserve"> </w:t>
            </w:r>
            <w:r w:rsidRPr="00827B5E">
              <w:rPr>
                <w:b/>
                <w:bCs/>
              </w:rPr>
              <w:t>zijn</w:t>
            </w:r>
            <w:r w:rsidRPr="00827B5E" w:rsidR="00E47217">
              <w:rPr>
                <w:b/>
                <w:bCs/>
              </w:rPr>
              <w:t>, inclusief landen in het mondiale zuiden,</w:t>
            </w:r>
            <w:r w:rsidRPr="00827B5E">
              <w:rPr>
                <w:b/>
                <w:bCs/>
              </w:rPr>
              <w:t xml:space="preserve"> of landen met een specifiek belang voor Nederland, bijvoorbeeld vanwege </w:t>
            </w:r>
            <w:r w:rsidR="00E71B0E">
              <w:rPr>
                <w:b/>
                <w:bCs/>
              </w:rPr>
              <w:t xml:space="preserve">nationale </w:t>
            </w:r>
            <w:r w:rsidRPr="00827B5E">
              <w:rPr>
                <w:b/>
                <w:bCs/>
              </w:rPr>
              <w:t>veiligheid</w:t>
            </w:r>
            <w:r w:rsidR="001E25E1">
              <w:rPr>
                <w:b/>
                <w:bCs/>
              </w:rPr>
              <w:t>, onze vrijheid</w:t>
            </w:r>
            <w:r w:rsidR="00E71B0E">
              <w:rPr>
                <w:b/>
                <w:bCs/>
              </w:rPr>
              <w:t xml:space="preserve"> of</w:t>
            </w:r>
            <w:r w:rsidRPr="00827B5E">
              <w:rPr>
                <w:b/>
                <w:bCs/>
              </w:rPr>
              <w:t xml:space="preserve"> economische </w:t>
            </w:r>
            <w:r w:rsidR="00E71B0E">
              <w:rPr>
                <w:b/>
                <w:bCs/>
              </w:rPr>
              <w:t>welvaart.</w:t>
            </w:r>
            <w:r w:rsidRPr="00827B5E">
              <w:rPr>
                <w:b/>
                <w:bCs/>
              </w:rPr>
              <w:t xml:space="preserve"> Het kabinet </w:t>
            </w:r>
            <w:r w:rsidRPr="00827B5E" w:rsidR="00492258">
              <w:rPr>
                <w:b/>
                <w:bCs/>
              </w:rPr>
              <w:t xml:space="preserve">zet hierbij, nog meer dan voorheen, </w:t>
            </w:r>
            <w:r w:rsidRPr="00827B5E" w:rsidR="00E47217">
              <w:rPr>
                <w:b/>
                <w:bCs/>
              </w:rPr>
              <w:t xml:space="preserve">de invloed en </w:t>
            </w:r>
            <w:r w:rsidRPr="00827B5E" w:rsidR="00492258">
              <w:rPr>
                <w:b/>
                <w:bCs/>
              </w:rPr>
              <w:t xml:space="preserve">het gehele instrumentarium van het buitenland beleid samenhangend in. </w:t>
            </w:r>
            <w:r w:rsidRPr="00827B5E" w:rsidR="00E47217">
              <w:rPr>
                <w:b/>
                <w:bCs/>
              </w:rPr>
              <w:t>Het kabinet doet dit op basis van wederzijdse belangen.</w:t>
            </w:r>
          </w:p>
          <w:p w:rsidR="00697292" w:rsidP="77463C5C" w:rsidRDefault="00697292" w14:paraId="379D1FD4" w14:textId="77777777">
            <w:pPr>
              <w:rPr>
                <w:b/>
                <w:bCs/>
              </w:rPr>
            </w:pPr>
          </w:p>
          <w:p w:rsidRPr="00697292" w:rsidR="00697292" w:rsidP="00697292" w:rsidRDefault="00697292" w14:paraId="3C49B2F7" w14:textId="77777777">
            <w:pPr>
              <w:rPr>
                <w:b/>
                <w:bCs/>
              </w:rPr>
            </w:pPr>
            <w:r w:rsidRPr="00697292">
              <w:rPr>
                <w:b/>
                <w:bCs/>
              </w:rPr>
              <w:t>Het kabinet heeft het afgelopen jaar het brede begrip ‘gelijkwaardigheid’ nader uitgewerkt. Het beschouwt gelijkwaardigheid als een diplomatieke grondhouding waarbij Nederland en partnerlanden samenwerken op basis van wederzijds respect, gedeelde belangen en gezamenlijke verantwoordelijkheid, met expliciete erkenning van elkaars autonomie, kennis en prioriteiten. Dit impliceert niet dat sprake moet zijn van gelijke sociaaleconomische posities, volledige overeenstemming of het terzijde schuiven van het eigen nationale belang. Wel vergt het van ons een voortdurende, kritische reflectie op houding, taalgebruik en beleidspraktijk.</w:t>
            </w:r>
          </w:p>
          <w:p w:rsidRPr="00697292" w:rsidR="00697292" w:rsidP="00697292" w:rsidRDefault="00697292" w14:paraId="726392CE" w14:textId="77777777">
            <w:pPr>
              <w:rPr>
                <w:b/>
                <w:bCs/>
              </w:rPr>
            </w:pPr>
          </w:p>
          <w:p w:rsidRPr="00827B5E" w:rsidR="00697292" w:rsidP="00697292" w:rsidRDefault="00697292" w14:paraId="5430BCE0" w14:textId="7103EA4F">
            <w:pPr>
              <w:rPr>
                <w:b/>
                <w:bCs/>
              </w:rPr>
            </w:pPr>
            <w:r w:rsidRPr="00697292">
              <w:rPr>
                <w:b/>
                <w:bCs/>
              </w:rPr>
              <w:t xml:space="preserve">Een concreet voorbeeld van deze inzet is de institutionalisering van de jaarlijkse toekomstdialoog met Zuid-Afrika. In deze dialoog verkennen Nederlandse en Zuid-Afrikaanse beleidsmakers, onderzoekers en diplomaten gezamenlijk hoe beide landen zich kunnen positioneren in een veranderende wereldorde op de lange termijn (vooruitblik 2040). Door middel van gezamenlijke toekomstverkenning, open strategische gesprekken en gedeelde agendasetting wordt invulling gegeven aan een relatie gebaseerd op wederzijds respect, vertrouwen en erkenning van elkaars perspectieven </w:t>
            </w:r>
            <w:r w:rsidRPr="00697292">
              <w:rPr>
                <w:b/>
                <w:bCs/>
              </w:rPr>
              <w:lastRenderedPageBreak/>
              <w:t>en prioriteiten. De dialoog draagt daarmee bij aan het versterken van Zuid-Afrika als strategische kernpartner en aan de ontwikkeling van gelijkwaardige samenwerking tussen middenmachten met het oog op een gedeelde toekomst.</w:t>
            </w:r>
          </w:p>
          <w:bookmarkEnd w:id="2"/>
          <w:p w:rsidR="005D262C" w:rsidRDefault="005D262C" w14:paraId="6A174A9B" w14:textId="2C25AB56"/>
        </w:tc>
        <w:tc>
          <w:tcPr>
            <w:tcW w:w="850" w:type="dxa"/>
            <w:tcBorders>
              <w:top w:val="nil"/>
              <w:left w:val="nil"/>
              <w:bottom w:val="nil"/>
              <w:right w:val="nil"/>
            </w:tcBorders>
          </w:tcPr>
          <w:p w:rsidR="006051FD" w:rsidRDefault="006051FD" w14:paraId="1A95FE3E" w14:textId="77777777">
            <w:pPr>
              <w:jc w:val="right"/>
            </w:pPr>
          </w:p>
        </w:tc>
        <w:tc>
          <w:tcPr>
            <w:tcW w:w="992" w:type="dxa"/>
            <w:tcBorders>
              <w:top w:val="nil"/>
              <w:left w:val="nil"/>
              <w:bottom w:val="nil"/>
              <w:right w:val="nil"/>
            </w:tcBorders>
          </w:tcPr>
          <w:p w:rsidR="006051FD" w:rsidRDefault="006051FD" w14:paraId="07475383" w14:textId="77777777">
            <w:pPr>
              <w:jc w:val="right"/>
            </w:pPr>
          </w:p>
        </w:tc>
        <w:tc>
          <w:tcPr>
            <w:tcW w:w="567" w:type="dxa"/>
            <w:tcBorders>
              <w:top w:val="nil"/>
              <w:left w:val="nil"/>
              <w:bottom w:val="nil"/>
              <w:right w:val="nil"/>
            </w:tcBorders>
          </w:tcPr>
          <w:p w:rsidR="006051FD" w:rsidRDefault="001856D0" w14:paraId="565B8AE6" w14:textId="77777777">
            <w:pPr>
              <w:jc w:val="right"/>
            </w:pPr>
            <w:r>
              <w:t xml:space="preserve"> </w:t>
            </w:r>
          </w:p>
        </w:tc>
      </w:tr>
      <w:bookmarkEnd w:id="1"/>
      <w:tr w:rsidR="006051FD" w:rsidTr="00827B5E" w14:paraId="7A5A5892" w14:textId="77777777">
        <w:tc>
          <w:tcPr>
            <w:tcW w:w="567" w:type="dxa"/>
            <w:tcBorders>
              <w:top w:val="nil"/>
              <w:left w:val="nil"/>
              <w:bottom w:val="nil"/>
              <w:right w:val="nil"/>
            </w:tcBorders>
          </w:tcPr>
          <w:p w:rsidR="006051FD" w:rsidRDefault="77463C5C" w14:paraId="5E666992" w14:textId="77777777">
            <w:r>
              <w:t>2</w:t>
            </w:r>
          </w:p>
        </w:tc>
        <w:tc>
          <w:tcPr>
            <w:tcW w:w="6521" w:type="dxa"/>
            <w:tcBorders>
              <w:top w:val="nil"/>
              <w:left w:val="nil"/>
              <w:bottom w:val="nil"/>
              <w:right w:val="nil"/>
            </w:tcBorders>
          </w:tcPr>
          <w:p w:rsidR="006051FD" w:rsidRDefault="77463C5C" w14:paraId="4C597D34" w14:textId="77777777">
            <w:r>
              <w:t>Waarom ontbreekt beleidscoherentie voor ontwikkeling in de beleidsbrief? Wat is uw inzet hierop?</w:t>
            </w:r>
          </w:p>
          <w:p w:rsidR="00DA3516" w:rsidP="00DA3516" w:rsidRDefault="00DA3516" w14:paraId="5241571F" w14:textId="77777777">
            <w:pPr>
              <w:rPr>
                <w:b/>
                <w:bCs/>
              </w:rPr>
            </w:pPr>
          </w:p>
          <w:p w:rsidR="00DA3516" w:rsidP="77463C5C" w:rsidRDefault="77463C5C" w14:paraId="23A7EC17" w14:textId="608E6FE4">
            <w:pPr>
              <w:rPr>
                <w:b/>
                <w:color w:val="FF0000"/>
              </w:rPr>
            </w:pPr>
            <w:r w:rsidRPr="77463C5C">
              <w:rPr>
                <w:b/>
                <w:bCs/>
              </w:rPr>
              <w:t>Antwoord</w:t>
            </w:r>
          </w:p>
          <w:p w:rsidRPr="00390623" w:rsidR="006051FD" w:rsidRDefault="001543CD" w14:paraId="19ECF815" w14:textId="619C1C2E">
            <w:pPr>
              <w:rPr>
                <w:b/>
              </w:rPr>
            </w:pPr>
            <w:r>
              <w:rPr>
                <w:b/>
                <w:bCs/>
              </w:rPr>
              <w:t>Beleidscoherentie voor ontwikkeling zit besloten in gelijkwaardige partnerschappen.</w:t>
            </w:r>
            <w:r w:rsidR="007240B4">
              <w:rPr>
                <w:b/>
                <w:bCs/>
              </w:rPr>
              <w:t xml:space="preserve"> </w:t>
            </w:r>
            <w:r w:rsidRPr="00390623" w:rsidR="00390623">
              <w:rPr>
                <w:b/>
                <w:bCs/>
              </w:rPr>
              <w:t xml:space="preserve">Om een geloofwaardige samenwerkingspartner te zijn voor landen in het </w:t>
            </w:r>
            <w:r w:rsidR="002F6BBF">
              <w:rPr>
                <w:b/>
                <w:bCs/>
              </w:rPr>
              <w:t>m</w:t>
            </w:r>
            <w:r w:rsidRPr="00390623" w:rsidR="00390623">
              <w:rPr>
                <w:b/>
                <w:bCs/>
              </w:rPr>
              <w:t xml:space="preserve">ondiale Zuiden, moet Nederland </w:t>
            </w:r>
            <w:r w:rsidR="00390623">
              <w:rPr>
                <w:b/>
                <w:bCs/>
              </w:rPr>
              <w:t xml:space="preserve">zich </w:t>
            </w:r>
            <w:r w:rsidRPr="00390623" w:rsidR="00390623">
              <w:rPr>
                <w:b/>
                <w:bCs/>
              </w:rPr>
              <w:t xml:space="preserve">bewust zijn van de negatieve effecten die nationale beleidskeuzes elders kunnen hebben. Onze partners </w:t>
            </w:r>
            <w:r w:rsidR="00763FF0">
              <w:rPr>
                <w:b/>
                <w:bCs/>
              </w:rPr>
              <w:t>vragen daarnaast om</w:t>
            </w:r>
            <w:r w:rsidRPr="00390623" w:rsidR="00390623">
              <w:rPr>
                <w:b/>
                <w:bCs/>
              </w:rPr>
              <w:t xml:space="preserve"> het opheffen van handelsbelemmeringen, en zullen dit ook verlangen in de onderlinge samenwerking die wij zoeken omwille van onze veiligheid, vrijheid en toekomstige welvaart. </w:t>
            </w:r>
            <w:r w:rsidR="0042521E">
              <w:rPr>
                <w:b/>
                <w:bCs/>
              </w:rPr>
              <w:t xml:space="preserve">De minister voor BHOS heeft daarbij een coördinerende rol, </w:t>
            </w:r>
            <w:r>
              <w:rPr>
                <w:b/>
                <w:bCs/>
              </w:rPr>
              <w:t>op hun beleidsterreinen</w:t>
            </w:r>
            <w:r w:rsidR="00D7473D">
              <w:rPr>
                <w:b/>
                <w:bCs/>
              </w:rPr>
              <w:t xml:space="preserve"> zijn ook bewindspersonen op andere departementen betrokken. </w:t>
            </w:r>
            <w:r w:rsidRPr="00390623" w:rsidR="00390623">
              <w:rPr>
                <w:b/>
                <w:bCs/>
              </w:rPr>
              <w:t xml:space="preserve">Het is een Rijksbrede verantwoordelijkheid om via een samenhangend beleid te werken aan oplossingen hiervoor. </w:t>
            </w:r>
          </w:p>
        </w:tc>
        <w:tc>
          <w:tcPr>
            <w:tcW w:w="850" w:type="dxa"/>
            <w:tcBorders>
              <w:top w:val="nil"/>
              <w:left w:val="nil"/>
              <w:bottom w:val="nil"/>
              <w:right w:val="nil"/>
            </w:tcBorders>
          </w:tcPr>
          <w:p w:rsidR="006051FD" w:rsidRDefault="006051FD" w14:paraId="32F602A4" w14:textId="77777777">
            <w:pPr>
              <w:jc w:val="right"/>
            </w:pPr>
          </w:p>
        </w:tc>
        <w:tc>
          <w:tcPr>
            <w:tcW w:w="992" w:type="dxa"/>
            <w:tcBorders>
              <w:top w:val="nil"/>
              <w:left w:val="nil"/>
              <w:bottom w:val="nil"/>
              <w:right w:val="nil"/>
            </w:tcBorders>
          </w:tcPr>
          <w:p w:rsidR="006051FD" w:rsidRDefault="006051FD" w14:paraId="22D00C38" w14:textId="77777777">
            <w:pPr>
              <w:jc w:val="right"/>
            </w:pPr>
          </w:p>
        </w:tc>
        <w:tc>
          <w:tcPr>
            <w:tcW w:w="567" w:type="dxa"/>
            <w:tcBorders>
              <w:top w:val="nil"/>
              <w:left w:val="nil"/>
              <w:bottom w:val="nil"/>
              <w:right w:val="nil"/>
            </w:tcBorders>
          </w:tcPr>
          <w:p w:rsidR="006051FD" w:rsidRDefault="001856D0" w14:paraId="2271947E" w14:textId="77777777">
            <w:pPr>
              <w:jc w:val="right"/>
            </w:pPr>
            <w:r>
              <w:t xml:space="preserve"> </w:t>
            </w:r>
          </w:p>
        </w:tc>
      </w:tr>
      <w:tr w:rsidR="006051FD" w:rsidTr="00827B5E" w14:paraId="1B9C25AE" w14:textId="77777777">
        <w:tc>
          <w:tcPr>
            <w:tcW w:w="567" w:type="dxa"/>
            <w:tcBorders>
              <w:top w:val="nil"/>
              <w:left w:val="nil"/>
              <w:bottom w:val="nil"/>
              <w:right w:val="nil"/>
            </w:tcBorders>
          </w:tcPr>
          <w:p w:rsidR="006051FD" w:rsidRDefault="77463C5C" w14:paraId="7704DF15" w14:textId="77777777">
            <w:r>
              <w:t>3</w:t>
            </w:r>
          </w:p>
        </w:tc>
        <w:tc>
          <w:tcPr>
            <w:tcW w:w="6521" w:type="dxa"/>
            <w:tcBorders>
              <w:top w:val="nil"/>
              <w:left w:val="nil"/>
              <w:bottom w:val="nil"/>
              <w:right w:val="nil"/>
            </w:tcBorders>
          </w:tcPr>
          <w:p w:rsidR="006051FD" w:rsidRDefault="77463C5C" w14:paraId="6D2C8F46" w14:textId="77777777">
            <w:r>
              <w:t>Nu de Corporate Sustainability Due Diligence Directive (CSDDD) is verzwakt en verder afwijkt van de OESO-richtlijnen, hoe bent u voornemens om ervoor te zorgen dat alle Nederlandse bedrijven alsnog de OESO-richtlijnen toepassen en naleven?</w:t>
            </w:r>
          </w:p>
          <w:p w:rsidRPr="005D262C" w:rsidR="005D262C" w:rsidP="005D262C" w:rsidRDefault="005D262C" w14:paraId="1126E528" w14:textId="77777777">
            <w:pPr>
              <w:rPr>
                <w:b/>
                <w:bCs/>
              </w:rPr>
            </w:pPr>
          </w:p>
          <w:p w:rsidR="005D262C" w:rsidP="77463C5C" w:rsidRDefault="77463C5C" w14:paraId="1C31D765" w14:textId="3F3EE56C">
            <w:pPr>
              <w:rPr>
                <w:b/>
                <w:bCs/>
              </w:rPr>
            </w:pPr>
            <w:r w:rsidRPr="77463C5C">
              <w:rPr>
                <w:b/>
                <w:bCs/>
              </w:rPr>
              <w:t>Antwoord</w:t>
            </w:r>
          </w:p>
          <w:p w:rsidRPr="009C60DF" w:rsidR="009C60DF" w:rsidP="009C60DF" w:rsidRDefault="00056540" w14:paraId="2047F37E" w14:textId="78D815D6">
            <w:pPr>
              <w:rPr>
                <w:b/>
                <w:bCs/>
              </w:rPr>
            </w:pPr>
            <w:r w:rsidRPr="00056540">
              <w:rPr>
                <w:b/>
                <w:bCs/>
              </w:rPr>
              <w:t>Het kabinet verwacht van Nederlandse bedrijven dat zij internationaal zakendoen in</w:t>
            </w:r>
            <w:r>
              <w:rPr>
                <w:b/>
                <w:bCs/>
              </w:rPr>
              <w:t xml:space="preserve"> </w:t>
            </w:r>
            <w:r w:rsidRPr="00056540">
              <w:rPr>
                <w:b/>
                <w:bCs/>
              </w:rPr>
              <w:t>lijn met de OESO-richtlijnen</w:t>
            </w:r>
            <w:r>
              <w:rPr>
                <w:b/>
                <w:bCs/>
              </w:rPr>
              <w:t xml:space="preserve">. </w:t>
            </w:r>
            <w:r w:rsidRPr="009C60DF" w:rsidR="009C60DF">
              <w:rPr>
                <w:b/>
                <w:bCs/>
              </w:rPr>
              <w:t xml:space="preserve">Het kabinet bevordert </w:t>
            </w:r>
            <w:r w:rsidR="009C60DF">
              <w:rPr>
                <w:b/>
                <w:bCs/>
              </w:rPr>
              <w:t>de toepassing</w:t>
            </w:r>
            <w:r w:rsidRPr="009C60DF" w:rsidR="009C60DF">
              <w:rPr>
                <w:b/>
                <w:bCs/>
              </w:rPr>
              <w:t xml:space="preserve"> van </w:t>
            </w:r>
            <w:r w:rsidR="009C60DF">
              <w:rPr>
                <w:b/>
                <w:bCs/>
              </w:rPr>
              <w:t>deze richtlijnen</w:t>
            </w:r>
            <w:r w:rsidRPr="009C60DF" w:rsidR="009C60DF">
              <w:rPr>
                <w:b/>
                <w:bCs/>
              </w:rPr>
              <w:t xml:space="preserve"> met een doordachte mix van verplichtende en vrijwillige maatregelen. </w:t>
            </w:r>
            <w:r w:rsidR="00595165">
              <w:rPr>
                <w:b/>
                <w:bCs/>
              </w:rPr>
              <w:t>Zo speelt het Nationaal Contactpunt OESO-richtlijnen (NCP) een belangrijke rol in de voorlichting over de OESO-richtlijnen en ook het MVO-steunpunt ondersteunt bedrijven hierbij. Sinds vorig jaar is er met het subsidieprogramma verantwoord ondernemen mkb (SVOM) extra ondersteuning voor bedrijven beschikbaar om de toepassing van de OESO-richtlijnen verder te vergroten.</w:t>
            </w:r>
            <w:r w:rsidRPr="009C60DF" w:rsidR="009C60DF">
              <w:rPr>
                <w:b/>
                <w:bCs/>
              </w:rPr>
              <w:t xml:space="preserve"> </w:t>
            </w:r>
            <w:r w:rsidR="00595165">
              <w:rPr>
                <w:b/>
                <w:bCs/>
              </w:rPr>
              <w:t>De OESO-richtlijnen staan ook centraal in de BHOS</w:t>
            </w:r>
            <w:r w:rsidR="00850F1F">
              <w:rPr>
                <w:b/>
                <w:bCs/>
              </w:rPr>
              <w:t>-</w:t>
            </w:r>
            <w:r w:rsidR="00595165">
              <w:rPr>
                <w:b/>
                <w:bCs/>
              </w:rPr>
              <w:t xml:space="preserve">voorwaarden op het gebied van internationaal maatschappelijk verantwoord ondernemen (IMVO) en andere maatregelen om het bedrijfsleven te ondersteunen. </w:t>
            </w:r>
            <w:r w:rsidRPr="00F2412D" w:rsidR="00F2412D">
              <w:rPr>
                <w:b/>
                <w:bCs/>
              </w:rPr>
              <w:t>In de CSDDD zijn de zes stappen van gepaste zorgvuldigheid uit de OESO-richtlijnen wettelijk verankerd voor de allergrootste bedrijven</w:t>
            </w:r>
            <w:r w:rsidR="00F2412D">
              <w:rPr>
                <w:b/>
                <w:bCs/>
              </w:rPr>
              <w:t xml:space="preserve">. </w:t>
            </w:r>
            <w:r w:rsidRPr="00056540" w:rsidR="009C60DF">
              <w:rPr>
                <w:b/>
                <w:bCs/>
              </w:rPr>
              <w:t xml:space="preserve">Dit jaar wordt het IMVO-beleid geëvalueerd, waarbij </w:t>
            </w:r>
            <w:r w:rsidR="009C60DF">
              <w:rPr>
                <w:b/>
                <w:bCs/>
              </w:rPr>
              <w:t xml:space="preserve">mogelijk </w:t>
            </w:r>
            <w:r w:rsidRPr="00056540" w:rsidR="009C60DF">
              <w:rPr>
                <w:b/>
                <w:bCs/>
              </w:rPr>
              <w:t>ook aanbevelingen zullen worden gedaan over hoe het beleid effectiever en doelmatiger kan worden ingezet.</w:t>
            </w:r>
            <w:r w:rsidRPr="00F2412D" w:rsidR="009C60DF">
              <w:rPr>
                <w:b/>
                <w:bCs/>
              </w:rPr>
              <w:t xml:space="preserve"> </w:t>
            </w:r>
            <w:r w:rsidRPr="00056540" w:rsidR="009C60DF">
              <w:rPr>
                <w:b/>
                <w:bCs/>
              </w:rPr>
              <w:t>De evaluatie zal naar verwachting begin 2027 aan uw Kamer worden toegestuurd</w:t>
            </w:r>
            <w:r w:rsidRPr="00F2412D" w:rsidR="009C60DF">
              <w:rPr>
                <w:b/>
                <w:bCs/>
              </w:rPr>
              <w:t>.</w:t>
            </w:r>
          </w:p>
          <w:p w:rsidR="005D262C" w:rsidP="004650E2" w:rsidRDefault="005D262C" w14:paraId="10EF2730" w14:textId="127798A0"/>
        </w:tc>
        <w:tc>
          <w:tcPr>
            <w:tcW w:w="850" w:type="dxa"/>
            <w:tcBorders>
              <w:top w:val="nil"/>
              <w:left w:val="nil"/>
              <w:bottom w:val="nil"/>
              <w:right w:val="nil"/>
            </w:tcBorders>
          </w:tcPr>
          <w:p w:rsidR="006051FD" w:rsidRDefault="006051FD" w14:paraId="41BF07F9" w14:textId="77777777">
            <w:pPr>
              <w:jc w:val="right"/>
            </w:pPr>
          </w:p>
        </w:tc>
        <w:tc>
          <w:tcPr>
            <w:tcW w:w="992" w:type="dxa"/>
            <w:tcBorders>
              <w:top w:val="nil"/>
              <w:left w:val="nil"/>
              <w:bottom w:val="nil"/>
              <w:right w:val="nil"/>
            </w:tcBorders>
          </w:tcPr>
          <w:p w:rsidR="006051FD" w:rsidRDefault="77463C5C" w14:paraId="58A1A363" w14:textId="77777777">
            <w:pPr>
              <w:jc w:val="right"/>
            </w:pPr>
            <w:r>
              <w:t>3</w:t>
            </w:r>
          </w:p>
        </w:tc>
        <w:tc>
          <w:tcPr>
            <w:tcW w:w="567" w:type="dxa"/>
            <w:tcBorders>
              <w:top w:val="nil"/>
              <w:left w:val="nil"/>
              <w:bottom w:val="nil"/>
              <w:right w:val="nil"/>
            </w:tcBorders>
          </w:tcPr>
          <w:p w:rsidR="006051FD" w:rsidRDefault="001856D0" w14:paraId="4C05F531" w14:textId="77777777">
            <w:pPr>
              <w:jc w:val="right"/>
            </w:pPr>
            <w:r>
              <w:t xml:space="preserve"> </w:t>
            </w:r>
          </w:p>
        </w:tc>
      </w:tr>
      <w:tr w:rsidR="006051FD" w:rsidTr="00827B5E" w14:paraId="19675F8B" w14:textId="77777777">
        <w:tc>
          <w:tcPr>
            <w:tcW w:w="567" w:type="dxa"/>
            <w:tcBorders>
              <w:top w:val="nil"/>
              <w:left w:val="nil"/>
              <w:bottom w:val="nil"/>
              <w:right w:val="nil"/>
            </w:tcBorders>
          </w:tcPr>
          <w:p w:rsidR="006051FD" w:rsidRDefault="77463C5C" w14:paraId="505E459F" w14:textId="77777777">
            <w:r>
              <w:t>4</w:t>
            </w:r>
          </w:p>
        </w:tc>
        <w:tc>
          <w:tcPr>
            <w:tcW w:w="6521" w:type="dxa"/>
            <w:tcBorders>
              <w:top w:val="nil"/>
              <w:left w:val="nil"/>
              <w:bottom w:val="nil"/>
              <w:right w:val="nil"/>
            </w:tcBorders>
          </w:tcPr>
          <w:p w:rsidR="006051FD" w:rsidRDefault="77463C5C" w14:paraId="6AAE551D" w14:textId="77777777">
            <w:r>
              <w:t>Wat voor maatregelen of instrumenten zult u inzetten om ervoor te zorgen dat het IMVO-beleid positief doorwerkt op werkenden, gemeenschappen en producenten in het mondiale Zuiden?</w:t>
            </w:r>
          </w:p>
          <w:p w:rsidRPr="005D262C" w:rsidR="005D262C" w:rsidP="005D262C" w:rsidRDefault="005D262C" w14:paraId="0FF1AB37" w14:textId="77777777">
            <w:pPr>
              <w:rPr>
                <w:b/>
                <w:bCs/>
              </w:rPr>
            </w:pPr>
          </w:p>
          <w:p w:rsidR="005D262C" w:rsidP="77463C5C" w:rsidRDefault="77463C5C" w14:paraId="45420B36" w14:textId="359E6580">
            <w:pPr>
              <w:rPr>
                <w:b/>
                <w:bCs/>
              </w:rPr>
            </w:pPr>
            <w:r w:rsidRPr="77463C5C">
              <w:rPr>
                <w:b/>
                <w:bCs/>
              </w:rPr>
              <w:t>Antwoord</w:t>
            </w:r>
          </w:p>
          <w:p w:rsidRPr="00AF2674" w:rsidR="005D262C" w:rsidP="005D262C" w:rsidRDefault="77463C5C" w14:paraId="11B4F33B" w14:textId="0FE8DA03">
            <w:pPr>
              <w:rPr>
                <w:b/>
                <w:bCs/>
              </w:rPr>
            </w:pPr>
            <w:r w:rsidRPr="00AF2674">
              <w:rPr>
                <w:b/>
                <w:bCs/>
              </w:rPr>
              <w:t xml:space="preserve">Het gehele IMVO-beleid is erop gericht om bedrijven te stimuleren met de OESO-richtlijnen aan de slag te gaan. Hiermee wordt nagestreefd </w:t>
            </w:r>
            <w:r w:rsidR="00AF2674">
              <w:rPr>
                <w:b/>
                <w:bCs/>
              </w:rPr>
              <w:t>dat zij</w:t>
            </w:r>
            <w:r w:rsidRPr="00AF2674">
              <w:rPr>
                <w:b/>
                <w:bCs/>
              </w:rPr>
              <w:t xml:space="preserve"> </w:t>
            </w:r>
            <w:r w:rsidRPr="00AF2674" w:rsidR="00AE1AF0">
              <w:rPr>
                <w:b/>
                <w:bCs/>
              </w:rPr>
              <w:t xml:space="preserve">risico’s voor mens en milieu </w:t>
            </w:r>
            <w:r w:rsidRPr="00AF2674" w:rsidR="006E7D80">
              <w:rPr>
                <w:b/>
                <w:bCs/>
              </w:rPr>
              <w:t xml:space="preserve">in de keten </w:t>
            </w:r>
            <w:r w:rsidR="00D53CE1">
              <w:rPr>
                <w:b/>
                <w:bCs/>
              </w:rPr>
              <w:t xml:space="preserve">identificeren en, waar nodig, </w:t>
            </w:r>
            <w:r w:rsidRPr="00AF2674" w:rsidR="00AE1AF0">
              <w:rPr>
                <w:b/>
                <w:bCs/>
              </w:rPr>
              <w:t>aanpakken</w:t>
            </w:r>
            <w:r w:rsidRPr="00AF2674">
              <w:rPr>
                <w:b/>
                <w:bCs/>
              </w:rPr>
              <w:t xml:space="preserve">. </w:t>
            </w:r>
            <w:r w:rsidR="00A63250">
              <w:rPr>
                <w:b/>
                <w:bCs/>
              </w:rPr>
              <w:t>Daarnaast</w:t>
            </w:r>
            <w:r w:rsidRPr="00AF2674">
              <w:rPr>
                <w:b/>
                <w:bCs/>
              </w:rPr>
              <w:t xml:space="preserve"> worden instrumenten voor ontwikkelingssamenwerking, zoals het Subsidieprogramma Verantwoord Ondernemen (SPVO) en </w:t>
            </w:r>
            <w:proofErr w:type="spellStart"/>
            <w:r w:rsidRPr="00AF2674">
              <w:rPr>
                <w:b/>
                <w:bCs/>
              </w:rPr>
              <w:t>FairFOCUS</w:t>
            </w:r>
            <w:proofErr w:type="spellEnd"/>
            <w:r w:rsidRPr="00AF2674">
              <w:rPr>
                <w:b/>
                <w:bCs/>
              </w:rPr>
              <w:t xml:space="preserve"> on Trade (FFT, het nieuwe </w:t>
            </w:r>
            <w:r w:rsidRPr="00AF2674">
              <w:rPr>
                <w:b/>
                <w:bCs/>
              </w:rPr>
              <w:lastRenderedPageBreak/>
              <w:t xml:space="preserve">programma ter ondersteuning van maatschappelijk middenveld in relatie tot handelsketens) ingezet om </w:t>
            </w:r>
            <w:r w:rsidR="0027757D">
              <w:rPr>
                <w:b/>
                <w:bCs/>
              </w:rPr>
              <w:t>ook rechtstreeks in productielanden</w:t>
            </w:r>
            <w:r w:rsidRPr="00AF2674">
              <w:rPr>
                <w:b/>
                <w:bCs/>
              </w:rPr>
              <w:t xml:space="preserve"> te werken aan ketenverduurzaming en tot positieve impact te komen.</w:t>
            </w:r>
            <w:r w:rsidR="00850F1F">
              <w:rPr>
                <w:b/>
                <w:bCs/>
              </w:rPr>
              <w:t xml:space="preserve"> De combinatie van deze instrumenten beoogt positieve impact in waardeketen</w:t>
            </w:r>
            <w:r w:rsidR="00B85EC8">
              <w:rPr>
                <w:b/>
                <w:bCs/>
              </w:rPr>
              <w:t>s</w:t>
            </w:r>
            <w:r w:rsidR="00850F1F">
              <w:rPr>
                <w:b/>
                <w:bCs/>
              </w:rPr>
              <w:t xml:space="preserve">, inclusief het mondiale Zuiden. </w:t>
            </w:r>
          </w:p>
          <w:p w:rsidR="005D262C" w:rsidP="005D262C" w:rsidRDefault="005D262C" w14:paraId="4BA1D48E" w14:textId="71742663"/>
        </w:tc>
        <w:tc>
          <w:tcPr>
            <w:tcW w:w="850" w:type="dxa"/>
            <w:tcBorders>
              <w:top w:val="nil"/>
              <w:left w:val="nil"/>
              <w:bottom w:val="nil"/>
              <w:right w:val="nil"/>
            </w:tcBorders>
          </w:tcPr>
          <w:p w:rsidR="006051FD" w:rsidRDefault="006051FD" w14:paraId="1A6425BA" w14:textId="77777777">
            <w:pPr>
              <w:jc w:val="right"/>
            </w:pPr>
          </w:p>
        </w:tc>
        <w:tc>
          <w:tcPr>
            <w:tcW w:w="992" w:type="dxa"/>
            <w:tcBorders>
              <w:top w:val="nil"/>
              <w:left w:val="nil"/>
              <w:bottom w:val="nil"/>
              <w:right w:val="nil"/>
            </w:tcBorders>
          </w:tcPr>
          <w:p w:rsidR="006051FD" w:rsidRDefault="77463C5C" w14:paraId="0F0817C1" w14:textId="77777777">
            <w:pPr>
              <w:jc w:val="right"/>
            </w:pPr>
            <w:r>
              <w:t>3</w:t>
            </w:r>
          </w:p>
        </w:tc>
        <w:tc>
          <w:tcPr>
            <w:tcW w:w="567" w:type="dxa"/>
            <w:tcBorders>
              <w:top w:val="nil"/>
              <w:left w:val="nil"/>
              <w:bottom w:val="nil"/>
              <w:right w:val="nil"/>
            </w:tcBorders>
          </w:tcPr>
          <w:p w:rsidR="006051FD" w:rsidRDefault="001856D0" w14:paraId="44841005" w14:textId="77777777">
            <w:pPr>
              <w:jc w:val="right"/>
            </w:pPr>
            <w:r>
              <w:t xml:space="preserve"> </w:t>
            </w:r>
          </w:p>
        </w:tc>
      </w:tr>
      <w:tr w:rsidR="006051FD" w:rsidTr="00827B5E" w14:paraId="091B84CE" w14:textId="77777777">
        <w:tc>
          <w:tcPr>
            <w:tcW w:w="567" w:type="dxa"/>
            <w:tcBorders>
              <w:top w:val="nil"/>
              <w:left w:val="nil"/>
              <w:bottom w:val="nil"/>
              <w:right w:val="nil"/>
            </w:tcBorders>
          </w:tcPr>
          <w:p w:rsidR="006051FD" w:rsidRDefault="77463C5C" w14:paraId="2DC9152A" w14:textId="77777777">
            <w:r>
              <w:t>5</w:t>
            </w:r>
          </w:p>
        </w:tc>
        <w:tc>
          <w:tcPr>
            <w:tcW w:w="6521" w:type="dxa"/>
            <w:tcBorders>
              <w:top w:val="nil"/>
              <w:left w:val="nil"/>
              <w:bottom w:val="nil"/>
              <w:right w:val="nil"/>
            </w:tcBorders>
          </w:tcPr>
          <w:p w:rsidR="006051FD" w:rsidRDefault="77463C5C" w14:paraId="72E407B0" w14:textId="77777777">
            <w:r>
              <w:t>Kunt u toelichten in hoeverre de kritische waakhondfunctie van het maatschappelijk middenveld zal worden ondersteund binnen het beleid aangaande partnerschappen met maatschappelijk middenveld?</w:t>
            </w:r>
          </w:p>
          <w:p w:rsidRPr="005D262C" w:rsidR="005D262C" w:rsidP="005D262C" w:rsidRDefault="005D262C" w14:paraId="3107ED64" w14:textId="77777777">
            <w:pPr>
              <w:rPr>
                <w:b/>
                <w:bCs/>
              </w:rPr>
            </w:pPr>
          </w:p>
          <w:p w:rsidRPr="00DA3516" w:rsidR="00DA3516" w:rsidP="77463C5C" w:rsidRDefault="77463C5C" w14:paraId="67190004" w14:textId="186B77DB">
            <w:pPr>
              <w:rPr>
                <w:b/>
                <w:bCs/>
              </w:rPr>
            </w:pPr>
            <w:r w:rsidRPr="77463C5C">
              <w:rPr>
                <w:b/>
                <w:bCs/>
              </w:rPr>
              <w:t>Antwoord</w:t>
            </w:r>
          </w:p>
          <w:p w:rsidRPr="00953EB8" w:rsidR="00953EB8" w:rsidP="00953EB8" w:rsidRDefault="00953EB8" w14:paraId="51AD6264" w14:textId="7A513DF6">
            <w:pPr>
              <w:rPr>
                <w:b/>
                <w:bCs/>
              </w:rPr>
            </w:pPr>
            <w:r w:rsidRPr="00953EB8">
              <w:rPr>
                <w:b/>
                <w:bCs/>
              </w:rPr>
              <w:t>De kritische waakhondfunctie van het maatschappelijk middenveld is van essentieel belang voor de democratische rechtsorde en sociaaleconomische verandering, óók in Nederland. In het buitenlandbeleid ondersteunt het kabinet maatschappelijke organisaties in hun verschillende rollen, inclusief die van kritische waakhond. Die steun kan bijvoorbeeld bestaan uit financiering voor pleitbezorging, of uit het bieden van mogelijkheden voor dialoog in beleidsvormingsprocessen, zowel in samenwerkingsverbanden als ad hoc.</w:t>
            </w:r>
          </w:p>
          <w:p w:rsidR="005D262C" w:rsidRDefault="005D262C" w14:paraId="163DB28B" w14:textId="77777777"/>
        </w:tc>
        <w:tc>
          <w:tcPr>
            <w:tcW w:w="850" w:type="dxa"/>
            <w:tcBorders>
              <w:top w:val="nil"/>
              <w:left w:val="nil"/>
              <w:bottom w:val="nil"/>
              <w:right w:val="nil"/>
            </w:tcBorders>
          </w:tcPr>
          <w:p w:rsidR="006051FD" w:rsidRDefault="006051FD" w14:paraId="57F74082" w14:textId="77777777">
            <w:pPr>
              <w:jc w:val="right"/>
            </w:pPr>
          </w:p>
        </w:tc>
        <w:tc>
          <w:tcPr>
            <w:tcW w:w="992" w:type="dxa"/>
            <w:tcBorders>
              <w:top w:val="nil"/>
              <w:left w:val="nil"/>
              <w:bottom w:val="nil"/>
              <w:right w:val="nil"/>
            </w:tcBorders>
          </w:tcPr>
          <w:p w:rsidR="006051FD" w:rsidRDefault="77463C5C" w14:paraId="4372960A" w14:textId="77777777">
            <w:pPr>
              <w:jc w:val="right"/>
            </w:pPr>
            <w:r>
              <w:t>3</w:t>
            </w:r>
          </w:p>
        </w:tc>
        <w:tc>
          <w:tcPr>
            <w:tcW w:w="567" w:type="dxa"/>
            <w:tcBorders>
              <w:top w:val="nil"/>
              <w:left w:val="nil"/>
              <w:bottom w:val="nil"/>
              <w:right w:val="nil"/>
            </w:tcBorders>
          </w:tcPr>
          <w:p w:rsidR="006051FD" w:rsidRDefault="001856D0" w14:paraId="1DF2DD2B" w14:textId="77777777">
            <w:pPr>
              <w:jc w:val="right"/>
            </w:pPr>
            <w:r>
              <w:t xml:space="preserve"> </w:t>
            </w:r>
          </w:p>
        </w:tc>
      </w:tr>
      <w:tr w:rsidR="006051FD" w:rsidTr="00827B5E" w14:paraId="2581877D" w14:textId="77777777">
        <w:tc>
          <w:tcPr>
            <w:tcW w:w="567" w:type="dxa"/>
            <w:tcBorders>
              <w:top w:val="nil"/>
              <w:left w:val="nil"/>
              <w:bottom w:val="nil"/>
              <w:right w:val="nil"/>
            </w:tcBorders>
          </w:tcPr>
          <w:p w:rsidRPr="00EE7277" w:rsidR="006051FD" w:rsidRDefault="77463C5C" w14:paraId="7FC27F91" w14:textId="77777777">
            <w:pPr>
              <w:rPr>
                <w:b/>
              </w:rPr>
            </w:pPr>
            <w:r w:rsidRPr="00EE7277">
              <w:rPr>
                <w:b/>
              </w:rPr>
              <w:t>6</w:t>
            </w:r>
          </w:p>
        </w:tc>
        <w:tc>
          <w:tcPr>
            <w:tcW w:w="6521" w:type="dxa"/>
            <w:tcBorders>
              <w:top w:val="nil"/>
              <w:left w:val="nil"/>
              <w:bottom w:val="nil"/>
              <w:right w:val="nil"/>
            </w:tcBorders>
          </w:tcPr>
          <w:p w:rsidRPr="00827B5E" w:rsidR="006051FD" w:rsidRDefault="77463C5C" w14:paraId="780C505C" w14:textId="77777777">
            <w:pPr>
              <w:rPr>
                <w:bCs/>
              </w:rPr>
            </w:pPr>
            <w:r w:rsidRPr="00827B5E">
              <w:rPr>
                <w:bCs/>
              </w:rPr>
              <w:t>Hoe bent u voornemens om ervoor te zorgen dat er ook buiten het mondiale Zuiden een gelijk speelveld ontstaat voor de bedrijven die zich nu al inzetten voor verantwoorde ketens en bedrijven die dat niet doen?</w:t>
            </w:r>
          </w:p>
          <w:p w:rsidRPr="009D0A13" w:rsidR="005D262C" w:rsidP="005D262C" w:rsidRDefault="005D262C" w14:paraId="0B73C3E6" w14:textId="77777777">
            <w:pPr>
              <w:rPr>
                <w:b/>
                <w:bCs/>
              </w:rPr>
            </w:pPr>
          </w:p>
          <w:p w:rsidR="00106F9F" w:rsidP="00827B5E" w:rsidRDefault="77463C5C" w14:paraId="36487884" w14:textId="719B987E">
            <w:pPr>
              <w:rPr>
                <w:b/>
                <w:bCs/>
              </w:rPr>
            </w:pPr>
            <w:r w:rsidRPr="00106F9F">
              <w:rPr>
                <w:b/>
                <w:bCs/>
              </w:rPr>
              <w:t>Antwoord</w:t>
            </w:r>
          </w:p>
          <w:p w:rsidRPr="00106F9F" w:rsidR="005D262C" w:rsidP="005D262C" w:rsidRDefault="005077C5" w14:paraId="6E147713" w14:textId="4DC0B029">
            <w:pPr>
              <w:rPr>
                <w:b/>
                <w:bCs/>
              </w:rPr>
            </w:pPr>
            <w:r w:rsidRPr="005077C5">
              <w:rPr>
                <w:b/>
                <w:bCs/>
              </w:rPr>
              <w:t>De CSDDD, die wordt geïmplementeerd in de Wet internationaal verantwoord ondernemen, geldt ook voor bedrijven uit derde landen die binnen het toepassingsbereik vallen. Zij krijgen dezelfde verplichtingen als EU‑bedrijven, wat het mondiale gelijke speelveld versterkt.</w:t>
            </w:r>
            <w:r w:rsidR="008747E5">
              <w:rPr>
                <w:b/>
                <w:bCs/>
              </w:rPr>
              <w:t xml:space="preserve"> </w:t>
            </w:r>
            <w:r w:rsidRPr="00EE7277" w:rsidR="00EE7277">
              <w:rPr>
                <w:b/>
                <w:bCs/>
              </w:rPr>
              <w:t>Daarnaast zet Nede</w:t>
            </w:r>
            <w:r w:rsidR="004E389C">
              <w:rPr>
                <w:b/>
                <w:bCs/>
              </w:rPr>
              <w:t xml:space="preserve">rland zich in internationale fora zoals de OESO in voor een gelijk speelveld. </w:t>
            </w:r>
            <w:r w:rsidR="000F7B24">
              <w:rPr>
                <w:b/>
                <w:bCs/>
              </w:rPr>
              <w:t>Zo komen bij</w:t>
            </w:r>
            <w:r w:rsidR="004E389C">
              <w:rPr>
                <w:b/>
                <w:bCs/>
              </w:rPr>
              <w:t xml:space="preserve"> het</w:t>
            </w:r>
            <w:r w:rsidR="00990707">
              <w:rPr>
                <w:b/>
                <w:bCs/>
              </w:rPr>
              <w:t>, mede door Nederland gefinancierde,</w:t>
            </w:r>
            <w:r w:rsidR="004E389C">
              <w:rPr>
                <w:b/>
                <w:bCs/>
              </w:rPr>
              <w:t xml:space="preserve"> </w:t>
            </w:r>
            <w:r w:rsidRPr="004E389C" w:rsidR="004E389C">
              <w:rPr>
                <w:b/>
                <w:bCs/>
                <w:i/>
                <w:iCs/>
              </w:rPr>
              <w:t>OECD</w:t>
            </w:r>
            <w:r w:rsidR="004E389C">
              <w:rPr>
                <w:b/>
                <w:bCs/>
              </w:rPr>
              <w:t xml:space="preserve"> </w:t>
            </w:r>
            <w:proofErr w:type="spellStart"/>
            <w:r w:rsidR="004E389C">
              <w:rPr>
                <w:b/>
                <w:bCs/>
                <w:i/>
                <w:iCs/>
              </w:rPr>
              <w:t>Inclusive</w:t>
            </w:r>
            <w:proofErr w:type="spellEnd"/>
            <w:r w:rsidR="004E389C">
              <w:rPr>
                <w:b/>
                <w:bCs/>
                <w:i/>
                <w:iCs/>
              </w:rPr>
              <w:t xml:space="preserve"> Platform on Due Diligence Cooperation</w:t>
            </w:r>
            <w:r w:rsidR="000F7B24">
              <w:rPr>
                <w:b/>
                <w:bCs/>
                <w:i/>
                <w:iCs/>
              </w:rPr>
              <w:t xml:space="preserve"> </w:t>
            </w:r>
            <w:r w:rsidR="004E389C">
              <w:rPr>
                <w:b/>
                <w:bCs/>
              </w:rPr>
              <w:t>beleidsmakers van over de hele wereld samen om IMVO-beleid en regelgeving beter op elkaar af te stemmen.</w:t>
            </w:r>
          </w:p>
          <w:p w:rsidRPr="00106F9F" w:rsidR="005D262C" w:rsidRDefault="005D262C" w14:paraId="63A4C85F" w14:textId="77777777"/>
        </w:tc>
        <w:tc>
          <w:tcPr>
            <w:tcW w:w="850" w:type="dxa"/>
            <w:tcBorders>
              <w:top w:val="nil"/>
              <w:left w:val="nil"/>
              <w:bottom w:val="nil"/>
              <w:right w:val="nil"/>
            </w:tcBorders>
          </w:tcPr>
          <w:p w:rsidRPr="00106F9F" w:rsidR="006051FD" w:rsidRDefault="006051FD" w14:paraId="43A7D787" w14:textId="77777777">
            <w:pPr>
              <w:jc w:val="right"/>
            </w:pPr>
          </w:p>
        </w:tc>
        <w:tc>
          <w:tcPr>
            <w:tcW w:w="992" w:type="dxa"/>
            <w:tcBorders>
              <w:top w:val="nil"/>
              <w:left w:val="nil"/>
              <w:bottom w:val="nil"/>
              <w:right w:val="nil"/>
            </w:tcBorders>
          </w:tcPr>
          <w:p w:rsidR="006051FD" w:rsidRDefault="77463C5C" w14:paraId="190428EB" w14:textId="77777777">
            <w:pPr>
              <w:jc w:val="right"/>
            </w:pPr>
            <w:r>
              <w:t>3</w:t>
            </w:r>
          </w:p>
        </w:tc>
        <w:tc>
          <w:tcPr>
            <w:tcW w:w="567" w:type="dxa"/>
            <w:tcBorders>
              <w:top w:val="nil"/>
              <w:left w:val="nil"/>
              <w:bottom w:val="nil"/>
              <w:right w:val="nil"/>
            </w:tcBorders>
          </w:tcPr>
          <w:p w:rsidR="006051FD" w:rsidRDefault="001856D0" w14:paraId="4FA26ECD" w14:textId="77777777">
            <w:pPr>
              <w:jc w:val="right"/>
            </w:pPr>
            <w:r>
              <w:t xml:space="preserve"> </w:t>
            </w:r>
          </w:p>
        </w:tc>
      </w:tr>
      <w:tr w:rsidR="006051FD" w:rsidTr="00827B5E" w14:paraId="50C520A8" w14:textId="77777777">
        <w:tc>
          <w:tcPr>
            <w:tcW w:w="567" w:type="dxa"/>
            <w:tcBorders>
              <w:top w:val="nil"/>
              <w:left w:val="nil"/>
              <w:bottom w:val="nil"/>
              <w:right w:val="nil"/>
            </w:tcBorders>
          </w:tcPr>
          <w:p w:rsidR="006051FD" w:rsidRDefault="77463C5C" w14:paraId="75379827" w14:textId="77777777">
            <w:r>
              <w:t>7</w:t>
            </w:r>
          </w:p>
        </w:tc>
        <w:tc>
          <w:tcPr>
            <w:tcW w:w="6521" w:type="dxa"/>
            <w:tcBorders>
              <w:top w:val="nil"/>
              <w:left w:val="nil"/>
              <w:bottom w:val="nil"/>
              <w:right w:val="nil"/>
            </w:tcBorders>
          </w:tcPr>
          <w:p w:rsidR="006051FD" w:rsidRDefault="77463C5C" w14:paraId="1B90B198" w14:textId="77777777">
            <w:r>
              <w:t>Hoe bent u voornemens om binnen het IMVO-beleid ook de onderliggende oorzaken van misstanden in internationale waardeketens, zoals de complexiteit van ketens en gebrek aan ketentransparantie, structureel te lage inkoopprijzen en oneerlijke handelspraktijken, aan te pakken?</w:t>
            </w:r>
          </w:p>
          <w:p w:rsidRPr="005D262C" w:rsidR="005D262C" w:rsidP="005D262C" w:rsidRDefault="005D262C" w14:paraId="18F9DA81" w14:textId="77777777">
            <w:pPr>
              <w:rPr>
                <w:b/>
                <w:bCs/>
              </w:rPr>
            </w:pPr>
          </w:p>
          <w:p w:rsidR="005D262C" w:rsidP="77463C5C" w:rsidRDefault="77463C5C" w14:paraId="444048E0" w14:textId="27CF48C4">
            <w:pPr>
              <w:rPr>
                <w:b/>
                <w:bCs/>
              </w:rPr>
            </w:pPr>
            <w:r w:rsidRPr="77463C5C">
              <w:rPr>
                <w:b/>
                <w:bCs/>
              </w:rPr>
              <w:t>Antwoord</w:t>
            </w:r>
          </w:p>
          <w:p w:rsidR="005D262C" w:rsidRDefault="0057581C" w14:paraId="4FA17324" w14:textId="3B860C9F">
            <w:pPr>
              <w:rPr>
                <w:b/>
                <w:bCs/>
              </w:rPr>
            </w:pPr>
            <w:r>
              <w:rPr>
                <w:b/>
                <w:bCs/>
              </w:rPr>
              <w:t>Met d</w:t>
            </w:r>
            <w:r w:rsidR="00972FBB">
              <w:rPr>
                <w:b/>
                <w:bCs/>
              </w:rPr>
              <w:t xml:space="preserve">e aankomende </w:t>
            </w:r>
            <w:r>
              <w:rPr>
                <w:b/>
                <w:bCs/>
              </w:rPr>
              <w:t>IMVO-</w:t>
            </w:r>
            <w:r w:rsidR="00972FBB">
              <w:rPr>
                <w:b/>
                <w:bCs/>
              </w:rPr>
              <w:t>wetgeving</w:t>
            </w:r>
            <w:r>
              <w:rPr>
                <w:b/>
                <w:bCs/>
              </w:rPr>
              <w:t xml:space="preserve"> wordt ketenverantwoordelijkheid bij grote </w:t>
            </w:r>
            <w:r w:rsidR="00231B7D">
              <w:rPr>
                <w:b/>
                <w:bCs/>
              </w:rPr>
              <w:t xml:space="preserve">Europese </w:t>
            </w:r>
            <w:r>
              <w:rPr>
                <w:b/>
                <w:bCs/>
              </w:rPr>
              <w:t>bedrijven structureel verankerd</w:t>
            </w:r>
            <w:r w:rsidR="00E6506D">
              <w:rPr>
                <w:b/>
                <w:bCs/>
              </w:rPr>
              <w:t xml:space="preserve"> en naleving juridisch afdwingbaar</w:t>
            </w:r>
            <w:r>
              <w:rPr>
                <w:b/>
                <w:bCs/>
              </w:rPr>
              <w:t>.</w:t>
            </w:r>
            <w:r w:rsidR="00ED14B2">
              <w:rPr>
                <w:b/>
                <w:bCs/>
              </w:rPr>
              <w:t xml:space="preserve"> </w:t>
            </w:r>
            <w:r w:rsidR="00231B7D">
              <w:rPr>
                <w:b/>
                <w:bCs/>
              </w:rPr>
              <w:t>Dat is een fundamentele verschuiving, gericht op het adresseren van onderliggende</w:t>
            </w:r>
            <w:r w:rsidRPr="00ED14B2" w:rsidR="00ED14B2">
              <w:rPr>
                <w:b/>
                <w:bCs/>
              </w:rPr>
              <w:t xml:space="preserve"> oorzaken van misstanden in waardeketens</w:t>
            </w:r>
            <w:r w:rsidR="00231B7D">
              <w:rPr>
                <w:b/>
                <w:bCs/>
              </w:rPr>
              <w:t>. Bedrijven</w:t>
            </w:r>
            <w:r w:rsidR="00ED14B2">
              <w:rPr>
                <w:b/>
                <w:bCs/>
              </w:rPr>
              <w:t xml:space="preserve"> </w:t>
            </w:r>
            <w:r w:rsidRPr="0057581C">
              <w:rPr>
                <w:b/>
                <w:bCs/>
              </w:rPr>
              <w:t xml:space="preserve">kunnen </w:t>
            </w:r>
            <w:r w:rsidR="00231B7D">
              <w:rPr>
                <w:b/>
                <w:bCs/>
              </w:rPr>
              <w:t>dit</w:t>
            </w:r>
            <w:r w:rsidRPr="0057581C">
              <w:rPr>
                <w:b/>
                <w:bCs/>
              </w:rPr>
              <w:t xml:space="preserve"> </w:t>
            </w:r>
            <w:r w:rsidR="00ED14B2">
              <w:rPr>
                <w:b/>
                <w:bCs/>
              </w:rPr>
              <w:t xml:space="preserve">echter </w:t>
            </w:r>
            <w:r w:rsidRPr="0057581C">
              <w:rPr>
                <w:b/>
                <w:bCs/>
              </w:rPr>
              <w:t xml:space="preserve">niet alleen oplossen. </w:t>
            </w:r>
            <w:r w:rsidR="00ED14B2">
              <w:rPr>
                <w:b/>
                <w:bCs/>
              </w:rPr>
              <w:t xml:space="preserve">Daarom biedt de overheid </w:t>
            </w:r>
            <w:proofErr w:type="spellStart"/>
            <w:r w:rsidR="00D84368">
              <w:rPr>
                <w:b/>
                <w:bCs/>
              </w:rPr>
              <w:t>ondermeer</w:t>
            </w:r>
            <w:proofErr w:type="spellEnd"/>
            <w:r w:rsidR="00D84368">
              <w:rPr>
                <w:b/>
                <w:bCs/>
              </w:rPr>
              <w:t xml:space="preserve"> </w:t>
            </w:r>
            <w:r w:rsidR="00ED14B2">
              <w:rPr>
                <w:b/>
                <w:bCs/>
              </w:rPr>
              <w:t xml:space="preserve">via ontwikkelingssamenwerking </w:t>
            </w:r>
            <w:r w:rsidRPr="0057581C">
              <w:rPr>
                <w:b/>
                <w:bCs/>
              </w:rPr>
              <w:t xml:space="preserve">ondersteuning aan Nederlandse en lokale bedrijven, </w:t>
            </w:r>
            <w:proofErr w:type="spellStart"/>
            <w:r w:rsidRPr="0057581C">
              <w:rPr>
                <w:b/>
                <w:bCs/>
              </w:rPr>
              <w:t>NGOs</w:t>
            </w:r>
            <w:proofErr w:type="spellEnd"/>
            <w:r w:rsidRPr="0057581C">
              <w:rPr>
                <w:b/>
                <w:bCs/>
              </w:rPr>
              <w:t>, vakbonden en andere stakeholders, om internationale standaarden op het gebied van duurzaamheid, transparantie, traceerbaarheid en verbeterd bestuur te implementeren</w:t>
            </w:r>
            <w:r>
              <w:rPr>
                <w:b/>
                <w:bCs/>
              </w:rPr>
              <w:t>.</w:t>
            </w:r>
            <w:r w:rsidR="00E6506D">
              <w:rPr>
                <w:b/>
                <w:bCs/>
              </w:rPr>
              <w:t xml:space="preserve"> </w:t>
            </w:r>
          </w:p>
          <w:p w:rsidRPr="00ED14B2" w:rsidR="00827B5E" w:rsidRDefault="00827B5E" w14:paraId="70D516E3" w14:textId="420A31F7">
            <w:pPr>
              <w:rPr>
                <w:b/>
              </w:rPr>
            </w:pPr>
          </w:p>
        </w:tc>
        <w:tc>
          <w:tcPr>
            <w:tcW w:w="850" w:type="dxa"/>
            <w:tcBorders>
              <w:top w:val="nil"/>
              <w:left w:val="nil"/>
              <w:bottom w:val="nil"/>
              <w:right w:val="nil"/>
            </w:tcBorders>
          </w:tcPr>
          <w:p w:rsidR="006051FD" w:rsidRDefault="006051FD" w14:paraId="39DBF315" w14:textId="77777777">
            <w:pPr>
              <w:jc w:val="right"/>
            </w:pPr>
          </w:p>
        </w:tc>
        <w:tc>
          <w:tcPr>
            <w:tcW w:w="992" w:type="dxa"/>
            <w:tcBorders>
              <w:top w:val="nil"/>
              <w:left w:val="nil"/>
              <w:bottom w:val="nil"/>
              <w:right w:val="nil"/>
            </w:tcBorders>
          </w:tcPr>
          <w:p w:rsidR="006051FD" w:rsidRDefault="77463C5C" w14:paraId="460946C5" w14:textId="77777777">
            <w:pPr>
              <w:jc w:val="right"/>
            </w:pPr>
            <w:r>
              <w:t>3</w:t>
            </w:r>
          </w:p>
        </w:tc>
        <w:tc>
          <w:tcPr>
            <w:tcW w:w="567" w:type="dxa"/>
            <w:tcBorders>
              <w:top w:val="nil"/>
              <w:left w:val="nil"/>
              <w:bottom w:val="nil"/>
              <w:right w:val="nil"/>
            </w:tcBorders>
          </w:tcPr>
          <w:p w:rsidR="006051FD" w:rsidRDefault="001856D0" w14:paraId="6CECBABF" w14:textId="77777777">
            <w:pPr>
              <w:jc w:val="right"/>
            </w:pPr>
            <w:r>
              <w:t xml:space="preserve"> </w:t>
            </w:r>
          </w:p>
        </w:tc>
      </w:tr>
      <w:tr w:rsidR="006051FD" w:rsidTr="00827B5E" w14:paraId="6D3079C0" w14:textId="77777777">
        <w:tc>
          <w:tcPr>
            <w:tcW w:w="567" w:type="dxa"/>
            <w:tcBorders>
              <w:top w:val="nil"/>
              <w:left w:val="nil"/>
              <w:bottom w:val="nil"/>
              <w:right w:val="nil"/>
            </w:tcBorders>
          </w:tcPr>
          <w:p w:rsidR="006051FD" w:rsidRDefault="77463C5C" w14:paraId="35829CD5" w14:textId="77777777">
            <w:r>
              <w:t>8</w:t>
            </w:r>
          </w:p>
        </w:tc>
        <w:tc>
          <w:tcPr>
            <w:tcW w:w="6521" w:type="dxa"/>
            <w:tcBorders>
              <w:top w:val="nil"/>
              <w:left w:val="nil"/>
              <w:bottom w:val="nil"/>
              <w:right w:val="nil"/>
            </w:tcBorders>
          </w:tcPr>
          <w:p w:rsidR="006051FD" w:rsidRDefault="77463C5C" w14:paraId="028C1EB7" w14:textId="77777777">
            <w:r>
              <w:t>Kunt u toelichten in hoeverre handel en Internationaal Maatschappelijk Verantwoord Ondernemen (IMVO) onderdeel zullen zijn van de nieuwe internationale visie op ontwikkelingssamenwerking?</w:t>
            </w:r>
          </w:p>
          <w:p w:rsidRPr="001F384F" w:rsidR="005D262C" w:rsidP="77463C5C" w:rsidRDefault="77463C5C" w14:paraId="4190F94A" w14:textId="3A4DB385">
            <w:pPr>
              <w:rPr>
                <w:b/>
              </w:rPr>
            </w:pPr>
            <w:r w:rsidRPr="001F384F">
              <w:rPr>
                <w:b/>
              </w:rPr>
              <w:lastRenderedPageBreak/>
              <w:t>Antwoord</w:t>
            </w:r>
          </w:p>
          <w:p w:rsidR="005D262C" w:rsidP="001543CD" w:rsidRDefault="001543CD" w14:paraId="33C723CD" w14:textId="77777777">
            <w:pPr>
              <w:rPr>
                <w:b/>
                <w:bCs/>
              </w:rPr>
            </w:pPr>
            <w:r>
              <w:rPr>
                <w:b/>
                <w:bCs/>
              </w:rPr>
              <w:t xml:space="preserve">Internationaal maatschappelijk verantwoord ondernemen (IMVO) kan niet ontbreken in een visie op de toekomst van ontwikkelingssamenwerking waarin alle actoren zullen moeten samenwerken om wereldwijd </w:t>
            </w:r>
            <w:r w:rsidR="007240B4">
              <w:rPr>
                <w:b/>
                <w:bCs/>
              </w:rPr>
              <w:t>sociaaleconomische</w:t>
            </w:r>
            <w:r>
              <w:rPr>
                <w:b/>
                <w:bCs/>
              </w:rPr>
              <w:t xml:space="preserve"> ontwikkeling te bevorderen. </w:t>
            </w:r>
            <w:r w:rsidRPr="001F384F" w:rsidR="001F384F">
              <w:rPr>
                <w:b/>
                <w:bCs/>
              </w:rPr>
              <w:t>IMVO</w:t>
            </w:r>
            <w:r w:rsidR="001F384F">
              <w:rPr>
                <w:b/>
                <w:bCs/>
              </w:rPr>
              <w:t xml:space="preserve"> is</w:t>
            </w:r>
            <w:r w:rsidRPr="001F384F" w:rsidR="001F384F">
              <w:rPr>
                <w:b/>
                <w:bCs/>
              </w:rPr>
              <w:t xml:space="preserve"> essentieel voor een weerbare Nederlandse economie, én voor de bescherming van mens en milieu hier en nu, later en elders. </w:t>
            </w:r>
            <w:r w:rsidRPr="0050430D" w:rsidR="00391908">
              <w:rPr>
                <w:b/>
              </w:rPr>
              <w:t xml:space="preserve">Vanuit </w:t>
            </w:r>
            <w:r w:rsidR="00391908">
              <w:rPr>
                <w:b/>
                <w:bCs/>
              </w:rPr>
              <w:t>ontwikkelingssamenwerking</w:t>
            </w:r>
            <w:r w:rsidRPr="0050430D" w:rsidR="00391908">
              <w:rPr>
                <w:b/>
              </w:rPr>
              <w:t xml:space="preserve"> is IMVO een middel om bij te dragen aan de verduurzaming en versterking van handelsketens en </w:t>
            </w:r>
            <w:r>
              <w:rPr>
                <w:b/>
              </w:rPr>
              <w:t xml:space="preserve">zo bij te dragen aan </w:t>
            </w:r>
            <w:r w:rsidR="007240B4">
              <w:rPr>
                <w:b/>
              </w:rPr>
              <w:t>sociaaleconomische</w:t>
            </w:r>
            <w:r>
              <w:rPr>
                <w:b/>
              </w:rPr>
              <w:t xml:space="preserve"> ontwikkeling</w:t>
            </w:r>
            <w:r w:rsidRPr="0050430D" w:rsidR="00391908">
              <w:rPr>
                <w:b/>
              </w:rPr>
              <w:t xml:space="preserve"> in productielanden</w:t>
            </w:r>
            <w:r w:rsidR="00391908">
              <w:rPr>
                <w:b/>
                <w:bCs/>
              </w:rPr>
              <w:t>.</w:t>
            </w:r>
            <w:r w:rsidRPr="001F384F" w:rsidDel="001A331E" w:rsidR="001F384F">
              <w:rPr>
                <w:b/>
                <w:bCs/>
              </w:rPr>
              <w:t xml:space="preserve"> </w:t>
            </w:r>
          </w:p>
          <w:p w:rsidRPr="001F384F" w:rsidR="007240B4" w:rsidP="001543CD" w:rsidRDefault="007240B4" w14:paraId="6EC75C03" w14:textId="5D59D57A"/>
        </w:tc>
        <w:tc>
          <w:tcPr>
            <w:tcW w:w="850" w:type="dxa"/>
            <w:tcBorders>
              <w:top w:val="nil"/>
              <w:left w:val="nil"/>
              <w:bottom w:val="nil"/>
              <w:right w:val="nil"/>
            </w:tcBorders>
          </w:tcPr>
          <w:p w:rsidRPr="001F384F" w:rsidR="006051FD" w:rsidRDefault="006051FD" w14:paraId="7121C79D" w14:textId="77777777">
            <w:pPr>
              <w:jc w:val="right"/>
            </w:pPr>
          </w:p>
        </w:tc>
        <w:tc>
          <w:tcPr>
            <w:tcW w:w="992" w:type="dxa"/>
            <w:tcBorders>
              <w:top w:val="nil"/>
              <w:left w:val="nil"/>
              <w:bottom w:val="nil"/>
              <w:right w:val="nil"/>
            </w:tcBorders>
          </w:tcPr>
          <w:p w:rsidR="006051FD" w:rsidRDefault="77463C5C" w14:paraId="37F3BADC" w14:textId="77777777">
            <w:pPr>
              <w:jc w:val="right"/>
            </w:pPr>
            <w:r>
              <w:t>3</w:t>
            </w:r>
          </w:p>
        </w:tc>
        <w:tc>
          <w:tcPr>
            <w:tcW w:w="567" w:type="dxa"/>
            <w:tcBorders>
              <w:top w:val="nil"/>
              <w:left w:val="nil"/>
              <w:bottom w:val="nil"/>
              <w:right w:val="nil"/>
            </w:tcBorders>
          </w:tcPr>
          <w:p w:rsidR="006051FD" w:rsidRDefault="001856D0" w14:paraId="1C546842" w14:textId="77777777">
            <w:pPr>
              <w:jc w:val="right"/>
            </w:pPr>
            <w:r>
              <w:t xml:space="preserve"> </w:t>
            </w:r>
          </w:p>
        </w:tc>
      </w:tr>
      <w:tr w:rsidR="006051FD" w:rsidTr="00827B5E" w14:paraId="6405A240" w14:textId="77777777">
        <w:tc>
          <w:tcPr>
            <w:tcW w:w="567" w:type="dxa"/>
            <w:tcBorders>
              <w:top w:val="nil"/>
              <w:left w:val="nil"/>
              <w:bottom w:val="nil"/>
              <w:right w:val="nil"/>
            </w:tcBorders>
          </w:tcPr>
          <w:p w:rsidR="006051FD" w:rsidRDefault="77463C5C" w14:paraId="77BBA96B" w14:textId="77777777">
            <w:r>
              <w:t>9</w:t>
            </w:r>
          </w:p>
        </w:tc>
        <w:tc>
          <w:tcPr>
            <w:tcW w:w="6521" w:type="dxa"/>
            <w:tcBorders>
              <w:top w:val="nil"/>
              <w:left w:val="nil"/>
              <w:bottom w:val="nil"/>
              <w:right w:val="nil"/>
            </w:tcBorders>
          </w:tcPr>
          <w:p w:rsidR="006051FD" w:rsidRDefault="77463C5C" w14:paraId="5A254168" w14:textId="77777777">
            <w:r>
              <w:t xml:space="preserve">Hoe kijkt u aan tegen de aanbevelingen uit de rapporten van </w:t>
            </w:r>
            <w:proofErr w:type="spellStart"/>
            <w:r>
              <w:t>Draghi</w:t>
            </w:r>
            <w:proofErr w:type="spellEnd"/>
            <w:r>
              <w:t xml:space="preserve"> en </w:t>
            </w:r>
            <w:proofErr w:type="spellStart"/>
            <w:r>
              <w:t>Letta</w:t>
            </w:r>
            <w:proofErr w:type="spellEnd"/>
            <w:r>
              <w:t xml:space="preserve"> met het oog op het vergroten van de brede en duurzame welvaart en vis-a-vis enkel economische groei?</w:t>
            </w:r>
          </w:p>
          <w:p w:rsidRPr="005D262C" w:rsidR="005D262C" w:rsidP="005D262C" w:rsidRDefault="005D262C" w14:paraId="624B1B87" w14:textId="77777777">
            <w:pPr>
              <w:rPr>
                <w:b/>
                <w:bCs/>
              </w:rPr>
            </w:pPr>
          </w:p>
          <w:p w:rsidRPr="006E6F97" w:rsidR="005D262C" w:rsidP="005D262C" w:rsidRDefault="77463C5C" w14:paraId="297028F5" w14:textId="51ECD6A6">
            <w:pPr>
              <w:rPr>
                <w:b/>
                <w:bCs/>
              </w:rPr>
            </w:pPr>
            <w:r w:rsidRPr="006E6F97">
              <w:rPr>
                <w:b/>
                <w:bCs/>
              </w:rPr>
              <w:t>Antwoord</w:t>
            </w:r>
          </w:p>
          <w:p w:rsidRPr="00827B5E" w:rsidR="00707C86" w:rsidP="00707C86" w:rsidRDefault="00707C86" w14:paraId="55485D8D" w14:textId="77777777">
            <w:pPr>
              <w:rPr>
                <w:b/>
                <w:bCs/>
              </w:rPr>
            </w:pPr>
            <w:r w:rsidRPr="00827B5E">
              <w:rPr>
                <w:b/>
                <w:bCs/>
              </w:rPr>
              <w:t xml:space="preserve">Een sterke, concurrerende EU is in het belang van Nederland. We hebben de EU nodig voor onze welvaart, bestaanszekerheid en een aantrekkelijk ondernemingsklimaat. De aanbevelingen van </w:t>
            </w:r>
            <w:proofErr w:type="spellStart"/>
            <w:r w:rsidRPr="00827B5E">
              <w:rPr>
                <w:b/>
                <w:bCs/>
              </w:rPr>
              <w:t>Draghi</w:t>
            </w:r>
            <w:proofErr w:type="spellEnd"/>
            <w:r w:rsidRPr="00827B5E">
              <w:rPr>
                <w:b/>
                <w:bCs/>
              </w:rPr>
              <w:t xml:space="preserve"> en </w:t>
            </w:r>
            <w:proofErr w:type="spellStart"/>
            <w:r w:rsidRPr="00827B5E">
              <w:rPr>
                <w:b/>
                <w:bCs/>
              </w:rPr>
              <w:t>Letta</w:t>
            </w:r>
            <w:proofErr w:type="spellEnd"/>
            <w:r w:rsidRPr="00827B5E">
              <w:rPr>
                <w:b/>
                <w:bCs/>
              </w:rPr>
              <w:t xml:space="preserve"> zie ik juist als steun voor een agenda die niet alleen inzet op economische groei, maar op brede en duurzame welvaart. In de kabinetsvisie op EU</w:t>
            </w:r>
            <w:r w:rsidRPr="00827B5E">
              <w:rPr>
                <w:b/>
                <w:bCs/>
              </w:rPr>
              <w:noBreakHyphen/>
              <w:t>concurrentievermogen staat hoe we daaraan werken: primair door sterke randvoorwaarden te creëren, zodat de Europese markt aantrekkelijker wordt voor bedrijven en we de benodigde innovatie en vaardigheden aantrekken. In de EU zet ik mij hiervoor in, met als prioriteiten de versterking van de interne markt en het terugdringen van onnodige regeldruk.</w:t>
            </w:r>
          </w:p>
          <w:p w:rsidRPr="006E6F97" w:rsidR="005D262C" w:rsidRDefault="005D262C" w14:paraId="755F52A6" w14:textId="77777777"/>
        </w:tc>
        <w:tc>
          <w:tcPr>
            <w:tcW w:w="850" w:type="dxa"/>
            <w:tcBorders>
              <w:top w:val="nil"/>
              <w:left w:val="nil"/>
              <w:bottom w:val="nil"/>
              <w:right w:val="nil"/>
            </w:tcBorders>
          </w:tcPr>
          <w:p w:rsidRPr="006E6F97" w:rsidR="006051FD" w:rsidRDefault="006051FD" w14:paraId="64F28FFB" w14:textId="77777777">
            <w:pPr>
              <w:jc w:val="right"/>
            </w:pPr>
          </w:p>
        </w:tc>
        <w:tc>
          <w:tcPr>
            <w:tcW w:w="992" w:type="dxa"/>
            <w:tcBorders>
              <w:top w:val="nil"/>
              <w:left w:val="nil"/>
              <w:bottom w:val="nil"/>
              <w:right w:val="nil"/>
            </w:tcBorders>
          </w:tcPr>
          <w:p w:rsidR="006051FD" w:rsidRDefault="77463C5C" w14:paraId="488A7CC1" w14:textId="77777777">
            <w:pPr>
              <w:jc w:val="right"/>
            </w:pPr>
            <w:r>
              <w:t>3</w:t>
            </w:r>
          </w:p>
        </w:tc>
        <w:tc>
          <w:tcPr>
            <w:tcW w:w="567" w:type="dxa"/>
            <w:tcBorders>
              <w:top w:val="nil"/>
              <w:left w:val="nil"/>
              <w:bottom w:val="nil"/>
              <w:right w:val="nil"/>
            </w:tcBorders>
          </w:tcPr>
          <w:p w:rsidR="006051FD" w:rsidRDefault="001856D0" w14:paraId="03E0D986" w14:textId="77777777">
            <w:pPr>
              <w:jc w:val="right"/>
            </w:pPr>
            <w:r>
              <w:t xml:space="preserve"> </w:t>
            </w:r>
          </w:p>
        </w:tc>
      </w:tr>
      <w:tr w:rsidR="006051FD" w:rsidTr="00827B5E" w14:paraId="375DCB87" w14:textId="77777777">
        <w:tc>
          <w:tcPr>
            <w:tcW w:w="567" w:type="dxa"/>
            <w:tcBorders>
              <w:top w:val="nil"/>
              <w:left w:val="nil"/>
              <w:bottom w:val="nil"/>
              <w:right w:val="nil"/>
            </w:tcBorders>
          </w:tcPr>
          <w:p w:rsidR="006051FD" w:rsidRDefault="77463C5C" w14:paraId="472E5069" w14:textId="77777777">
            <w:r>
              <w:t>10</w:t>
            </w:r>
          </w:p>
        </w:tc>
        <w:tc>
          <w:tcPr>
            <w:tcW w:w="6521" w:type="dxa"/>
            <w:tcBorders>
              <w:top w:val="nil"/>
              <w:left w:val="nil"/>
              <w:bottom w:val="nil"/>
              <w:right w:val="nil"/>
            </w:tcBorders>
          </w:tcPr>
          <w:p w:rsidR="006051FD" w:rsidRDefault="77463C5C" w14:paraId="0414FFF1" w14:textId="77777777">
            <w:r>
              <w:t>Hoe zal het IMVO-beleid worden geborgd binnen de nieuwe Nationale investeringsinstelling?</w:t>
            </w:r>
          </w:p>
          <w:p w:rsidRPr="005D262C" w:rsidR="005D262C" w:rsidP="005D262C" w:rsidRDefault="005D262C" w14:paraId="34AB6A96" w14:textId="77777777">
            <w:pPr>
              <w:rPr>
                <w:b/>
                <w:bCs/>
              </w:rPr>
            </w:pPr>
          </w:p>
          <w:p w:rsidR="005D262C" w:rsidP="77463C5C" w:rsidRDefault="77463C5C" w14:paraId="2F24D283" w14:textId="23F4905E">
            <w:pPr>
              <w:rPr>
                <w:b/>
                <w:bCs/>
              </w:rPr>
            </w:pPr>
            <w:r w:rsidRPr="77463C5C">
              <w:rPr>
                <w:b/>
                <w:bCs/>
              </w:rPr>
              <w:t>Antwoord</w:t>
            </w:r>
          </w:p>
          <w:p w:rsidR="005D262C" w:rsidRDefault="00767BCB" w14:paraId="36667D4E" w14:textId="77777777">
            <w:pPr>
              <w:rPr>
                <w:b/>
                <w:bCs/>
              </w:rPr>
            </w:pPr>
            <w:r w:rsidRPr="00767BCB">
              <w:rPr>
                <w:b/>
                <w:bCs/>
              </w:rPr>
              <w:t xml:space="preserve">De OESO-richtlijnen vormen de basis van het Nederlandse IMVO-beleid. Zodoende zijn zij verankerd als voorwaarden binnen het </w:t>
            </w:r>
            <w:r w:rsidR="00A46DD2">
              <w:rPr>
                <w:b/>
                <w:bCs/>
              </w:rPr>
              <w:t>BHOS</w:t>
            </w:r>
            <w:r w:rsidRPr="00767BCB">
              <w:rPr>
                <w:b/>
                <w:bCs/>
              </w:rPr>
              <w:t xml:space="preserve"> </w:t>
            </w:r>
            <w:proofErr w:type="spellStart"/>
            <w:r w:rsidRPr="00767BCB">
              <w:rPr>
                <w:b/>
                <w:bCs/>
              </w:rPr>
              <w:t>bedrijfsleveninstrumentarium</w:t>
            </w:r>
            <w:proofErr w:type="spellEnd"/>
            <w:r w:rsidRPr="00767BCB">
              <w:rPr>
                <w:b/>
                <w:bCs/>
              </w:rPr>
              <w:t>. Het kabinet heeft in het coalitieakkoord aangekondigd een nationale investeringsinstelling op te richten. Deze instelling is bedoeld om de Nederlandse kapitaalmarkt te versterken en het verdienvermogen op lange termijn te vergroten. Over de definitieve inrichting van de nationale investeringsinstelling zijn nog geen besluiten genomen.</w:t>
            </w:r>
          </w:p>
          <w:p w:rsidR="007240B4" w:rsidRDefault="007240B4" w14:paraId="56CF99D8" w14:textId="1B51D075"/>
        </w:tc>
        <w:tc>
          <w:tcPr>
            <w:tcW w:w="850" w:type="dxa"/>
            <w:tcBorders>
              <w:top w:val="nil"/>
              <w:left w:val="nil"/>
              <w:bottom w:val="nil"/>
              <w:right w:val="nil"/>
            </w:tcBorders>
          </w:tcPr>
          <w:p w:rsidR="006051FD" w:rsidRDefault="006051FD" w14:paraId="754DDB2B" w14:textId="77777777">
            <w:pPr>
              <w:jc w:val="right"/>
            </w:pPr>
          </w:p>
        </w:tc>
        <w:tc>
          <w:tcPr>
            <w:tcW w:w="992" w:type="dxa"/>
            <w:tcBorders>
              <w:top w:val="nil"/>
              <w:left w:val="nil"/>
              <w:bottom w:val="nil"/>
              <w:right w:val="nil"/>
            </w:tcBorders>
          </w:tcPr>
          <w:p w:rsidR="006051FD" w:rsidRDefault="77463C5C" w14:paraId="46DDE972" w14:textId="77777777">
            <w:pPr>
              <w:jc w:val="right"/>
            </w:pPr>
            <w:r>
              <w:t>3</w:t>
            </w:r>
          </w:p>
        </w:tc>
        <w:tc>
          <w:tcPr>
            <w:tcW w:w="567" w:type="dxa"/>
            <w:tcBorders>
              <w:top w:val="nil"/>
              <w:left w:val="nil"/>
              <w:bottom w:val="nil"/>
              <w:right w:val="nil"/>
            </w:tcBorders>
          </w:tcPr>
          <w:p w:rsidR="006051FD" w:rsidRDefault="001856D0" w14:paraId="4A5198C0" w14:textId="77777777">
            <w:pPr>
              <w:jc w:val="right"/>
            </w:pPr>
            <w:r>
              <w:t xml:space="preserve"> </w:t>
            </w:r>
          </w:p>
        </w:tc>
      </w:tr>
      <w:tr w:rsidR="006051FD" w:rsidTr="00827B5E" w14:paraId="4093ACDE" w14:textId="77777777">
        <w:tc>
          <w:tcPr>
            <w:tcW w:w="567" w:type="dxa"/>
            <w:tcBorders>
              <w:top w:val="nil"/>
              <w:left w:val="nil"/>
              <w:bottom w:val="nil"/>
              <w:right w:val="nil"/>
            </w:tcBorders>
          </w:tcPr>
          <w:p w:rsidR="006051FD" w:rsidRDefault="77463C5C" w14:paraId="2455C25A" w14:textId="77777777">
            <w:r>
              <w:t>11</w:t>
            </w:r>
          </w:p>
        </w:tc>
        <w:tc>
          <w:tcPr>
            <w:tcW w:w="6521" w:type="dxa"/>
            <w:tcBorders>
              <w:top w:val="nil"/>
              <w:left w:val="nil"/>
              <w:bottom w:val="nil"/>
              <w:right w:val="nil"/>
            </w:tcBorders>
          </w:tcPr>
          <w:p w:rsidR="006051FD" w:rsidRDefault="77463C5C" w14:paraId="0532D8EC" w14:textId="77777777">
            <w:r>
              <w:t>Op welke punten wilt u het beleid op ontwikkelingssamenwerking en IMVO beter op elkaar aan laten sluiten?</w:t>
            </w:r>
          </w:p>
          <w:p w:rsidRPr="005D262C" w:rsidR="005D262C" w:rsidP="005D262C" w:rsidRDefault="005D262C" w14:paraId="0AB89547" w14:textId="77777777">
            <w:pPr>
              <w:rPr>
                <w:b/>
                <w:bCs/>
              </w:rPr>
            </w:pPr>
          </w:p>
          <w:p w:rsidR="005D262C" w:rsidP="005D262C" w:rsidRDefault="77463C5C" w14:paraId="4597BEAB" w14:textId="2738DEBB">
            <w:pPr>
              <w:rPr>
                <w:b/>
                <w:bCs/>
              </w:rPr>
            </w:pPr>
            <w:r w:rsidRPr="77463C5C">
              <w:rPr>
                <w:b/>
                <w:bCs/>
              </w:rPr>
              <w:t>Antwoord</w:t>
            </w:r>
          </w:p>
          <w:p w:rsidRPr="002D3E02" w:rsidR="001F60C4" w:rsidP="001F60C4" w:rsidRDefault="77463C5C" w14:paraId="7C78FE11" w14:textId="4694F698">
            <w:pPr>
              <w:rPr>
                <w:b/>
                <w:bCs/>
              </w:rPr>
            </w:pPr>
            <w:r w:rsidRPr="002D3E02">
              <w:rPr>
                <w:b/>
                <w:bCs/>
              </w:rPr>
              <w:t xml:space="preserve">IMVO wordt makkelijker naarmate arbeidsrechten en milieustandaarden in andere landen beter worden gehandhaafd. Vanuit ontwikkelingssamenwerking is IMVO ook een middel om bij te dragen aan de verduurzaming en versterking van handelsketens en uiteindelijk het behalen van de </w:t>
            </w:r>
            <w:proofErr w:type="spellStart"/>
            <w:r w:rsidRPr="002D3E02">
              <w:rPr>
                <w:b/>
                <w:bCs/>
              </w:rPr>
              <w:t>SDG’s</w:t>
            </w:r>
            <w:proofErr w:type="spellEnd"/>
            <w:r w:rsidRPr="002D3E02">
              <w:rPr>
                <w:b/>
                <w:bCs/>
              </w:rPr>
              <w:t xml:space="preserve"> in productielanden. Internationale handel is voor de meeste partnerlanden immers dé manier om geld te verdienen, in basisbehoeften te voorzien en welvaart te verbeteren.</w:t>
            </w:r>
          </w:p>
          <w:p w:rsidR="005D262C" w:rsidRDefault="005E6554" w14:paraId="31E9780F" w14:textId="38340BFF">
            <w:pPr>
              <w:rPr>
                <w:b/>
                <w:bCs/>
              </w:rPr>
            </w:pPr>
            <w:r>
              <w:rPr>
                <w:b/>
                <w:bCs/>
              </w:rPr>
              <w:t>M</w:t>
            </w:r>
            <w:r w:rsidRPr="002D3E02" w:rsidR="77463C5C">
              <w:rPr>
                <w:b/>
                <w:bCs/>
              </w:rPr>
              <w:t xml:space="preserve">eer synergie tussen de verschillende instrumenten die zich richten op IMVO </w:t>
            </w:r>
            <w:r w:rsidR="00860350">
              <w:rPr>
                <w:b/>
                <w:bCs/>
              </w:rPr>
              <w:t>en</w:t>
            </w:r>
            <w:r w:rsidRPr="002D3E02" w:rsidR="77463C5C">
              <w:rPr>
                <w:b/>
                <w:bCs/>
              </w:rPr>
              <w:t xml:space="preserve"> ontwikkelingssamenwerking</w:t>
            </w:r>
            <w:r>
              <w:rPr>
                <w:b/>
                <w:bCs/>
              </w:rPr>
              <w:t xml:space="preserve"> </w:t>
            </w:r>
            <w:r w:rsidR="00CC3D52">
              <w:rPr>
                <w:b/>
                <w:bCs/>
              </w:rPr>
              <w:t>wordt nagestreefd</w:t>
            </w:r>
            <w:r w:rsidRPr="002D3E02" w:rsidR="77463C5C">
              <w:rPr>
                <w:b/>
                <w:bCs/>
              </w:rPr>
              <w:t xml:space="preserve">, zodat deze instrumenten waar mogelijk en relevant doelstellingen op beide terreinen </w:t>
            </w:r>
            <w:r w:rsidRPr="002D3E02" w:rsidR="77463C5C">
              <w:rPr>
                <w:b/>
                <w:bCs/>
              </w:rPr>
              <w:lastRenderedPageBreak/>
              <w:t xml:space="preserve">versterken. </w:t>
            </w:r>
            <w:r w:rsidRPr="005E6554">
              <w:rPr>
                <w:b/>
                <w:bCs/>
              </w:rPr>
              <w:t>Een mooi voorbeeld is het nieuwe subsidieprogramma Fair Focus on Trade. Het doel van dit programma is het bevorderen van schone en eerlijke handel door versterking van maatschappelijke organisaties</w:t>
            </w:r>
            <w:r w:rsidR="001543CD">
              <w:rPr>
                <w:b/>
                <w:bCs/>
              </w:rPr>
              <w:t xml:space="preserve"> in ontwikkelingslanden</w:t>
            </w:r>
            <w:r w:rsidRPr="005E6554">
              <w:rPr>
                <w:b/>
                <w:bCs/>
              </w:rPr>
              <w:t>. Deze organisaties kunnen bedrijven helpen bij het identificeren en aanpakken van risico’s voor mens en milieu in waardeketens. Zo wordt de lokale impact vergroot, en is tegelijk een positief effect mogelijk voor de implementatie van IMVO-wet- en regelgeving.</w:t>
            </w:r>
          </w:p>
          <w:p w:rsidR="00827B5E" w:rsidRDefault="00827B5E" w14:paraId="090DB50A" w14:textId="5F13829C"/>
        </w:tc>
        <w:tc>
          <w:tcPr>
            <w:tcW w:w="850" w:type="dxa"/>
            <w:tcBorders>
              <w:top w:val="nil"/>
              <w:left w:val="nil"/>
              <w:bottom w:val="nil"/>
              <w:right w:val="nil"/>
            </w:tcBorders>
          </w:tcPr>
          <w:p w:rsidR="006051FD" w:rsidRDefault="006051FD" w14:paraId="6DE6F8E7" w14:textId="77777777">
            <w:pPr>
              <w:jc w:val="right"/>
            </w:pPr>
          </w:p>
        </w:tc>
        <w:tc>
          <w:tcPr>
            <w:tcW w:w="992" w:type="dxa"/>
            <w:tcBorders>
              <w:top w:val="nil"/>
              <w:left w:val="nil"/>
              <w:bottom w:val="nil"/>
              <w:right w:val="nil"/>
            </w:tcBorders>
          </w:tcPr>
          <w:p w:rsidR="006051FD" w:rsidRDefault="77463C5C" w14:paraId="50E79F91" w14:textId="77777777">
            <w:pPr>
              <w:jc w:val="right"/>
            </w:pPr>
            <w:r>
              <w:t>3</w:t>
            </w:r>
          </w:p>
        </w:tc>
        <w:tc>
          <w:tcPr>
            <w:tcW w:w="567" w:type="dxa"/>
            <w:tcBorders>
              <w:top w:val="nil"/>
              <w:left w:val="nil"/>
              <w:bottom w:val="nil"/>
              <w:right w:val="nil"/>
            </w:tcBorders>
          </w:tcPr>
          <w:p w:rsidR="006051FD" w:rsidRDefault="001856D0" w14:paraId="60E15C02" w14:textId="77777777">
            <w:pPr>
              <w:jc w:val="right"/>
            </w:pPr>
            <w:r>
              <w:t xml:space="preserve"> </w:t>
            </w:r>
          </w:p>
        </w:tc>
      </w:tr>
      <w:tr w:rsidR="006051FD" w:rsidTr="00827B5E" w14:paraId="541AB59E" w14:textId="77777777">
        <w:tc>
          <w:tcPr>
            <w:tcW w:w="567" w:type="dxa"/>
            <w:tcBorders>
              <w:top w:val="nil"/>
              <w:left w:val="nil"/>
              <w:bottom w:val="nil"/>
              <w:right w:val="nil"/>
            </w:tcBorders>
          </w:tcPr>
          <w:p w:rsidR="006051FD" w:rsidRDefault="77463C5C" w14:paraId="7C5B88F3" w14:textId="77777777">
            <w:r>
              <w:t>12</w:t>
            </w:r>
          </w:p>
        </w:tc>
        <w:tc>
          <w:tcPr>
            <w:tcW w:w="6521" w:type="dxa"/>
            <w:tcBorders>
              <w:top w:val="nil"/>
              <w:left w:val="nil"/>
              <w:bottom w:val="nil"/>
              <w:right w:val="nil"/>
            </w:tcBorders>
          </w:tcPr>
          <w:p w:rsidR="006051FD" w:rsidRDefault="77463C5C" w14:paraId="1D188032" w14:textId="77777777">
            <w:r>
              <w:t>Hoe wordt binnen de EU Global Gateway strategie de uitgangspunten van het Nederlandse IMVO-beleid, waaronder naleving van de OESO-richtlijnen, gestimuleerd en geborgd?</w:t>
            </w:r>
          </w:p>
          <w:p w:rsidRPr="005D262C" w:rsidR="005D262C" w:rsidP="005D262C" w:rsidRDefault="005D262C" w14:paraId="4FFAB7EF" w14:textId="77777777">
            <w:pPr>
              <w:rPr>
                <w:b/>
                <w:bCs/>
              </w:rPr>
            </w:pPr>
          </w:p>
          <w:p w:rsidRPr="00827B5E" w:rsidR="005D262C" w:rsidP="77463C5C" w:rsidRDefault="77463C5C" w14:paraId="606F2763" w14:textId="4BC569E6">
            <w:pPr>
              <w:rPr>
                <w:b/>
              </w:rPr>
            </w:pPr>
            <w:r w:rsidRPr="00827B5E">
              <w:rPr>
                <w:b/>
              </w:rPr>
              <w:t>Antwoord</w:t>
            </w:r>
          </w:p>
          <w:p w:rsidRPr="0066121B" w:rsidR="0066121B" w:rsidP="0066121B" w:rsidRDefault="0066121B" w14:paraId="6DC90D99" w14:textId="02807538">
            <w:pPr>
              <w:rPr>
                <w:b/>
              </w:rPr>
            </w:pPr>
            <w:r w:rsidRPr="0066121B">
              <w:rPr>
                <w:b/>
              </w:rPr>
              <w:t>Met Global Gateway biedt de EU een waarden-gedreven aanbod aan partnerlanden, gebaseerd op Europese standaarden en met aandacht voor mens en milieu. Naleving van de OESO-richtlijnen</w:t>
            </w:r>
            <w:r w:rsidR="00B753B4">
              <w:rPr>
                <w:b/>
              </w:rPr>
              <w:t xml:space="preserve">, die de basis van </w:t>
            </w:r>
            <w:r w:rsidRPr="0066121B">
              <w:rPr>
                <w:b/>
              </w:rPr>
              <w:t xml:space="preserve">het Nederlandse IMVO-beleid </w:t>
            </w:r>
            <w:r w:rsidR="00B753B4">
              <w:rPr>
                <w:b/>
              </w:rPr>
              <w:t xml:space="preserve">vormen, </w:t>
            </w:r>
            <w:r w:rsidRPr="0066121B">
              <w:rPr>
                <w:b/>
              </w:rPr>
              <w:t xml:space="preserve">zijn voor Nederland integraal onderdeel van partnerschappen en investeringen. Dit is ook uitgangspunt voor de Nederlandse bijdrage aan de Global Gateway strategie, zowel bij uitvoering van projecten als inzet op beleidsontwikkeling. </w:t>
            </w:r>
            <w:r w:rsidRPr="00B25E0B" w:rsidR="00B25E0B">
              <w:rPr>
                <w:b/>
                <w:bCs/>
              </w:rPr>
              <w:t xml:space="preserve">Daarnaast speelt het maatschappelijk middenveld een belangrijke rol in het controleren </w:t>
            </w:r>
            <w:r w:rsidR="00AB78AD">
              <w:rPr>
                <w:b/>
                <w:bCs/>
              </w:rPr>
              <w:t xml:space="preserve">en verbeteren </w:t>
            </w:r>
            <w:r w:rsidRPr="00B25E0B" w:rsidR="00B25E0B">
              <w:rPr>
                <w:b/>
                <w:bCs/>
              </w:rPr>
              <w:t xml:space="preserve">van de naleving van standaarden op het gebied van mensenrechten en duurzaamheid bij de uitvoering van Global Gateway-projecten in partnerlanden via het </w:t>
            </w:r>
            <w:proofErr w:type="spellStart"/>
            <w:r w:rsidRPr="00B25E0B" w:rsidR="00B25E0B">
              <w:rPr>
                <w:b/>
                <w:bCs/>
                <w:i/>
                <w:iCs/>
              </w:rPr>
              <w:t>Civil</w:t>
            </w:r>
            <w:proofErr w:type="spellEnd"/>
            <w:r w:rsidRPr="00B25E0B" w:rsidR="00B25E0B">
              <w:rPr>
                <w:b/>
                <w:bCs/>
                <w:i/>
                <w:iCs/>
              </w:rPr>
              <w:t xml:space="preserve"> Society and </w:t>
            </w:r>
            <w:proofErr w:type="spellStart"/>
            <w:r w:rsidRPr="00B25E0B" w:rsidR="00B25E0B">
              <w:rPr>
                <w:b/>
                <w:bCs/>
                <w:i/>
                <w:iCs/>
              </w:rPr>
              <w:t>Local</w:t>
            </w:r>
            <w:proofErr w:type="spellEnd"/>
            <w:r w:rsidRPr="00B25E0B" w:rsidR="00B25E0B">
              <w:rPr>
                <w:b/>
                <w:bCs/>
                <w:i/>
                <w:iCs/>
              </w:rPr>
              <w:t xml:space="preserve"> </w:t>
            </w:r>
            <w:proofErr w:type="spellStart"/>
            <w:r w:rsidRPr="00B25E0B" w:rsidR="00B25E0B">
              <w:rPr>
                <w:b/>
                <w:bCs/>
                <w:i/>
                <w:iCs/>
              </w:rPr>
              <w:t>Authorities</w:t>
            </w:r>
            <w:proofErr w:type="spellEnd"/>
            <w:r w:rsidRPr="00B25E0B" w:rsidR="00B25E0B">
              <w:rPr>
                <w:b/>
                <w:bCs/>
                <w:i/>
                <w:iCs/>
              </w:rPr>
              <w:t xml:space="preserve"> Platform </w:t>
            </w:r>
            <w:r w:rsidRPr="00B25E0B" w:rsidR="00B25E0B">
              <w:rPr>
                <w:b/>
                <w:bCs/>
              </w:rPr>
              <w:t>(CSO/LA Platform). Het kabinet zet in op het goed betrekken van het maatschappelijk middenveld bij de uitvoering van Global Gateway.</w:t>
            </w:r>
          </w:p>
          <w:p w:rsidRPr="0066121B" w:rsidR="005D262C" w:rsidRDefault="005D262C" w14:paraId="5EA1DD58" w14:textId="77777777"/>
        </w:tc>
        <w:tc>
          <w:tcPr>
            <w:tcW w:w="850" w:type="dxa"/>
            <w:tcBorders>
              <w:top w:val="nil"/>
              <w:left w:val="nil"/>
              <w:bottom w:val="nil"/>
              <w:right w:val="nil"/>
            </w:tcBorders>
          </w:tcPr>
          <w:p w:rsidRPr="0066121B" w:rsidR="006051FD" w:rsidRDefault="006051FD" w14:paraId="02B5579B" w14:textId="77777777">
            <w:pPr>
              <w:jc w:val="right"/>
            </w:pPr>
          </w:p>
        </w:tc>
        <w:tc>
          <w:tcPr>
            <w:tcW w:w="992" w:type="dxa"/>
            <w:tcBorders>
              <w:top w:val="nil"/>
              <w:left w:val="nil"/>
              <w:bottom w:val="nil"/>
              <w:right w:val="nil"/>
            </w:tcBorders>
          </w:tcPr>
          <w:p w:rsidR="006051FD" w:rsidRDefault="77463C5C" w14:paraId="01EE9899" w14:textId="77777777">
            <w:pPr>
              <w:jc w:val="right"/>
            </w:pPr>
            <w:r>
              <w:t>3</w:t>
            </w:r>
          </w:p>
        </w:tc>
        <w:tc>
          <w:tcPr>
            <w:tcW w:w="567" w:type="dxa"/>
            <w:tcBorders>
              <w:top w:val="nil"/>
              <w:left w:val="nil"/>
              <w:bottom w:val="nil"/>
              <w:right w:val="nil"/>
            </w:tcBorders>
          </w:tcPr>
          <w:p w:rsidR="006051FD" w:rsidRDefault="001856D0" w14:paraId="3960DD68" w14:textId="77777777">
            <w:pPr>
              <w:jc w:val="right"/>
            </w:pPr>
            <w:r>
              <w:t xml:space="preserve"> </w:t>
            </w:r>
          </w:p>
        </w:tc>
      </w:tr>
      <w:tr w:rsidR="006051FD" w:rsidTr="00827B5E" w14:paraId="568BA0E9" w14:textId="77777777">
        <w:tc>
          <w:tcPr>
            <w:tcW w:w="567" w:type="dxa"/>
            <w:tcBorders>
              <w:top w:val="nil"/>
              <w:left w:val="nil"/>
              <w:bottom w:val="nil"/>
              <w:right w:val="nil"/>
            </w:tcBorders>
          </w:tcPr>
          <w:p w:rsidR="006051FD" w:rsidRDefault="77463C5C" w14:paraId="1FB6549A" w14:textId="77777777">
            <w:r>
              <w:t>13</w:t>
            </w:r>
          </w:p>
        </w:tc>
        <w:tc>
          <w:tcPr>
            <w:tcW w:w="6521" w:type="dxa"/>
            <w:tcBorders>
              <w:top w:val="nil"/>
              <w:left w:val="nil"/>
              <w:bottom w:val="nil"/>
              <w:right w:val="nil"/>
            </w:tcBorders>
          </w:tcPr>
          <w:p w:rsidR="006051FD" w:rsidRDefault="77463C5C" w14:paraId="5CBEFC95" w14:textId="77777777">
            <w:r>
              <w:t>Aan welke juridische voorwaarden moet volgens u zijn voldaan om het voorgenomen sanctiebesluit onrechtmatige nederzettingen in de door Israël bezette gebieden weer op te heffen, zodat er sprake van een rechtmatige situatie is waardoor er geen juridische basis voor sancties meer bestaat? Kunt u hier zo specifiek en concreet mogelijk in zijn?</w:t>
            </w:r>
          </w:p>
          <w:p w:rsidRPr="005D262C" w:rsidR="005D262C" w:rsidP="005D262C" w:rsidRDefault="005D262C" w14:paraId="25ECCE0D" w14:textId="77777777">
            <w:pPr>
              <w:rPr>
                <w:b/>
                <w:bCs/>
              </w:rPr>
            </w:pPr>
          </w:p>
          <w:p w:rsidR="005D262C" w:rsidP="77463C5C" w:rsidRDefault="77463C5C" w14:paraId="08A98E1C" w14:textId="1615E403">
            <w:pPr>
              <w:rPr>
                <w:b/>
                <w:bCs/>
              </w:rPr>
            </w:pPr>
            <w:r w:rsidRPr="77463C5C">
              <w:rPr>
                <w:b/>
                <w:bCs/>
              </w:rPr>
              <w:t>Antwoord</w:t>
            </w:r>
          </w:p>
          <w:p w:rsidR="005D262C" w:rsidRDefault="00324FFB" w14:paraId="7B90F690" w14:textId="6EE352A4">
            <w:pPr>
              <w:rPr>
                <w:b/>
                <w:bCs/>
              </w:rPr>
            </w:pPr>
            <w:r>
              <w:rPr>
                <w:b/>
                <w:bCs/>
              </w:rPr>
              <w:t xml:space="preserve">Het </w:t>
            </w:r>
            <w:r w:rsidRPr="00324FFB">
              <w:rPr>
                <w:b/>
                <w:bCs/>
              </w:rPr>
              <w:t>sanctiebesluit, behoudens eerdere intrekking, vervalt drie jaar na het in werking treden, tenzij bij nadere wet anders wordt bepaald</w:t>
            </w:r>
            <w:r>
              <w:rPr>
                <w:b/>
                <w:bCs/>
              </w:rPr>
              <w:t>. Het kabinet geeft met het besluit nadere invulling aan het advies van het Inter</w:t>
            </w:r>
            <w:r w:rsidR="00252D76">
              <w:rPr>
                <w:b/>
                <w:bCs/>
              </w:rPr>
              <w:t>n</w:t>
            </w:r>
            <w:r>
              <w:rPr>
                <w:b/>
                <w:bCs/>
              </w:rPr>
              <w:t xml:space="preserve">ationaal Gerechtshof van 19 juli 2024 en </w:t>
            </w:r>
            <w:r w:rsidRPr="00324FFB" w:rsidR="008A5811">
              <w:rPr>
                <w:b/>
                <w:bCs/>
              </w:rPr>
              <w:t>aan aanbevelingen in verschillende VN-resoluties</w:t>
            </w:r>
            <w:r w:rsidR="007277CC">
              <w:rPr>
                <w:b/>
                <w:bCs/>
              </w:rPr>
              <w:t xml:space="preserve">. </w:t>
            </w:r>
            <w:r w:rsidRPr="007277CC" w:rsidR="007277CC">
              <w:rPr>
                <w:b/>
                <w:bCs/>
              </w:rPr>
              <w:t xml:space="preserve">Daarnaast dient dit sanctiebesluit als reactie op de ontwikkelingen ter plaatse en als onderdeel van de inzet van de regering om middels druk en dialoog de regering-Netanyahu van koers te laten veranderen ten aanzien van de Westelijke Jordaanoever en de </w:t>
            </w:r>
            <w:proofErr w:type="spellStart"/>
            <w:r w:rsidRPr="007277CC" w:rsidR="007277CC">
              <w:rPr>
                <w:b/>
                <w:bCs/>
              </w:rPr>
              <w:t>Golanhoogvlakte</w:t>
            </w:r>
            <w:proofErr w:type="spellEnd"/>
            <w:r w:rsidR="000B58A4">
              <w:rPr>
                <w:b/>
                <w:bCs/>
              </w:rPr>
              <w:t xml:space="preserve"> </w:t>
            </w:r>
            <w:r w:rsidR="00807B5B">
              <w:rPr>
                <w:b/>
                <w:bCs/>
              </w:rPr>
              <w:t xml:space="preserve">Tegen die achtergrond zal het </w:t>
            </w:r>
            <w:r w:rsidR="001543CD">
              <w:rPr>
                <w:b/>
                <w:bCs/>
              </w:rPr>
              <w:t>kabinet constant</w:t>
            </w:r>
            <w:r>
              <w:rPr>
                <w:b/>
                <w:bCs/>
              </w:rPr>
              <w:t xml:space="preserve"> </w:t>
            </w:r>
            <w:r w:rsidR="00F97EC8">
              <w:rPr>
                <w:b/>
                <w:bCs/>
              </w:rPr>
              <w:t xml:space="preserve">monitoren </w:t>
            </w:r>
            <w:r w:rsidR="00427E76">
              <w:rPr>
                <w:b/>
                <w:bCs/>
              </w:rPr>
              <w:t>hoe de situatie zich verder ontwikkelt.</w:t>
            </w:r>
          </w:p>
          <w:p w:rsidR="00827B5E" w:rsidRDefault="00827B5E" w14:paraId="30D8687F" w14:textId="0A3E9B64"/>
        </w:tc>
        <w:tc>
          <w:tcPr>
            <w:tcW w:w="850" w:type="dxa"/>
            <w:tcBorders>
              <w:top w:val="nil"/>
              <w:left w:val="nil"/>
              <w:bottom w:val="nil"/>
              <w:right w:val="nil"/>
            </w:tcBorders>
          </w:tcPr>
          <w:p w:rsidR="006051FD" w:rsidRDefault="006051FD" w14:paraId="792D8DBA" w14:textId="77777777">
            <w:pPr>
              <w:jc w:val="right"/>
            </w:pPr>
          </w:p>
        </w:tc>
        <w:tc>
          <w:tcPr>
            <w:tcW w:w="992" w:type="dxa"/>
            <w:tcBorders>
              <w:top w:val="nil"/>
              <w:left w:val="nil"/>
              <w:bottom w:val="nil"/>
              <w:right w:val="nil"/>
            </w:tcBorders>
          </w:tcPr>
          <w:p w:rsidR="006051FD" w:rsidRDefault="77463C5C" w14:paraId="63A2FE3F" w14:textId="77777777">
            <w:pPr>
              <w:jc w:val="right"/>
            </w:pPr>
            <w:r>
              <w:t>4</w:t>
            </w:r>
          </w:p>
        </w:tc>
        <w:tc>
          <w:tcPr>
            <w:tcW w:w="567" w:type="dxa"/>
            <w:tcBorders>
              <w:top w:val="nil"/>
              <w:left w:val="nil"/>
              <w:bottom w:val="nil"/>
              <w:right w:val="nil"/>
            </w:tcBorders>
          </w:tcPr>
          <w:p w:rsidR="006051FD" w:rsidRDefault="001856D0" w14:paraId="7F00A374" w14:textId="77777777">
            <w:pPr>
              <w:jc w:val="right"/>
            </w:pPr>
            <w:r>
              <w:t xml:space="preserve"> </w:t>
            </w:r>
          </w:p>
        </w:tc>
      </w:tr>
      <w:tr w:rsidR="006051FD" w:rsidTr="00827B5E" w14:paraId="543ABB54" w14:textId="77777777">
        <w:tc>
          <w:tcPr>
            <w:tcW w:w="567" w:type="dxa"/>
            <w:tcBorders>
              <w:top w:val="nil"/>
              <w:left w:val="nil"/>
              <w:bottom w:val="nil"/>
              <w:right w:val="nil"/>
            </w:tcBorders>
          </w:tcPr>
          <w:p w:rsidR="006051FD" w:rsidRDefault="77463C5C" w14:paraId="45A8E994" w14:textId="77777777">
            <w:r>
              <w:t>14</w:t>
            </w:r>
          </w:p>
        </w:tc>
        <w:tc>
          <w:tcPr>
            <w:tcW w:w="6521" w:type="dxa"/>
            <w:tcBorders>
              <w:top w:val="nil"/>
              <w:left w:val="nil"/>
              <w:bottom w:val="nil"/>
              <w:right w:val="nil"/>
            </w:tcBorders>
          </w:tcPr>
          <w:p w:rsidR="006051FD" w:rsidRDefault="77463C5C" w14:paraId="40CC610F" w14:textId="77777777">
            <w:bookmarkStart w:name="_Hlk231380480" w:id="3"/>
            <w:r>
              <w:t>Omarmt u het gehele advies van de Internationaal Gerechtshof (IGH) 2024 inclusief al haar conclusies? Neemt u de conclusies over als officieel kabinetsstandpunt? Zo nee, welke conclusies die in het IGH worden geconcludeerd neemt u concreet niet over?</w:t>
            </w:r>
          </w:p>
          <w:p w:rsidRPr="005D262C" w:rsidR="005D262C" w:rsidP="005D262C" w:rsidRDefault="005D262C" w14:paraId="7BB44A85" w14:textId="77777777">
            <w:pPr>
              <w:rPr>
                <w:b/>
                <w:bCs/>
              </w:rPr>
            </w:pPr>
          </w:p>
          <w:p w:rsidR="005D262C" w:rsidP="77463C5C" w:rsidRDefault="77463C5C" w14:paraId="4E9BDADC" w14:textId="7FD10F66">
            <w:pPr>
              <w:rPr>
                <w:b/>
                <w:bCs/>
              </w:rPr>
            </w:pPr>
            <w:r w:rsidRPr="77463C5C">
              <w:rPr>
                <w:b/>
                <w:bCs/>
              </w:rPr>
              <w:t>Antwoord</w:t>
            </w:r>
          </w:p>
          <w:p w:rsidR="005D262C" w:rsidRDefault="77463C5C" w14:paraId="3BD428D0" w14:textId="77777777">
            <w:pPr>
              <w:rPr>
                <w:b/>
                <w:bCs/>
              </w:rPr>
            </w:pPr>
            <w:r w:rsidRPr="77463C5C">
              <w:rPr>
                <w:b/>
                <w:bCs/>
              </w:rPr>
              <w:t>Ja</w:t>
            </w:r>
            <w:r w:rsidR="00691047">
              <w:rPr>
                <w:b/>
                <w:bCs/>
              </w:rPr>
              <w:t xml:space="preserve">. </w:t>
            </w:r>
            <w:r w:rsidRPr="00691047" w:rsidR="00691047">
              <w:rPr>
                <w:b/>
                <w:bCs/>
              </w:rPr>
              <w:t xml:space="preserve">In overeenstemming met het advies van het Internationaal Gerechtshof van 19 juli 2024, erkent het kabinet dat de Israëlische bezetting van de Palestijnse Gebieden onrechtmatig is. Dit komt overeen met de reeds jarenlang bestaande kabinetspositie dat de nederzettingen en de uitbreiding daarvan, vernielingen of uithuisplaatsingen in de bezette gebieden in strijd </w:t>
            </w:r>
            <w:r w:rsidRPr="00691047" w:rsidR="00691047">
              <w:rPr>
                <w:b/>
                <w:bCs/>
              </w:rPr>
              <w:lastRenderedPageBreak/>
              <w:t>zijn met internationaal recht. </w:t>
            </w:r>
            <w:r w:rsidRPr="77463C5C">
              <w:rPr>
                <w:b/>
                <w:bCs/>
              </w:rPr>
              <w:t xml:space="preserve"> </w:t>
            </w:r>
            <w:r w:rsidR="00691047">
              <w:rPr>
                <w:b/>
                <w:bCs/>
              </w:rPr>
              <w:t>H</w:t>
            </w:r>
            <w:r w:rsidRPr="77463C5C">
              <w:rPr>
                <w:b/>
                <w:bCs/>
              </w:rPr>
              <w:t xml:space="preserve">et advies van het Internationaal Gerechtshof is gezaghebbend en geeft een beschrijving van het geldende internationaal recht. Alle staten, inclusief Nederland en Israël zijn aan dit recht gebonden. </w:t>
            </w:r>
            <w:bookmarkEnd w:id="3"/>
          </w:p>
          <w:p w:rsidR="00827B5E" w:rsidRDefault="00827B5E" w14:paraId="7C15B1EC" w14:textId="11C9BAC9"/>
        </w:tc>
        <w:tc>
          <w:tcPr>
            <w:tcW w:w="850" w:type="dxa"/>
            <w:tcBorders>
              <w:top w:val="nil"/>
              <w:left w:val="nil"/>
              <w:bottom w:val="nil"/>
              <w:right w:val="nil"/>
            </w:tcBorders>
          </w:tcPr>
          <w:p w:rsidR="006051FD" w:rsidRDefault="006051FD" w14:paraId="67579ECC" w14:textId="77777777">
            <w:pPr>
              <w:jc w:val="right"/>
            </w:pPr>
          </w:p>
        </w:tc>
        <w:tc>
          <w:tcPr>
            <w:tcW w:w="992" w:type="dxa"/>
            <w:tcBorders>
              <w:top w:val="nil"/>
              <w:left w:val="nil"/>
              <w:bottom w:val="nil"/>
              <w:right w:val="nil"/>
            </w:tcBorders>
          </w:tcPr>
          <w:p w:rsidR="006051FD" w:rsidRDefault="77463C5C" w14:paraId="2773DFE3" w14:textId="77777777">
            <w:pPr>
              <w:jc w:val="right"/>
            </w:pPr>
            <w:r>
              <w:t>4</w:t>
            </w:r>
          </w:p>
        </w:tc>
        <w:tc>
          <w:tcPr>
            <w:tcW w:w="567" w:type="dxa"/>
            <w:tcBorders>
              <w:top w:val="nil"/>
              <w:left w:val="nil"/>
              <w:bottom w:val="nil"/>
              <w:right w:val="nil"/>
            </w:tcBorders>
          </w:tcPr>
          <w:p w:rsidR="006051FD" w:rsidRDefault="001856D0" w14:paraId="2360D0E6" w14:textId="77777777">
            <w:pPr>
              <w:jc w:val="right"/>
            </w:pPr>
            <w:r>
              <w:t xml:space="preserve"> </w:t>
            </w:r>
          </w:p>
        </w:tc>
      </w:tr>
      <w:tr w:rsidR="006051FD" w:rsidTr="00827B5E" w14:paraId="184D1CDA" w14:textId="77777777">
        <w:tc>
          <w:tcPr>
            <w:tcW w:w="567" w:type="dxa"/>
            <w:tcBorders>
              <w:top w:val="nil"/>
              <w:left w:val="nil"/>
              <w:bottom w:val="nil"/>
              <w:right w:val="nil"/>
            </w:tcBorders>
          </w:tcPr>
          <w:p w:rsidR="006051FD" w:rsidRDefault="77463C5C" w14:paraId="6C31730F" w14:textId="77777777">
            <w:r>
              <w:t>15</w:t>
            </w:r>
          </w:p>
        </w:tc>
        <w:tc>
          <w:tcPr>
            <w:tcW w:w="6521" w:type="dxa"/>
            <w:tcBorders>
              <w:top w:val="nil"/>
              <w:left w:val="nil"/>
              <w:bottom w:val="nil"/>
              <w:right w:val="nil"/>
            </w:tcBorders>
          </w:tcPr>
          <w:p w:rsidR="006051FD" w:rsidRDefault="77463C5C" w14:paraId="6928DC11" w14:textId="77777777">
            <w:r>
              <w:t>Hoe verhoudt het voorgenomen sanctiebesluit onrechtmatige nederzettingen in de door Israël bezette gebieden zich tot de opstelling jegens producten uit de Westelijke Sahara en Noord-Cyprus?</w:t>
            </w:r>
          </w:p>
          <w:p w:rsidRPr="005D262C" w:rsidR="005D262C" w:rsidP="005D262C" w:rsidRDefault="005D262C" w14:paraId="5F8F7767" w14:textId="77777777">
            <w:pPr>
              <w:rPr>
                <w:b/>
                <w:bCs/>
              </w:rPr>
            </w:pPr>
          </w:p>
          <w:p w:rsidR="005D262C" w:rsidP="77463C5C" w:rsidRDefault="77463C5C" w14:paraId="1DE49498" w14:textId="7F7319F2">
            <w:pPr>
              <w:rPr>
                <w:b/>
                <w:bCs/>
              </w:rPr>
            </w:pPr>
            <w:r w:rsidRPr="77463C5C">
              <w:rPr>
                <w:b/>
                <w:bCs/>
              </w:rPr>
              <w:t>Antwoord</w:t>
            </w:r>
          </w:p>
          <w:p w:rsidR="005D262C" w:rsidRDefault="00324FFB" w14:paraId="09397420" w14:textId="77777777">
            <w:pPr>
              <w:rPr>
                <w:b/>
                <w:bCs/>
              </w:rPr>
            </w:pPr>
            <w:r>
              <w:rPr>
                <w:b/>
                <w:bCs/>
              </w:rPr>
              <w:t xml:space="preserve">Het kabinet hanteert als uitgangspunt dat </w:t>
            </w:r>
            <w:r w:rsidRPr="00324FFB">
              <w:rPr>
                <w:b/>
                <w:bCs/>
              </w:rPr>
              <w:t>elke situatie op haar eigen merites moet worden beoordeeld</w:t>
            </w:r>
            <w:r>
              <w:rPr>
                <w:b/>
                <w:bCs/>
              </w:rPr>
              <w:t xml:space="preserve">. </w:t>
            </w:r>
            <w:r w:rsidRPr="00324FFB">
              <w:rPr>
                <w:b/>
                <w:bCs/>
              </w:rPr>
              <w:t>De situaties in de door Israël bezette gebieden</w:t>
            </w:r>
            <w:r>
              <w:rPr>
                <w:b/>
                <w:bCs/>
              </w:rPr>
              <w:t>,</w:t>
            </w:r>
            <w:r w:rsidRPr="00324FFB">
              <w:rPr>
                <w:b/>
                <w:bCs/>
              </w:rPr>
              <w:t xml:space="preserve"> de Westelijke Sahara </w:t>
            </w:r>
            <w:r>
              <w:rPr>
                <w:b/>
                <w:bCs/>
              </w:rPr>
              <w:t xml:space="preserve">en </w:t>
            </w:r>
            <w:r w:rsidR="00AC41EF">
              <w:rPr>
                <w:b/>
                <w:bCs/>
              </w:rPr>
              <w:t xml:space="preserve">het noorden van </w:t>
            </w:r>
            <w:r>
              <w:rPr>
                <w:b/>
                <w:bCs/>
              </w:rPr>
              <w:t xml:space="preserve">Cyprus </w:t>
            </w:r>
            <w:r w:rsidRPr="00324FFB">
              <w:rPr>
                <w:b/>
                <w:bCs/>
              </w:rPr>
              <w:t>zijn niet hetzelfde, waardoor het beleid ten aanzien van deze gebieden ook niet op alle fronten identiek is</w:t>
            </w:r>
            <w:r>
              <w:rPr>
                <w:b/>
                <w:bCs/>
              </w:rPr>
              <w:t xml:space="preserve">. </w:t>
            </w:r>
            <w:r w:rsidR="00EA507F">
              <w:rPr>
                <w:b/>
                <w:bCs/>
              </w:rPr>
              <w:t>In die gebieden zijn</w:t>
            </w:r>
            <w:r w:rsidR="00DE5B60">
              <w:rPr>
                <w:b/>
                <w:bCs/>
              </w:rPr>
              <w:t xml:space="preserve"> bijvoorbeeld</w:t>
            </w:r>
            <w:r w:rsidR="00EA507F">
              <w:rPr>
                <w:b/>
                <w:bCs/>
              </w:rPr>
              <w:t xml:space="preserve"> geen nederzettingen.</w:t>
            </w:r>
            <w:r>
              <w:rPr>
                <w:b/>
                <w:bCs/>
              </w:rPr>
              <w:t xml:space="preserve"> </w:t>
            </w:r>
            <w:r w:rsidRPr="00324FFB">
              <w:rPr>
                <w:b/>
                <w:bCs/>
              </w:rPr>
              <w:t xml:space="preserve">Met het sanctiebesluit ten aanzien van de onrechtmatige Israëlische nederzettingen geeft het kabinet nadere invulling aan het </w:t>
            </w:r>
            <w:r>
              <w:rPr>
                <w:b/>
                <w:bCs/>
              </w:rPr>
              <w:t>advies van het Internationaal Gerechtshof</w:t>
            </w:r>
            <w:r w:rsidRPr="00324FFB">
              <w:rPr>
                <w:b/>
                <w:bCs/>
              </w:rPr>
              <w:t xml:space="preserve"> van 19 juli 2024, en aan aanbevelingen in verschillende VN-resoluties. Daarnaast dient dit besluit als reactie op de </w:t>
            </w:r>
            <w:r>
              <w:rPr>
                <w:b/>
                <w:bCs/>
              </w:rPr>
              <w:t xml:space="preserve">steeds verder </w:t>
            </w:r>
            <w:r w:rsidRPr="00324FFB">
              <w:rPr>
                <w:b/>
                <w:bCs/>
              </w:rPr>
              <w:t xml:space="preserve">verslechterende ontwikkelingen ter plaatse. </w:t>
            </w:r>
          </w:p>
          <w:p w:rsidR="00827B5E" w:rsidRDefault="00827B5E" w14:paraId="4017F5B8" w14:textId="0359DB55"/>
        </w:tc>
        <w:tc>
          <w:tcPr>
            <w:tcW w:w="850" w:type="dxa"/>
            <w:tcBorders>
              <w:top w:val="nil"/>
              <w:left w:val="nil"/>
              <w:bottom w:val="nil"/>
              <w:right w:val="nil"/>
            </w:tcBorders>
          </w:tcPr>
          <w:p w:rsidR="006051FD" w:rsidRDefault="006051FD" w14:paraId="723A63A4" w14:textId="77777777">
            <w:pPr>
              <w:jc w:val="right"/>
            </w:pPr>
          </w:p>
        </w:tc>
        <w:tc>
          <w:tcPr>
            <w:tcW w:w="992" w:type="dxa"/>
            <w:tcBorders>
              <w:top w:val="nil"/>
              <w:left w:val="nil"/>
              <w:bottom w:val="nil"/>
              <w:right w:val="nil"/>
            </w:tcBorders>
          </w:tcPr>
          <w:p w:rsidR="006051FD" w:rsidRDefault="77463C5C" w14:paraId="450D7593" w14:textId="77777777">
            <w:pPr>
              <w:jc w:val="right"/>
            </w:pPr>
            <w:r>
              <w:t>4</w:t>
            </w:r>
          </w:p>
        </w:tc>
        <w:tc>
          <w:tcPr>
            <w:tcW w:w="567" w:type="dxa"/>
            <w:tcBorders>
              <w:top w:val="nil"/>
              <w:left w:val="nil"/>
              <w:bottom w:val="nil"/>
              <w:right w:val="nil"/>
            </w:tcBorders>
          </w:tcPr>
          <w:p w:rsidR="006051FD" w:rsidRDefault="001856D0" w14:paraId="306470EE" w14:textId="77777777">
            <w:pPr>
              <w:jc w:val="right"/>
            </w:pPr>
            <w:r>
              <w:t xml:space="preserve"> </w:t>
            </w:r>
          </w:p>
        </w:tc>
      </w:tr>
      <w:tr w:rsidR="006051FD" w:rsidTr="00827B5E" w14:paraId="517DC36B" w14:textId="77777777">
        <w:tc>
          <w:tcPr>
            <w:tcW w:w="567" w:type="dxa"/>
            <w:tcBorders>
              <w:top w:val="nil"/>
              <w:left w:val="nil"/>
              <w:bottom w:val="nil"/>
              <w:right w:val="nil"/>
            </w:tcBorders>
          </w:tcPr>
          <w:p w:rsidR="006051FD" w:rsidRDefault="77463C5C" w14:paraId="6158881F" w14:textId="77777777">
            <w:r>
              <w:t>16</w:t>
            </w:r>
          </w:p>
        </w:tc>
        <w:tc>
          <w:tcPr>
            <w:tcW w:w="6521" w:type="dxa"/>
            <w:tcBorders>
              <w:top w:val="nil"/>
              <w:left w:val="nil"/>
              <w:bottom w:val="nil"/>
              <w:right w:val="nil"/>
            </w:tcBorders>
          </w:tcPr>
          <w:p w:rsidR="006051FD" w:rsidRDefault="77463C5C" w14:paraId="5C59AD17" w14:textId="77777777">
            <w:r>
              <w:t xml:space="preserve">Klopt het dat het voorgenomen sanctiebesluit onrechtmatige nederzettingen in de door Israël bezette gebieden (niet de </w:t>
            </w:r>
            <w:proofErr w:type="spellStart"/>
            <w:r>
              <w:t>juro</w:t>
            </w:r>
            <w:proofErr w:type="spellEnd"/>
            <w:r>
              <w:t>) alleen etnische joden raakt in de mogelijkheid om goederen te exporteren? Zo nee, welke bevolkingsgroepen worden nog meer door deze nationale maatregel geraakt? Kunt u dut uitsplitsen in directe en indirecte de facto reikwijdte.</w:t>
            </w:r>
          </w:p>
          <w:p w:rsidRPr="005D262C" w:rsidR="005D262C" w:rsidP="005D262C" w:rsidRDefault="005D262C" w14:paraId="77523D05" w14:textId="77777777">
            <w:pPr>
              <w:rPr>
                <w:b/>
                <w:bCs/>
              </w:rPr>
            </w:pPr>
          </w:p>
          <w:p w:rsidR="00827B5E" w:rsidP="00827B5E" w:rsidRDefault="77463C5C" w14:paraId="1BFDF5CC" w14:textId="60D8FD1D">
            <w:pPr>
              <w:rPr>
                <w:b/>
                <w:bCs/>
              </w:rPr>
            </w:pPr>
            <w:r w:rsidRPr="77463C5C">
              <w:rPr>
                <w:b/>
                <w:bCs/>
              </w:rPr>
              <w:t>Antwoord</w:t>
            </w:r>
          </w:p>
          <w:p w:rsidR="005D262C" w:rsidP="00827B5E" w:rsidRDefault="000C7CF0" w14:paraId="2B5F6325" w14:textId="77777777">
            <w:pPr>
              <w:rPr>
                <w:b/>
                <w:bCs/>
              </w:rPr>
            </w:pPr>
            <w:r>
              <w:rPr>
                <w:b/>
                <w:bCs/>
              </w:rPr>
              <w:t xml:space="preserve">Met het besluit geeft het kabinet nadere invulling aan het advies van het Internationaal Gerechtshof van 19 juli 2024 </w:t>
            </w:r>
            <w:r w:rsidRPr="00324FFB">
              <w:rPr>
                <w:b/>
                <w:bCs/>
              </w:rPr>
              <w:t>en aan aanbevelingen in verschillende VN-resoluties</w:t>
            </w:r>
            <w:r>
              <w:rPr>
                <w:b/>
                <w:bCs/>
              </w:rPr>
              <w:t xml:space="preserve"> en daarnaast dient dit besluit als reactie op de steeds verder verslechterende situatie op de grond.</w:t>
            </w:r>
            <w:r w:rsidR="0052086E">
              <w:rPr>
                <w:b/>
                <w:bCs/>
              </w:rPr>
              <w:t xml:space="preserve"> </w:t>
            </w:r>
            <w:r w:rsidR="00324FFB">
              <w:rPr>
                <w:b/>
                <w:bCs/>
              </w:rPr>
              <w:t xml:space="preserve">Het besluit </w:t>
            </w:r>
            <w:r w:rsidRPr="000153AF" w:rsidR="000153AF">
              <w:rPr>
                <w:b/>
                <w:bCs/>
              </w:rPr>
              <w:t>houdt verband met het verbod op overbrenging van (een gedeelte van) de eigen burgerbevolking door Israël naar bezet gebied</w:t>
            </w:r>
            <w:r w:rsidR="003107F1">
              <w:rPr>
                <w:b/>
                <w:bCs/>
              </w:rPr>
              <w:t xml:space="preserve"> en</w:t>
            </w:r>
            <w:r w:rsidR="00324FFB">
              <w:rPr>
                <w:b/>
                <w:bCs/>
              </w:rPr>
              <w:t xml:space="preserve"> </w:t>
            </w:r>
            <w:r w:rsidRPr="00324FFB" w:rsidR="00324FFB">
              <w:rPr>
                <w:b/>
                <w:bCs/>
              </w:rPr>
              <w:t>is van toepassing op goederen die geheel of gedeeltelijk verkregen zijn uit of geproduceerd zijn in een onrechtmatige nederzetting in de door Israël bezette gebieden, genoemd in de EU-postcodelijst, met uitzondering van goederen die in aanmerking komen voor preferentiële behandeling in overeenstemming met artikel 64 van het Douanewetboek van de Unie.</w:t>
            </w:r>
          </w:p>
          <w:p w:rsidR="00827B5E" w:rsidP="00827B5E" w:rsidRDefault="00827B5E" w14:paraId="1C6AFE8E" w14:textId="255A806F"/>
        </w:tc>
        <w:tc>
          <w:tcPr>
            <w:tcW w:w="850" w:type="dxa"/>
            <w:tcBorders>
              <w:top w:val="nil"/>
              <w:left w:val="nil"/>
              <w:bottom w:val="nil"/>
              <w:right w:val="nil"/>
            </w:tcBorders>
          </w:tcPr>
          <w:p w:rsidR="006051FD" w:rsidRDefault="006051FD" w14:paraId="4FB459A3" w14:textId="77777777">
            <w:pPr>
              <w:jc w:val="right"/>
            </w:pPr>
          </w:p>
        </w:tc>
        <w:tc>
          <w:tcPr>
            <w:tcW w:w="992" w:type="dxa"/>
            <w:tcBorders>
              <w:top w:val="nil"/>
              <w:left w:val="nil"/>
              <w:bottom w:val="nil"/>
              <w:right w:val="nil"/>
            </w:tcBorders>
          </w:tcPr>
          <w:p w:rsidR="006051FD" w:rsidRDefault="77463C5C" w14:paraId="54DFAA11" w14:textId="77777777">
            <w:pPr>
              <w:jc w:val="right"/>
            </w:pPr>
            <w:r>
              <w:t>4</w:t>
            </w:r>
          </w:p>
        </w:tc>
        <w:tc>
          <w:tcPr>
            <w:tcW w:w="567" w:type="dxa"/>
            <w:tcBorders>
              <w:top w:val="nil"/>
              <w:left w:val="nil"/>
              <w:bottom w:val="nil"/>
              <w:right w:val="nil"/>
            </w:tcBorders>
          </w:tcPr>
          <w:p w:rsidR="006051FD" w:rsidRDefault="001856D0" w14:paraId="238C1E93" w14:textId="77777777">
            <w:pPr>
              <w:jc w:val="right"/>
            </w:pPr>
            <w:r>
              <w:t xml:space="preserve"> </w:t>
            </w:r>
          </w:p>
        </w:tc>
      </w:tr>
      <w:tr w:rsidR="006051FD" w:rsidTr="00827B5E" w14:paraId="3911956C" w14:textId="77777777">
        <w:tc>
          <w:tcPr>
            <w:tcW w:w="567" w:type="dxa"/>
            <w:tcBorders>
              <w:top w:val="nil"/>
              <w:left w:val="nil"/>
              <w:bottom w:val="nil"/>
              <w:right w:val="nil"/>
            </w:tcBorders>
          </w:tcPr>
          <w:p w:rsidR="006051FD" w:rsidRDefault="77463C5C" w14:paraId="60BECDCA" w14:textId="77777777">
            <w:r>
              <w:t>17</w:t>
            </w:r>
          </w:p>
        </w:tc>
        <w:tc>
          <w:tcPr>
            <w:tcW w:w="6521" w:type="dxa"/>
            <w:tcBorders>
              <w:top w:val="nil"/>
              <w:left w:val="nil"/>
              <w:bottom w:val="nil"/>
              <w:right w:val="nil"/>
            </w:tcBorders>
          </w:tcPr>
          <w:p w:rsidR="006051FD" w:rsidRDefault="77463C5C" w14:paraId="426751DC" w14:textId="77777777">
            <w:r>
              <w:t>Het kabinet wil de Europese Commissie aansporen tot het sluiten van nieuwe handels- en investeringsverdragen inclusief afspraken over toegang tot grondstoffen. Kunt u toelichten op welke manier maatschappelijke organisaties inclusief vrouwenrechtenorganisaties betrokken zullen worden bij de onderhandelingen voor en monitoring van deze nieuwe handels- en investeringsverdragen? Zullen afspraken over handel en gendergelijkheid ook onderdeel zijn van uw inzet voor nieuwe Europese handels- en investeringsverdragen?</w:t>
            </w:r>
          </w:p>
          <w:p w:rsidRPr="005D262C" w:rsidR="005D262C" w:rsidP="005D262C" w:rsidRDefault="005D262C" w14:paraId="10BC389F" w14:textId="77777777">
            <w:pPr>
              <w:rPr>
                <w:b/>
                <w:bCs/>
              </w:rPr>
            </w:pPr>
          </w:p>
          <w:p w:rsidR="005D262C" w:rsidP="77463C5C" w:rsidRDefault="77463C5C" w14:paraId="1FD4DB1E" w14:textId="7DB76600">
            <w:pPr>
              <w:rPr>
                <w:b/>
                <w:bCs/>
              </w:rPr>
            </w:pPr>
            <w:r w:rsidRPr="77463C5C">
              <w:rPr>
                <w:b/>
                <w:bCs/>
              </w:rPr>
              <w:t xml:space="preserve">Antwoord </w:t>
            </w:r>
          </w:p>
          <w:p w:rsidR="00DE5B60" w:rsidP="005D262C" w:rsidRDefault="00DE5B60" w14:paraId="38EE88FA" w14:textId="77777777">
            <w:pPr>
              <w:rPr>
                <w:b/>
                <w:bCs/>
              </w:rPr>
            </w:pPr>
            <w:r>
              <w:rPr>
                <w:b/>
                <w:bCs/>
              </w:rPr>
              <w:t xml:space="preserve">Afspraken van over handel en gendergelijkheid zijn onderdeel van de Nederlandse inzet op afspraken over handel en duurzame ontwikkeling in handelsakkoorden. Deze inzet draagt Nederland uit tijdens de onderhandelingen van handelsakkoorden. </w:t>
            </w:r>
          </w:p>
          <w:p w:rsidR="00DE5B60" w:rsidP="005D262C" w:rsidRDefault="00DE5B60" w14:paraId="6DE5A692" w14:textId="77777777">
            <w:pPr>
              <w:rPr>
                <w:b/>
                <w:bCs/>
              </w:rPr>
            </w:pPr>
          </w:p>
          <w:p w:rsidR="00DE5B60" w:rsidP="005D262C" w:rsidRDefault="00DE5B60" w14:paraId="2BA857D0" w14:textId="2DEB0EB6">
            <w:pPr>
              <w:rPr>
                <w:b/>
                <w:bCs/>
              </w:rPr>
            </w:pPr>
            <w:r>
              <w:rPr>
                <w:b/>
                <w:bCs/>
              </w:rPr>
              <w:lastRenderedPageBreak/>
              <w:t xml:space="preserve">Tijdens onderhandelingen over handelsakkoorden wordt het Nederlandse maatschappelijk middenveld de </w:t>
            </w:r>
            <w:r w:rsidR="001543CD">
              <w:rPr>
                <w:b/>
                <w:bCs/>
              </w:rPr>
              <w:t>kans geboden</w:t>
            </w:r>
            <w:r>
              <w:rPr>
                <w:b/>
                <w:bCs/>
              </w:rPr>
              <w:t xml:space="preserve"> hun inzichten met het ministerie van Buitenlandse Zaken te delen tijdens het Breed Handelsberaad. Aan dit overlegorgaan nemen ook organisaties deel die zich inzetten voor vrouwenrechten. Dit platform biedt ook ruimte aan het maatschappelijk middenveld om zorgen te delen over de implementatie van de verschillende handelsakkoorden. </w:t>
            </w:r>
          </w:p>
          <w:p w:rsidR="00DE5B60" w:rsidP="005D262C" w:rsidRDefault="00DE5B60" w14:paraId="00EBD456" w14:textId="77777777">
            <w:pPr>
              <w:rPr>
                <w:b/>
                <w:bCs/>
              </w:rPr>
            </w:pPr>
          </w:p>
          <w:p w:rsidRPr="00E35CBE" w:rsidR="00DE5B60" w:rsidP="005D262C" w:rsidRDefault="00DE5B60" w14:paraId="2AA2A2B8" w14:textId="6070FB38">
            <w:pPr>
              <w:rPr>
                <w:b/>
                <w:bCs/>
              </w:rPr>
            </w:pPr>
            <w:r>
              <w:rPr>
                <w:b/>
                <w:bCs/>
              </w:rPr>
              <w:t xml:space="preserve">In de handelsakkoorden zelf worden </w:t>
            </w:r>
            <w:proofErr w:type="spellStart"/>
            <w:r>
              <w:rPr>
                <w:b/>
                <w:bCs/>
                <w:i/>
                <w:iCs/>
              </w:rPr>
              <w:t>domestic</w:t>
            </w:r>
            <w:proofErr w:type="spellEnd"/>
            <w:r>
              <w:rPr>
                <w:b/>
                <w:bCs/>
                <w:i/>
                <w:iCs/>
              </w:rPr>
              <w:t xml:space="preserve"> </w:t>
            </w:r>
            <w:proofErr w:type="spellStart"/>
            <w:r>
              <w:rPr>
                <w:b/>
                <w:bCs/>
                <w:i/>
                <w:iCs/>
              </w:rPr>
              <w:t>advisory</w:t>
            </w:r>
            <w:proofErr w:type="spellEnd"/>
            <w:r>
              <w:rPr>
                <w:b/>
                <w:bCs/>
                <w:i/>
                <w:iCs/>
              </w:rPr>
              <w:t xml:space="preserve"> </w:t>
            </w:r>
            <w:proofErr w:type="spellStart"/>
            <w:r>
              <w:rPr>
                <w:b/>
                <w:bCs/>
                <w:i/>
                <w:iCs/>
              </w:rPr>
              <w:t>groups</w:t>
            </w:r>
            <w:proofErr w:type="spellEnd"/>
            <w:r>
              <w:rPr>
                <w:b/>
                <w:bCs/>
              </w:rPr>
              <w:t xml:space="preserve"> ingericht, dat zijn groepen </w:t>
            </w:r>
            <w:r w:rsidR="003E19EE">
              <w:rPr>
                <w:b/>
                <w:bCs/>
              </w:rPr>
              <w:t>zowel in de EU als in de verdragspartners van de EU</w:t>
            </w:r>
            <w:r>
              <w:rPr>
                <w:b/>
                <w:bCs/>
              </w:rPr>
              <w:t xml:space="preserve">, waarin vakbonden, ngo’s en het bedrijfsleven vertegenwoordigd zijn om </w:t>
            </w:r>
            <w:r w:rsidR="00E35CBE">
              <w:rPr>
                <w:b/>
                <w:bCs/>
              </w:rPr>
              <w:t xml:space="preserve">de implementatie van het akkoord te monitoren. Hier kunnen ook vrouwenrechtenorganisaties aan deelnemen. Middels het </w:t>
            </w:r>
            <w:r w:rsidR="00E35CBE">
              <w:rPr>
                <w:b/>
                <w:bCs/>
                <w:i/>
                <w:iCs/>
              </w:rPr>
              <w:t xml:space="preserve">Single Entry Point </w:t>
            </w:r>
            <w:r w:rsidR="00E35CBE">
              <w:rPr>
                <w:b/>
                <w:bCs/>
              </w:rPr>
              <w:t>kunnen Europese vrouwenrechtenorganisaties klachten indienen over het niet nakomen van handel en duurzaamheidsafspraken onder handelsakkoorden</w:t>
            </w:r>
            <w:r w:rsidR="003E19EE">
              <w:rPr>
                <w:b/>
                <w:bCs/>
              </w:rPr>
              <w:t xml:space="preserve"> bij de Europese Commissie</w:t>
            </w:r>
            <w:r w:rsidR="00827B5E">
              <w:rPr>
                <w:b/>
                <w:bCs/>
              </w:rPr>
              <w:t>.</w:t>
            </w:r>
          </w:p>
          <w:p w:rsidR="005D262C" w:rsidRDefault="005D262C" w14:paraId="12E9AA22" w14:textId="77777777"/>
        </w:tc>
        <w:tc>
          <w:tcPr>
            <w:tcW w:w="850" w:type="dxa"/>
            <w:tcBorders>
              <w:top w:val="nil"/>
              <w:left w:val="nil"/>
              <w:bottom w:val="nil"/>
              <w:right w:val="nil"/>
            </w:tcBorders>
          </w:tcPr>
          <w:p w:rsidR="006051FD" w:rsidRDefault="006051FD" w14:paraId="29309579" w14:textId="77777777">
            <w:pPr>
              <w:jc w:val="right"/>
            </w:pPr>
          </w:p>
        </w:tc>
        <w:tc>
          <w:tcPr>
            <w:tcW w:w="992" w:type="dxa"/>
            <w:tcBorders>
              <w:top w:val="nil"/>
              <w:left w:val="nil"/>
              <w:bottom w:val="nil"/>
              <w:right w:val="nil"/>
            </w:tcBorders>
          </w:tcPr>
          <w:p w:rsidR="006051FD" w:rsidRDefault="77463C5C" w14:paraId="47E3027F" w14:textId="77777777">
            <w:pPr>
              <w:jc w:val="right"/>
            </w:pPr>
            <w:r>
              <w:t>5</w:t>
            </w:r>
          </w:p>
        </w:tc>
        <w:tc>
          <w:tcPr>
            <w:tcW w:w="567" w:type="dxa"/>
            <w:tcBorders>
              <w:top w:val="nil"/>
              <w:left w:val="nil"/>
              <w:bottom w:val="nil"/>
              <w:right w:val="nil"/>
            </w:tcBorders>
          </w:tcPr>
          <w:p w:rsidR="006051FD" w:rsidRDefault="001856D0" w14:paraId="6AE39D2C" w14:textId="77777777">
            <w:pPr>
              <w:jc w:val="right"/>
            </w:pPr>
            <w:r>
              <w:t xml:space="preserve"> </w:t>
            </w:r>
          </w:p>
        </w:tc>
      </w:tr>
      <w:tr w:rsidR="006051FD" w:rsidTr="009878F7" w14:paraId="2B1E13E7" w14:textId="77777777">
        <w:tc>
          <w:tcPr>
            <w:tcW w:w="567" w:type="dxa"/>
            <w:tcBorders>
              <w:top w:val="nil"/>
              <w:left w:val="nil"/>
              <w:bottom w:val="nil"/>
              <w:right w:val="nil"/>
            </w:tcBorders>
          </w:tcPr>
          <w:p w:rsidR="006051FD" w:rsidRDefault="77463C5C" w14:paraId="729E3490" w14:textId="77777777">
            <w:r>
              <w:t>18</w:t>
            </w:r>
          </w:p>
        </w:tc>
        <w:tc>
          <w:tcPr>
            <w:tcW w:w="6521" w:type="dxa"/>
            <w:tcBorders>
              <w:top w:val="nil"/>
              <w:left w:val="nil"/>
              <w:bottom w:val="nil"/>
              <w:right w:val="nil"/>
            </w:tcBorders>
          </w:tcPr>
          <w:p w:rsidR="006051FD" w:rsidRDefault="77463C5C" w14:paraId="699F04A3" w14:textId="77777777">
            <w:r>
              <w:t>Kunt u toelichten op welke manier de impact van het Nederlands internationaal handels- en investeringsbeleid op mensenrechten wordt gemonitord en hoe daarin vrouwenrechten en gendergelijkheid worden meegenomen? Is er een genderstrategie voor het Nederlands handelsbeleid en welke rol spelen vrouwenrechtenorganisaties daarbij? Op welke wijze worden bescherming en bevordering van vrouwenrechten meegewogen bij de plannen voor diversificatie van handelspartners? Hoe wordt getoetst wat de impact op gendergelijkheid en vrouwenrechten is van investeringen die lopen via Invest International?</w:t>
            </w:r>
          </w:p>
          <w:p w:rsidRPr="005D262C" w:rsidR="005D262C" w:rsidP="005D262C" w:rsidRDefault="005D262C" w14:paraId="1481D535" w14:textId="77777777">
            <w:pPr>
              <w:rPr>
                <w:b/>
                <w:bCs/>
              </w:rPr>
            </w:pPr>
          </w:p>
          <w:p w:rsidR="005D262C" w:rsidP="77463C5C" w:rsidRDefault="77463C5C" w14:paraId="53DD0C9F" w14:textId="09AA95E7">
            <w:pPr>
              <w:rPr>
                <w:b/>
                <w:bCs/>
              </w:rPr>
            </w:pPr>
            <w:r w:rsidRPr="77463C5C">
              <w:rPr>
                <w:b/>
                <w:bCs/>
              </w:rPr>
              <w:t>Antwoord</w:t>
            </w:r>
          </w:p>
          <w:p w:rsidR="00AE01C9" w:rsidP="005D262C" w:rsidRDefault="00AE01C9" w14:paraId="0654FF79" w14:textId="33A9E0BD">
            <w:pPr>
              <w:rPr>
                <w:b/>
                <w:bCs/>
              </w:rPr>
            </w:pPr>
            <w:r>
              <w:rPr>
                <w:b/>
                <w:bCs/>
              </w:rPr>
              <w:t xml:space="preserve">Bij de onderhandelingen over een nieuw handelsakkoord wordt in opdracht van de Commissie een Sustainability Impact Assessment uitgevoerd, waarin, onder andere, de impact van het akkoord op vrouwen en andere minderheden meegenomen wordt. </w:t>
            </w:r>
          </w:p>
          <w:p w:rsidR="00AE01C9" w:rsidP="005D262C" w:rsidRDefault="00AE01C9" w14:paraId="48D7732D" w14:textId="5B9E8FC1">
            <w:pPr>
              <w:rPr>
                <w:b/>
                <w:bCs/>
              </w:rPr>
            </w:pPr>
            <w:r>
              <w:rPr>
                <w:b/>
                <w:bCs/>
              </w:rPr>
              <w:t xml:space="preserve">Op het moment is er geen </w:t>
            </w:r>
            <w:r w:rsidR="00615302">
              <w:rPr>
                <w:b/>
                <w:bCs/>
              </w:rPr>
              <w:t>aparte</w:t>
            </w:r>
            <w:r>
              <w:rPr>
                <w:b/>
                <w:bCs/>
              </w:rPr>
              <w:t xml:space="preserve"> genderstrategie voor het Nederlandse handelsbeleid</w:t>
            </w:r>
            <w:r w:rsidR="003E19EE">
              <w:rPr>
                <w:b/>
                <w:bCs/>
              </w:rPr>
              <w:t xml:space="preserve"> omdat v</w:t>
            </w:r>
            <w:r w:rsidR="00615302">
              <w:rPr>
                <w:b/>
                <w:bCs/>
              </w:rPr>
              <w:t xml:space="preserve">rouwenrechten en gendergelijkheid </w:t>
            </w:r>
            <w:r w:rsidR="003E19EE">
              <w:rPr>
                <w:b/>
                <w:bCs/>
              </w:rPr>
              <w:t>e</w:t>
            </w:r>
            <w:r w:rsidR="00615302">
              <w:rPr>
                <w:b/>
                <w:bCs/>
              </w:rPr>
              <w:t xml:space="preserve">en integraal onderdeel </w:t>
            </w:r>
            <w:r w:rsidR="003E19EE">
              <w:rPr>
                <w:b/>
                <w:bCs/>
              </w:rPr>
              <w:t>zijn van</w:t>
            </w:r>
            <w:r w:rsidR="00615302">
              <w:rPr>
                <w:b/>
                <w:bCs/>
              </w:rPr>
              <w:t xml:space="preserve"> het buitenlandbeleid</w:t>
            </w:r>
            <w:r w:rsidR="003E19EE">
              <w:rPr>
                <w:b/>
                <w:bCs/>
              </w:rPr>
              <w:t xml:space="preserve"> en van de inzet ten aanzien van handelsakkoorden</w:t>
            </w:r>
            <w:r w:rsidR="00615302">
              <w:rPr>
                <w:b/>
                <w:bCs/>
              </w:rPr>
              <w:t xml:space="preserve">. </w:t>
            </w:r>
          </w:p>
          <w:p w:rsidR="005D262C" w:rsidRDefault="005D262C" w14:paraId="692DBF7B" w14:textId="77777777"/>
          <w:p w:rsidRPr="00827B5E" w:rsidR="00C8106E" w:rsidP="00C8106E" w:rsidRDefault="00C8106E" w14:paraId="466A32A0" w14:textId="77777777">
            <w:pPr>
              <w:rPr>
                <w:b/>
                <w:bCs/>
              </w:rPr>
            </w:pPr>
            <w:r w:rsidRPr="00827B5E">
              <w:rPr>
                <w:b/>
                <w:bCs/>
              </w:rPr>
              <w:t xml:space="preserve">Invest International betrekt gendergelijkheid en relevante sociale risico’s binnen haar bredere investeringsbeoordeling, due diligence, monitoring en rapportage. In de due diligence-fase voor nieuwe financieringen wordt onder meer gekeken naar arbeidsomstandigheden en ontwikkelingsmogelijkheden, met waar relevant specifieke aandacht voor vrouwen. Aandachtspunten kunnen worden vastgelegd in afspraken met de klant, bijvoorbeeld via een </w:t>
            </w:r>
            <w:proofErr w:type="spellStart"/>
            <w:r w:rsidRPr="007240B4">
              <w:rPr>
                <w:b/>
                <w:bCs/>
                <w:i/>
                <w:iCs/>
              </w:rPr>
              <w:t>Environmental</w:t>
            </w:r>
            <w:proofErr w:type="spellEnd"/>
            <w:r w:rsidRPr="007240B4">
              <w:rPr>
                <w:b/>
                <w:bCs/>
                <w:i/>
                <w:iCs/>
              </w:rPr>
              <w:t xml:space="preserve"> and Social Action Plan</w:t>
            </w:r>
            <w:r w:rsidRPr="00827B5E">
              <w:rPr>
                <w:b/>
                <w:bCs/>
              </w:rPr>
              <w:t>, en worden gedurende de looptijd gemonitord.</w:t>
            </w:r>
          </w:p>
          <w:p w:rsidRPr="00827B5E" w:rsidR="00C8106E" w:rsidP="00C8106E" w:rsidRDefault="00C8106E" w14:paraId="7324FBCA" w14:textId="77777777">
            <w:pPr>
              <w:rPr>
                <w:b/>
                <w:bCs/>
              </w:rPr>
            </w:pPr>
          </w:p>
          <w:p w:rsidRPr="00827B5E" w:rsidR="00C8106E" w:rsidP="00C8106E" w:rsidRDefault="00C8106E" w14:paraId="6CDC6226" w14:textId="77777777">
            <w:pPr>
              <w:rPr>
                <w:b/>
                <w:bCs/>
              </w:rPr>
            </w:pPr>
            <w:r w:rsidRPr="00827B5E">
              <w:rPr>
                <w:b/>
                <w:bCs/>
              </w:rPr>
              <w:t>Invest International werkt daarbij met internationale standaarden, waaronder de OESO-richtlijnen, de UN Guiding Principles on Business and Human Rights, ILO-standaarden en de IFC Performance Standards. Daarnaast is Invest International gecommitteerd aan het Code-V-netwerk, dat toegang tot financiering voor vrouwelijk ondernemerschap stimuleert. Binnen dat netwerk wordt jaarlijks gerapporteerd over de specifieke impact op vrouwelijk ondernemerschap.</w:t>
            </w:r>
          </w:p>
          <w:p w:rsidRPr="00827B5E" w:rsidR="00C8106E" w:rsidP="00C8106E" w:rsidRDefault="00C8106E" w14:paraId="5DAE500D" w14:textId="77777777">
            <w:pPr>
              <w:rPr>
                <w:b/>
                <w:bCs/>
              </w:rPr>
            </w:pPr>
          </w:p>
          <w:p w:rsidR="005D262C" w:rsidP="00C8106E" w:rsidRDefault="00C8106E" w14:paraId="54DC7532" w14:textId="77777777">
            <w:pPr>
              <w:rPr>
                <w:b/>
                <w:bCs/>
              </w:rPr>
            </w:pPr>
            <w:r w:rsidRPr="00827B5E">
              <w:rPr>
                <w:b/>
                <w:bCs/>
              </w:rPr>
              <w:t xml:space="preserve">Verder publiceert Invest International impactresultaten en rapporteert het over de bijdrage van investeringen aan de </w:t>
            </w:r>
            <w:proofErr w:type="spellStart"/>
            <w:r w:rsidRPr="00827B5E">
              <w:rPr>
                <w:b/>
                <w:bCs/>
              </w:rPr>
              <w:t>SDG’s</w:t>
            </w:r>
            <w:proofErr w:type="spellEnd"/>
            <w:r w:rsidRPr="00827B5E">
              <w:rPr>
                <w:b/>
                <w:bCs/>
              </w:rPr>
              <w:t xml:space="preserve">, waaronder SDG 5 over gendergelijkheid. In het Jaarplan 2025 rapporteert Invest International </w:t>
            </w:r>
            <w:r w:rsidRPr="00827B5E">
              <w:rPr>
                <w:b/>
                <w:bCs/>
              </w:rPr>
              <w:lastRenderedPageBreak/>
              <w:t>onder meer over directe banen buiten Nederland, uitgesplitst naar gender. Daarbij gaat het om 23.181 ondersteunde directe banen, waarvan 8.869 door vrouwen worden vervuld, oftewel 38%.</w:t>
            </w:r>
            <w:r w:rsidRPr="00827B5E" w:rsidR="006B7F0A">
              <w:rPr>
                <w:rStyle w:val="FootnoteReference"/>
                <w:b/>
                <w:bCs/>
              </w:rPr>
              <w:footnoteReference w:id="2"/>
            </w:r>
          </w:p>
          <w:p w:rsidRPr="00827B5E" w:rsidR="00827B5E" w:rsidP="00C8106E" w:rsidRDefault="00827B5E" w14:paraId="3A535A78" w14:textId="74591440">
            <w:pPr>
              <w:rPr>
                <w:b/>
                <w:bCs/>
              </w:rPr>
            </w:pPr>
          </w:p>
        </w:tc>
        <w:tc>
          <w:tcPr>
            <w:tcW w:w="850" w:type="dxa"/>
            <w:tcBorders>
              <w:top w:val="nil"/>
              <w:left w:val="nil"/>
              <w:bottom w:val="nil"/>
              <w:right w:val="nil"/>
            </w:tcBorders>
          </w:tcPr>
          <w:p w:rsidR="006051FD" w:rsidRDefault="006051FD" w14:paraId="2AC285A3" w14:textId="77777777">
            <w:pPr>
              <w:jc w:val="right"/>
            </w:pPr>
          </w:p>
        </w:tc>
        <w:tc>
          <w:tcPr>
            <w:tcW w:w="992" w:type="dxa"/>
            <w:tcBorders>
              <w:top w:val="nil"/>
              <w:left w:val="nil"/>
              <w:bottom w:val="nil"/>
              <w:right w:val="nil"/>
            </w:tcBorders>
          </w:tcPr>
          <w:p w:rsidR="006051FD" w:rsidRDefault="77463C5C" w14:paraId="038D821B" w14:textId="77777777">
            <w:pPr>
              <w:jc w:val="right"/>
            </w:pPr>
            <w:r>
              <w:t>5</w:t>
            </w:r>
          </w:p>
        </w:tc>
        <w:tc>
          <w:tcPr>
            <w:tcW w:w="567" w:type="dxa"/>
            <w:tcBorders>
              <w:top w:val="nil"/>
              <w:left w:val="nil"/>
              <w:bottom w:val="nil"/>
              <w:right w:val="nil"/>
            </w:tcBorders>
          </w:tcPr>
          <w:p w:rsidR="006051FD" w:rsidRDefault="001856D0" w14:paraId="66C4E8A6" w14:textId="77777777">
            <w:pPr>
              <w:jc w:val="right"/>
            </w:pPr>
            <w:r>
              <w:t xml:space="preserve"> </w:t>
            </w:r>
          </w:p>
        </w:tc>
      </w:tr>
      <w:tr w:rsidR="006051FD" w:rsidTr="009878F7" w14:paraId="4EEE3277" w14:textId="77777777">
        <w:trPr>
          <w:trHeight w:val="2684"/>
        </w:trPr>
        <w:tc>
          <w:tcPr>
            <w:tcW w:w="567" w:type="dxa"/>
            <w:tcBorders>
              <w:top w:val="nil"/>
              <w:left w:val="nil"/>
              <w:bottom w:val="nil"/>
              <w:right w:val="nil"/>
            </w:tcBorders>
          </w:tcPr>
          <w:p w:rsidR="006051FD" w:rsidRDefault="77463C5C" w14:paraId="3BEE5877" w14:textId="77777777">
            <w:r>
              <w:t>19</w:t>
            </w:r>
          </w:p>
        </w:tc>
        <w:tc>
          <w:tcPr>
            <w:tcW w:w="6521" w:type="dxa"/>
            <w:tcBorders>
              <w:top w:val="nil"/>
              <w:left w:val="nil"/>
              <w:bottom w:val="nil"/>
              <w:right w:val="nil"/>
            </w:tcBorders>
          </w:tcPr>
          <w:p w:rsidR="006051FD" w:rsidRDefault="77463C5C" w14:paraId="528642E8" w14:textId="77777777">
            <w:bookmarkStart w:name="_Hlk231845118" w:id="4"/>
            <w:r>
              <w:t>Is er expliciet aandacht voor de positie en rechten van vrouwen die werken in productieketens bij de ondersteuning van het Nederlandse bedrijfsleven om de OESO-richtlijnen zo effectief mogelijk toe te passen? (p. 5) Op welke manier krijgt aandacht voor vrouwenrechten vorm in de versterking van deze ondersteuning die u zich voorneemt?</w:t>
            </w:r>
          </w:p>
          <w:p w:rsidR="006C52CF" w:rsidRDefault="006C52CF" w14:paraId="27C29D0B" w14:textId="77777777"/>
          <w:p w:rsidRPr="00E128C3" w:rsidR="00E128C3" w:rsidRDefault="00E128C3" w14:paraId="4ECE4131" w14:textId="1248B092">
            <w:pPr>
              <w:rPr>
                <w:b/>
                <w:bCs/>
              </w:rPr>
            </w:pPr>
            <w:r>
              <w:rPr>
                <w:b/>
                <w:bCs/>
              </w:rPr>
              <w:t>Antwoord</w:t>
            </w:r>
          </w:p>
          <w:p w:rsidRPr="00827B5E" w:rsidR="000726AF" w:rsidP="000726AF" w:rsidRDefault="000726AF" w14:paraId="3FED4BF1" w14:textId="3723A473">
            <w:pPr>
              <w:rPr>
                <w:b/>
                <w:bCs/>
              </w:rPr>
            </w:pPr>
            <w:r w:rsidRPr="00827B5E">
              <w:rPr>
                <w:b/>
                <w:bCs/>
              </w:rPr>
              <w:t xml:space="preserve">Het kabinet onderschrijft de </w:t>
            </w:r>
            <w:proofErr w:type="spellStart"/>
            <w:r w:rsidRPr="00827B5E">
              <w:rPr>
                <w:b/>
                <w:bCs/>
                <w:i/>
                <w:iCs/>
              </w:rPr>
              <w:t>Sustainable</w:t>
            </w:r>
            <w:proofErr w:type="spellEnd"/>
            <w:r w:rsidRPr="00827B5E">
              <w:rPr>
                <w:b/>
                <w:bCs/>
                <w:i/>
                <w:iCs/>
              </w:rPr>
              <w:t xml:space="preserve"> Development Goals </w:t>
            </w:r>
            <w:r w:rsidRPr="00827B5E">
              <w:rPr>
                <w:b/>
                <w:bCs/>
              </w:rPr>
              <w:t xml:space="preserve">en ziet de </w:t>
            </w:r>
            <w:r w:rsidRPr="00827B5E">
              <w:rPr>
                <w:b/>
                <w:bCs/>
                <w:i/>
                <w:iCs/>
              </w:rPr>
              <w:t xml:space="preserve">Gender </w:t>
            </w:r>
            <w:proofErr w:type="spellStart"/>
            <w:r w:rsidRPr="00827B5E">
              <w:rPr>
                <w:b/>
                <w:bCs/>
                <w:i/>
                <w:iCs/>
              </w:rPr>
              <w:t>dimensions</w:t>
            </w:r>
            <w:proofErr w:type="spellEnd"/>
            <w:r w:rsidRPr="00827B5E">
              <w:rPr>
                <w:b/>
                <w:bCs/>
                <w:i/>
                <w:iCs/>
              </w:rPr>
              <w:t xml:space="preserve"> of the Guiding Principles on Business and Human Rights </w:t>
            </w:r>
            <w:r w:rsidRPr="00827B5E">
              <w:rPr>
                <w:b/>
                <w:bCs/>
              </w:rPr>
              <w:t xml:space="preserve">als belangrijk hulpmiddel voor bedrijven om gender-responsieve IMVO-processen in te richten. </w:t>
            </w:r>
          </w:p>
          <w:p w:rsidRPr="00827B5E" w:rsidR="000726AF" w:rsidP="000726AF" w:rsidRDefault="000726AF" w14:paraId="0D874022" w14:textId="77777777">
            <w:pPr>
              <w:rPr>
                <w:b/>
                <w:bCs/>
              </w:rPr>
            </w:pPr>
          </w:p>
          <w:p w:rsidRPr="00827B5E" w:rsidR="000726AF" w:rsidP="000726AF" w:rsidRDefault="000726AF" w14:paraId="18B41B31" w14:textId="6DD011C4">
            <w:pPr>
              <w:rPr>
                <w:b/>
                <w:bCs/>
              </w:rPr>
            </w:pPr>
            <w:r w:rsidRPr="00827B5E">
              <w:rPr>
                <w:b/>
                <w:bCs/>
              </w:rPr>
              <w:t>Het MVO-steunpunt biedt informatie en ondersteuning bij vragen over IMVO en gepaste zorgvuldigheid</w:t>
            </w:r>
            <w:r w:rsidRPr="00827B5E" w:rsidR="005B1B57">
              <w:rPr>
                <w:b/>
                <w:bCs/>
              </w:rPr>
              <w:t xml:space="preserve">, zo ook </w:t>
            </w:r>
            <w:r w:rsidRPr="00827B5E">
              <w:rPr>
                <w:b/>
                <w:bCs/>
              </w:rPr>
              <w:t xml:space="preserve">over gender-gerelateerde risico’s. Daarnaast heeft het kabinet in de afgelopen jaren financiële steun geboden aan een </w:t>
            </w:r>
            <w:r w:rsidRPr="00827B5E" w:rsidR="005B1B57">
              <w:rPr>
                <w:b/>
                <w:bCs/>
              </w:rPr>
              <w:t>OESO-</w:t>
            </w:r>
            <w:r w:rsidRPr="00827B5E">
              <w:rPr>
                <w:b/>
                <w:bCs/>
              </w:rPr>
              <w:t xml:space="preserve">project over </w:t>
            </w:r>
            <w:r w:rsidRPr="00827B5E">
              <w:rPr>
                <w:b/>
                <w:bCs/>
                <w:i/>
                <w:iCs/>
              </w:rPr>
              <w:t>gender-</w:t>
            </w:r>
            <w:proofErr w:type="spellStart"/>
            <w:r w:rsidRPr="00827B5E">
              <w:rPr>
                <w:b/>
                <w:bCs/>
                <w:i/>
                <w:iCs/>
              </w:rPr>
              <w:t>responsive</w:t>
            </w:r>
            <w:proofErr w:type="spellEnd"/>
            <w:r w:rsidRPr="00827B5E">
              <w:rPr>
                <w:b/>
                <w:bCs/>
                <w:i/>
                <w:iCs/>
              </w:rPr>
              <w:t xml:space="preserve"> due diligence. </w:t>
            </w:r>
            <w:r w:rsidRPr="00827B5E">
              <w:rPr>
                <w:b/>
                <w:bCs/>
              </w:rPr>
              <w:t xml:space="preserve">In het eindproduct zullen handzame tips en voorbeelden gegeven worden over hoe bedrijven hun gepaste zorgvuldigheidsproces gender-responsief in kunnen richten. </w:t>
            </w:r>
            <w:r w:rsidRPr="00827B5E" w:rsidR="005B1B57">
              <w:rPr>
                <w:b/>
                <w:bCs/>
              </w:rPr>
              <w:t>D</w:t>
            </w:r>
            <w:r w:rsidRPr="00827B5E" w:rsidR="009772F9">
              <w:rPr>
                <w:b/>
                <w:bCs/>
              </w:rPr>
              <w:t>eze handreiking</w:t>
            </w:r>
            <w:r w:rsidRPr="00827B5E" w:rsidR="005B1B57">
              <w:rPr>
                <w:b/>
                <w:bCs/>
              </w:rPr>
              <w:t xml:space="preserve"> wordt later dit jaar gepubliceerd en verspreid. </w:t>
            </w:r>
          </w:p>
          <w:bookmarkEnd w:id="4"/>
          <w:p w:rsidR="005D262C" w:rsidRDefault="005D262C" w14:paraId="41C49503" w14:textId="77777777"/>
        </w:tc>
        <w:tc>
          <w:tcPr>
            <w:tcW w:w="850" w:type="dxa"/>
            <w:tcBorders>
              <w:top w:val="nil"/>
              <w:left w:val="nil"/>
              <w:bottom w:val="nil"/>
              <w:right w:val="nil"/>
            </w:tcBorders>
          </w:tcPr>
          <w:p w:rsidR="006051FD" w:rsidRDefault="006051FD" w14:paraId="2D956E61" w14:textId="77777777">
            <w:pPr>
              <w:jc w:val="right"/>
            </w:pPr>
          </w:p>
        </w:tc>
        <w:tc>
          <w:tcPr>
            <w:tcW w:w="992" w:type="dxa"/>
            <w:tcBorders>
              <w:top w:val="nil"/>
              <w:left w:val="nil"/>
              <w:bottom w:val="nil"/>
              <w:right w:val="nil"/>
            </w:tcBorders>
          </w:tcPr>
          <w:p w:rsidR="006051FD" w:rsidRDefault="77463C5C" w14:paraId="58B8545B" w14:textId="77777777">
            <w:pPr>
              <w:jc w:val="right"/>
            </w:pPr>
            <w:r>
              <w:t>5</w:t>
            </w:r>
          </w:p>
        </w:tc>
        <w:tc>
          <w:tcPr>
            <w:tcW w:w="567" w:type="dxa"/>
            <w:tcBorders>
              <w:top w:val="nil"/>
              <w:left w:val="nil"/>
              <w:bottom w:val="nil"/>
              <w:right w:val="nil"/>
            </w:tcBorders>
          </w:tcPr>
          <w:p w:rsidR="006051FD" w:rsidRDefault="001856D0" w14:paraId="32890E16" w14:textId="77777777">
            <w:pPr>
              <w:jc w:val="right"/>
            </w:pPr>
            <w:r>
              <w:t xml:space="preserve"> </w:t>
            </w:r>
          </w:p>
        </w:tc>
      </w:tr>
      <w:tr w:rsidR="006051FD" w:rsidTr="009878F7" w14:paraId="2A3B1CBE" w14:textId="77777777">
        <w:tc>
          <w:tcPr>
            <w:tcW w:w="567" w:type="dxa"/>
            <w:tcBorders>
              <w:top w:val="nil"/>
              <w:left w:val="nil"/>
              <w:bottom w:val="nil"/>
              <w:right w:val="nil"/>
            </w:tcBorders>
          </w:tcPr>
          <w:p w:rsidR="006051FD" w:rsidRDefault="77463C5C" w14:paraId="2312DC38" w14:textId="77777777">
            <w:r>
              <w:t>20</w:t>
            </w:r>
          </w:p>
        </w:tc>
        <w:tc>
          <w:tcPr>
            <w:tcW w:w="6521" w:type="dxa"/>
            <w:tcBorders>
              <w:top w:val="nil"/>
              <w:left w:val="nil"/>
              <w:bottom w:val="nil"/>
              <w:right w:val="nil"/>
            </w:tcBorders>
          </w:tcPr>
          <w:p w:rsidR="006051FD" w:rsidRDefault="77463C5C" w14:paraId="0D46BC6F" w14:textId="77777777">
            <w:r>
              <w:t>Kunt u toelichten welke concrete stappen hij van plan is om ontwikkelingssamenwerking en IMVO-beleid beter op elkaar aan te laten sluiten?</w:t>
            </w:r>
          </w:p>
          <w:p w:rsidRPr="005D262C" w:rsidR="005D262C" w:rsidP="005D262C" w:rsidRDefault="005D262C" w14:paraId="6DB7A4B8" w14:textId="77777777">
            <w:pPr>
              <w:rPr>
                <w:b/>
                <w:bCs/>
              </w:rPr>
            </w:pPr>
          </w:p>
          <w:p w:rsidR="005D262C" w:rsidP="77463C5C" w:rsidRDefault="77463C5C" w14:paraId="3937221A" w14:textId="70456F9E">
            <w:pPr>
              <w:rPr>
                <w:b/>
                <w:bCs/>
              </w:rPr>
            </w:pPr>
            <w:r w:rsidRPr="77463C5C">
              <w:rPr>
                <w:b/>
                <w:bCs/>
              </w:rPr>
              <w:t>Antwoord</w:t>
            </w:r>
          </w:p>
          <w:p w:rsidR="005D262C" w:rsidRDefault="77463C5C" w14:paraId="35B6B669" w14:textId="77777777">
            <w:pPr>
              <w:rPr>
                <w:b/>
              </w:rPr>
            </w:pPr>
            <w:r w:rsidRPr="005D6DE2">
              <w:rPr>
                <w:b/>
              </w:rPr>
              <w:t>Zie het antwoord op vraag 11.</w:t>
            </w:r>
          </w:p>
          <w:p w:rsidR="009878F7" w:rsidRDefault="009878F7" w14:paraId="259713C8" w14:textId="016AC9BB"/>
        </w:tc>
        <w:tc>
          <w:tcPr>
            <w:tcW w:w="850" w:type="dxa"/>
            <w:tcBorders>
              <w:top w:val="nil"/>
              <w:left w:val="nil"/>
              <w:bottom w:val="nil"/>
              <w:right w:val="nil"/>
            </w:tcBorders>
          </w:tcPr>
          <w:p w:rsidR="006051FD" w:rsidRDefault="006051FD" w14:paraId="2FDEA56A" w14:textId="77777777">
            <w:pPr>
              <w:jc w:val="right"/>
            </w:pPr>
          </w:p>
        </w:tc>
        <w:tc>
          <w:tcPr>
            <w:tcW w:w="992" w:type="dxa"/>
            <w:tcBorders>
              <w:top w:val="nil"/>
              <w:left w:val="nil"/>
              <w:bottom w:val="nil"/>
              <w:right w:val="nil"/>
            </w:tcBorders>
          </w:tcPr>
          <w:p w:rsidR="006051FD" w:rsidRDefault="77463C5C" w14:paraId="0B7CB179" w14:textId="77777777">
            <w:pPr>
              <w:jc w:val="right"/>
            </w:pPr>
            <w:r>
              <w:t>5</w:t>
            </w:r>
          </w:p>
        </w:tc>
        <w:tc>
          <w:tcPr>
            <w:tcW w:w="567" w:type="dxa"/>
            <w:tcBorders>
              <w:top w:val="nil"/>
              <w:left w:val="nil"/>
              <w:bottom w:val="nil"/>
              <w:right w:val="nil"/>
            </w:tcBorders>
          </w:tcPr>
          <w:p w:rsidR="006051FD" w:rsidRDefault="001856D0" w14:paraId="49B119E4" w14:textId="77777777">
            <w:pPr>
              <w:jc w:val="right"/>
            </w:pPr>
            <w:r>
              <w:t xml:space="preserve"> </w:t>
            </w:r>
          </w:p>
        </w:tc>
      </w:tr>
      <w:tr w:rsidR="006051FD" w:rsidTr="009878F7" w14:paraId="209D4048" w14:textId="77777777">
        <w:tc>
          <w:tcPr>
            <w:tcW w:w="567" w:type="dxa"/>
            <w:tcBorders>
              <w:top w:val="nil"/>
              <w:left w:val="nil"/>
              <w:bottom w:val="nil"/>
              <w:right w:val="nil"/>
            </w:tcBorders>
          </w:tcPr>
          <w:p w:rsidR="006051FD" w:rsidRDefault="77463C5C" w14:paraId="38CA617E" w14:textId="77777777">
            <w:r>
              <w:t>21</w:t>
            </w:r>
          </w:p>
        </w:tc>
        <w:tc>
          <w:tcPr>
            <w:tcW w:w="6521" w:type="dxa"/>
            <w:tcBorders>
              <w:top w:val="nil"/>
              <w:left w:val="nil"/>
              <w:bottom w:val="nil"/>
              <w:right w:val="nil"/>
            </w:tcBorders>
          </w:tcPr>
          <w:p w:rsidR="006051FD" w:rsidRDefault="77463C5C" w14:paraId="5E401B57" w14:textId="77777777">
            <w:r>
              <w:t>Hoe wordt gender-expertise binnen de Dutch Diamond aanpak geborgd en wat is daarbij de rol van vrouwenrechten- en gendergelijkheidsorganisaties als relevante maatschappelijke actor?</w:t>
            </w:r>
          </w:p>
          <w:p w:rsidRPr="005D262C" w:rsidR="005D262C" w:rsidP="005D262C" w:rsidRDefault="005D262C" w14:paraId="5C65CD58" w14:textId="77777777">
            <w:pPr>
              <w:rPr>
                <w:b/>
                <w:bCs/>
              </w:rPr>
            </w:pPr>
          </w:p>
          <w:p w:rsidRPr="00DA3516" w:rsidR="00E6462D" w:rsidP="77463C5C" w:rsidRDefault="77463C5C" w14:paraId="0509D46F" w14:textId="46458CAB">
            <w:pPr>
              <w:rPr>
                <w:b/>
                <w:bCs/>
              </w:rPr>
            </w:pPr>
            <w:r w:rsidRPr="77463C5C">
              <w:rPr>
                <w:b/>
                <w:bCs/>
              </w:rPr>
              <w:t>Antwoord</w:t>
            </w:r>
          </w:p>
          <w:p w:rsidR="00773831" w:rsidP="005D262C" w:rsidRDefault="0035361C" w14:paraId="6C99FB20" w14:textId="0C2B274A">
            <w:pPr>
              <w:rPr>
                <w:b/>
                <w:bCs/>
              </w:rPr>
            </w:pPr>
            <w:bookmarkStart w:name="_Hlk231893080" w:id="5"/>
            <w:r>
              <w:rPr>
                <w:b/>
                <w:bCs/>
              </w:rPr>
              <w:t>Binnen de Dutch Diamond aanpak werkt de Nederlandse overheid nauw samen met kennisinstellingen, de private sector en NGO’s. Wanneer het kom</w:t>
            </w:r>
            <w:r w:rsidR="00D274DE">
              <w:rPr>
                <w:b/>
                <w:bCs/>
              </w:rPr>
              <w:t>t</w:t>
            </w:r>
            <w:r>
              <w:rPr>
                <w:b/>
                <w:bCs/>
              </w:rPr>
              <w:t xml:space="preserve"> tot formele samenwerking en gedeelde financiering </w:t>
            </w:r>
            <w:r w:rsidR="00F10F2D">
              <w:rPr>
                <w:b/>
                <w:bCs/>
              </w:rPr>
              <w:t xml:space="preserve">wordt er altijd gevraagd om gender expertise, speciale aandacht voor de positie van </w:t>
            </w:r>
            <w:r w:rsidR="004165D2">
              <w:rPr>
                <w:b/>
                <w:bCs/>
              </w:rPr>
              <w:t>v</w:t>
            </w:r>
            <w:r w:rsidR="00F10F2D">
              <w:rPr>
                <w:b/>
                <w:bCs/>
              </w:rPr>
              <w:t xml:space="preserve">rouwen en meisjes en borging van hun rechten. </w:t>
            </w:r>
            <w:bookmarkEnd w:id="5"/>
            <w:r w:rsidR="00773831">
              <w:rPr>
                <w:b/>
                <w:bCs/>
              </w:rPr>
              <w:t xml:space="preserve">Zie ook </w:t>
            </w:r>
            <w:r w:rsidR="00330F7F">
              <w:rPr>
                <w:b/>
                <w:bCs/>
              </w:rPr>
              <w:t xml:space="preserve">antwoord op vraag </w:t>
            </w:r>
            <w:r w:rsidR="00773831">
              <w:rPr>
                <w:b/>
                <w:bCs/>
              </w:rPr>
              <w:t>18</w:t>
            </w:r>
            <w:r w:rsidR="00330F7F">
              <w:rPr>
                <w:b/>
                <w:bCs/>
              </w:rPr>
              <w:t xml:space="preserve"> en 19</w:t>
            </w:r>
            <w:r w:rsidR="00773831">
              <w:rPr>
                <w:b/>
                <w:bCs/>
              </w:rPr>
              <w:t>.</w:t>
            </w:r>
          </w:p>
          <w:p w:rsidR="005D262C" w:rsidRDefault="005D262C" w14:paraId="470AE8A7" w14:textId="5E882A56"/>
        </w:tc>
        <w:tc>
          <w:tcPr>
            <w:tcW w:w="850" w:type="dxa"/>
            <w:tcBorders>
              <w:top w:val="nil"/>
              <w:left w:val="nil"/>
              <w:bottom w:val="nil"/>
              <w:right w:val="nil"/>
            </w:tcBorders>
          </w:tcPr>
          <w:p w:rsidR="006051FD" w:rsidRDefault="006051FD" w14:paraId="088C2C42" w14:textId="77777777">
            <w:pPr>
              <w:jc w:val="right"/>
            </w:pPr>
          </w:p>
        </w:tc>
        <w:tc>
          <w:tcPr>
            <w:tcW w:w="992" w:type="dxa"/>
            <w:tcBorders>
              <w:top w:val="nil"/>
              <w:left w:val="nil"/>
              <w:bottom w:val="nil"/>
              <w:right w:val="nil"/>
            </w:tcBorders>
          </w:tcPr>
          <w:p w:rsidR="006051FD" w:rsidRDefault="77463C5C" w14:paraId="048A8E70" w14:textId="77777777">
            <w:pPr>
              <w:jc w:val="right"/>
            </w:pPr>
            <w:r>
              <w:t>5</w:t>
            </w:r>
          </w:p>
        </w:tc>
        <w:tc>
          <w:tcPr>
            <w:tcW w:w="567" w:type="dxa"/>
            <w:tcBorders>
              <w:top w:val="nil"/>
              <w:left w:val="nil"/>
              <w:bottom w:val="nil"/>
              <w:right w:val="nil"/>
            </w:tcBorders>
          </w:tcPr>
          <w:p w:rsidR="006051FD" w:rsidRDefault="001856D0" w14:paraId="5287037A" w14:textId="77777777">
            <w:pPr>
              <w:jc w:val="right"/>
            </w:pPr>
            <w:r>
              <w:t xml:space="preserve"> </w:t>
            </w:r>
          </w:p>
        </w:tc>
      </w:tr>
      <w:tr w:rsidR="006051FD" w:rsidTr="00827B5E" w14:paraId="249F3BED" w14:textId="77777777">
        <w:tc>
          <w:tcPr>
            <w:tcW w:w="567" w:type="dxa"/>
            <w:tcBorders>
              <w:top w:val="nil"/>
              <w:left w:val="nil"/>
              <w:bottom w:val="nil"/>
              <w:right w:val="nil"/>
            </w:tcBorders>
          </w:tcPr>
          <w:p w:rsidR="006051FD" w:rsidRDefault="77463C5C" w14:paraId="4BB7BF48" w14:textId="77777777">
            <w:r>
              <w:t>22</w:t>
            </w:r>
          </w:p>
        </w:tc>
        <w:tc>
          <w:tcPr>
            <w:tcW w:w="6521" w:type="dxa"/>
            <w:tcBorders>
              <w:top w:val="nil"/>
              <w:left w:val="nil"/>
              <w:bottom w:val="nil"/>
              <w:right w:val="nil"/>
            </w:tcBorders>
          </w:tcPr>
          <w:p w:rsidRPr="009E4AC6" w:rsidR="005D262C" w:rsidP="005D262C" w:rsidRDefault="77463C5C" w14:paraId="597493D3" w14:textId="27BDA32E">
            <w:r>
              <w:t>Kunt u het tijdspad delen dat u voor ogen heeft om de internationale OESO-norm van 0,7% van het BNI te halen?</w:t>
            </w:r>
          </w:p>
          <w:p w:rsidRPr="005D262C" w:rsidR="009878F7" w:rsidP="005D262C" w:rsidRDefault="009878F7" w14:paraId="5B0582BB" w14:textId="77777777">
            <w:pPr>
              <w:rPr>
                <w:b/>
                <w:bCs/>
              </w:rPr>
            </w:pPr>
          </w:p>
          <w:p w:rsidRPr="00DA3516" w:rsidR="00E6462D" w:rsidP="77463C5C" w:rsidRDefault="77463C5C" w14:paraId="412F3A8E" w14:textId="75324B3E">
            <w:pPr>
              <w:rPr>
                <w:b/>
                <w:bCs/>
              </w:rPr>
            </w:pPr>
            <w:r w:rsidRPr="77463C5C">
              <w:rPr>
                <w:b/>
                <w:bCs/>
              </w:rPr>
              <w:t>Antwoord</w:t>
            </w:r>
          </w:p>
          <w:p w:rsidR="000577A8" w:rsidP="000577A8" w:rsidRDefault="000577A8" w14:paraId="04CC19E1" w14:textId="3112A5CA">
            <w:pPr>
              <w:rPr>
                <w:b/>
                <w:bCs/>
              </w:rPr>
            </w:pPr>
            <w:r>
              <w:rPr>
                <w:b/>
                <w:bCs/>
              </w:rPr>
              <w:t xml:space="preserve">Met de intensivering uit het coalitieakkoord op ontwikkelingssamenwerking zet het kabinet een stap richting de internationale OESO-norm. Daartoe </w:t>
            </w:r>
            <w:r>
              <w:rPr>
                <w:b/>
                <w:bCs/>
              </w:rPr>
              <w:lastRenderedPageBreak/>
              <w:t xml:space="preserve">stijgt de Nederlandse ODA-prestatie. </w:t>
            </w:r>
          </w:p>
          <w:p w:rsidR="000577A8" w:rsidP="005D262C" w:rsidRDefault="00C744EC" w14:paraId="3D93D636" w14:textId="53363CE2">
            <w:pPr>
              <w:rPr>
                <w:b/>
                <w:bCs/>
              </w:rPr>
            </w:pPr>
            <w:r>
              <w:rPr>
                <w:b/>
                <w:bCs/>
              </w:rPr>
              <w:t>Het kabinet rapporteert middels de BHO-begrotingsstukken en de HGIS-stukken over de jaarlijkse ODA-prestatie. Meest recentelijk is de meerjarige ODA-prestatie gedeeld in de Eerste suppletoire begroting 2026 van BHO</w:t>
            </w:r>
            <w:r w:rsidR="000577A8">
              <w:rPr>
                <w:b/>
                <w:bCs/>
              </w:rPr>
              <w:t xml:space="preserve"> (Kamerstuk 36 915 XVII, nummer 2)</w:t>
            </w:r>
            <w:r>
              <w:rPr>
                <w:b/>
                <w:bCs/>
              </w:rPr>
              <w:t>.</w:t>
            </w:r>
            <w:r w:rsidR="000577A8">
              <w:rPr>
                <w:b/>
                <w:bCs/>
              </w:rPr>
              <w:t xml:space="preserve"> Op pagina 35 is de onderstaande ODA-prestatie in tabelvorm weergegeven. </w:t>
            </w:r>
          </w:p>
          <w:p w:rsidR="000577A8" w:rsidP="005D262C" w:rsidRDefault="000577A8" w14:paraId="01CA80D0" w14:textId="77777777">
            <w:pPr>
              <w:rPr>
                <w:b/>
                <w:bCs/>
              </w:rPr>
            </w:pPr>
          </w:p>
          <w:tbl>
            <w:tblPr>
              <w:tblStyle w:val="TableGrid"/>
              <w:tblW w:w="0" w:type="auto"/>
              <w:tblLook w:val="04A0" w:firstRow="1" w:lastRow="0" w:firstColumn="1" w:lastColumn="0" w:noHBand="0" w:noVBand="1"/>
            </w:tblPr>
            <w:tblGrid>
              <w:gridCol w:w="2565"/>
              <w:gridCol w:w="656"/>
              <w:gridCol w:w="656"/>
              <w:gridCol w:w="656"/>
              <w:gridCol w:w="656"/>
              <w:gridCol w:w="656"/>
              <w:gridCol w:w="656"/>
            </w:tblGrid>
            <w:tr w:rsidR="000577A8" w:rsidTr="000577A8" w14:paraId="033F68F4" w14:textId="77777777">
              <w:tc>
                <w:tcPr>
                  <w:tcW w:w="2565" w:type="dxa"/>
                </w:tcPr>
                <w:p w:rsidRPr="000577A8" w:rsidR="000577A8" w:rsidP="005D262C" w:rsidRDefault="000577A8" w14:paraId="2EDC35CD" w14:textId="21DC2FE7">
                  <w:pPr>
                    <w:rPr>
                      <w:b/>
                      <w:bCs/>
                      <w:i/>
                      <w:iCs/>
                      <w:sz w:val="16"/>
                      <w:szCs w:val="16"/>
                    </w:rPr>
                  </w:pPr>
                  <w:r>
                    <w:rPr>
                      <w:b/>
                      <w:bCs/>
                      <w:i/>
                      <w:iCs/>
                      <w:sz w:val="16"/>
                      <w:szCs w:val="16"/>
                    </w:rPr>
                    <w:t>In % van het BNI</w:t>
                  </w:r>
                </w:p>
              </w:tc>
              <w:tc>
                <w:tcPr>
                  <w:tcW w:w="656" w:type="dxa"/>
                </w:tcPr>
                <w:p w:rsidRPr="000577A8" w:rsidR="000577A8" w:rsidP="005D262C" w:rsidRDefault="000577A8" w14:paraId="5108B33E" w14:textId="292ACD7C">
                  <w:pPr>
                    <w:rPr>
                      <w:b/>
                      <w:bCs/>
                      <w:sz w:val="16"/>
                      <w:szCs w:val="16"/>
                    </w:rPr>
                  </w:pPr>
                  <w:r w:rsidRPr="000577A8">
                    <w:rPr>
                      <w:b/>
                      <w:bCs/>
                      <w:sz w:val="16"/>
                      <w:szCs w:val="16"/>
                    </w:rPr>
                    <w:t>2026</w:t>
                  </w:r>
                </w:p>
              </w:tc>
              <w:tc>
                <w:tcPr>
                  <w:tcW w:w="656" w:type="dxa"/>
                </w:tcPr>
                <w:p w:rsidRPr="000577A8" w:rsidR="000577A8" w:rsidP="005D262C" w:rsidRDefault="000577A8" w14:paraId="55D12D16" w14:textId="6384BBDC">
                  <w:pPr>
                    <w:rPr>
                      <w:b/>
                      <w:bCs/>
                      <w:sz w:val="16"/>
                      <w:szCs w:val="16"/>
                    </w:rPr>
                  </w:pPr>
                  <w:r w:rsidRPr="000577A8">
                    <w:rPr>
                      <w:b/>
                      <w:bCs/>
                      <w:sz w:val="16"/>
                      <w:szCs w:val="16"/>
                    </w:rPr>
                    <w:t>2027</w:t>
                  </w:r>
                </w:p>
              </w:tc>
              <w:tc>
                <w:tcPr>
                  <w:tcW w:w="656" w:type="dxa"/>
                </w:tcPr>
                <w:p w:rsidRPr="000577A8" w:rsidR="000577A8" w:rsidP="005D262C" w:rsidRDefault="000577A8" w14:paraId="54BB7D7B" w14:textId="01136F1B">
                  <w:pPr>
                    <w:rPr>
                      <w:b/>
                      <w:bCs/>
                      <w:sz w:val="16"/>
                      <w:szCs w:val="16"/>
                    </w:rPr>
                  </w:pPr>
                  <w:r w:rsidRPr="000577A8">
                    <w:rPr>
                      <w:b/>
                      <w:bCs/>
                      <w:sz w:val="16"/>
                      <w:szCs w:val="16"/>
                    </w:rPr>
                    <w:t>2028</w:t>
                  </w:r>
                </w:p>
              </w:tc>
              <w:tc>
                <w:tcPr>
                  <w:tcW w:w="656" w:type="dxa"/>
                </w:tcPr>
                <w:p w:rsidRPr="000577A8" w:rsidR="000577A8" w:rsidP="005D262C" w:rsidRDefault="000577A8" w14:paraId="37C9C561" w14:textId="179C595D">
                  <w:pPr>
                    <w:rPr>
                      <w:b/>
                      <w:bCs/>
                      <w:sz w:val="16"/>
                      <w:szCs w:val="16"/>
                    </w:rPr>
                  </w:pPr>
                  <w:r w:rsidRPr="000577A8">
                    <w:rPr>
                      <w:b/>
                      <w:bCs/>
                      <w:sz w:val="16"/>
                      <w:szCs w:val="16"/>
                    </w:rPr>
                    <w:t>2029</w:t>
                  </w:r>
                </w:p>
              </w:tc>
              <w:tc>
                <w:tcPr>
                  <w:tcW w:w="656" w:type="dxa"/>
                </w:tcPr>
                <w:p w:rsidRPr="000577A8" w:rsidR="000577A8" w:rsidP="005D262C" w:rsidRDefault="000577A8" w14:paraId="52A5F114" w14:textId="0E589F45">
                  <w:pPr>
                    <w:rPr>
                      <w:b/>
                      <w:bCs/>
                      <w:sz w:val="16"/>
                      <w:szCs w:val="16"/>
                    </w:rPr>
                  </w:pPr>
                  <w:r w:rsidRPr="000577A8">
                    <w:rPr>
                      <w:b/>
                      <w:bCs/>
                      <w:sz w:val="16"/>
                      <w:szCs w:val="16"/>
                    </w:rPr>
                    <w:t>2030</w:t>
                  </w:r>
                </w:p>
              </w:tc>
              <w:tc>
                <w:tcPr>
                  <w:tcW w:w="656" w:type="dxa"/>
                </w:tcPr>
                <w:p w:rsidRPr="000577A8" w:rsidR="000577A8" w:rsidP="005D262C" w:rsidRDefault="000577A8" w14:paraId="431E7A1C" w14:textId="22683F2D">
                  <w:pPr>
                    <w:rPr>
                      <w:b/>
                      <w:bCs/>
                      <w:sz w:val="16"/>
                      <w:szCs w:val="16"/>
                    </w:rPr>
                  </w:pPr>
                  <w:r w:rsidRPr="000577A8">
                    <w:rPr>
                      <w:b/>
                      <w:bCs/>
                      <w:sz w:val="16"/>
                      <w:szCs w:val="16"/>
                    </w:rPr>
                    <w:t>2031</w:t>
                  </w:r>
                </w:p>
              </w:tc>
            </w:tr>
            <w:tr w:rsidR="000577A8" w:rsidTr="000577A8" w14:paraId="33DFB713" w14:textId="77777777">
              <w:tc>
                <w:tcPr>
                  <w:tcW w:w="2565" w:type="dxa"/>
                </w:tcPr>
                <w:p w:rsidRPr="000577A8" w:rsidR="000577A8" w:rsidP="005D262C" w:rsidRDefault="000577A8" w14:paraId="32AA17E2" w14:textId="35DD6A0A">
                  <w:pPr>
                    <w:rPr>
                      <w:b/>
                      <w:bCs/>
                      <w:sz w:val="16"/>
                      <w:szCs w:val="16"/>
                    </w:rPr>
                  </w:pPr>
                  <w:r w:rsidRPr="000577A8">
                    <w:rPr>
                      <w:b/>
                      <w:bCs/>
                      <w:sz w:val="16"/>
                      <w:szCs w:val="16"/>
                    </w:rPr>
                    <w:t>ODA-prestatie bij 1</w:t>
                  </w:r>
                  <w:r w:rsidRPr="000577A8">
                    <w:rPr>
                      <w:b/>
                      <w:bCs/>
                      <w:sz w:val="16"/>
                      <w:szCs w:val="16"/>
                      <w:vertAlign w:val="superscript"/>
                    </w:rPr>
                    <w:t>e</w:t>
                  </w:r>
                  <w:r w:rsidRPr="000577A8">
                    <w:rPr>
                      <w:b/>
                      <w:bCs/>
                      <w:sz w:val="16"/>
                      <w:szCs w:val="16"/>
                    </w:rPr>
                    <w:t xml:space="preserve"> suppletoire begroting 2026</w:t>
                  </w:r>
                </w:p>
              </w:tc>
              <w:tc>
                <w:tcPr>
                  <w:tcW w:w="656" w:type="dxa"/>
                </w:tcPr>
                <w:p w:rsidRPr="000577A8" w:rsidR="000577A8" w:rsidP="005D262C" w:rsidRDefault="000577A8" w14:paraId="4262F845" w14:textId="5C60F484">
                  <w:pPr>
                    <w:rPr>
                      <w:b/>
                      <w:bCs/>
                      <w:sz w:val="16"/>
                      <w:szCs w:val="16"/>
                    </w:rPr>
                  </w:pPr>
                  <w:r w:rsidRPr="000577A8">
                    <w:rPr>
                      <w:b/>
                      <w:bCs/>
                      <w:sz w:val="16"/>
                      <w:szCs w:val="16"/>
                    </w:rPr>
                    <w:t>0,50%</w:t>
                  </w:r>
                </w:p>
              </w:tc>
              <w:tc>
                <w:tcPr>
                  <w:tcW w:w="656" w:type="dxa"/>
                </w:tcPr>
                <w:p w:rsidRPr="000577A8" w:rsidR="000577A8" w:rsidP="005D262C" w:rsidRDefault="000577A8" w14:paraId="69DB3E43" w14:textId="22F5951D">
                  <w:pPr>
                    <w:rPr>
                      <w:b/>
                      <w:bCs/>
                      <w:sz w:val="16"/>
                      <w:szCs w:val="16"/>
                    </w:rPr>
                  </w:pPr>
                  <w:r w:rsidRPr="000577A8">
                    <w:rPr>
                      <w:b/>
                      <w:bCs/>
                      <w:sz w:val="16"/>
                      <w:szCs w:val="16"/>
                    </w:rPr>
                    <w:t>0,48%</w:t>
                  </w:r>
                </w:p>
              </w:tc>
              <w:tc>
                <w:tcPr>
                  <w:tcW w:w="656" w:type="dxa"/>
                </w:tcPr>
                <w:p w:rsidRPr="000577A8" w:rsidR="000577A8" w:rsidP="005D262C" w:rsidRDefault="000577A8" w14:paraId="1AF09052" w14:textId="4D2230A5">
                  <w:pPr>
                    <w:rPr>
                      <w:b/>
                      <w:bCs/>
                      <w:sz w:val="16"/>
                      <w:szCs w:val="16"/>
                    </w:rPr>
                  </w:pPr>
                  <w:r w:rsidRPr="000577A8">
                    <w:rPr>
                      <w:b/>
                      <w:bCs/>
                      <w:sz w:val="16"/>
                      <w:szCs w:val="16"/>
                    </w:rPr>
                    <w:t>0,49%</w:t>
                  </w:r>
                </w:p>
              </w:tc>
              <w:tc>
                <w:tcPr>
                  <w:tcW w:w="656" w:type="dxa"/>
                </w:tcPr>
                <w:p w:rsidRPr="000577A8" w:rsidR="000577A8" w:rsidP="005D262C" w:rsidRDefault="000577A8" w14:paraId="19DD568F" w14:textId="73BDBBD6">
                  <w:pPr>
                    <w:rPr>
                      <w:b/>
                      <w:bCs/>
                      <w:sz w:val="16"/>
                      <w:szCs w:val="16"/>
                    </w:rPr>
                  </w:pPr>
                  <w:r w:rsidRPr="000577A8">
                    <w:rPr>
                      <w:b/>
                      <w:bCs/>
                      <w:sz w:val="16"/>
                      <w:szCs w:val="16"/>
                    </w:rPr>
                    <w:t>0,50%</w:t>
                  </w:r>
                </w:p>
              </w:tc>
              <w:tc>
                <w:tcPr>
                  <w:tcW w:w="656" w:type="dxa"/>
                </w:tcPr>
                <w:p w:rsidRPr="000577A8" w:rsidR="000577A8" w:rsidP="005D262C" w:rsidRDefault="000577A8" w14:paraId="5B4E6B56" w14:textId="5C3B4D86">
                  <w:pPr>
                    <w:rPr>
                      <w:b/>
                      <w:bCs/>
                      <w:sz w:val="16"/>
                      <w:szCs w:val="16"/>
                    </w:rPr>
                  </w:pPr>
                  <w:r w:rsidRPr="000577A8">
                    <w:rPr>
                      <w:b/>
                      <w:bCs/>
                      <w:sz w:val="16"/>
                      <w:szCs w:val="16"/>
                    </w:rPr>
                    <w:t>0,47%</w:t>
                  </w:r>
                </w:p>
              </w:tc>
              <w:tc>
                <w:tcPr>
                  <w:tcW w:w="656" w:type="dxa"/>
                </w:tcPr>
                <w:p w:rsidRPr="000577A8" w:rsidR="000577A8" w:rsidP="005D262C" w:rsidRDefault="000577A8" w14:paraId="6A78B5B4" w14:textId="66AEFC97">
                  <w:pPr>
                    <w:rPr>
                      <w:b/>
                      <w:bCs/>
                      <w:sz w:val="16"/>
                      <w:szCs w:val="16"/>
                    </w:rPr>
                  </w:pPr>
                  <w:r w:rsidRPr="000577A8">
                    <w:rPr>
                      <w:b/>
                      <w:bCs/>
                      <w:sz w:val="16"/>
                      <w:szCs w:val="16"/>
                    </w:rPr>
                    <w:t>0,44%</w:t>
                  </w:r>
                </w:p>
              </w:tc>
            </w:tr>
          </w:tbl>
          <w:p w:rsidRPr="000577A8" w:rsidR="005D262C" w:rsidP="000577A8" w:rsidRDefault="00712A75" w14:paraId="6331FEAD" w14:textId="48A1D414">
            <w:r>
              <w:rPr>
                <w:b/>
                <w:bCs/>
              </w:rPr>
              <w:t xml:space="preserve"> </w:t>
            </w:r>
          </w:p>
        </w:tc>
        <w:tc>
          <w:tcPr>
            <w:tcW w:w="850" w:type="dxa"/>
            <w:tcBorders>
              <w:top w:val="nil"/>
              <w:left w:val="nil"/>
              <w:bottom w:val="nil"/>
              <w:right w:val="nil"/>
            </w:tcBorders>
          </w:tcPr>
          <w:p w:rsidR="006051FD" w:rsidRDefault="006051FD" w14:paraId="100424AB" w14:textId="77777777">
            <w:pPr>
              <w:jc w:val="right"/>
            </w:pPr>
          </w:p>
        </w:tc>
        <w:tc>
          <w:tcPr>
            <w:tcW w:w="992" w:type="dxa"/>
            <w:tcBorders>
              <w:top w:val="nil"/>
              <w:left w:val="nil"/>
              <w:bottom w:val="nil"/>
              <w:right w:val="nil"/>
            </w:tcBorders>
          </w:tcPr>
          <w:p w:rsidR="006051FD" w:rsidRDefault="77463C5C" w14:paraId="09FF643B" w14:textId="77777777">
            <w:pPr>
              <w:jc w:val="right"/>
            </w:pPr>
            <w:r>
              <w:t>5</w:t>
            </w:r>
          </w:p>
        </w:tc>
        <w:tc>
          <w:tcPr>
            <w:tcW w:w="567" w:type="dxa"/>
            <w:tcBorders>
              <w:top w:val="nil"/>
              <w:left w:val="nil"/>
              <w:bottom w:val="nil"/>
              <w:right w:val="nil"/>
            </w:tcBorders>
          </w:tcPr>
          <w:p w:rsidR="006051FD" w:rsidRDefault="001856D0" w14:paraId="25B4D013" w14:textId="77777777">
            <w:pPr>
              <w:jc w:val="right"/>
            </w:pPr>
            <w:r>
              <w:t xml:space="preserve"> </w:t>
            </w:r>
          </w:p>
        </w:tc>
      </w:tr>
      <w:tr w:rsidR="006051FD" w:rsidTr="00827B5E" w14:paraId="683708A2" w14:textId="77777777">
        <w:tc>
          <w:tcPr>
            <w:tcW w:w="567" w:type="dxa"/>
            <w:tcBorders>
              <w:top w:val="nil"/>
              <w:left w:val="nil"/>
              <w:bottom w:val="nil"/>
              <w:right w:val="nil"/>
            </w:tcBorders>
          </w:tcPr>
          <w:p w:rsidR="006051FD" w:rsidRDefault="77463C5C" w14:paraId="0BCAB078" w14:textId="77777777">
            <w:r>
              <w:t>23</w:t>
            </w:r>
          </w:p>
        </w:tc>
        <w:tc>
          <w:tcPr>
            <w:tcW w:w="6521" w:type="dxa"/>
            <w:tcBorders>
              <w:top w:val="nil"/>
              <w:left w:val="nil"/>
              <w:bottom w:val="nil"/>
              <w:right w:val="nil"/>
            </w:tcBorders>
          </w:tcPr>
          <w:p w:rsidR="006051FD" w:rsidRDefault="77463C5C" w14:paraId="285AC853" w14:textId="77777777">
            <w:r>
              <w:t>Wanneer kunt u de nieuwe visie op ontwikkelingssamenwerking met de Kamer delen?</w:t>
            </w:r>
          </w:p>
          <w:p w:rsidRPr="005D262C" w:rsidR="005D262C" w:rsidP="005D262C" w:rsidRDefault="005D262C" w14:paraId="3DC3F1B1" w14:textId="77777777">
            <w:pPr>
              <w:rPr>
                <w:b/>
                <w:bCs/>
              </w:rPr>
            </w:pPr>
          </w:p>
          <w:p w:rsidRPr="00DA3516" w:rsidR="00E6462D" w:rsidP="77463C5C" w:rsidRDefault="77463C5C" w14:paraId="739EC60E" w14:textId="7D752C47">
            <w:pPr>
              <w:rPr>
                <w:b/>
                <w:bCs/>
              </w:rPr>
            </w:pPr>
            <w:r w:rsidRPr="77463C5C">
              <w:rPr>
                <w:b/>
                <w:bCs/>
              </w:rPr>
              <w:t>Antwoord</w:t>
            </w:r>
          </w:p>
          <w:p w:rsidR="005D262C" w:rsidP="00D85E0E" w:rsidRDefault="77463C5C" w14:paraId="6FD50675" w14:textId="77777777">
            <w:pPr>
              <w:rPr>
                <w:b/>
                <w:bCs/>
              </w:rPr>
            </w:pPr>
            <w:r w:rsidRPr="77463C5C">
              <w:rPr>
                <w:b/>
                <w:bCs/>
              </w:rPr>
              <w:t xml:space="preserve">Het </w:t>
            </w:r>
            <w:r w:rsidR="00D85E0E">
              <w:rPr>
                <w:b/>
                <w:bCs/>
              </w:rPr>
              <w:t xml:space="preserve">kabinet heeft de AIV recent gevraagd om een advies over de toekomst van ontwikkelingssamenwerking. Het kabinet verwacht, mede op basis van dat advies, voor eind 2026 met een visie te komen. </w:t>
            </w:r>
          </w:p>
          <w:p w:rsidR="00827B5E" w:rsidP="00D85E0E" w:rsidRDefault="00827B5E" w14:paraId="79E09600" w14:textId="677FD86F"/>
        </w:tc>
        <w:tc>
          <w:tcPr>
            <w:tcW w:w="850" w:type="dxa"/>
            <w:tcBorders>
              <w:top w:val="nil"/>
              <w:left w:val="nil"/>
              <w:bottom w:val="nil"/>
              <w:right w:val="nil"/>
            </w:tcBorders>
          </w:tcPr>
          <w:p w:rsidR="006051FD" w:rsidRDefault="006051FD" w14:paraId="37E776DC" w14:textId="77777777">
            <w:pPr>
              <w:jc w:val="right"/>
            </w:pPr>
          </w:p>
        </w:tc>
        <w:tc>
          <w:tcPr>
            <w:tcW w:w="992" w:type="dxa"/>
            <w:tcBorders>
              <w:top w:val="nil"/>
              <w:left w:val="nil"/>
              <w:bottom w:val="nil"/>
              <w:right w:val="nil"/>
            </w:tcBorders>
          </w:tcPr>
          <w:p w:rsidR="006051FD" w:rsidRDefault="77463C5C" w14:paraId="45C7AF50" w14:textId="77777777">
            <w:pPr>
              <w:jc w:val="right"/>
            </w:pPr>
            <w:r>
              <w:t>5</w:t>
            </w:r>
          </w:p>
        </w:tc>
        <w:tc>
          <w:tcPr>
            <w:tcW w:w="567" w:type="dxa"/>
            <w:tcBorders>
              <w:top w:val="nil"/>
              <w:left w:val="nil"/>
              <w:bottom w:val="nil"/>
              <w:right w:val="nil"/>
            </w:tcBorders>
          </w:tcPr>
          <w:p w:rsidR="006051FD" w:rsidRDefault="001856D0" w14:paraId="189D5E4A" w14:textId="77777777">
            <w:pPr>
              <w:jc w:val="right"/>
            </w:pPr>
            <w:r>
              <w:t xml:space="preserve"> </w:t>
            </w:r>
          </w:p>
        </w:tc>
      </w:tr>
      <w:tr w:rsidR="006051FD" w:rsidTr="00827B5E" w14:paraId="728A7345" w14:textId="77777777">
        <w:tc>
          <w:tcPr>
            <w:tcW w:w="567" w:type="dxa"/>
            <w:tcBorders>
              <w:top w:val="nil"/>
              <w:left w:val="nil"/>
              <w:bottom w:val="nil"/>
              <w:right w:val="nil"/>
            </w:tcBorders>
          </w:tcPr>
          <w:p w:rsidR="006051FD" w:rsidRDefault="77463C5C" w14:paraId="22532132" w14:textId="77777777">
            <w:r>
              <w:t>24</w:t>
            </w:r>
          </w:p>
        </w:tc>
        <w:tc>
          <w:tcPr>
            <w:tcW w:w="6521" w:type="dxa"/>
            <w:tcBorders>
              <w:top w:val="nil"/>
              <w:left w:val="nil"/>
              <w:bottom w:val="nil"/>
              <w:right w:val="nil"/>
            </w:tcBorders>
          </w:tcPr>
          <w:p w:rsidR="006051FD" w:rsidRDefault="77463C5C" w14:paraId="57E6B397" w14:textId="77777777">
            <w:r>
              <w:t>Komt in de nieuwe visie op ontwikkelingssamenwerking ook de samenwerking met religieuze actoren, bijvoorbeeld op het gebied van humanitaire hulp en vredesopbouw?</w:t>
            </w:r>
          </w:p>
          <w:p w:rsidRPr="005D262C" w:rsidR="005D262C" w:rsidP="005D262C" w:rsidRDefault="005D262C" w14:paraId="4884799A" w14:textId="77777777">
            <w:pPr>
              <w:rPr>
                <w:b/>
                <w:bCs/>
              </w:rPr>
            </w:pPr>
          </w:p>
          <w:p w:rsidRPr="00DA3516" w:rsidR="00E6462D" w:rsidP="77463C5C" w:rsidRDefault="77463C5C" w14:paraId="5EA3BDDB" w14:textId="49772267">
            <w:pPr>
              <w:rPr>
                <w:b/>
                <w:bCs/>
              </w:rPr>
            </w:pPr>
            <w:r w:rsidRPr="77463C5C">
              <w:rPr>
                <w:b/>
                <w:bCs/>
              </w:rPr>
              <w:t>Antwoord</w:t>
            </w:r>
          </w:p>
          <w:p w:rsidR="005D262C" w:rsidP="00CC11BF" w:rsidRDefault="77463C5C" w14:paraId="6164232F" w14:textId="59A6A8F3">
            <w:pPr>
              <w:rPr>
                <w:b/>
                <w:bCs/>
              </w:rPr>
            </w:pPr>
            <w:r w:rsidRPr="77463C5C">
              <w:rPr>
                <w:b/>
                <w:bCs/>
              </w:rPr>
              <w:t xml:space="preserve">De </w:t>
            </w:r>
            <w:r w:rsidR="00D85E0E">
              <w:rPr>
                <w:b/>
                <w:bCs/>
              </w:rPr>
              <w:t xml:space="preserve">adviesaanvraag aan de AIV is gericht op elementen voor de Nederlandse visie en inzet op ontwikkelingssamenwerking in 2040, als onderdeel van het buitenlandbeleid. Daarbij is de AIV gevraagd om onder meer in te gaan op de doelstelling van ontwikkelingssamenwerking, mogelijke bijdragen vanuit ontwikkelingssamenwerking aan democratie en rechtsorde, de rol van de EU, en mondiaal bestuur. </w:t>
            </w:r>
            <w:r w:rsidR="00CC11BF">
              <w:rPr>
                <w:b/>
                <w:bCs/>
              </w:rPr>
              <w:t>Het is aan de AIV om verder invulling te geven aan het advies. Verwachting is dat de visie van het kabinet, mede op basis van het AIV-advies, zich zal concentreren op de grote lijnen richting 2040.</w:t>
            </w:r>
          </w:p>
          <w:p w:rsidR="00827B5E" w:rsidP="00CC11BF" w:rsidRDefault="00827B5E" w14:paraId="6A2D35AE" w14:textId="617606B0"/>
        </w:tc>
        <w:tc>
          <w:tcPr>
            <w:tcW w:w="850" w:type="dxa"/>
            <w:tcBorders>
              <w:top w:val="nil"/>
              <w:left w:val="nil"/>
              <w:bottom w:val="nil"/>
              <w:right w:val="nil"/>
            </w:tcBorders>
          </w:tcPr>
          <w:p w:rsidR="006051FD" w:rsidRDefault="006051FD" w14:paraId="63714F17" w14:textId="77777777">
            <w:pPr>
              <w:jc w:val="right"/>
            </w:pPr>
          </w:p>
        </w:tc>
        <w:tc>
          <w:tcPr>
            <w:tcW w:w="992" w:type="dxa"/>
            <w:tcBorders>
              <w:top w:val="nil"/>
              <w:left w:val="nil"/>
              <w:bottom w:val="nil"/>
              <w:right w:val="nil"/>
            </w:tcBorders>
          </w:tcPr>
          <w:p w:rsidR="006051FD" w:rsidRDefault="77463C5C" w14:paraId="0CF4215D" w14:textId="77777777">
            <w:pPr>
              <w:jc w:val="right"/>
            </w:pPr>
            <w:r>
              <w:t>5</w:t>
            </w:r>
          </w:p>
        </w:tc>
        <w:tc>
          <w:tcPr>
            <w:tcW w:w="567" w:type="dxa"/>
            <w:tcBorders>
              <w:top w:val="nil"/>
              <w:left w:val="nil"/>
              <w:bottom w:val="nil"/>
              <w:right w:val="nil"/>
            </w:tcBorders>
          </w:tcPr>
          <w:p w:rsidR="006051FD" w:rsidRDefault="001856D0" w14:paraId="0CB0B7DE" w14:textId="77777777">
            <w:pPr>
              <w:jc w:val="right"/>
            </w:pPr>
            <w:r>
              <w:t xml:space="preserve"> </w:t>
            </w:r>
          </w:p>
        </w:tc>
      </w:tr>
      <w:tr w:rsidR="006051FD" w:rsidTr="00827B5E" w14:paraId="1EABC6AF" w14:textId="77777777">
        <w:tc>
          <w:tcPr>
            <w:tcW w:w="567" w:type="dxa"/>
            <w:tcBorders>
              <w:top w:val="nil"/>
              <w:left w:val="nil"/>
              <w:bottom w:val="nil"/>
              <w:right w:val="nil"/>
            </w:tcBorders>
          </w:tcPr>
          <w:p w:rsidR="006051FD" w:rsidRDefault="77463C5C" w14:paraId="4475240A" w14:textId="77777777">
            <w:r>
              <w:t>25</w:t>
            </w:r>
          </w:p>
        </w:tc>
        <w:tc>
          <w:tcPr>
            <w:tcW w:w="6521" w:type="dxa"/>
            <w:tcBorders>
              <w:top w:val="nil"/>
              <w:left w:val="nil"/>
              <w:bottom w:val="nil"/>
              <w:right w:val="nil"/>
            </w:tcBorders>
          </w:tcPr>
          <w:p w:rsidR="006051FD" w:rsidRDefault="77463C5C" w14:paraId="1815F32B" w14:textId="77777777">
            <w:r>
              <w:t>Voor welke hervormingen van multilaterale organisaties zet Nederland zich in?</w:t>
            </w:r>
          </w:p>
          <w:p w:rsidRPr="005D262C" w:rsidR="005D262C" w:rsidP="005D262C" w:rsidRDefault="005D262C" w14:paraId="1D1E84E7" w14:textId="77777777">
            <w:pPr>
              <w:rPr>
                <w:b/>
                <w:bCs/>
              </w:rPr>
            </w:pPr>
          </w:p>
          <w:p w:rsidRPr="0066121B" w:rsidR="005D262C" w:rsidP="77463C5C" w:rsidRDefault="77463C5C" w14:paraId="36DD41F3" w14:textId="7A6FAE6B">
            <w:pPr>
              <w:rPr>
                <w:b/>
              </w:rPr>
            </w:pPr>
            <w:r w:rsidRPr="0066121B">
              <w:rPr>
                <w:b/>
              </w:rPr>
              <w:t>Antwoord</w:t>
            </w:r>
          </w:p>
          <w:p w:rsidR="0020460F" w:rsidP="00622EB3" w:rsidRDefault="00F56A2B" w14:paraId="0D4BDA36" w14:textId="7A4943EE">
            <w:pPr>
              <w:rPr>
                <w:b/>
              </w:rPr>
            </w:pPr>
            <w:r>
              <w:rPr>
                <w:b/>
              </w:rPr>
              <w:t xml:space="preserve">Voor </w:t>
            </w:r>
            <w:r w:rsidRPr="00622EB3" w:rsidR="00622EB3">
              <w:rPr>
                <w:b/>
              </w:rPr>
              <w:t xml:space="preserve">Nederland </w:t>
            </w:r>
            <w:r>
              <w:rPr>
                <w:b/>
              </w:rPr>
              <w:t xml:space="preserve">is het van belang dat het multilaterale stelsel van samenwerking tussen landen blijft bestaan en bestendigd wordt. In dat kader </w:t>
            </w:r>
            <w:r w:rsidRPr="00622EB3" w:rsidR="00622EB3">
              <w:rPr>
                <w:b/>
              </w:rPr>
              <w:t xml:space="preserve">steunt </w:t>
            </w:r>
            <w:r>
              <w:rPr>
                <w:b/>
              </w:rPr>
              <w:t>Nederland ook</w:t>
            </w:r>
            <w:r w:rsidRPr="00622EB3" w:rsidR="00622EB3">
              <w:rPr>
                <w:b/>
              </w:rPr>
              <w:t xml:space="preserve"> het VN80-initiatief, dat in maart 2025 door de Secretaris-Generaal is gelanceerd om de VN effectiever, efficiënter en financieel gezonder te maken.</w:t>
            </w:r>
            <w:r w:rsidR="00622EB3">
              <w:rPr>
                <w:b/>
              </w:rPr>
              <w:t xml:space="preserve"> </w:t>
            </w:r>
            <w:r w:rsidRPr="00622EB3" w:rsidR="00622EB3">
              <w:rPr>
                <w:b/>
              </w:rPr>
              <w:t>Het VN80-initiatief</w:t>
            </w:r>
            <w:r w:rsidR="0095338F">
              <w:rPr>
                <w:b/>
              </w:rPr>
              <w:t xml:space="preserve"> richt zich op de gehele VN en</w:t>
            </w:r>
            <w:r w:rsidRPr="00622EB3" w:rsidR="00622EB3">
              <w:rPr>
                <w:b/>
              </w:rPr>
              <w:t xml:space="preserve"> </w:t>
            </w:r>
            <w:r w:rsidR="00763FF0">
              <w:rPr>
                <w:b/>
              </w:rPr>
              <w:t>werkt</w:t>
            </w:r>
            <w:r w:rsidRPr="00622EB3" w:rsidR="00622EB3">
              <w:rPr>
                <w:b/>
              </w:rPr>
              <w:t xml:space="preserve"> langs drie lijnen </w:t>
            </w:r>
            <w:r w:rsidR="0020460F">
              <w:rPr>
                <w:b/>
              </w:rPr>
              <w:t>aan een sterkere en meer slagvaardige VN; het doorvoeren van kostenbesparingen. E</w:t>
            </w:r>
            <w:r w:rsidRPr="0020460F" w:rsidR="0020460F">
              <w:rPr>
                <w:b/>
              </w:rPr>
              <w:t xml:space="preserve">en slanker en goedkoper VN-secretariaat, een kritische herijking van de taken </w:t>
            </w:r>
            <w:r w:rsidR="0020460F">
              <w:rPr>
                <w:b/>
              </w:rPr>
              <w:t xml:space="preserve">(mandaten) </w:t>
            </w:r>
            <w:r w:rsidRPr="0020460F" w:rsidR="0020460F">
              <w:rPr>
                <w:b/>
              </w:rPr>
              <w:t>die lidstaten aan de VN hebben toevertrouwd, en bredere hervormingen van het VN-stelsel als geheel.</w:t>
            </w:r>
            <w:r w:rsidR="0020460F">
              <w:rPr>
                <w:b/>
              </w:rPr>
              <w:t xml:space="preserve"> Daarbij zet Nederland in op het bescherming van het VN-Handvest en de drie pijlers: vrede &amp; veiligheid, mensenrechten en duurzame ontwikkeling.</w:t>
            </w:r>
          </w:p>
          <w:p w:rsidR="007240B4" w:rsidP="00622EB3" w:rsidRDefault="007240B4" w14:paraId="376241A6" w14:textId="77777777">
            <w:pPr>
              <w:rPr>
                <w:b/>
              </w:rPr>
            </w:pPr>
          </w:p>
          <w:p w:rsidR="005D262C" w:rsidRDefault="0095338F" w14:paraId="4FA79E6F" w14:textId="77777777">
            <w:pPr>
              <w:rPr>
                <w:b/>
              </w:rPr>
            </w:pPr>
            <w:r w:rsidRPr="0095338F">
              <w:rPr>
                <w:b/>
              </w:rPr>
              <w:t xml:space="preserve">Veel efficiëntiewinst is te behalen door het tegengaan van overlap, onder meer door gezamenlijke programmering, betere coördinatie op landenniveau en het samenvoegen van organisatieonderdelen. </w:t>
            </w:r>
            <w:r w:rsidRPr="00622EB3" w:rsidR="00622EB3">
              <w:rPr>
                <w:b/>
              </w:rPr>
              <w:t xml:space="preserve">Nederland </w:t>
            </w:r>
            <w:r w:rsidR="0020460F">
              <w:rPr>
                <w:b/>
              </w:rPr>
              <w:t>geeft</w:t>
            </w:r>
            <w:r w:rsidRPr="00622EB3" w:rsidR="00622EB3">
              <w:rPr>
                <w:b/>
              </w:rPr>
              <w:t xml:space="preserve"> daarbij prioriteit </w:t>
            </w:r>
            <w:r w:rsidR="0020460F">
              <w:rPr>
                <w:b/>
              </w:rPr>
              <w:t>aan</w:t>
            </w:r>
            <w:r w:rsidRPr="00622EB3" w:rsidR="00622EB3">
              <w:rPr>
                <w:b/>
              </w:rPr>
              <w:t xml:space="preserve"> zes </w:t>
            </w:r>
            <w:r w:rsidR="0020460F">
              <w:rPr>
                <w:b/>
              </w:rPr>
              <w:t>onderdelen van de VN-hervormingsagenda</w:t>
            </w:r>
            <w:r w:rsidRPr="00622EB3" w:rsidR="00622EB3">
              <w:rPr>
                <w:b/>
              </w:rPr>
              <w:t>:</w:t>
            </w:r>
            <w:r>
              <w:rPr>
                <w:b/>
              </w:rPr>
              <w:t xml:space="preserve"> 1)</w:t>
            </w:r>
            <w:r w:rsidR="0020460F">
              <w:rPr>
                <w:b/>
              </w:rPr>
              <w:t xml:space="preserve"> het vergroten van de effectiviteit van VN-vredesmissies, 2) een meer </w:t>
            </w:r>
            <w:r w:rsidR="0020460F">
              <w:rPr>
                <w:b/>
              </w:rPr>
              <w:lastRenderedPageBreak/>
              <w:t>effectieve VN-inzet op grensoverschrijdende criminaliteit en terrorisme, 3) efficiëntere ontwapeningsarchitectuur, 4) bescherming van de mensenrechtenpijler, 5) versterken van de coherentie van ontwikkelingsprogramma’s op landenniveau en 6) transitie van UNAIDS.</w:t>
            </w:r>
          </w:p>
          <w:p w:rsidRPr="0066121B" w:rsidR="00827B5E" w:rsidRDefault="00827B5E" w14:paraId="5CF464C7" w14:textId="77F99A73"/>
        </w:tc>
        <w:tc>
          <w:tcPr>
            <w:tcW w:w="850" w:type="dxa"/>
            <w:tcBorders>
              <w:top w:val="nil"/>
              <w:left w:val="nil"/>
              <w:bottom w:val="nil"/>
              <w:right w:val="nil"/>
            </w:tcBorders>
          </w:tcPr>
          <w:p w:rsidRPr="0066121B" w:rsidR="006051FD" w:rsidRDefault="006051FD" w14:paraId="26CB1BA2" w14:textId="77777777">
            <w:pPr>
              <w:jc w:val="right"/>
            </w:pPr>
          </w:p>
        </w:tc>
        <w:tc>
          <w:tcPr>
            <w:tcW w:w="992" w:type="dxa"/>
            <w:tcBorders>
              <w:top w:val="nil"/>
              <w:left w:val="nil"/>
              <w:bottom w:val="nil"/>
              <w:right w:val="nil"/>
            </w:tcBorders>
          </w:tcPr>
          <w:p w:rsidR="006051FD" w:rsidRDefault="77463C5C" w14:paraId="58EFDA8F" w14:textId="77777777">
            <w:pPr>
              <w:jc w:val="right"/>
            </w:pPr>
            <w:r>
              <w:t>6</w:t>
            </w:r>
          </w:p>
        </w:tc>
        <w:tc>
          <w:tcPr>
            <w:tcW w:w="567" w:type="dxa"/>
            <w:tcBorders>
              <w:top w:val="nil"/>
              <w:left w:val="nil"/>
              <w:bottom w:val="nil"/>
              <w:right w:val="nil"/>
            </w:tcBorders>
          </w:tcPr>
          <w:p w:rsidR="006051FD" w:rsidRDefault="001856D0" w14:paraId="04A08F72" w14:textId="77777777">
            <w:pPr>
              <w:jc w:val="right"/>
            </w:pPr>
            <w:r>
              <w:t xml:space="preserve"> </w:t>
            </w:r>
          </w:p>
        </w:tc>
      </w:tr>
      <w:tr w:rsidR="006051FD" w:rsidTr="00827B5E" w14:paraId="3C61CEC2" w14:textId="77777777">
        <w:tc>
          <w:tcPr>
            <w:tcW w:w="567" w:type="dxa"/>
            <w:tcBorders>
              <w:top w:val="nil"/>
              <w:left w:val="nil"/>
              <w:bottom w:val="nil"/>
              <w:right w:val="nil"/>
            </w:tcBorders>
          </w:tcPr>
          <w:p w:rsidR="006051FD" w:rsidRDefault="77463C5C" w14:paraId="3EF1D8E1" w14:textId="77777777">
            <w:r>
              <w:t>26</w:t>
            </w:r>
          </w:p>
        </w:tc>
        <w:tc>
          <w:tcPr>
            <w:tcW w:w="6521" w:type="dxa"/>
            <w:tcBorders>
              <w:top w:val="nil"/>
              <w:left w:val="nil"/>
              <w:bottom w:val="nil"/>
              <w:right w:val="nil"/>
            </w:tcBorders>
          </w:tcPr>
          <w:p w:rsidR="006051FD" w:rsidRDefault="77463C5C" w14:paraId="1D3F153F" w14:textId="77777777">
            <w:bookmarkStart w:name="_Hlk231818886" w:id="6"/>
            <w:r>
              <w:t>Wat zijn uw concrete plannen voor de voorgenomen intensivering op vrouwenrechten? (p.8) Welke additionele financiële inzet is daarvoor voorzien? Het amendement Hirsch voorziet in budget voor vrouwenrechten tot en met 2027, maar hoe regelt u dit daarna? Hoe worden (lokale) vrouwenrechtenorganisaties betekenisvol betrokken bij deze intensivering?</w:t>
            </w:r>
          </w:p>
          <w:p w:rsidRPr="005D262C" w:rsidR="005D262C" w:rsidP="005D262C" w:rsidRDefault="005D262C" w14:paraId="181EE62F" w14:textId="77777777">
            <w:pPr>
              <w:rPr>
                <w:b/>
                <w:bCs/>
              </w:rPr>
            </w:pPr>
          </w:p>
          <w:p w:rsidR="005D262C" w:rsidP="005D262C" w:rsidRDefault="77463C5C" w14:paraId="3B8F5801" w14:textId="03FFEF47">
            <w:pPr>
              <w:rPr>
                <w:b/>
                <w:bCs/>
              </w:rPr>
            </w:pPr>
            <w:r w:rsidRPr="77463C5C">
              <w:rPr>
                <w:b/>
                <w:bCs/>
              </w:rPr>
              <w:t xml:space="preserve">Antwoord </w:t>
            </w:r>
          </w:p>
          <w:p w:rsidRPr="00827B5E" w:rsidR="005F4775" w:rsidP="005F4775" w:rsidRDefault="005F4775" w14:paraId="3C1136F5" w14:textId="6C7F95D4">
            <w:pPr>
              <w:spacing w:before="0" w:after="0"/>
              <w:rPr>
                <w:rFonts w:eastAsia="Aptos"/>
                <w:b/>
                <w:bCs/>
                <w:lang w:eastAsia="en-US"/>
              </w:rPr>
            </w:pPr>
            <w:r w:rsidRPr="00827B5E">
              <w:rPr>
                <w:rFonts w:eastAsia="Aptos"/>
                <w:b/>
                <w:bCs/>
                <w:lang w:eastAsia="en-US"/>
              </w:rPr>
              <w:t>Conform het Coalitieakkoord heeft het kabinet intentie om te intensiveren op o</w:t>
            </w:r>
            <w:r w:rsidR="00D84C76">
              <w:rPr>
                <w:rFonts w:eastAsia="Aptos"/>
                <w:b/>
                <w:bCs/>
                <w:lang w:eastAsia="en-US"/>
              </w:rPr>
              <w:t>nder andere</w:t>
            </w:r>
            <w:r w:rsidRPr="00827B5E">
              <w:rPr>
                <w:rFonts w:eastAsia="Aptos"/>
                <w:b/>
                <w:bCs/>
                <w:lang w:eastAsia="en-US"/>
              </w:rPr>
              <w:t xml:space="preserve"> vrouwenrechten, zowel financieel als bijvoorbeeld diplomatiek. Bij de opstelling van de begroting 2027 wordt gekeken naar de mogelijkheden. </w:t>
            </w:r>
          </w:p>
          <w:p w:rsidRPr="00827B5E" w:rsidR="005F4775" w:rsidP="005F4775" w:rsidRDefault="005F4775" w14:paraId="7B76306A" w14:textId="77777777">
            <w:pPr>
              <w:spacing w:before="0" w:after="0"/>
              <w:rPr>
                <w:rFonts w:eastAsia="Aptos"/>
                <w:b/>
                <w:bCs/>
                <w:lang w:eastAsia="en-US"/>
              </w:rPr>
            </w:pPr>
          </w:p>
          <w:p w:rsidRPr="00827B5E" w:rsidR="005F4775" w:rsidP="005F4775" w:rsidRDefault="005F4775" w14:paraId="002C436E" w14:textId="5B3BB435">
            <w:pPr>
              <w:spacing w:before="0" w:after="0"/>
              <w:rPr>
                <w:rFonts w:eastAsia="Aptos"/>
                <w:b/>
                <w:bCs/>
                <w:lang w:eastAsia="en-US"/>
              </w:rPr>
            </w:pPr>
            <w:r w:rsidRPr="00827B5E">
              <w:rPr>
                <w:rFonts w:eastAsia="Aptos"/>
                <w:b/>
                <w:bCs/>
                <w:lang w:eastAsia="en-US"/>
              </w:rPr>
              <w:t xml:space="preserve">In afwachting daarvan heeft het kabinet in de Voorjaarsnota </w:t>
            </w:r>
            <w:r w:rsidRPr="00827B5E">
              <w:rPr>
                <w:rFonts w:eastAsia="Aptos"/>
                <w:b/>
                <w:bCs/>
                <w:color w:val="000000"/>
                <w:lang w:eastAsia="en-US"/>
              </w:rPr>
              <w:t>v</w:t>
            </w:r>
            <w:r w:rsidRPr="00827B5E">
              <w:rPr>
                <w:rFonts w:eastAsia="Aptos"/>
                <w:b/>
                <w:bCs/>
                <w:lang w:eastAsia="en-US"/>
              </w:rPr>
              <w:t>oor</w:t>
            </w:r>
            <w:r w:rsidRPr="00827B5E">
              <w:rPr>
                <w:rFonts w:eastAsia="Aptos"/>
                <w:b/>
                <w:bCs/>
                <w:color w:val="000000"/>
                <w:lang w:eastAsia="en-US"/>
              </w:rPr>
              <w:t xml:space="preserve"> zowel</w:t>
            </w:r>
            <w:r w:rsidRPr="00827B5E">
              <w:rPr>
                <w:rFonts w:eastAsia="Aptos"/>
                <w:b/>
                <w:bCs/>
                <w:lang w:eastAsia="en-US"/>
              </w:rPr>
              <w:t xml:space="preserve"> 2026 </w:t>
            </w:r>
            <w:r w:rsidRPr="00827B5E">
              <w:rPr>
                <w:rFonts w:eastAsia="Aptos"/>
                <w:b/>
                <w:bCs/>
                <w:color w:val="000000"/>
                <w:lang w:eastAsia="en-US"/>
              </w:rPr>
              <w:t xml:space="preserve">als </w:t>
            </w:r>
            <w:r w:rsidRPr="00827B5E" w:rsidR="00D84C76">
              <w:rPr>
                <w:rFonts w:eastAsia="Aptos"/>
                <w:b/>
                <w:bCs/>
                <w:lang w:eastAsia="en-US"/>
              </w:rPr>
              <w:t xml:space="preserve">2027 </w:t>
            </w:r>
            <w:r w:rsidRPr="00827B5E" w:rsidR="00D84C76">
              <w:rPr>
                <w:rFonts w:eastAsia="Aptos"/>
                <w:b/>
                <w:bCs/>
                <w:color w:val="000000"/>
                <w:lang w:eastAsia="en-US"/>
              </w:rPr>
              <w:t>EUR</w:t>
            </w:r>
            <w:r w:rsidRPr="00827B5E">
              <w:rPr>
                <w:rFonts w:eastAsia="Aptos"/>
                <w:b/>
                <w:bCs/>
                <w:color w:val="000000"/>
                <w:lang w:eastAsia="en-US"/>
              </w:rPr>
              <w:t xml:space="preserve"> 5 </w:t>
            </w:r>
            <w:proofErr w:type="spellStart"/>
            <w:r w:rsidRPr="00827B5E">
              <w:rPr>
                <w:rFonts w:eastAsia="Aptos"/>
                <w:b/>
                <w:bCs/>
                <w:color w:val="000000"/>
                <w:lang w:eastAsia="en-US"/>
              </w:rPr>
              <w:t>mln</w:t>
            </w:r>
            <w:proofErr w:type="spellEnd"/>
            <w:r w:rsidRPr="00827B5E">
              <w:rPr>
                <w:rFonts w:eastAsia="Aptos"/>
                <w:b/>
                <w:bCs/>
                <w:color w:val="000000"/>
                <w:lang w:eastAsia="en-US"/>
              </w:rPr>
              <w:t xml:space="preserve"> extra </w:t>
            </w:r>
            <w:r w:rsidRPr="00827B5E">
              <w:rPr>
                <w:rFonts w:eastAsia="Aptos"/>
                <w:b/>
                <w:bCs/>
                <w:lang w:eastAsia="en-US"/>
              </w:rPr>
              <w:t xml:space="preserve">beschikbaar gemaakt voor deze inzet. </w:t>
            </w:r>
            <w:r w:rsidRPr="00827B5E">
              <w:rPr>
                <w:rFonts w:eastAsia="Aptos"/>
                <w:b/>
                <w:bCs/>
                <w:color w:val="000000"/>
                <w:lang w:eastAsia="en-US"/>
              </w:rPr>
              <w:t xml:space="preserve">Dit wordt onder andere gebruikt voor de nieuwe bijdrage aan het Leading from the South Pooled Fund, alsmede een bijdrage in 2026 van 2 miljoen euro aan het </w:t>
            </w:r>
            <w:r w:rsidRPr="007240B4">
              <w:rPr>
                <w:rFonts w:eastAsia="Aptos"/>
                <w:b/>
                <w:bCs/>
                <w:i/>
                <w:iCs/>
                <w:color w:val="000000"/>
                <w:lang w:eastAsia="en-US"/>
              </w:rPr>
              <w:t xml:space="preserve">VN Trust Fund on the </w:t>
            </w:r>
            <w:proofErr w:type="spellStart"/>
            <w:r w:rsidRPr="007240B4">
              <w:rPr>
                <w:rFonts w:eastAsia="Aptos"/>
                <w:b/>
                <w:bCs/>
                <w:i/>
                <w:iCs/>
                <w:color w:val="000000"/>
                <w:lang w:eastAsia="en-US"/>
              </w:rPr>
              <w:t>Elimination</w:t>
            </w:r>
            <w:proofErr w:type="spellEnd"/>
            <w:r w:rsidRPr="007240B4">
              <w:rPr>
                <w:rFonts w:eastAsia="Aptos"/>
                <w:b/>
                <w:bCs/>
                <w:i/>
                <w:iCs/>
                <w:color w:val="000000"/>
                <w:lang w:eastAsia="en-US"/>
              </w:rPr>
              <w:t xml:space="preserve"> of Violence against Women</w:t>
            </w:r>
            <w:r w:rsidRPr="00827B5E">
              <w:rPr>
                <w:rFonts w:eastAsia="Aptos"/>
                <w:b/>
                <w:bCs/>
                <w:color w:val="000000"/>
                <w:lang w:eastAsia="en-US"/>
              </w:rPr>
              <w:t xml:space="preserve"> (onder voorbehoud van goedkeuring van de begroting</w:t>
            </w:r>
            <w:r w:rsidRPr="00827B5E" w:rsidR="004F258E">
              <w:rPr>
                <w:rFonts w:eastAsia="Aptos"/>
                <w:b/>
                <w:bCs/>
                <w:color w:val="000000"/>
                <w:lang w:eastAsia="en-US"/>
              </w:rPr>
              <w:t xml:space="preserve"> 2026 en de eerste suppletoire begroting</w:t>
            </w:r>
            <w:r w:rsidRPr="00827B5E">
              <w:rPr>
                <w:rFonts w:eastAsia="Aptos"/>
                <w:b/>
                <w:bCs/>
                <w:color w:val="000000"/>
                <w:lang w:eastAsia="en-US"/>
              </w:rPr>
              <w:t>.</w:t>
            </w:r>
          </w:p>
          <w:p w:rsidRPr="00827B5E" w:rsidR="005F4775" w:rsidP="005F4775" w:rsidRDefault="005F4775" w14:paraId="3D237C3F" w14:textId="77777777">
            <w:pPr>
              <w:spacing w:before="0" w:after="0"/>
              <w:rPr>
                <w:rFonts w:eastAsia="Aptos"/>
                <w:b/>
                <w:bCs/>
                <w:lang w:eastAsia="en-US"/>
              </w:rPr>
            </w:pPr>
          </w:p>
          <w:p w:rsidRPr="00827B5E" w:rsidR="005F4775" w:rsidP="005F4775" w:rsidRDefault="005F4775" w14:paraId="156259F4" w14:textId="51DD2D12">
            <w:pPr>
              <w:spacing w:before="0" w:after="0"/>
              <w:rPr>
                <w:rFonts w:eastAsia="Aptos"/>
                <w:b/>
                <w:bCs/>
                <w:lang w:eastAsia="en-US"/>
              </w:rPr>
            </w:pPr>
            <w:r w:rsidRPr="00827B5E">
              <w:rPr>
                <w:rFonts w:eastAsia="Aptos"/>
                <w:b/>
                <w:bCs/>
                <w:color w:val="000000"/>
                <w:lang w:eastAsia="en-US"/>
              </w:rPr>
              <w:t xml:space="preserve">Beide fondsen ondersteunen rechtstreeks lokale vrouwenrechtenorganisaties in het mondiale zuiden. </w:t>
            </w:r>
            <w:r w:rsidRPr="00827B5E">
              <w:rPr>
                <w:rFonts w:eastAsia="Aptos"/>
                <w:b/>
                <w:bCs/>
                <w:lang w:eastAsia="en-US"/>
              </w:rPr>
              <w:t xml:space="preserve">Deze partners zijn een waardevolle bron van informatie over de realiteit en behoeften van vrouwenrechtenorganisaties </w:t>
            </w:r>
            <w:r w:rsidRPr="00827B5E">
              <w:rPr>
                <w:rFonts w:eastAsia="Aptos"/>
                <w:b/>
                <w:bCs/>
                <w:color w:val="000000"/>
                <w:lang w:eastAsia="en-US"/>
              </w:rPr>
              <w:t>wereldwijd</w:t>
            </w:r>
            <w:r w:rsidRPr="00827B5E">
              <w:rPr>
                <w:rFonts w:eastAsia="Aptos"/>
                <w:b/>
                <w:bCs/>
                <w:lang w:eastAsia="en-US"/>
              </w:rPr>
              <w:t xml:space="preserve">. Daarnaast </w:t>
            </w:r>
            <w:r w:rsidRPr="00827B5E">
              <w:rPr>
                <w:rFonts w:eastAsia="Aptos"/>
                <w:b/>
                <w:bCs/>
                <w:color w:val="000000"/>
                <w:lang w:eastAsia="en-US"/>
              </w:rPr>
              <w:t>is er</w:t>
            </w:r>
            <w:r w:rsidRPr="00827B5E">
              <w:rPr>
                <w:rFonts w:eastAsia="Aptos"/>
                <w:b/>
                <w:bCs/>
                <w:lang w:eastAsia="en-US"/>
              </w:rPr>
              <w:t xml:space="preserve"> op deze thema’s doorlopend overleg met het maatschappelijk middenveld in </w:t>
            </w:r>
            <w:r w:rsidRPr="00827B5E">
              <w:rPr>
                <w:rFonts w:eastAsia="Aptos"/>
                <w:b/>
                <w:bCs/>
                <w:color w:val="000000"/>
                <w:lang w:eastAsia="en-US"/>
              </w:rPr>
              <w:t xml:space="preserve">en buiten </w:t>
            </w:r>
            <w:r w:rsidRPr="00827B5E">
              <w:rPr>
                <w:rFonts w:eastAsia="Aptos"/>
                <w:b/>
                <w:bCs/>
                <w:lang w:eastAsia="en-US"/>
              </w:rPr>
              <w:t>Nederland. Toekomstige intensiveringen zullen - zoals altijd - mede gebaseerd zijn op de inzichten die dit deze organisaties brengen.</w:t>
            </w:r>
          </w:p>
          <w:bookmarkEnd w:id="6"/>
          <w:p w:rsidR="005F4775" w:rsidP="005D262C" w:rsidRDefault="005F4775" w14:paraId="561B5C9C" w14:textId="77777777">
            <w:pPr>
              <w:rPr>
                <w:b/>
                <w:bCs/>
              </w:rPr>
            </w:pPr>
          </w:p>
          <w:p w:rsidR="005D262C" w:rsidRDefault="005D262C" w14:paraId="5F19F725" w14:textId="77777777"/>
        </w:tc>
        <w:tc>
          <w:tcPr>
            <w:tcW w:w="850" w:type="dxa"/>
            <w:tcBorders>
              <w:top w:val="nil"/>
              <w:left w:val="nil"/>
              <w:bottom w:val="nil"/>
              <w:right w:val="nil"/>
            </w:tcBorders>
          </w:tcPr>
          <w:p w:rsidR="006051FD" w:rsidRDefault="006051FD" w14:paraId="022B2441" w14:textId="77777777">
            <w:pPr>
              <w:jc w:val="right"/>
            </w:pPr>
          </w:p>
        </w:tc>
        <w:tc>
          <w:tcPr>
            <w:tcW w:w="992" w:type="dxa"/>
            <w:tcBorders>
              <w:top w:val="nil"/>
              <w:left w:val="nil"/>
              <w:bottom w:val="nil"/>
              <w:right w:val="nil"/>
            </w:tcBorders>
          </w:tcPr>
          <w:p w:rsidR="006051FD" w:rsidRDefault="77463C5C" w14:paraId="4C1A94F9" w14:textId="77777777">
            <w:pPr>
              <w:jc w:val="right"/>
            </w:pPr>
            <w:r>
              <w:t>8</w:t>
            </w:r>
          </w:p>
        </w:tc>
        <w:tc>
          <w:tcPr>
            <w:tcW w:w="567" w:type="dxa"/>
            <w:tcBorders>
              <w:top w:val="nil"/>
              <w:left w:val="nil"/>
              <w:bottom w:val="nil"/>
              <w:right w:val="nil"/>
            </w:tcBorders>
          </w:tcPr>
          <w:p w:rsidR="006051FD" w:rsidRDefault="001856D0" w14:paraId="32D1F99D" w14:textId="77777777">
            <w:pPr>
              <w:jc w:val="right"/>
            </w:pPr>
            <w:r>
              <w:t xml:space="preserve"> </w:t>
            </w:r>
          </w:p>
        </w:tc>
      </w:tr>
    </w:tbl>
    <w:p w:rsidR="006051FD" w:rsidRDefault="006051FD" w14:paraId="0F45B056" w14:textId="77777777"/>
    <w:sectPr w:rsidR="006051FD" w:rsidSect="00AD0A07">
      <w:headerReference w:type="even" r:id="rId12"/>
      <w:headerReference w:type="default" r:id="rId13"/>
      <w:footerReference w:type="even" r:id="rId14"/>
      <w:footerReference w:type="default" r:id="rId15"/>
      <w:headerReference w:type="first" r:id="rId16"/>
      <w:footerReference w:type="first" r:id="rId17"/>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56A0" w14:textId="77777777" w:rsidR="0018568F" w:rsidRDefault="0018568F">
      <w:pPr>
        <w:spacing w:before="0" w:after="0"/>
      </w:pPr>
      <w:r>
        <w:separator/>
      </w:r>
    </w:p>
  </w:endnote>
  <w:endnote w:type="continuationSeparator" w:id="0">
    <w:p w14:paraId="249ADF2C" w14:textId="77777777" w:rsidR="0018568F" w:rsidRDefault="0018568F">
      <w:pPr>
        <w:spacing w:before="0" w:after="0"/>
      </w:pPr>
      <w:r>
        <w:continuationSeparator/>
      </w:r>
    </w:p>
  </w:endnote>
  <w:endnote w:type="continuationNotice" w:id="1">
    <w:p w14:paraId="453F425D" w14:textId="77777777" w:rsidR="00C40A53" w:rsidRDefault="00C40A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DBA3" w14:textId="77777777" w:rsidR="009E4AC6" w:rsidRDefault="009E4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DAFD" w14:textId="5CBA50C3" w:rsidR="006051FD" w:rsidRDefault="001856D0">
    <w:pPr>
      <w:pStyle w:val="Footer"/>
    </w:pPr>
    <w:r>
      <w:t xml:space="preserve">Totaallijst feitelijke vragen Beleidsbrief Buitenlandse Zaken 2026 (onderwerpen op het terrein van Buitenlandse Handel en Ontwikkelingssamenwerking) (36800-V-103)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F560" w14:textId="77777777" w:rsidR="009E4AC6" w:rsidRDefault="009E4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2E2A" w14:textId="77777777" w:rsidR="0018568F" w:rsidRDefault="0018568F">
      <w:pPr>
        <w:spacing w:before="0" w:after="0"/>
      </w:pPr>
      <w:r>
        <w:separator/>
      </w:r>
    </w:p>
  </w:footnote>
  <w:footnote w:type="continuationSeparator" w:id="0">
    <w:p w14:paraId="7F55DDA9" w14:textId="77777777" w:rsidR="0018568F" w:rsidRDefault="0018568F">
      <w:pPr>
        <w:spacing w:before="0" w:after="0"/>
      </w:pPr>
      <w:r>
        <w:continuationSeparator/>
      </w:r>
    </w:p>
  </w:footnote>
  <w:footnote w:type="continuationNotice" w:id="1">
    <w:p w14:paraId="694BD2E2" w14:textId="77777777" w:rsidR="00C40A53" w:rsidRDefault="00C40A53">
      <w:pPr>
        <w:spacing w:before="0" w:after="0"/>
      </w:pPr>
    </w:p>
  </w:footnote>
  <w:footnote w:id="2">
    <w:p w14:paraId="51E8D8C5" w14:textId="26936764" w:rsidR="006B7F0A" w:rsidRPr="000F69D5" w:rsidRDefault="006B7F0A" w:rsidP="006B7F0A">
      <w:pPr>
        <w:pStyle w:val="FootnoteText"/>
        <w:rPr>
          <w:lang w:val="en-US"/>
        </w:rPr>
      </w:pPr>
      <w:r>
        <w:rPr>
          <w:rStyle w:val="FootnoteReference"/>
        </w:rPr>
        <w:footnoteRef/>
      </w:r>
      <w:r w:rsidRPr="000F69D5">
        <w:rPr>
          <w:lang w:val="en-US"/>
        </w:rPr>
        <w:t xml:space="preserve"> </w:t>
      </w:r>
      <w:hyperlink r:id="rId1" w:history="1">
        <w:r w:rsidRPr="000F69D5">
          <w:rPr>
            <w:rStyle w:val="Hyperlink"/>
            <w:lang w:val="en-US"/>
          </w:rPr>
          <w:t>Invest-Int-IESG-brochure-May-2023_compressed-1.pdf</w:t>
        </w:r>
      </w:hyperlink>
      <w:r w:rsidR="00C8106E">
        <w:rPr>
          <w:lang w:val="en-US"/>
        </w:rPr>
        <w:t xml:space="preserve"> </w:t>
      </w:r>
      <w:proofErr w:type="spellStart"/>
      <w:r w:rsidR="00C8106E">
        <w:rPr>
          <w:lang w:val="en-US"/>
        </w:rPr>
        <w:t>en</w:t>
      </w:r>
      <w:proofErr w:type="spellEnd"/>
      <w:r w:rsidR="00C8106E">
        <w:rPr>
          <w:lang w:val="en-US"/>
        </w:rPr>
        <w:t xml:space="preserve"> </w:t>
      </w:r>
      <w:hyperlink r:id="rId2" w:history="1">
        <w:proofErr w:type="spellStart"/>
        <w:r w:rsidR="00C8106E" w:rsidRPr="000F69D5">
          <w:rPr>
            <w:rStyle w:val="Hyperlink"/>
            <w:lang w:val="en-US"/>
          </w:rPr>
          <w:t>cfreport</w:t>
        </w:r>
        <w:proofErr w:type="spellEnd"/>
        <w:r w:rsidR="00C8106E" w:rsidRPr="000F69D5">
          <w:rPr>
            <w:rStyle w:val="Hyperlink"/>
            <w:lang w:val="en-US"/>
          </w:rPr>
          <w:t xml:space="preserve"> - Invest International Annual Report 2025 (1).pdf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723B" w14:textId="77777777" w:rsidR="009E4AC6" w:rsidRDefault="009E4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2D9F" w14:textId="77777777" w:rsidR="009E4AC6" w:rsidRDefault="009E4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4009" w14:textId="77777777" w:rsidR="009E4AC6" w:rsidRDefault="009E4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A3BC4"/>
    <w:multiLevelType w:val="multilevel"/>
    <w:tmpl w:val="F70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3B4AA8"/>
    <w:multiLevelType w:val="hybridMultilevel"/>
    <w:tmpl w:val="564E4D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488204">
    <w:abstractNumId w:val="0"/>
  </w:num>
  <w:num w:numId="2" w16cid:durableId="52147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DE3"/>
    <w:rsid w:val="00007A48"/>
    <w:rsid w:val="00011D40"/>
    <w:rsid w:val="00014B7A"/>
    <w:rsid w:val="000153AF"/>
    <w:rsid w:val="0002394C"/>
    <w:rsid w:val="00024E81"/>
    <w:rsid w:val="000413BA"/>
    <w:rsid w:val="00050858"/>
    <w:rsid w:val="00051F89"/>
    <w:rsid w:val="00055256"/>
    <w:rsid w:val="00056540"/>
    <w:rsid w:val="000577A8"/>
    <w:rsid w:val="00057AEE"/>
    <w:rsid w:val="00066B9F"/>
    <w:rsid w:val="00070EB1"/>
    <w:rsid w:val="000726AF"/>
    <w:rsid w:val="00082714"/>
    <w:rsid w:val="000854DD"/>
    <w:rsid w:val="00086981"/>
    <w:rsid w:val="0008728B"/>
    <w:rsid w:val="00091FDB"/>
    <w:rsid w:val="00095336"/>
    <w:rsid w:val="000B2A9B"/>
    <w:rsid w:val="000B484E"/>
    <w:rsid w:val="000B58A4"/>
    <w:rsid w:val="000C3942"/>
    <w:rsid w:val="000C7CF0"/>
    <w:rsid w:val="000D010F"/>
    <w:rsid w:val="000D361B"/>
    <w:rsid w:val="000E6F7E"/>
    <w:rsid w:val="000F02C4"/>
    <w:rsid w:val="000F69D5"/>
    <w:rsid w:val="000F7B24"/>
    <w:rsid w:val="00100B77"/>
    <w:rsid w:val="00106361"/>
    <w:rsid w:val="00106F9F"/>
    <w:rsid w:val="00121231"/>
    <w:rsid w:val="00124E8A"/>
    <w:rsid w:val="00135F04"/>
    <w:rsid w:val="00137EA4"/>
    <w:rsid w:val="0014262B"/>
    <w:rsid w:val="0014284B"/>
    <w:rsid w:val="00152F96"/>
    <w:rsid w:val="001543CD"/>
    <w:rsid w:val="00161220"/>
    <w:rsid w:val="00163FEC"/>
    <w:rsid w:val="00165298"/>
    <w:rsid w:val="0016620F"/>
    <w:rsid w:val="001726CA"/>
    <w:rsid w:val="0018568F"/>
    <w:rsid w:val="001856D0"/>
    <w:rsid w:val="00192732"/>
    <w:rsid w:val="00193005"/>
    <w:rsid w:val="00195CA6"/>
    <w:rsid w:val="00197DF2"/>
    <w:rsid w:val="001A331E"/>
    <w:rsid w:val="001A47AF"/>
    <w:rsid w:val="001A56AB"/>
    <w:rsid w:val="001A6F65"/>
    <w:rsid w:val="001B3BB6"/>
    <w:rsid w:val="001B3FDD"/>
    <w:rsid w:val="001B5502"/>
    <w:rsid w:val="001B7932"/>
    <w:rsid w:val="001C02B6"/>
    <w:rsid w:val="001C3223"/>
    <w:rsid w:val="001C60C9"/>
    <w:rsid w:val="001C7531"/>
    <w:rsid w:val="001D1197"/>
    <w:rsid w:val="001D2074"/>
    <w:rsid w:val="001D50F8"/>
    <w:rsid w:val="001E25E1"/>
    <w:rsid w:val="001E3FD9"/>
    <w:rsid w:val="001E4E52"/>
    <w:rsid w:val="001E4FE7"/>
    <w:rsid w:val="001F0A04"/>
    <w:rsid w:val="001F384F"/>
    <w:rsid w:val="001F60C4"/>
    <w:rsid w:val="001F63FA"/>
    <w:rsid w:val="00202081"/>
    <w:rsid w:val="0020460F"/>
    <w:rsid w:val="00204ACE"/>
    <w:rsid w:val="00205646"/>
    <w:rsid w:val="00213D96"/>
    <w:rsid w:val="0021705B"/>
    <w:rsid w:val="002266AF"/>
    <w:rsid w:val="00231B7D"/>
    <w:rsid w:val="00234D03"/>
    <w:rsid w:val="00235C0D"/>
    <w:rsid w:val="0024371C"/>
    <w:rsid w:val="002437D2"/>
    <w:rsid w:val="0024427F"/>
    <w:rsid w:val="002524C9"/>
    <w:rsid w:val="00252D76"/>
    <w:rsid w:val="0025592E"/>
    <w:rsid w:val="002559CE"/>
    <w:rsid w:val="002617C4"/>
    <w:rsid w:val="00262BB8"/>
    <w:rsid w:val="002720FB"/>
    <w:rsid w:val="00274576"/>
    <w:rsid w:val="0027757D"/>
    <w:rsid w:val="002823B5"/>
    <w:rsid w:val="0028355F"/>
    <w:rsid w:val="002854BB"/>
    <w:rsid w:val="00290330"/>
    <w:rsid w:val="002B735D"/>
    <w:rsid w:val="002B760C"/>
    <w:rsid w:val="002C168E"/>
    <w:rsid w:val="002C77FE"/>
    <w:rsid w:val="002D0C6D"/>
    <w:rsid w:val="002D385C"/>
    <w:rsid w:val="002D3E02"/>
    <w:rsid w:val="002E00BF"/>
    <w:rsid w:val="002E3E9A"/>
    <w:rsid w:val="002E5883"/>
    <w:rsid w:val="002E7920"/>
    <w:rsid w:val="002F0465"/>
    <w:rsid w:val="002F43F7"/>
    <w:rsid w:val="002F6BBF"/>
    <w:rsid w:val="002F7C50"/>
    <w:rsid w:val="00301CAE"/>
    <w:rsid w:val="003105B5"/>
    <w:rsid w:val="003107F1"/>
    <w:rsid w:val="00312B2F"/>
    <w:rsid w:val="00315EC1"/>
    <w:rsid w:val="00321771"/>
    <w:rsid w:val="00324E3B"/>
    <w:rsid w:val="00324FFB"/>
    <w:rsid w:val="00330F7F"/>
    <w:rsid w:val="00334233"/>
    <w:rsid w:val="003430E9"/>
    <w:rsid w:val="003507D0"/>
    <w:rsid w:val="0035361C"/>
    <w:rsid w:val="00362707"/>
    <w:rsid w:val="00364917"/>
    <w:rsid w:val="003734E2"/>
    <w:rsid w:val="00373F46"/>
    <w:rsid w:val="0038122D"/>
    <w:rsid w:val="00381DFD"/>
    <w:rsid w:val="003820F9"/>
    <w:rsid w:val="0038240D"/>
    <w:rsid w:val="003836B2"/>
    <w:rsid w:val="0038567C"/>
    <w:rsid w:val="00390623"/>
    <w:rsid w:val="00391908"/>
    <w:rsid w:val="003B0E61"/>
    <w:rsid w:val="003B2C4E"/>
    <w:rsid w:val="003B42EA"/>
    <w:rsid w:val="003B6AD1"/>
    <w:rsid w:val="003C3D65"/>
    <w:rsid w:val="003D3E33"/>
    <w:rsid w:val="003D44DD"/>
    <w:rsid w:val="003D4F94"/>
    <w:rsid w:val="003D5AF6"/>
    <w:rsid w:val="003E19EE"/>
    <w:rsid w:val="003E6821"/>
    <w:rsid w:val="003F156F"/>
    <w:rsid w:val="003F1C3F"/>
    <w:rsid w:val="0040244B"/>
    <w:rsid w:val="00406DED"/>
    <w:rsid w:val="004165D2"/>
    <w:rsid w:val="00416C82"/>
    <w:rsid w:val="00416D1C"/>
    <w:rsid w:val="00416D2B"/>
    <w:rsid w:val="004237FC"/>
    <w:rsid w:val="0042521E"/>
    <w:rsid w:val="00427E76"/>
    <w:rsid w:val="00436D28"/>
    <w:rsid w:val="004403EE"/>
    <w:rsid w:val="00441ECF"/>
    <w:rsid w:val="004437CA"/>
    <w:rsid w:val="0044517F"/>
    <w:rsid w:val="00452A28"/>
    <w:rsid w:val="00454970"/>
    <w:rsid w:val="00464F3C"/>
    <w:rsid w:val="004650E2"/>
    <w:rsid w:val="004704B9"/>
    <w:rsid w:val="00472E71"/>
    <w:rsid w:val="00480AC2"/>
    <w:rsid w:val="00482E01"/>
    <w:rsid w:val="00492258"/>
    <w:rsid w:val="00493E30"/>
    <w:rsid w:val="00494753"/>
    <w:rsid w:val="00497680"/>
    <w:rsid w:val="004A15BF"/>
    <w:rsid w:val="004A4656"/>
    <w:rsid w:val="004A5535"/>
    <w:rsid w:val="004B7294"/>
    <w:rsid w:val="004C0B11"/>
    <w:rsid w:val="004C4B80"/>
    <w:rsid w:val="004D023C"/>
    <w:rsid w:val="004D0D65"/>
    <w:rsid w:val="004E389C"/>
    <w:rsid w:val="004E409F"/>
    <w:rsid w:val="004E5BC0"/>
    <w:rsid w:val="004F258E"/>
    <w:rsid w:val="004F621A"/>
    <w:rsid w:val="00503E83"/>
    <w:rsid w:val="0050430D"/>
    <w:rsid w:val="00505A9B"/>
    <w:rsid w:val="005077C5"/>
    <w:rsid w:val="005171C3"/>
    <w:rsid w:val="00517BCD"/>
    <w:rsid w:val="005206BE"/>
    <w:rsid w:val="0052086E"/>
    <w:rsid w:val="005236DF"/>
    <w:rsid w:val="005325EF"/>
    <w:rsid w:val="0053558A"/>
    <w:rsid w:val="00535E23"/>
    <w:rsid w:val="0054188D"/>
    <w:rsid w:val="00547DC2"/>
    <w:rsid w:val="00550256"/>
    <w:rsid w:val="005543A7"/>
    <w:rsid w:val="0055663C"/>
    <w:rsid w:val="005575AC"/>
    <w:rsid w:val="0055780A"/>
    <w:rsid w:val="00574C94"/>
    <w:rsid w:val="0057581C"/>
    <w:rsid w:val="00576C9D"/>
    <w:rsid w:val="00577550"/>
    <w:rsid w:val="00577F49"/>
    <w:rsid w:val="00582041"/>
    <w:rsid w:val="00592E5F"/>
    <w:rsid w:val="00594257"/>
    <w:rsid w:val="00595165"/>
    <w:rsid w:val="00595547"/>
    <w:rsid w:val="005970B8"/>
    <w:rsid w:val="00597BAD"/>
    <w:rsid w:val="005A110E"/>
    <w:rsid w:val="005A3D4E"/>
    <w:rsid w:val="005B1B57"/>
    <w:rsid w:val="005B3510"/>
    <w:rsid w:val="005B3C25"/>
    <w:rsid w:val="005B6CD9"/>
    <w:rsid w:val="005D0D44"/>
    <w:rsid w:val="005D262C"/>
    <w:rsid w:val="005D6DE2"/>
    <w:rsid w:val="005D72CE"/>
    <w:rsid w:val="005E111E"/>
    <w:rsid w:val="005E1CDB"/>
    <w:rsid w:val="005E2F86"/>
    <w:rsid w:val="005E6554"/>
    <w:rsid w:val="005E7EA2"/>
    <w:rsid w:val="005F2762"/>
    <w:rsid w:val="005F4775"/>
    <w:rsid w:val="005F4999"/>
    <w:rsid w:val="005F5F41"/>
    <w:rsid w:val="005F6219"/>
    <w:rsid w:val="00600B5E"/>
    <w:rsid w:val="006026AA"/>
    <w:rsid w:val="00602817"/>
    <w:rsid w:val="006051FD"/>
    <w:rsid w:val="006151C3"/>
    <w:rsid w:val="00615302"/>
    <w:rsid w:val="006179D1"/>
    <w:rsid w:val="0062264A"/>
    <w:rsid w:val="00622EB3"/>
    <w:rsid w:val="006258FF"/>
    <w:rsid w:val="0062680F"/>
    <w:rsid w:val="0063771A"/>
    <w:rsid w:val="00640085"/>
    <w:rsid w:val="00641B93"/>
    <w:rsid w:val="006506FB"/>
    <w:rsid w:val="00657E8A"/>
    <w:rsid w:val="00660E7F"/>
    <w:rsid w:val="0066121B"/>
    <w:rsid w:val="00674033"/>
    <w:rsid w:val="0067484C"/>
    <w:rsid w:val="006775D4"/>
    <w:rsid w:val="00681D01"/>
    <w:rsid w:val="00686224"/>
    <w:rsid w:val="00686DEB"/>
    <w:rsid w:val="00691047"/>
    <w:rsid w:val="0069397B"/>
    <w:rsid w:val="00696DD1"/>
    <w:rsid w:val="00697292"/>
    <w:rsid w:val="006A00CB"/>
    <w:rsid w:val="006A1442"/>
    <w:rsid w:val="006A5DAD"/>
    <w:rsid w:val="006B6CBF"/>
    <w:rsid w:val="006B7F0A"/>
    <w:rsid w:val="006B7F58"/>
    <w:rsid w:val="006C52CF"/>
    <w:rsid w:val="006C626E"/>
    <w:rsid w:val="006D2DF8"/>
    <w:rsid w:val="006D3225"/>
    <w:rsid w:val="006D3BEC"/>
    <w:rsid w:val="006D6140"/>
    <w:rsid w:val="006E2E52"/>
    <w:rsid w:val="006E6F97"/>
    <w:rsid w:val="006E7D80"/>
    <w:rsid w:val="006F1E00"/>
    <w:rsid w:val="006F6181"/>
    <w:rsid w:val="007061E6"/>
    <w:rsid w:val="00707C86"/>
    <w:rsid w:val="00710D29"/>
    <w:rsid w:val="00712A75"/>
    <w:rsid w:val="0071338C"/>
    <w:rsid w:val="0071376A"/>
    <w:rsid w:val="00721495"/>
    <w:rsid w:val="007240B4"/>
    <w:rsid w:val="007277CC"/>
    <w:rsid w:val="00727BD3"/>
    <w:rsid w:val="00727DD8"/>
    <w:rsid w:val="00732944"/>
    <w:rsid w:val="00734CB2"/>
    <w:rsid w:val="00736887"/>
    <w:rsid w:val="00745DAD"/>
    <w:rsid w:val="0074650F"/>
    <w:rsid w:val="00751767"/>
    <w:rsid w:val="00752E23"/>
    <w:rsid w:val="00760C59"/>
    <w:rsid w:val="00761AE4"/>
    <w:rsid w:val="00761E14"/>
    <w:rsid w:val="00763FF0"/>
    <w:rsid w:val="00765A46"/>
    <w:rsid w:val="00767BCB"/>
    <w:rsid w:val="007700F5"/>
    <w:rsid w:val="007702E3"/>
    <w:rsid w:val="00773831"/>
    <w:rsid w:val="00774AFF"/>
    <w:rsid w:val="00776990"/>
    <w:rsid w:val="00780EB8"/>
    <w:rsid w:val="007921D7"/>
    <w:rsid w:val="0079236C"/>
    <w:rsid w:val="007A11E0"/>
    <w:rsid w:val="007B1214"/>
    <w:rsid w:val="007B6091"/>
    <w:rsid w:val="007C21C7"/>
    <w:rsid w:val="007C37A6"/>
    <w:rsid w:val="007C5B50"/>
    <w:rsid w:val="007D7B78"/>
    <w:rsid w:val="007E4CB0"/>
    <w:rsid w:val="007F236F"/>
    <w:rsid w:val="00800D03"/>
    <w:rsid w:val="00803550"/>
    <w:rsid w:val="00805D68"/>
    <w:rsid w:val="00807B5B"/>
    <w:rsid w:val="00824EA6"/>
    <w:rsid w:val="0082562A"/>
    <w:rsid w:val="00827B5E"/>
    <w:rsid w:val="00827D41"/>
    <w:rsid w:val="00832A2D"/>
    <w:rsid w:val="00841E55"/>
    <w:rsid w:val="00845A42"/>
    <w:rsid w:val="00850F1F"/>
    <w:rsid w:val="008518E0"/>
    <w:rsid w:val="00860350"/>
    <w:rsid w:val="008747E5"/>
    <w:rsid w:val="00874DBB"/>
    <w:rsid w:val="00877D50"/>
    <w:rsid w:val="0088478A"/>
    <w:rsid w:val="008859E0"/>
    <w:rsid w:val="00885B90"/>
    <w:rsid w:val="00892AEF"/>
    <w:rsid w:val="00894624"/>
    <w:rsid w:val="00896019"/>
    <w:rsid w:val="00896187"/>
    <w:rsid w:val="00897E1F"/>
    <w:rsid w:val="008A10FE"/>
    <w:rsid w:val="008A30F7"/>
    <w:rsid w:val="008A34CD"/>
    <w:rsid w:val="008A5811"/>
    <w:rsid w:val="008A5A8E"/>
    <w:rsid w:val="008B5926"/>
    <w:rsid w:val="008C2783"/>
    <w:rsid w:val="008F24A9"/>
    <w:rsid w:val="008F5B55"/>
    <w:rsid w:val="00910A6C"/>
    <w:rsid w:val="00913D84"/>
    <w:rsid w:val="0091500A"/>
    <w:rsid w:val="009165B3"/>
    <w:rsid w:val="0092115C"/>
    <w:rsid w:val="00926908"/>
    <w:rsid w:val="00927839"/>
    <w:rsid w:val="009305E4"/>
    <w:rsid w:val="00935B90"/>
    <w:rsid w:val="00937E0E"/>
    <w:rsid w:val="00940B71"/>
    <w:rsid w:val="00941732"/>
    <w:rsid w:val="00943EE7"/>
    <w:rsid w:val="00951DC5"/>
    <w:rsid w:val="0095338F"/>
    <w:rsid w:val="00953EB8"/>
    <w:rsid w:val="0095510D"/>
    <w:rsid w:val="0095742E"/>
    <w:rsid w:val="009605A3"/>
    <w:rsid w:val="00970341"/>
    <w:rsid w:val="00970F2C"/>
    <w:rsid w:val="00972FBB"/>
    <w:rsid w:val="009768DE"/>
    <w:rsid w:val="00976BB5"/>
    <w:rsid w:val="009772F9"/>
    <w:rsid w:val="00985A4C"/>
    <w:rsid w:val="00985F16"/>
    <w:rsid w:val="00986FC4"/>
    <w:rsid w:val="009878F7"/>
    <w:rsid w:val="00990707"/>
    <w:rsid w:val="009946DC"/>
    <w:rsid w:val="0099652C"/>
    <w:rsid w:val="009A116A"/>
    <w:rsid w:val="009A4D6D"/>
    <w:rsid w:val="009A550D"/>
    <w:rsid w:val="009A55F1"/>
    <w:rsid w:val="009A5FB6"/>
    <w:rsid w:val="009C51C6"/>
    <w:rsid w:val="009C60DF"/>
    <w:rsid w:val="009D094B"/>
    <w:rsid w:val="009D0A13"/>
    <w:rsid w:val="009D15E2"/>
    <w:rsid w:val="009D4D04"/>
    <w:rsid w:val="009E4AC6"/>
    <w:rsid w:val="009E4C31"/>
    <w:rsid w:val="009F49C6"/>
    <w:rsid w:val="009F6C93"/>
    <w:rsid w:val="00A05FB4"/>
    <w:rsid w:val="00A11A01"/>
    <w:rsid w:val="00A24256"/>
    <w:rsid w:val="00A24404"/>
    <w:rsid w:val="00A32689"/>
    <w:rsid w:val="00A37114"/>
    <w:rsid w:val="00A45BFC"/>
    <w:rsid w:val="00A46DD2"/>
    <w:rsid w:val="00A5104B"/>
    <w:rsid w:val="00A57256"/>
    <w:rsid w:val="00A57356"/>
    <w:rsid w:val="00A63250"/>
    <w:rsid w:val="00A66B3F"/>
    <w:rsid w:val="00A67EDD"/>
    <w:rsid w:val="00A725C9"/>
    <w:rsid w:val="00A75E54"/>
    <w:rsid w:val="00A77920"/>
    <w:rsid w:val="00A77BD4"/>
    <w:rsid w:val="00A77C3E"/>
    <w:rsid w:val="00A8094C"/>
    <w:rsid w:val="00A9210D"/>
    <w:rsid w:val="00A973B9"/>
    <w:rsid w:val="00AA3348"/>
    <w:rsid w:val="00AA49D7"/>
    <w:rsid w:val="00AA7A16"/>
    <w:rsid w:val="00AB223C"/>
    <w:rsid w:val="00AB78AD"/>
    <w:rsid w:val="00AC1638"/>
    <w:rsid w:val="00AC18A8"/>
    <w:rsid w:val="00AC20AA"/>
    <w:rsid w:val="00AC41EF"/>
    <w:rsid w:val="00AC74CA"/>
    <w:rsid w:val="00AD0372"/>
    <w:rsid w:val="00AD0A07"/>
    <w:rsid w:val="00AE01C9"/>
    <w:rsid w:val="00AE1AF0"/>
    <w:rsid w:val="00AE4EF4"/>
    <w:rsid w:val="00AE535C"/>
    <w:rsid w:val="00AF2251"/>
    <w:rsid w:val="00AF25CD"/>
    <w:rsid w:val="00AF2674"/>
    <w:rsid w:val="00AF4614"/>
    <w:rsid w:val="00AF6052"/>
    <w:rsid w:val="00B019CE"/>
    <w:rsid w:val="00B15453"/>
    <w:rsid w:val="00B16DC8"/>
    <w:rsid w:val="00B25E0B"/>
    <w:rsid w:val="00B308D1"/>
    <w:rsid w:val="00B32908"/>
    <w:rsid w:val="00B32C3F"/>
    <w:rsid w:val="00B40676"/>
    <w:rsid w:val="00B458A0"/>
    <w:rsid w:val="00B45E74"/>
    <w:rsid w:val="00B469DF"/>
    <w:rsid w:val="00B51C50"/>
    <w:rsid w:val="00B523C6"/>
    <w:rsid w:val="00B531C3"/>
    <w:rsid w:val="00B63B9D"/>
    <w:rsid w:val="00B64FCF"/>
    <w:rsid w:val="00B666F6"/>
    <w:rsid w:val="00B671BF"/>
    <w:rsid w:val="00B67CE6"/>
    <w:rsid w:val="00B753B4"/>
    <w:rsid w:val="00B84D34"/>
    <w:rsid w:val="00B85EC8"/>
    <w:rsid w:val="00B915EC"/>
    <w:rsid w:val="00B95F96"/>
    <w:rsid w:val="00BB51DE"/>
    <w:rsid w:val="00BB5E8B"/>
    <w:rsid w:val="00BC2114"/>
    <w:rsid w:val="00BC2763"/>
    <w:rsid w:val="00BC4547"/>
    <w:rsid w:val="00BC4B4F"/>
    <w:rsid w:val="00BC4F6E"/>
    <w:rsid w:val="00BE42BA"/>
    <w:rsid w:val="00BE680E"/>
    <w:rsid w:val="00BF7158"/>
    <w:rsid w:val="00C01E02"/>
    <w:rsid w:val="00C01E88"/>
    <w:rsid w:val="00C03EAB"/>
    <w:rsid w:val="00C04D12"/>
    <w:rsid w:val="00C070DB"/>
    <w:rsid w:val="00C07FCC"/>
    <w:rsid w:val="00C15A1F"/>
    <w:rsid w:val="00C17406"/>
    <w:rsid w:val="00C2136F"/>
    <w:rsid w:val="00C26DF2"/>
    <w:rsid w:val="00C27803"/>
    <w:rsid w:val="00C278FB"/>
    <w:rsid w:val="00C30406"/>
    <w:rsid w:val="00C33761"/>
    <w:rsid w:val="00C40A53"/>
    <w:rsid w:val="00C4342B"/>
    <w:rsid w:val="00C448BF"/>
    <w:rsid w:val="00C52198"/>
    <w:rsid w:val="00C57C0C"/>
    <w:rsid w:val="00C6533D"/>
    <w:rsid w:val="00C737DC"/>
    <w:rsid w:val="00C744EC"/>
    <w:rsid w:val="00C749F3"/>
    <w:rsid w:val="00C74EAA"/>
    <w:rsid w:val="00C76206"/>
    <w:rsid w:val="00C8106E"/>
    <w:rsid w:val="00C848AA"/>
    <w:rsid w:val="00C90B8F"/>
    <w:rsid w:val="00C91E25"/>
    <w:rsid w:val="00C92AE4"/>
    <w:rsid w:val="00CA4981"/>
    <w:rsid w:val="00CA6D64"/>
    <w:rsid w:val="00CA7320"/>
    <w:rsid w:val="00CA73FC"/>
    <w:rsid w:val="00CB37DB"/>
    <w:rsid w:val="00CB3CEB"/>
    <w:rsid w:val="00CC0C3D"/>
    <w:rsid w:val="00CC11BF"/>
    <w:rsid w:val="00CC3D52"/>
    <w:rsid w:val="00CD26AC"/>
    <w:rsid w:val="00CD4D56"/>
    <w:rsid w:val="00CE2F54"/>
    <w:rsid w:val="00CF4528"/>
    <w:rsid w:val="00CF71E8"/>
    <w:rsid w:val="00CF75AA"/>
    <w:rsid w:val="00D03F47"/>
    <w:rsid w:val="00D07892"/>
    <w:rsid w:val="00D12D49"/>
    <w:rsid w:val="00D20F0D"/>
    <w:rsid w:val="00D274DE"/>
    <w:rsid w:val="00D33511"/>
    <w:rsid w:val="00D47B0A"/>
    <w:rsid w:val="00D523B6"/>
    <w:rsid w:val="00D53CE1"/>
    <w:rsid w:val="00D5721F"/>
    <w:rsid w:val="00D57771"/>
    <w:rsid w:val="00D60FFE"/>
    <w:rsid w:val="00D62B88"/>
    <w:rsid w:val="00D7473D"/>
    <w:rsid w:val="00D82BD1"/>
    <w:rsid w:val="00D84368"/>
    <w:rsid w:val="00D84C76"/>
    <w:rsid w:val="00D85B17"/>
    <w:rsid w:val="00D85E0E"/>
    <w:rsid w:val="00D85FD8"/>
    <w:rsid w:val="00D96C54"/>
    <w:rsid w:val="00DA3516"/>
    <w:rsid w:val="00DA52B9"/>
    <w:rsid w:val="00DA6CFE"/>
    <w:rsid w:val="00DB2D5A"/>
    <w:rsid w:val="00DC5AB6"/>
    <w:rsid w:val="00DD4A3A"/>
    <w:rsid w:val="00DD599F"/>
    <w:rsid w:val="00DE0818"/>
    <w:rsid w:val="00DE1292"/>
    <w:rsid w:val="00DE5B60"/>
    <w:rsid w:val="00E02977"/>
    <w:rsid w:val="00E03EF4"/>
    <w:rsid w:val="00E07317"/>
    <w:rsid w:val="00E128C3"/>
    <w:rsid w:val="00E35CBE"/>
    <w:rsid w:val="00E40E29"/>
    <w:rsid w:val="00E4622A"/>
    <w:rsid w:val="00E47217"/>
    <w:rsid w:val="00E52C30"/>
    <w:rsid w:val="00E55EC6"/>
    <w:rsid w:val="00E62727"/>
    <w:rsid w:val="00E6462D"/>
    <w:rsid w:val="00E6506D"/>
    <w:rsid w:val="00E70983"/>
    <w:rsid w:val="00E70B41"/>
    <w:rsid w:val="00E70DE0"/>
    <w:rsid w:val="00E7153D"/>
    <w:rsid w:val="00E71B0E"/>
    <w:rsid w:val="00E832D4"/>
    <w:rsid w:val="00E84ECA"/>
    <w:rsid w:val="00E93D97"/>
    <w:rsid w:val="00E96D33"/>
    <w:rsid w:val="00E970D7"/>
    <w:rsid w:val="00EA507F"/>
    <w:rsid w:val="00EA7707"/>
    <w:rsid w:val="00EA7902"/>
    <w:rsid w:val="00EB059A"/>
    <w:rsid w:val="00EB0CF0"/>
    <w:rsid w:val="00EB14EF"/>
    <w:rsid w:val="00EB4015"/>
    <w:rsid w:val="00EB5245"/>
    <w:rsid w:val="00EB78F8"/>
    <w:rsid w:val="00EC18C9"/>
    <w:rsid w:val="00EC3C71"/>
    <w:rsid w:val="00EC623D"/>
    <w:rsid w:val="00ED0D6E"/>
    <w:rsid w:val="00ED14B2"/>
    <w:rsid w:val="00ED1FC0"/>
    <w:rsid w:val="00EE0C99"/>
    <w:rsid w:val="00EE1B15"/>
    <w:rsid w:val="00EE21BD"/>
    <w:rsid w:val="00EE7277"/>
    <w:rsid w:val="00F10F2D"/>
    <w:rsid w:val="00F13110"/>
    <w:rsid w:val="00F13C1A"/>
    <w:rsid w:val="00F2412D"/>
    <w:rsid w:val="00F4229A"/>
    <w:rsid w:val="00F44A45"/>
    <w:rsid w:val="00F46796"/>
    <w:rsid w:val="00F5490E"/>
    <w:rsid w:val="00F550E1"/>
    <w:rsid w:val="00F56A2B"/>
    <w:rsid w:val="00F66E56"/>
    <w:rsid w:val="00F81260"/>
    <w:rsid w:val="00F859AC"/>
    <w:rsid w:val="00F87373"/>
    <w:rsid w:val="00F9571D"/>
    <w:rsid w:val="00F96D96"/>
    <w:rsid w:val="00F9726F"/>
    <w:rsid w:val="00F97EC8"/>
    <w:rsid w:val="00FA180D"/>
    <w:rsid w:val="00FA28E5"/>
    <w:rsid w:val="00FB2BCF"/>
    <w:rsid w:val="00FB2D58"/>
    <w:rsid w:val="00FB5D30"/>
    <w:rsid w:val="00FB789D"/>
    <w:rsid w:val="00FC1950"/>
    <w:rsid w:val="00FC3AA9"/>
    <w:rsid w:val="00FC3D68"/>
    <w:rsid w:val="00FD050D"/>
    <w:rsid w:val="00FD065E"/>
    <w:rsid w:val="00FD41AA"/>
    <w:rsid w:val="00FE2D4B"/>
    <w:rsid w:val="00FE44CC"/>
    <w:rsid w:val="00FE4D26"/>
    <w:rsid w:val="00FE7242"/>
    <w:rsid w:val="00FF0643"/>
    <w:rsid w:val="00FF4CD3"/>
    <w:rsid w:val="231BE32D"/>
    <w:rsid w:val="77463C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3E13C"/>
  <w15:docId w15:val="{2DBBD9B9-3060-4BD6-8649-E346E0A9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D57771"/>
    <w:rPr>
      <w:color w:val="0000FF"/>
      <w:u w:val="single"/>
    </w:rPr>
  </w:style>
  <w:style w:type="character" w:styleId="CommentReference">
    <w:name w:val="annotation reference"/>
    <w:basedOn w:val="DefaultParagraphFont"/>
    <w:uiPriority w:val="99"/>
    <w:semiHidden/>
    <w:unhideWhenUsed/>
    <w:rsid w:val="00D57771"/>
    <w:rPr>
      <w:sz w:val="16"/>
      <w:szCs w:val="16"/>
    </w:rPr>
  </w:style>
  <w:style w:type="paragraph" w:styleId="CommentText">
    <w:name w:val="annotation text"/>
    <w:basedOn w:val="Normal"/>
    <w:link w:val="CommentTextChar"/>
    <w:uiPriority w:val="99"/>
    <w:unhideWhenUsed/>
    <w:rsid w:val="00D57771"/>
  </w:style>
  <w:style w:type="character" w:customStyle="1" w:styleId="CommentTextChar">
    <w:name w:val="Comment Text Char"/>
    <w:basedOn w:val="DefaultParagraphFont"/>
    <w:link w:val="CommentText"/>
    <w:uiPriority w:val="99"/>
    <w:rsid w:val="00D57771"/>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D57771"/>
    <w:rPr>
      <w:b/>
      <w:bCs/>
    </w:rPr>
  </w:style>
  <w:style w:type="character" w:customStyle="1" w:styleId="CommentSubjectChar">
    <w:name w:val="Comment Subject Char"/>
    <w:basedOn w:val="CommentTextChar"/>
    <w:link w:val="CommentSubject"/>
    <w:uiPriority w:val="99"/>
    <w:semiHidden/>
    <w:rsid w:val="00D57771"/>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503E83"/>
    <w:rPr>
      <w:rFonts w:ascii="Times New Roman" w:eastAsia="Times New Roman" w:hAnsi="Times New Roman" w:cs="Times New Roman"/>
      <w:sz w:val="20"/>
      <w:szCs w:val="20"/>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24FFB"/>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95547"/>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057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7F0A"/>
    <w:pPr>
      <w:spacing w:before="0" w:after="0"/>
    </w:pPr>
  </w:style>
  <w:style w:type="character" w:customStyle="1" w:styleId="FootnoteTextChar">
    <w:name w:val="Footnote Text Char"/>
    <w:basedOn w:val="DefaultParagraphFont"/>
    <w:link w:val="FootnoteText"/>
    <w:uiPriority w:val="99"/>
    <w:semiHidden/>
    <w:rsid w:val="006B7F0A"/>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6B7F0A"/>
    <w:rPr>
      <w:vertAlign w:val="superscript"/>
    </w:rPr>
  </w:style>
  <w:style w:type="character" w:styleId="UnresolvedMention">
    <w:name w:val="Unresolved Mention"/>
    <w:basedOn w:val="DefaultParagraphFont"/>
    <w:uiPriority w:val="99"/>
    <w:semiHidden/>
    <w:unhideWhenUsed/>
    <w:rsid w:val="006B7F0A"/>
    <w:rPr>
      <w:color w:val="605E5C"/>
      <w:shd w:val="clear" w:color="auto" w:fill="E1DFDD"/>
    </w:rPr>
  </w:style>
  <w:style w:type="paragraph" w:styleId="EndnoteText">
    <w:name w:val="endnote text"/>
    <w:basedOn w:val="Normal"/>
    <w:link w:val="EndnoteTextChar"/>
    <w:uiPriority w:val="99"/>
    <w:semiHidden/>
    <w:unhideWhenUsed/>
    <w:rsid w:val="006B7F0A"/>
    <w:pPr>
      <w:spacing w:before="0" w:after="0"/>
    </w:pPr>
  </w:style>
  <w:style w:type="character" w:customStyle="1" w:styleId="EndnoteTextChar">
    <w:name w:val="Endnote Text Char"/>
    <w:basedOn w:val="DefaultParagraphFont"/>
    <w:link w:val="EndnoteText"/>
    <w:uiPriority w:val="99"/>
    <w:semiHidden/>
    <w:rsid w:val="006B7F0A"/>
    <w:rPr>
      <w:rFonts w:ascii="Times New Roman" w:eastAsia="Times New Roman" w:hAnsi="Times New Roman" w:cs="Times New Roman"/>
      <w:sz w:val="20"/>
      <w:szCs w:val="20"/>
      <w:lang w:val="nl-NL" w:eastAsia="nl-NL"/>
    </w:rPr>
  </w:style>
  <w:style w:type="character" w:styleId="EndnoteReference">
    <w:name w:val="endnote reference"/>
    <w:basedOn w:val="DefaultParagraphFont"/>
    <w:uiPriority w:val="99"/>
    <w:semiHidden/>
    <w:unhideWhenUsed/>
    <w:rsid w:val="006B7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94">
      <w:bodyDiv w:val="1"/>
      <w:marLeft w:val="0"/>
      <w:marRight w:val="0"/>
      <w:marTop w:val="0"/>
      <w:marBottom w:val="0"/>
      <w:divBdr>
        <w:top w:val="none" w:sz="0" w:space="0" w:color="auto"/>
        <w:left w:val="none" w:sz="0" w:space="0" w:color="auto"/>
        <w:bottom w:val="none" w:sz="0" w:space="0" w:color="auto"/>
        <w:right w:val="none" w:sz="0" w:space="0" w:color="auto"/>
      </w:divBdr>
    </w:div>
    <w:div w:id="286814244">
      <w:bodyDiv w:val="1"/>
      <w:marLeft w:val="0"/>
      <w:marRight w:val="0"/>
      <w:marTop w:val="0"/>
      <w:marBottom w:val="0"/>
      <w:divBdr>
        <w:top w:val="none" w:sz="0" w:space="0" w:color="auto"/>
        <w:left w:val="none" w:sz="0" w:space="0" w:color="auto"/>
        <w:bottom w:val="none" w:sz="0" w:space="0" w:color="auto"/>
        <w:right w:val="none" w:sz="0" w:space="0" w:color="auto"/>
      </w:divBdr>
    </w:div>
    <w:div w:id="459766811">
      <w:bodyDiv w:val="1"/>
      <w:marLeft w:val="0"/>
      <w:marRight w:val="0"/>
      <w:marTop w:val="0"/>
      <w:marBottom w:val="0"/>
      <w:divBdr>
        <w:top w:val="none" w:sz="0" w:space="0" w:color="auto"/>
        <w:left w:val="none" w:sz="0" w:space="0" w:color="auto"/>
        <w:bottom w:val="none" w:sz="0" w:space="0" w:color="auto"/>
        <w:right w:val="none" w:sz="0" w:space="0" w:color="auto"/>
      </w:divBdr>
    </w:div>
    <w:div w:id="504245186">
      <w:bodyDiv w:val="1"/>
      <w:marLeft w:val="0"/>
      <w:marRight w:val="0"/>
      <w:marTop w:val="0"/>
      <w:marBottom w:val="0"/>
      <w:divBdr>
        <w:top w:val="none" w:sz="0" w:space="0" w:color="auto"/>
        <w:left w:val="none" w:sz="0" w:space="0" w:color="auto"/>
        <w:bottom w:val="none" w:sz="0" w:space="0" w:color="auto"/>
        <w:right w:val="none" w:sz="0" w:space="0" w:color="auto"/>
      </w:divBdr>
    </w:div>
    <w:div w:id="575749480">
      <w:bodyDiv w:val="1"/>
      <w:marLeft w:val="0"/>
      <w:marRight w:val="0"/>
      <w:marTop w:val="0"/>
      <w:marBottom w:val="0"/>
      <w:divBdr>
        <w:top w:val="none" w:sz="0" w:space="0" w:color="auto"/>
        <w:left w:val="none" w:sz="0" w:space="0" w:color="auto"/>
        <w:bottom w:val="none" w:sz="0" w:space="0" w:color="auto"/>
        <w:right w:val="none" w:sz="0" w:space="0" w:color="auto"/>
      </w:divBdr>
    </w:div>
    <w:div w:id="595795056">
      <w:bodyDiv w:val="1"/>
      <w:marLeft w:val="0"/>
      <w:marRight w:val="0"/>
      <w:marTop w:val="0"/>
      <w:marBottom w:val="0"/>
      <w:divBdr>
        <w:top w:val="none" w:sz="0" w:space="0" w:color="auto"/>
        <w:left w:val="none" w:sz="0" w:space="0" w:color="auto"/>
        <w:bottom w:val="none" w:sz="0" w:space="0" w:color="auto"/>
        <w:right w:val="none" w:sz="0" w:space="0" w:color="auto"/>
      </w:divBdr>
    </w:div>
    <w:div w:id="659577339">
      <w:bodyDiv w:val="1"/>
      <w:marLeft w:val="0"/>
      <w:marRight w:val="0"/>
      <w:marTop w:val="0"/>
      <w:marBottom w:val="0"/>
      <w:divBdr>
        <w:top w:val="none" w:sz="0" w:space="0" w:color="auto"/>
        <w:left w:val="none" w:sz="0" w:space="0" w:color="auto"/>
        <w:bottom w:val="none" w:sz="0" w:space="0" w:color="auto"/>
        <w:right w:val="none" w:sz="0" w:space="0" w:color="auto"/>
      </w:divBdr>
    </w:div>
    <w:div w:id="1107894345">
      <w:bodyDiv w:val="1"/>
      <w:marLeft w:val="0"/>
      <w:marRight w:val="0"/>
      <w:marTop w:val="0"/>
      <w:marBottom w:val="0"/>
      <w:divBdr>
        <w:top w:val="none" w:sz="0" w:space="0" w:color="auto"/>
        <w:left w:val="none" w:sz="0" w:space="0" w:color="auto"/>
        <w:bottom w:val="none" w:sz="0" w:space="0" w:color="auto"/>
        <w:right w:val="none" w:sz="0" w:space="0" w:color="auto"/>
      </w:divBdr>
    </w:div>
    <w:div w:id="1150900467">
      <w:bodyDiv w:val="1"/>
      <w:marLeft w:val="0"/>
      <w:marRight w:val="0"/>
      <w:marTop w:val="0"/>
      <w:marBottom w:val="0"/>
      <w:divBdr>
        <w:top w:val="none" w:sz="0" w:space="0" w:color="auto"/>
        <w:left w:val="none" w:sz="0" w:space="0" w:color="auto"/>
        <w:bottom w:val="none" w:sz="0" w:space="0" w:color="auto"/>
        <w:right w:val="none" w:sz="0" w:space="0" w:color="auto"/>
      </w:divBdr>
    </w:div>
    <w:div w:id="1227030732">
      <w:bodyDiv w:val="1"/>
      <w:marLeft w:val="0"/>
      <w:marRight w:val="0"/>
      <w:marTop w:val="0"/>
      <w:marBottom w:val="0"/>
      <w:divBdr>
        <w:top w:val="none" w:sz="0" w:space="0" w:color="auto"/>
        <w:left w:val="none" w:sz="0" w:space="0" w:color="auto"/>
        <w:bottom w:val="none" w:sz="0" w:space="0" w:color="auto"/>
        <w:right w:val="none" w:sz="0" w:space="0" w:color="auto"/>
      </w:divBdr>
    </w:div>
    <w:div w:id="1294172029">
      <w:bodyDiv w:val="1"/>
      <w:marLeft w:val="0"/>
      <w:marRight w:val="0"/>
      <w:marTop w:val="0"/>
      <w:marBottom w:val="0"/>
      <w:divBdr>
        <w:top w:val="none" w:sz="0" w:space="0" w:color="auto"/>
        <w:left w:val="none" w:sz="0" w:space="0" w:color="auto"/>
        <w:bottom w:val="none" w:sz="0" w:space="0" w:color="auto"/>
        <w:right w:val="none" w:sz="0" w:space="0" w:color="auto"/>
      </w:divBdr>
    </w:div>
    <w:div w:id="1363170504">
      <w:bodyDiv w:val="1"/>
      <w:marLeft w:val="0"/>
      <w:marRight w:val="0"/>
      <w:marTop w:val="0"/>
      <w:marBottom w:val="0"/>
      <w:divBdr>
        <w:top w:val="none" w:sz="0" w:space="0" w:color="auto"/>
        <w:left w:val="none" w:sz="0" w:space="0" w:color="auto"/>
        <w:bottom w:val="none" w:sz="0" w:space="0" w:color="auto"/>
        <w:right w:val="none" w:sz="0" w:space="0" w:color="auto"/>
      </w:divBdr>
    </w:div>
    <w:div w:id="1458182749">
      <w:bodyDiv w:val="1"/>
      <w:marLeft w:val="0"/>
      <w:marRight w:val="0"/>
      <w:marTop w:val="0"/>
      <w:marBottom w:val="0"/>
      <w:divBdr>
        <w:top w:val="none" w:sz="0" w:space="0" w:color="auto"/>
        <w:left w:val="none" w:sz="0" w:space="0" w:color="auto"/>
        <w:bottom w:val="none" w:sz="0" w:space="0" w:color="auto"/>
        <w:right w:val="none" w:sz="0" w:space="0" w:color="auto"/>
      </w:divBdr>
    </w:div>
    <w:div w:id="1505362845">
      <w:bodyDiv w:val="1"/>
      <w:marLeft w:val="0"/>
      <w:marRight w:val="0"/>
      <w:marTop w:val="0"/>
      <w:marBottom w:val="0"/>
      <w:divBdr>
        <w:top w:val="none" w:sz="0" w:space="0" w:color="auto"/>
        <w:left w:val="none" w:sz="0" w:space="0" w:color="auto"/>
        <w:bottom w:val="none" w:sz="0" w:space="0" w:color="auto"/>
        <w:right w:val="none" w:sz="0" w:space="0" w:color="auto"/>
      </w:divBdr>
    </w:div>
    <w:div w:id="1507360711">
      <w:bodyDiv w:val="1"/>
      <w:marLeft w:val="0"/>
      <w:marRight w:val="0"/>
      <w:marTop w:val="0"/>
      <w:marBottom w:val="0"/>
      <w:divBdr>
        <w:top w:val="none" w:sz="0" w:space="0" w:color="auto"/>
        <w:left w:val="none" w:sz="0" w:space="0" w:color="auto"/>
        <w:bottom w:val="none" w:sz="0" w:space="0" w:color="auto"/>
        <w:right w:val="none" w:sz="0" w:space="0" w:color="auto"/>
      </w:divBdr>
    </w:div>
    <w:div w:id="1788115396">
      <w:bodyDiv w:val="1"/>
      <w:marLeft w:val="0"/>
      <w:marRight w:val="0"/>
      <w:marTop w:val="0"/>
      <w:marBottom w:val="0"/>
      <w:divBdr>
        <w:top w:val="none" w:sz="0" w:space="0" w:color="auto"/>
        <w:left w:val="none" w:sz="0" w:space="0" w:color="auto"/>
        <w:bottom w:val="none" w:sz="0" w:space="0" w:color="auto"/>
        <w:right w:val="none" w:sz="0" w:space="0" w:color="auto"/>
      </w:divBdr>
    </w:div>
    <w:div w:id="1918438685">
      <w:bodyDiv w:val="1"/>
      <w:marLeft w:val="0"/>
      <w:marRight w:val="0"/>
      <w:marTop w:val="0"/>
      <w:marBottom w:val="0"/>
      <w:divBdr>
        <w:top w:val="none" w:sz="0" w:space="0" w:color="auto"/>
        <w:left w:val="none" w:sz="0" w:space="0" w:color="auto"/>
        <w:bottom w:val="none" w:sz="0" w:space="0" w:color="auto"/>
        <w:right w:val="none" w:sz="0" w:space="0" w:color="auto"/>
      </w:divBdr>
    </w:div>
    <w:div w:id="1962762176">
      <w:bodyDiv w:val="1"/>
      <w:marLeft w:val="0"/>
      <w:marRight w:val="0"/>
      <w:marTop w:val="0"/>
      <w:marBottom w:val="0"/>
      <w:divBdr>
        <w:top w:val="none" w:sz="0" w:space="0" w:color="auto"/>
        <w:left w:val="none" w:sz="0" w:space="0" w:color="auto"/>
        <w:bottom w:val="none" w:sz="0" w:space="0" w:color="auto"/>
        <w:right w:val="none" w:sz="0" w:space="0" w:color="auto"/>
      </w:divBdr>
    </w:div>
    <w:div w:id="2025787682">
      <w:bodyDiv w:val="1"/>
      <w:marLeft w:val="0"/>
      <w:marRight w:val="0"/>
      <w:marTop w:val="0"/>
      <w:marBottom w:val="0"/>
      <w:divBdr>
        <w:top w:val="none" w:sz="0" w:space="0" w:color="auto"/>
        <w:left w:val="none" w:sz="0" w:space="0" w:color="auto"/>
        <w:bottom w:val="none" w:sz="0" w:space="0" w:color="auto"/>
        <w:right w:val="none" w:sz="0" w:space="0" w:color="auto"/>
      </w:divBdr>
    </w:div>
    <w:div w:id="2032149639">
      <w:bodyDiv w:val="1"/>
      <w:marLeft w:val="0"/>
      <w:marRight w:val="0"/>
      <w:marTop w:val="0"/>
      <w:marBottom w:val="0"/>
      <w:divBdr>
        <w:top w:val="none" w:sz="0" w:space="0" w:color="auto"/>
        <w:left w:val="none" w:sz="0" w:space="0" w:color="auto"/>
        <w:bottom w:val="none" w:sz="0" w:space="0" w:color="auto"/>
        <w:right w:val="none" w:sz="0" w:space="0" w:color="auto"/>
      </w:divBdr>
    </w:div>
    <w:div w:id="2131851598">
      <w:bodyDiv w:val="1"/>
      <w:marLeft w:val="0"/>
      <w:marRight w:val="0"/>
      <w:marTop w:val="0"/>
      <w:marBottom w:val="0"/>
      <w:divBdr>
        <w:top w:val="none" w:sz="0" w:space="0" w:color="auto"/>
        <w:left w:val="none" w:sz="0" w:space="0" w:color="auto"/>
        <w:bottom w:val="none" w:sz="0" w:space="0" w:color="auto"/>
        <w:right w:val="none" w:sz="0" w:space="0" w:color="auto"/>
      </w:divBdr>
    </w:div>
    <w:div w:id="2134904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file:///C:/Users/dahbi.ismail/Downloads/cfreport%20-%20Invest%20International%20Annual%20Report%202025%20(1).pdf" TargetMode="External"/><Relationship Id="rId1" Type="http://schemas.openxmlformats.org/officeDocument/2006/relationships/hyperlink" Target="https://investinternational.nl/wp-content/uploads/2023/05/Invest-Int-IESG-brochure-May-2023_compressed-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10</ap:Pages>
  <ap:Words>4355</ap:Words>
  <ap:Characters>23956</ap:Characters>
  <ap:DocSecurity>0</ap:DocSecurity>
  <ap:Lines>199</ap:Lines>
  <ap:Paragraphs>56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28255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2026-06-19T13:46:00.0000000Z</lastPrinted>
  <dcterms:created xsi:type="dcterms:W3CDTF">2026-06-23T08:22:00.0000000Z</dcterms:created>
  <dcterms:modified xsi:type="dcterms:W3CDTF">2026-06-23T08:22:00.0000000Z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0x0101009C7CE436063D44E9BE7DC0259EF7C32F006EB9F9836A634AE58B6169785FD3936F0029DC2512963FB149993F93CA39A28C7E</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87e70a8e-a3af-438c-8ffc-d62bcf08d355</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https://247.plaza.buzaservices.nl/subject/PV-VZ2026022026/BZ2628668/GRT-Regering-BHO-36800-V-103.docx, </vt:lpwstr>
  </property>
  <property fmtid="{D5CDD505-2E9C-101B-9397-08002B2CF9AE}" pid="25" name="_docset_NoMedatataSyncRequired">
    <vt:lpwstr>False</vt:lpwstr>
  </property>
</Properties>
</file>