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66A" w:rsidRDefault="009B566A" w14:paraId="043744FB" w14:textId="77777777"/>
    <w:p w:rsidR="009E508A" w:rsidP="00083B04" w:rsidRDefault="00083B04" w14:paraId="6480E33D" w14:textId="2A1C0387">
      <w:r>
        <w:t>Door uw</w:t>
      </w:r>
      <w:r w:rsidR="009E508A">
        <w:t xml:space="preserve"> Kamer </w:t>
      </w:r>
      <w:r>
        <w:t xml:space="preserve">is </w:t>
      </w:r>
      <w:r w:rsidR="009E508A">
        <w:t>een motie</w:t>
      </w:r>
      <w:r>
        <w:rPr>
          <w:rStyle w:val="Voetnootmarkering"/>
        </w:rPr>
        <w:footnoteReference w:id="1"/>
      </w:r>
      <w:r w:rsidR="009E508A">
        <w:t xml:space="preserve"> aangenomen</w:t>
      </w:r>
      <w:r w:rsidRPr="003F6BB1" w:rsidR="009E508A">
        <w:t xml:space="preserve"> </w:t>
      </w:r>
      <w:r w:rsidR="009E508A">
        <w:t xml:space="preserve">over </w:t>
      </w:r>
      <w:r>
        <w:t xml:space="preserve">de risico’s en problemen die worden ervaren door </w:t>
      </w:r>
      <w:r w:rsidRPr="00083B04">
        <w:t>partijen die niet onder de Archiefwet vallen</w:t>
      </w:r>
      <w:r>
        <w:t xml:space="preserve"> betreffende het mogelijk in strijd handelen met de Algemene </w:t>
      </w:r>
      <w:r w:rsidR="00123BC4">
        <w:t>v</w:t>
      </w:r>
      <w:r>
        <w:t xml:space="preserve">erordening </w:t>
      </w:r>
      <w:r w:rsidR="00123BC4">
        <w:t>g</w:t>
      </w:r>
      <w:r>
        <w:t xml:space="preserve">egevensbescherming (AVG). De motie </w:t>
      </w:r>
      <w:r w:rsidR="00123BC4">
        <w:t>is</w:t>
      </w:r>
      <w:r>
        <w:t xml:space="preserve"> </w:t>
      </w:r>
      <w:r w:rsidR="009E508A">
        <w:t xml:space="preserve">ingediend door het lid </w:t>
      </w:r>
      <w:proofErr w:type="spellStart"/>
      <w:r>
        <w:t>Valize</w:t>
      </w:r>
      <w:proofErr w:type="spellEnd"/>
      <w:r>
        <w:t xml:space="preserve"> </w:t>
      </w:r>
      <w:r w:rsidR="009E508A">
        <w:t>(</w:t>
      </w:r>
      <w:r>
        <w:t>PVV</w:t>
      </w:r>
      <w:r w:rsidR="009E508A">
        <w:t xml:space="preserve">) tijdens </w:t>
      </w:r>
      <w:r>
        <w:t xml:space="preserve">het plenair debat van 15 april 2025 over de </w:t>
      </w:r>
      <w:r w:rsidRPr="00083B04">
        <w:t xml:space="preserve">Wijziging van de Uitvoeringswet Algemene verordening gegevensbescherming </w:t>
      </w:r>
      <w:r w:rsidR="0084587F">
        <w:t xml:space="preserve">(UAVG) </w:t>
      </w:r>
      <w:r w:rsidRPr="00083B04">
        <w:t>en enkele andere wetten in verband met het stroomlijnen en actualiseren van het gegevensbeschermingsrecht (Verzamelwet gegevensbescherming)</w:t>
      </w:r>
      <w:r w:rsidR="009E508A">
        <w:t>. Met deze brief reageer ik op deze motie.</w:t>
      </w:r>
    </w:p>
    <w:p w:rsidR="009E508A" w:rsidP="009E508A" w:rsidRDefault="009E508A" w14:paraId="4B217151" w14:textId="77777777"/>
    <w:p w:rsidRPr="00945DDF" w:rsidR="00791FD9" w:rsidP="00083B04" w:rsidRDefault="00791FD9" w14:paraId="03267184" w14:textId="77777777">
      <w:pPr>
        <w:rPr>
          <w:b/>
          <w:bCs/>
        </w:rPr>
      </w:pPr>
      <w:r w:rsidRPr="00945DDF">
        <w:rPr>
          <w:b/>
          <w:bCs/>
        </w:rPr>
        <w:t>Motie</w:t>
      </w:r>
    </w:p>
    <w:p w:rsidR="009E508A" w:rsidP="00083B04" w:rsidRDefault="009E508A" w14:paraId="3F9A8675" w14:textId="6A9B23DA">
      <w:r>
        <w:t xml:space="preserve">De motie </w:t>
      </w:r>
      <w:r w:rsidRPr="0002656E">
        <w:t xml:space="preserve">verzoekt de regering </w:t>
      </w:r>
      <w:r w:rsidR="00083B04">
        <w:t>om in gesprek te gaan met partijen als heemkundekringen, geschied- en oudheidkundige genootschappen, genealogische</w:t>
      </w:r>
      <w:r w:rsidR="005E76D0">
        <w:t xml:space="preserve"> </w:t>
      </w:r>
      <w:r w:rsidR="00083B04">
        <w:t>genootschappen en dergelijke over de risico’s/problemen die worden</w:t>
      </w:r>
      <w:r w:rsidR="005E76D0">
        <w:t xml:space="preserve"> </w:t>
      </w:r>
      <w:r w:rsidR="00083B04">
        <w:t>ervaren betreffende het mogelijk in strijd handelen met de AVG</w:t>
      </w:r>
      <w:r w:rsidR="003817B6">
        <w:t>.</w:t>
      </w:r>
      <w:r w:rsidR="00EF0D4F">
        <w:t xml:space="preserve"> Daarnaast wordt de regering verzocht </w:t>
      </w:r>
      <w:r w:rsidR="00083B04">
        <w:t xml:space="preserve">om een analyse van deze gesprekken te maken met een voorstel om de </w:t>
      </w:r>
      <w:r w:rsidR="00123BC4">
        <w:t xml:space="preserve">daaruit </w:t>
      </w:r>
      <w:r w:rsidR="00083B04">
        <w:t xml:space="preserve"> voortgekomen knelpunten die raken aan mogelijke overtreding van de AVG op te lossen, en hierover te rapporteren aan de Kamer</w:t>
      </w:r>
      <w:r>
        <w:t>.</w:t>
      </w:r>
    </w:p>
    <w:p w:rsidR="009E508A" w:rsidP="009E508A" w:rsidRDefault="009E508A" w14:paraId="2400548B" w14:textId="77777777"/>
    <w:p w:rsidRPr="008414D0" w:rsidR="00F9769C" w:rsidP="00F9769C" w:rsidRDefault="00F9769C" w14:paraId="198B4405" w14:textId="066D14B8">
      <w:pPr>
        <w:rPr>
          <w:b/>
          <w:bCs/>
        </w:rPr>
      </w:pPr>
      <w:r w:rsidRPr="008414D0">
        <w:rPr>
          <w:b/>
          <w:bCs/>
        </w:rPr>
        <w:t>A</w:t>
      </w:r>
      <w:r w:rsidR="001D09F4">
        <w:rPr>
          <w:b/>
          <w:bCs/>
        </w:rPr>
        <w:t xml:space="preserve">rchivering in het algemeen belang </w:t>
      </w:r>
    </w:p>
    <w:p w:rsidR="001D09F4" w:rsidP="00F9769C" w:rsidRDefault="00F9769C" w14:paraId="47A428E9" w14:textId="679ADFAA">
      <w:r w:rsidRPr="00C90CB9">
        <w:t xml:space="preserve">De AVG </w:t>
      </w:r>
      <w:r w:rsidR="009A5361">
        <w:t>staat in artikel 89</w:t>
      </w:r>
      <w:r w:rsidR="00123BC4">
        <w:t>, derde lid</w:t>
      </w:r>
      <w:r w:rsidR="009A5361">
        <w:t xml:space="preserve"> toe dat </w:t>
      </w:r>
      <w:r w:rsidRPr="00C90CB9">
        <w:t xml:space="preserve">de rechten van betrokkenen </w:t>
      </w:r>
      <w:r w:rsidR="001D09F4">
        <w:t xml:space="preserve">(zoals vermeld in de artikelen 15, 16, 18, eerste lid, onderdeel a, en 20 AVG) </w:t>
      </w:r>
      <w:r w:rsidR="009A5361">
        <w:t xml:space="preserve">worden </w:t>
      </w:r>
      <w:r w:rsidRPr="00C90CB9">
        <w:t>beperkt</w:t>
      </w:r>
      <w:r w:rsidR="00EF0D4F">
        <w:t xml:space="preserve">. Het moet dan wel gaan om </w:t>
      </w:r>
      <w:r w:rsidRPr="00C90CB9">
        <w:t>archivering</w:t>
      </w:r>
      <w:r w:rsidR="009A5361">
        <w:t xml:space="preserve"> in het algemeen belang</w:t>
      </w:r>
      <w:r w:rsidRPr="00C90CB9">
        <w:t xml:space="preserve"> of</w:t>
      </w:r>
      <w:r>
        <w:t xml:space="preserve"> </w:t>
      </w:r>
      <w:r w:rsidRPr="00C90CB9">
        <w:t>voor wetenschappelijk of</w:t>
      </w:r>
      <w:r>
        <w:t xml:space="preserve"> </w:t>
      </w:r>
      <w:r w:rsidRPr="00C90CB9">
        <w:t>historisch onderzoek</w:t>
      </w:r>
      <w:r w:rsidR="00EF0D4F">
        <w:t xml:space="preserve">. Bovendien moet </w:t>
      </w:r>
      <w:r w:rsidRPr="00C90CB9">
        <w:t xml:space="preserve">de archivering </w:t>
      </w:r>
      <w:r w:rsidR="00EF0D4F">
        <w:t>zijn</w:t>
      </w:r>
      <w:r w:rsidRPr="00C90CB9">
        <w:t xml:space="preserve"> onderworpen aan passende waarborgen en </w:t>
      </w:r>
      <w:r w:rsidR="00894A3E">
        <w:t xml:space="preserve">moeten </w:t>
      </w:r>
      <w:r w:rsidRPr="00C90CB9">
        <w:t>er technische en</w:t>
      </w:r>
      <w:r>
        <w:t xml:space="preserve"> </w:t>
      </w:r>
      <w:r w:rsidRPr="00C90CB9">
        <w:t>organisatorische maatregelen getroffen zijn in verband met het beginsel van minimale</w:t>
      </w:r>
      <w:r>
        <w:t xml:space="preserve"> </w:t>
      </w:r>
      <w:r w:rsidRPr="00C90CB9">
        <w:t>gegevensverwerking.</w:t>
      </w:r>
      <w:r>
        <w:t xml:space="preserve"> </w:t>
      </w:r>
    </w:p>
    <w:p w:rsidR="001D09F4" w:rsidP="00F9769C" w:rsidRDefault="001D09F4" w14:paraId="5C9DFB7A" w14:textId="77777777"/>
    <w:p w:rsidRPr="008414D0" w:rsidR="00F9769C" w:rsidP="00FE5FA1" w:rsidRDefault="009A5361" w14:paraId="21A1F4B7" w14:textId="1EFEE841">
      <w:pPr>
        <w:rPr>
          <w:b/>
          <w:bCs/>
        </w:rPr>
      </w:pPr>
      <w:r>
        <w:t xml:space="preserve">In Nederland geeft </w:t>
      </w:r>
      <w:r w:rsidRPr="00C90CB9" w:rsidR="00F9769C">
        <w:t xml:space="preserve">artikel 45 van de UAVG </w:t>
      </w:r>
      <w:r>
        <w:t xml:space="preserve">invulling aan de ruimte die de AVG biedt om op dit gebied nadere regels te stellen. </w:t>
      </w:r>
      <w:r w:rsidR="00FE5FA1">
        <w:t xml:space="preserve">Artikel 45, eerste lid, van de UAVG is </w:t>
      </w:r>
      <w:r w:rsidR="001D09F4">
        <w:t xml:space="preserve">echter alleen </w:t>
      </w:r>
      <w:r w:rsidR="00FE5FA1">
        <w:t xml:space="preserve">van toepassing </w:t>
      </w:r>
      <w:r w:rsidR="001D09F4">
        <w:t>op</w:t>
      </w:r>
      <w:r w:rsidR="00FE5FA1">
        <w:t xml:space="preserve"> archiefcollecties in de zin van de Archiefwet 1995. </w:t>
      </w:r>
      <w:r>
        <w:t xml:space="preserve">Daardoor vallen </w:t>
      </w:r>
      <w:r w:rsidRPr="00C90CB9" w:rsidR="00F9769C">
        <w:t xml:space="preserve">archieven </w:t>
      </w:r>
      <w:r>
        <w:t>anders da</w:t>
      </w:r>
      <w:r w:rsidRPr="00C90CB9" w:rsidR="00F9769C">
        <w:t>n die onder de</w:t>
      </w:r>
      <w:r w:rsidR="00F9769C">
        <w:t xml:space="preserve"> </w:t>
      </w:r>
      <w:r w:rsidRPr="00C90CB9" w:rsidR="00F9769C">
        <w:t>Archief</w:t>
      </w:r>
      <w:r w:rsidR="00F9769C">
        <w:t>w</w:t>
      </w:r>
      <w:r w:rsidRPr="00C90CB9" w:rsidR="00F9769C">
        <w:t>et</w:t>
      </w:r>
      <w:r>
        <w:t>, zoals particuliere archieven, niet onder de bepaling</w:t>
      </w:r>
      <w:r w:rsidRPr="00FE5FA1" w:rsidR="00FE5FA1">
        <w:t xml:space="preserve"> </w:t>
      </w:r>
      <w:r w:rsidRPr="00C90CB9" w:rsidR="00FE5FA1">
        <w:t xml:space="preserve">en </w:t>
      </w:r>
      <w:r w:rsidR="00FE5FA1">
        <w:t>kunnen zij niet de</w:t>
      </w:r>
      <w:r w:rsidRPr="00C90CB9" w:rsidR="00FE5FA1">
        <w:t xml:space="preserve"> rechten van betrokkenen beperken.</w:t>
      </w:r>
      <w:r>
        <w:t xml:space="preserve"> Het gaat hierbij om </w:t>
      </w:r>
      <w:r w:rsidRPr="00C90CB9" w:rsidR="00F9769C">
        <w:t>een brede variëteit aan archieven</w:t>
      </w:r>
      <w:r>
        <w:t xml:space="preserve">, zoals </w:t>
      </w:r>
      <w:r w:rsidRPr="00C90CB9" w:rsidR="00F9769C">
        <w:t>fami</w:t>
      </w:r>
      <w:r>
        <w:t>l</w:t>
      </w:r>
      <w:r w:rsidRPr="00C90CB9" w:rsidR="00F9769C">
        <w:t>iestich</w:t>
      </w:r>
      <w:r w:rsidR="00F9769C">
        <w:t>t</w:t>
      </w:r>
      <w:r w:rsidRPr="00C90CB9" w:rsidR="00F9769C">
        <w:t xml:space="preserve">ingen, </w:t>
      </w:r>
      <w:r>
        <w:t xml:space="preserve">genootschappen </w:t>
      </w:r>
      <w:r w:rsidRPr="00C90CB9" w:rsidR="00F9769C">
        <w:t>en</w:t>
      </w:r>
      <w:r w:rsidR="00F9769C">
        <w:t xml:space="preserve"> </w:t>
      </w:r>
      <w:r w:rsidRPr="00C90CB9" w:rsidR="00F9769C">
        <w:t>musea.</w:t>
      </w:r>
      <w:r w:rsidR="00F9769C">
        <w:t xml:space="preserve"> </w:t>
      </w:r>
    </w:p>
    <w:p w:rsidR="00FE5FA1" w:rsidP="00F9769C" w:rsidRDefault="00FE5FA1" w14:paraId="561A6972" w14:textId="77777777">
      <w:pPr>
        <w:rPr>
          <w:b/>
          <w:bCs/>
        </w:rPr>
      </w:pPr>
    </w:p>
    <w:p w:rsidR="00945DDF" w:rsidP="00F9769C" w:rsidRDefault="00945DDF" w14:paraId="5D19DF3A" w14:textId="77777777">
      <w:pPr>
        <w:rPr>
          <w:b/>
          <w:bCs/>
        </w:rPr>
      </w:pPr>
    </w:p>
    <w:p w:rsidR="00945DDF" w:rsidP="00F9769C" w:rsidRDefault="00945DDF" w14:paraId="3D517D30" w14:textId="77777777">
      <w:pPr>
        <w:rPr>
          <w:b/>
          <w:bCs/>
        </w:rPr>
      </w:pPr>
    </w:p>
    <w:p w:rsidRPr="008414D0" w:rsidR="00F9769C" w:rsidP="00F9769C" w:rsidRDefault="001D09F4" w14:paraId="77686919" w14:textId="2B8F9D40">
      <w:pPr>
        <w:rPr>
          <w:b/>
          <w:bCs/>
        </w:rPr>
      </w:pPr>
      <w:r w:rsidRPr="001D09F4">
        <w:rPr>
          <w:b/>
          <w:bCs/>
        </w:rPr>
        <w:t>Verzamelwet gegevensbescherming</w:t>
      </w:r>
    </w:p>
    <w:p w:rsidR="00F9769C" w:rsidP="00F9769C" w:rsidRDefault="001D09F4" w14:paraId="0FD960A7" w14:textId="7A83DB36">
      <w:r>
        <w:t>In het wetsvoorstel wordt a</w:t>
      </w:r>
      <w:r w:rsidR="00F9769C">
        <w:t xml:space="preserve">rtikel 45, eerste lid, </w:t>
      </w:r>
      <w:r>
        <w:t xml:space="preserve">UAVG zo gewijzigd, dat </w:t>
      </w:r>
      <w:r w:rsidR="00214326">
        <w:t xml:space="preserve">de daarin </w:t>
      </w:r>
      <w:r w:rsidRPr="00214326" w:rsidR="00214326">
        <w:t xml:space="preserve">geregelde uitzondering voor archiefbewaarplaatsen om rechten van betrokkenen te moeten honoreren </w:t>
      </w:r>
      <w:r w:rsidR="00214326">
        <w:t xml:space="preserve">ook kan </w:t>
      </w:r>
      <w:r>
        <w:t>word</w:t>
      </w:r>
      <w:r w:rsidR="001026AE">
        <w:t>e</w:t>
      </w:r>
      <w:r>
        <w:t xml:space="preserve">n beperkt </w:t>
      </w:r>
      <w:r w:rsidRPr="00051A1F" w:rsidR="00214326">
        <w:rPr>
          <w:color w:val="auto"/>
        </w:rPr>
        <w:t>door andere</w:t>
      </w:r>
      <w:r w:rsidR="00123BC4">
        <w:rPr>
          <w:color w:val="auto"/>
        </w:rPr>
        <w:t>, voor</w:t>
      </w:r>
      <w:r w:rsidRPr="00051A1F" w:rsidR="00214326">
        <w:rPr>
          <w:color w:val="auto"/>
        </w:rPr>
        <w:t xml:space="preserve"> het publiek toegankelijke instellingen die archieven van blijvende waarde voor het algemeen en</w:t>
      </w:r>
      <w:r w:rsidR="00123BC4">
        <w:rPr>
          <w:color w:val="auto"/>
        </w:rPr>
        <w:t>/of</w:t>
      </w:r>
      <w:r w:rsidRPr="00051A1F" w:rsidR="00214326">
        <w:rPr>
          <w:color w:val="auto"/>
        </w:rPr>
        <w:t xml:space="preserve"> historisch belang beheren en die geen winstoogmerk hebben. </w:t>
      </w:r>
      <w:bookmarkStart w:name="_Hlk224037996" w:id="0"/>
      <w:r w:rsidRPr="00051A1F" w:rsidR="00F9769C">
        <w:rPr>
          <w:color w:val="auto"/>
        </w:rPr>
        <w:t xml:space="preserve">Er zijn </w:t>
      </w:r>
      <w:r w:rsidRPr="00051A1F" w:rsidR="00214326">
        <w:rPr>
          <w:color w:val="auto"/>
        </w:rPr>
        <w:t xml:space="preserve">immers, zoals in de onderhavige motie terecht wordt benadrukt, tal van </w:t>
      </w:r>
      <w:r w:rsidRPr="00051A1F" w:rsidR="00F9769C">
        <w:rPr>
          <w:color w:val="auto"/>
        </w:rPr>
        <w:t xml:space="preserve">instellingen die </w:t>
      </w:r>
      <w:r w:rsidRPr="00051A1F" w:rsidR="00214326">
        <w:rPr>
          <w:color w:val="auto"/>
        </w:rPr>
        <w:t xml:space="preserve">weliswaar niet vallen onder de </w:t>
      </w:r>
      <w:r w:rsidRPr="00051A1F" w:rsidR="00F9769C">
        <w:rPr>
          <w:color w:val="auto"/>
        </w:rPr>
        <w:t xml:space="preserve">Archiefwet, maar die </w:t>
      </w:r>
      <w:r w:rsidRPr="00051A1F" w:rsidR="00214326">
        <w:rPr>
          <w:color w:val="auto"/>
        </w:rPr>
        <w:t xml:space="preserve">wel </w:t>
      </w:r>
      <w:r w:rsidRPr="00051A1F" w:rsidR="00F9769C">
        <w:rPr>
          <w:color w:val="auto"/>
        </w:rPr>
        <w:t xml:space="preserve">archieven </w:t>
      </w:r>
      <w:r w:rsidRPr="00051A1F" w:rsidR="00214326">
        <w:rPr>
          <w:color w:val="auto"/>
        </w:rPr>
        <w:t xml:space="preserve">van </w:t>
      </w:r>
      <w:r w:rsidRPr="00051A1F" w:rsidR="00F9769C">
        <w:rPr>
          <w:color w:val="auto"/>
        </w:rPr>
        <w:t>algemeen en</w:t>
      </w:r>
      <w:r w:rsidRPr="00051A1F" w:rsidR="00214326">
        <w:rPr>
          <w:color w:val="auto"/>
        </w:rPr>
        <w:t>/of</w:t>
      </w:r>
      <w:r w:rsidRPr="00051A1F" w:rsidR="00F9769C">
        <w:rPr>
          <w:color w:val="auto"/>
        </w:rPr>
        <w:t xml:space="preserve"> historisch belang beheren. </w:t>
      </w:r>
      <w:r w:rsidRPr="00051A1F" w:rsidR="00021556">
        <w:rPr>
          <w:color w:val="auto"/>
        </w:rPr>
        <w:t xml:space="preserve">Om te voorkomen dat dergelijke </w:t>
      </w:r>
      <w:r w:rsidRPr="00051A1F" w:rsidR="00F9769C">
        <w:rPr>
          <w:color w:val="auto"/>
        </w:rPr>
        <w:t xml:space="preserve">instellingen </w:t>
      </w:r>
      <w:r w:rsidRPr="00051A1F" w:rsidR="00021556">
        <w:rPr>
          <w:color w:val="auto"/>
        </w:rPr>
        <w:t xml:space="preserve">bijvoorbeeld als gevolg van </w:t>
      </w:r>
      <w:r w:rsidRPr="00051A1F" w:rsidR="00F9769C">
        <w:rPr>
          <w:color w:val="auto"/>
        </w:rPr>
        <w:t xml:space="preserve">verzoeken tot vernietiging waardevolle gegevens verloren </w:t>
      </w:r>
      <w:r w:rsidRPr="00051A1F" w:rsidR="00021556">
        <w:rPr>
          <w:color w:val="auto"/>
        </w:rPr>
        <w:t xml:space="preserve">zouden moeten laten </w:t>
      </w:r>
      <w:r w:rsidRPr="00051A1F" w:rsidR="00F9769C">
        <w:rPr>
          <w:color w:val="auto"/>
        </w:rPr>
        <w:t>gaan</w:t>
      </w:r>
      <w:r w:rsidRPr="00051A1F" w:rsidR="00021556">
        <w:rPr>
          <w:color w:val="auto"/>
        </w:rPr>
        <w:t xml:space="preserve">, </w:t>
      </w:r>
      <w:r w:rsidR="00B83142">
        <w:rPr>
          <w:color w:val="auto"/>
        </w:rPr>
        <w:t>is</w:t>
      </w:r>
      <w:r w:rsidRPr="00051A1F" w:rsidR="00F9769C">
        <w:rPr>
          <w:color w:val="auto"/>
        </w:rPr>
        <w:t xml:space="preserve"> artikel 45 UAVG </w:t>
      </w:r>
      <w:r w:rsidRPr="00051A1F" w:rsidR="00021556">
        <w:rPr>
          <w:color w:val="auto"/>
        </w:rPr>
        <w:t xml:space="preserve">in de hiervoor genoemde zin </w:t>
      </w:r>
      <w:r w:rsidR="00B83142">
        <w:rPr>
          <w:color w:val="auto"/>
        </w:rPr>
        <w:t>gewijzigd</w:t>
      </w:r>
      <w:r w:rsidRPr="00051A1F" w:rsidR="00021556">
        <w:rPr>
          <w:color w:val="auto"/>
        </w:rPr>
        <w:t xml:space="preserve">. Wel </w:t>
      </w:r>
      <w:r w:rsidR="00B83142">
        <w:rPr>
          <w:color w:val="auto"/>
        </w:rPr>
        <w:t>is</w:t>
      </w:r>
      <w:r w:rsidRPr="00051A1F" w:rsidR="00021556">
        <w:rPr>
          <w:color w:val="auto"/>
        </w:rPr>
        <w:t xml:space="preserve"> </w:t>
      </w:r>
      <w:r w:rsidRPr="00051A1F" w:rsidR="00F9769C">
        <w:rPr>
          <w:color w:val="auto"/>
        </w:rPr>
        <w:t>de reikwijdte beperkt tot instellingen die in hoofdzaak door de overheid worden bekostigd, of een bestuur hebben dat merendeels bestaat uit leden die door de overheid zijn aangewezen</w:t>
      </w:r>
      <w:r w:rsidRPr="00051A1F" w:rsidR="00021556">
        <w:rPr>
          <w:color w:val="auto"/>
        </w:rPr>
        <w:t xml:space="preserve">, zodat zeker is dat </w:t>
      </w:r>
      <w:r w:rsidRPr="00051A1F" w:rsidR="00F9769C">
        <w:rPr>
          <w:color w:val="auto"/>
        </w:rPr>
        <w:t xml:space="preserve">sprake is van een algemeen belang. </w:t>
      </w:r>
      <w:r w:rsidR="00123BC4">
        <w:rPr>
          <w:color w:val="auto"/>
        </w:rPr>
        <w:t>Voor</w:t>
      </w:r>
      <w:r w:rsidRPr="00051A1F" w:rsidR="00123BC4">
        <w:rPr>
          <w:color w:val="auto"/>
        </w:rPr>
        <w:t xml:space="preserve"> </w:t>
      </w:r>
      <w:r w:rsidRPr="00051A1F" w:rsidR="00021556">
        <w:rPr>
          <w:color w:val="auto"/>
        </w:rPr>
        <w:t>deze afbakening is geko</w:t>
      </w:r>
      <w:r w:rsidR="00123BC4">
        <w:rPr>
          <w:color w:val="auto"/>
        </w:rPr>
        <w:t>zen</w:t>
      </w:r>
      <w:r w:rsidRPr="00051A1F" w:rsidR="00021556">
        <w:rPr>
          <w:color w:val="auto"/>
        </w:rPr>
        <w:t xml:space="preserve"> naar aanleiding van advies van de Autoriteit Persoonsgegevens</w:t>
      </w:r>
      <w:r w:rsidRPr="00051A1F" w:rsidR="00021556">
        <w:rPr>
          <w:rStyle w:val="Voetnootmarkering"/>
          <w:color w:val="auto"/>
        </w:rPr>
        <w:footnoteReference w:id="2"/>
      </w:r>
      <w:r w:rsidR="00BD1399">
        <w:rPr>
          <w:color w:val="auto"/>
        </w:rPr>
        <w:t xml:space="preserve"> (AP)</w:t>
      </w:r>
      <w:r w:rsidRPr="00051A1F" w:rsidR="00021556">
        <w:rPr>
          <w:color w:val="auto"/>
        </w:rPr>
        <w:t>, waarin zij waarschuwde dat – kort gezegd – een te ruime definitie ertoe zou kunnen leiden dat iedereen in beginsel kan cl</w:t>
      </w:r>
      <w:r w:rsidRPr="00C90CB9" w:rsidR="00021556">
        <w:t>aimen een archief</w:t>
      </w:r>
      <w:r w:rsidR="00021556">
        <w:t xml:space="preserve"> </w:t>
      </w:r>
      <w:r w:rsidRPr="00C90CB9" w:rsidR="00021556">
        <w:t>van algemeen belang te</w:t>
      </w:r>
      <w:r w:rsidR="00021556">
        <w:t xml:space="preserve"> </w:t>
      </w:r>
      <w:r w:rsidRPr="00C90CB9" w:rsidR="00021556">
        <w:t>beheren en in dat verband rechten van betrokkenen te beperken. Of er voldoende algemeen belang met het</w:t>
      </w:r>
      <w:r w:rsidR="00021556">
        <w:t xml:space="preserve"> </w:t>
      </w:r>
      <w:r w:rsidRPr="00C90CB9" w:rsidR="00021556">
        <w:t>archief</w:t>
      </w:r>
      <w:r w:rsidR="00021556">
        <w:t xml:space="preserve"> </w:t>
      </w:r>
      <w:r w:rsidRPr="00C90CB9" w:rsidR="00021556">
        <w:t>gemoeid is staat dan niet vast</w:t>
      </w:r>
      <w:r w:rsidR="00123BC4">
        <w:t xml:space="preserve"> en kan zelfs leiden tot</w:t>
      </w:r>
      <w:r w:rsidRPr="00C90CB9" w:rsidR="00123BC4">
        <w:t xml:space="preserve"> </w:t>
      </w:r>
      <w:r w:rsidRPr="00C90CB9" w:rsidR="00021556">
        <w:t>mogelijk</w:t>
      </w:r>
      <w:r w:rsidR="00123BC4">
        <w:t>e</w:t>
      </w:r>
      <w:r w:rsidRPr="00C90CB9" w:rsidR="00021556">
        <w:t xml:space="preserve"> risico’s op misbruik.</w:t>
      </w:r>
      <w:bookmarkEnd w:id="0"/>
    </w:p>
    <w:p w:rsidR="0090564C" w:rsidP="00F9769C" w:rsidRDefault="0090564C" w14:paraId="3DD93FFD" w14:textId="34D068BA">
      <w:r>
        <w:t>Het wetsvoorstel Verzamelwet gegevensbescherming is op 20 mei 2025 bij ruime meerderheid door uw Kamer aangenomen</w:t>
      </w:r>
      <w:r w:rsidR="00B56873">
        <w:t xml:space="preserve"> en door d</w:t>
      </w:r>
      <w:r w:rsidRPr="00B56873" w:rsidR="00B56873">
        <w:t xml:space="preserve">e Eerste Kamer op 9 juni 2026 als </w:t>
      </w:r>
      <w:hyperlink w:history="1" r:id="rId9">
        <w:r w:rsidRPr="00B56873" w:rsidR="00B56873">
          <w:rPr>
            <w:rStyle w:val="Hyperlink"/>
          </w:rPr>
          <w:t>hamerstuk</w:t>
        </w:r>
      </w:hyperlink>
      <w:r w:rsidRPr="00B56873" w:rsidR="00B56873">
        <w:t xml:space="preserve"> afgedaan.</w:t>
      </w:r>
      <w:r>
        <w:t xml:space="preserve"> Afhankelijk van hoe de ervaringen met het herziene artikel 45 UAVG in de praktijk zullen zijn, kan deze bepaling op enig moment </w:t>
      </w:r>
      <w:r w:rsidR="0084587F">
        <w:t xml:space="preserve">mogelijk </w:t>
      </w:r>
      <w:r>
        <w:t>worden herzien. Ik acht het nu, nog voor de inwerkingtreding van de Verzamelwet</w:t>
      </w:r>
      <w:r w:rsidR="00894A3E">
        <w:t xml:space="preserve"> en gezien eerdergenoemde advies van de AP</w:t>
      </w:r>
      <w:r>
        <w:t xml:space="preserve">, te vroeg </w:t>
      </w:r>
      <w:r w:rsidR="0084587F">
        <w:t xml:space="preserve">om daarop </w:t>
      </w:r>
      <w:r w:rsidR="0005289F">
        <w:t>vooruit te lop</w:t>
      </w:r>
      <w:r w:rsidR="0084587F">
        <w:t>en</w:t>
      </w:r>
      <w:r>
        <w:t xml:space="preserve">. </w:t>
      </w:r>
    </w:p>
    <w:p w:rsidR="00021556" w:rsidP="00F9769C" w:rsidRDefault="00021556" w14:paraId="68BB7945" w14:textId="77777777"/>
    <w:p w:rsidRPr="00E665DE" w:rsidR="00021556" w:rsidP="00F9769C" w:rsidRDefault="00021556" w14:paraId="35A32146" w14:textId="59743F37">
      <w:pPr>
        <w:rPr>
          <w:b/>
          <w:bCs/>
        </w:rPr>
      </w:pPr>
      <w:r w:rsidRPr="00E665DE">
        <w:rPr>
          <w:b/>
          <w:bCs/>
        </w:rPr>
        <w:t>Gesprekken met belanghebbenden</w:t>
      </w:r>
    </w:p>
    <w:p w:rsidR="00051A1F" w:rsidP="00F53B91" w:rsidRDefault="00791FD9" w14:paraId="5798EA3A" w14:textId="6533496D">
      <w:r>
        <w:t xml:space="preserve">Overeenkomstig de oproep van de motie heeft mijn departement gesprekken gevoerd met belanghebbende partijen. </w:t>
      </w:r>
      <w:r w:rsidR="003F57BB">
        <w:t>Hoewel een verbreding van de reikwijdte van artikel 45 UAVG zou worden toegejuicht</w:t>
      </w:r>
      <w:r w:rsidR="003F57BB">
        <w:rPr>
          <w:rStyle w:val="Voetnootmarkering"/>
        </w:rPr>
        <w:footnoteReference w:id="3"/>
      </w:r>
      <w:r w:rsidR="003F57BB">
        <w:t>, is h</w:t>
      </w:r>
      <w:r w:rsidR="000F6DFD">
        <w:t>et beeld overwegend dat de AVG niet als een groot probleem wordt ervaren.</w:t>
      </w:r>
      <w:r w:rsidR="00945DDF">
        <w:t xml:space="preserve"> De meeste partijen zijn op de hoogte van de beginselen en voorwaarden uit de AVG en hebben hun processen daarop ingericht, zodat zij daarmee in overeenstemming handelen. </w:t>
      </w:r>
    </w:p>
    <w:p w:rsidR="00051A1F" w:rsidP="00F53B91" w:rsidRDefault="00051A1F" w14:paraId="691C581D" w14:textId="77777777"/>
    <w:p w:rsidR="00EA0041" w:rsidP="00F53B91" w:rsidRDefault="0090564C" w14:paraId="6878F5BD" w14:textId="7E77BDE8">
      <w:r>
        <w:t>V</w:t>
      </w:r>
      <w:r w:rsidR="00D87B77">
        <w:t xml:space="preserve">oor de verwerking van </w:t>
      </w:r>
      <w:r>
        <w:t xml:space="preserve">persoonsgegevens kan </w:t>
      </w:r>
      <w:r w:rsidR="00D87B77">
        <w:t xml:space="preserve">in de regel een grondslag </w:t>
      </w:r>
      <w:r w:rsidR="00123BC4">
        <w:t xml:space="preserve">worden </w:t>
      </w:r>
      <w:r w:rsidR="00D87B77">
        <w:t>gevonden in a</w:t>
      </w:r>
      <w:r w:rsidRPr="00D959F0" w:rsidR="00D87B77">
        <w:t>rtikel 6, eerste lid, onderdeel f</w:t>
      </w:r>
      <w:r w:rsidR="00D87B77">
        <w:t xml:space="preserve"> AVG (gerechtvaardigd belang)</w:t>
      </w:r>
      <w:r w:rsidR="00F53B91">
        <w:rPr>
          <w:rStyle w:val="Voetnootmarkering"/>
        </w:rPr>
        <w:footnoteReference w:id="4"/>
      </w:r>
      <w:r w:rsidRPr="00D959F0" w:rsidR="00F53B91">
        <w:t>.</w:t>
      </w:r>
      <w:r w:rsidR="00F53B91">
        <w:t xml:space="preserve"> Hierbij dient wel te allen tijde de afweging te worden gemaakt of </w:t>
      </w:r>
      <w:r w:rsidRPr="00D959F0" w:rsidR="00D87B77">
        <w:t xml:space="preserve">de belangen of de grondrechten en de fundamentele vrijheden van </w:t>
      </w:r>
      <w:r w:rsidR="00123BC4">
        <w:t xml:space="preserve">betrokkene </w:t>
      </w:r>
      <w:r w:rsidRPr="00D959F0" w:rsidR="00D87B77">
        <w:t>niet zwaarder wegen dan het gerechtvaardigde belang van de verwerkingsverantwoordelijke of van een derde</w:t>
      </w:r>
      <w:r w:rsidR="00F53B91">
        <w:t xml:space="preserve">. Dat </w:t>
      </w:r>
      <w:r w:rsidR="00D87B77">
        <w:t xml:space="preserve">vergt een </w:t>
      </w:r>
      <w:r w:rsidRPr="00D959F0" w:rsidR="00D87B77">
        <w:t xml:space="preserve">afweging van de rechten en belangen </w:t>
      </w:r>
      <w:r w:rsidR="00D87B77">
        <w:t>aan de hand</w:t>
      </w:r>
      <w:r w:rsidRPr="00D959F0" w:rsidR="00D87B77">
        <w:t xml:space="preserve"> van de omstandigheden van het concrete geval</w:t>
      </w:r>
      <w:r w:rsidR="00F53B91">
        <w:t xml:space="preserve">, waarbij </w:t>
      </w:r>
      <w:r w:rsidRPr="00E90193" w:rsidR="00D87B77">
        <w:t>de omvang van de verwerking en de gevolgen ervan voor de persoon</w:t>
      </w:r>
      <w:r w:rsidR="00F53B91">
        <w:t xml:space="preserve"> in kwestie een belangrijke rol spelen. </w:t>
      </w:r>
    </w:p>
    <w:p w:rsidR="00E665DE" w:rsidP="00F53B91" w:rsidRDefault="00D87B77" w14:paraId="6E1844D0" w14:textId="1BF7F27C">
      <w:r>
        <w:t>Zo</w:t>
      </w:r>
      <w:r w:rsidR="00F53B91">
        <w:t xml:space="preserve"> moet elke historische of archiefinstelling </w:t>
      </w:r>
      <w:r>
        <w:t>r</w:t>
      </w:r>
      <w:r w:rsidRPr="00D200C6">
        <w:t>ekening houden met de impact van de verwerking op de specifieke situatie van de betrokkene</w:t>
      </w:r>
      <w:r w:rsidR="00F53B91">
        <w:rPr>
          <w:rStyle w:val="Voetnootmarkering"/>
        </w:rPr>
        <w:footnoteReference w:id="5"/>
      </w:r>
      <w:r w:rsidRPr="00D200C6">
        <w:t xml:space="preserve">. </w:t>
      </w:r>
      <w:r w:rsidR="003F57BB">
        <w:t xml:space="preserve">De AP geeft voor de toepassing </w:t>
      </w:r>
      <w:r w:rsidR="00123BC4">
        <w:t xml:space="preserve">hiervan </w:t>
      </w:r>
      <w:r w:rsidR="003F57BB">
        <w:t>op haar website ook nog enkele handvatten</w:t>
      </w:r>
      <w:r w:rsidR="003F57BB">
        <w:rPr>
          <w:rStyle w:val="Voetnootmarkering"/>
        </w:rPr>
        <w:footnoteReference w:id="6"/>
      </w:r>
      <w:r w:rsidR="003F57BB">
        <w:t>.</w:t>
      </w:r>
    </w:p>
    <w:p w:rsidR="008B090C" w:rsidP="00F53B91" w:rsidRDefault="008B090C" w14:paraId="4B6DADF0" w14:textId="77777777"/>
    <w:p w:rsidR="007031E0" w:rsidP="00945DDF" w:rsidRDefault="007E2FBD" w14:paraId="44D68D8B" w14:textId="20A9E627">
      <w:r>
        <w:t xml:space="preserve">Daarnaast is van belang dat artikel 45 UAVG (‘archivering in het algemeen belang’) niet de enige bepaling is die op de in </w:t>
      </w:r>
      <w:r w:rsidR="00123BC4">
        <w:t xml:space="preserve">de </w:t>
      </w:r>
      <w:r>
        <w:t>motie genoemde partijen “als heemkundekringen, geschied- en oudheidkundige genootschappen, genealogische</w:t>
      </w:r>
      <w:r w:rsidR="00535080">
        <w:t xml:space="preserve"> </w:t>
      </w:r>
      <w:r>
        <w:t xml:space="preserve">genootschappen en dergelijke” van toepassing is. Wanneer een partij nastreeft om </w:t>
      </w:r>
      <w:r w:rsidRPr="007E2FBD">
        <w:t>vanuit historisch</w:t>
      </w:r>
      <w:r w:rsidR="00535080">
        <w:t xml:space="preserve"> en/of </w:t>
      </w:r>
      <w:r w:rsidRPr="007E2FBD">
        <w:t xml:space="preserve">genealogisch oogpunt objectieve informatie </w:t>
      </w:r>
      <w:r>
        <w:t xml:space="preserve">te verkrijgen, kan daarmee </w:t>
      </w:r>
      <w:r w:rsidR="007031E0">
        <w:t xml:space="preserve">als </w:t>
      </w:r>
      <w:r>
        <w:t xml:space="preserve">gerechtvaardigd </w:t>
      </w:r>
      <w:r w:rsidRPr="007E2FBD">
        <w:t xml:space="preserve">maatschappelijk belang ook een </w:t>
      </w:r>
      <w:r w:rsidR="007031E0">
        <w:t xml:space="preserve">onderzoeksdoel </w:t>
      </w:r>
      <w:r w:rsidRPr="007E2FBD">
        <w:t xml:space="preserve">zijn gemoeid. </w:t>
      </w:r>
      <w:r>
        <w:t xml:space="preserve">In zulke gevallen kan </w:t>
      </w:r>
      <w:r w:rsidRPr="007E2FBD">
        <w:t>de uitzondering van artikel 43, tweede lid, onder c UAVG</w:t>
      </w:r>
      <w:r>
        <w:t xml:space="preserve"> (‘</w:t>
      </w:r>
      <w:r w:rsidRPr="007E2FBD">
        <w:t>Uitzonderingen inzake journalistieke doeleinden of academische, artistieke of literaire uitdrukkingsvormen</w:t>
      </w:r>
      <w:r>
        <w:t>’) van toepassing zijn</w:t>
      </w:r>
      <w:r w:rsidRPr="007E2FBD">
        <w:t xml:space="preserve">. </w:t>
      </w:r>
      <w:r>
        <w:t xml:space="preserve">Diverse bepalingen uit de AVG </w:t>
      </w:r>
      <w:r w:rsidR="00945DDF">
        <w:t xml:space="preserve">zijn dan </w:t>
      </w:r>
      <w:r w:rsidRPr="00945DDF" w:rsidR="00945DDF">
        <w:t>niet van toepassing op de verwerking van persoonsgegevens voor</w:t>
      </w:r>
      <w:r w:rsidR="00945DDF">
        <w:t xml:space="preserve"> de genoemde doeleinden, zoals bijvoorbeeld het verbod op de verwerking van </w:t>
      </w:r>
      <w:r w:rsidR="00D87B77">
        <w:t>bijzondere persoonsgegevens</w:t>
      </w:r>
      <w:r w:rsidR="00945DDF">
        <w:t>.</w:t>
      </w:r>
    </w:p>
    <w:p w:rsidR="008B090C" w:rsidP="007031E0" w:rsidRDefault="008B090C" w14:paraId="2EF537B2" w14:textId="77777777"/>
    <w:p w:rsidR="007031E0" w:rsidP="007031E0" w:rsidRDefault="0090564C" w14:paraId="1A6FEEA9" w14:textId="70E8D30B">
      <w:r>
        <w:t xml:space="preserve">Ten slotte </w:t>
      </w:r>
      <w:r w:rsidR="007031E0">
        <w:t xml:space="preserve">voorziet artikel 44 UAVG (‘Uitzonderingen inzake wetenschappelijk onderzoek en statistiek’) in de mogelijkheid om de artikelen 15, 16 en 18 van de verordening buiten toepassing </w:t>
      </w:r>
      <w:r w:rsidR="00123BC4">
        <w:t xml:space="preserve">te </w:t>
      </w:r>
      <w:r w:rsidR="007031E0">
        <w:t xml:space="preserve">laten indien een verwerking wordt verricht door instellingen of diensten voor wetenschappelijk onderzoek of statistiek, en de nodige voorzieningen zijn getroffen om te verzekeren dat de persoonsgegevens uitsluitend voor statistische of wetenschappelijke doeleinden kunnen worden gebruikt. Ook hiervan kan sprake zijn als </w:t>
      </w:r>
      <w:r w:rsidRPr="007031E0" w:rsidR="007031E0">
        <w:t>vanuit een historisch/genealogisch oogpunt</w:t>
      </w:r>
      <w:r w:rsidR="007031E0">
        <w:t xml:space="preserve"> </w:t>
      </w:r>
      <w:r w:rsidRPr="007031E0" w:rsidR="007031E0">
        <w:t xml:space="preserve">onderzoek </w:t>
      </w:r>
      <w:r w:rsidR="007031E0">
        <w:t xml:space="preserve">wordt ontplooid. </w:t>
      </w:r>
    </w:p>
    <w:p w:rsidR="00945DDF" w:rsidP="00945DDF" w:rsidRDefault="00945DDF" w14:paraId="37D9E380" w14:textId="77777777"/>
    <w:p w:rsidR="00493E5A" w:rsidP="008B090C" w:rsidRDefault="008B090C" w14:paraId="2B3ED0D5" w14:textId="13EBA44F">
      <w:r>
        <w:t xml:space="preserve">De kans dat belangrijke historische informatie verloren gaat doordat een betrokkene een beroep doet op het recht op </w:t>
      </w:r>
      <w:proofErr w:type="spellStart"/>
      <w:r>
        <w:t>gegevenswissing</w:t>
      </w:r>
      <w:proofErr w:type="spellEnd"/>
      <w:r w:rsidR="00427EAB">
        <w:rPr>
          <w:rStyle w:val="Voetnootmarkering"/>
        </w:rPr>
        <w:footnoteReference w:id="7"/>
      </w:r>
      <w:r>
        <w:t xml:space="preserve">, is bovendien zeer klein. </w:t>
      </w:r>
      <w:r w:rsidR="00427EAB">
        <w:t>D</w:t>
      </w:r>
      <w:r w:rsidR="00493E5A">
        <w:t xml:space="preserve">it recht </w:t>
      </w:r>
      <w:r w:rsidR="00427EAB">
        <w:t xml:space="preserve">is namelijk </w:t>
      </w:r>
      <w:r w:rsidR="00493E5A">
        <w:t>niet van toepassing is bij a</w:t>
      </w:r>
      <w:r w:rsidRPr="00493E5A" w:rsidR="00493E5A">
        <w:t xml:space="preserve">rchivering in het algemeen belang, </w:t>
      </w:r>
      <w:r w:rsidR="00493E5A">
        <w:t xml:space="preserve">alsook bij </w:t>
      </w:r>
      <w:r w:rsidRPr="00493E5A" w:rsidR="00493E5A">
        <w:t xml:space="preserve">wetenschappelijk of historisch onderzoek of statistische doeleinden overeenkomstig </w:t>
      </w:r>
      <w:hyperlink w:tooltip="Artikel 89 - Waarborgen en afwijkingen in verband met verwerking met het oog op archivering in het algemeen belang, wetenschappelijk of historisch onderzoek of statistische doeleinden" w:history="1" r:id="rId10">
        <w:r w:rsidRPr="00493E5A" w:rsidR="00493E5A">
          <w:rPr>
            <w:rStyle w:val="Hyperlink"/>
          </w:rPr>
          <w:t>artikel 89</w:t>
        </w:r>
      </w:hyperlink>
      <w:r w:rsidRPr="00493E5A" w:rsidR="00493E5A">
        <w:t>, lid 1</w:t>
      </w:r>
      <w:r w:rsidR="00427EAB">
        <w:t xml:space="preserve"> AVG</w:t>
      </w:r>
      <w:r w:rsidR="00493E5A">
        <w:t xml:space="preserve">. Vereist is dan wel dat </w:t>
      </w:r>
      <w:proofErr w:type="spellStart"/>
      <w:r w:rsidR="00493E5A">
        <w:t>wissing</w:t>
      </w:r>
      <w:proofErr w:type="spellEnd"/>
      <w:r w:rsidR="00493E5A">
        <w:t xml:space="preserve"> van de gegevens </w:t>
      </w:r>
      <w:r w:rsidRPr="00493E5A" w:rsidR="00493E5A">
        <w:t>de verwezenlijking van de doeleinden van die verwerking onmogelijk dreigt te maken of ernstig in het gedrang dreigt te brengen</w:t>
      </w:r>
      <w:r w:rsidR="00493E5A">
        <w:t xml:space="preserve">. </w:t>
      </w:r>
    </w:p>
    <w:p w:rsidR="00493E5A" w:rsidP="008B090C" w:rsidRDefault="00493E5A" w14:paraId="345886D6" w14:textId="77777777"/>
    <w:p w:rsidRPr="00640D93" w:rsidR="00640D93" w:rsidP="00640D93" w:rsidRDefault="00493E5A" w14:paraId="4F6850F4" w14:textId="452020A6">
      <w:r>
        <w:t>Verder kan een betrokkene h</w:t>
      </w:r>
      <w:r w:rsidR="008B090C">
        <w:t>et recht van bezwaar</w:t>
      </w:r>
      <w:r w:rsidR="00427EAB">
        <w:rPr>
          <w:rStyle w:val="Voetnootmarkering"/>
        </w:rPr>
        <w:footnoteReference w:id="8"/>
      </w:r>
      <w:r w:rsidR="008B090C">
        <w:t xml:space="preserve"> inroepen</w:t>
      </w:r>
      <w:r>
        <w:t xml:space="preserve">. </w:t>
      </w:r>
      <w:r w:rsidR="00640D93">
        <w:t xml:space="preserve">Dat bezwaar hoeft niet te worden gehonoreerd als er dwingende gerechtvaardigde gronden zijn die zwaarder wegen dan de belangen van de betrokkene. </w:t>
      </w:r>
      <w:r w:rsidRPr="00493E5A">
        <w:t>Volgens het Europees Comité voor gegevensbescherming is een grond dwingend als deze essentieel is voor de verwerkingsverantwoordelijke</w:t>
      </w:r>
      <w:r w:rsidR="00640D93">
        <w:rPr>
          <w:rStyle w:val="Voetnootmarkering"/>
        </w:rPr>
        <w:footnoteReference w:id="9"/>
      </w:r>
      <w:r w:rsidRPr="00493E5A">
        <w:t>.</w:t>
      </w:r>
      <w:r w:rsidR="00640D93">
        <w:t xml:space="preserve"> Daarbij is van belang dat </w:t>
      </w:r>
      <w:r w:rsidRPr="00640D93" w:rsidR="00640D93">
        <w:t>het recht op gegevensbescherming geen absolute gelding heeft, maar moet worden beschouwd in relatie tot zijn functie in de samenleving</w:t>
      </w:r>
      <w:r w:rsidR="00640D93">
        <w:t>. He</w:t>
      </w:r>
      <w:r w:rsidRPr="00640D93" w:rsidR="00640D93">
        <w:t xml:space="preserve">t </w:t>
      </w:r>
      <w:r w:rsidR="00640D93">
        <w:t xml:space="preserve">moet </w:t>
      </w:r>
      <w:r w:rsidRPr="00640D93" w:rsidR="00640D93">
        <w:t>conform het evenredigheidsbeginsel moet worden afgewogen tegen andere rechten</w:t>
      </w:r>
      <w:r w:rsidR="00640D93">
        <w:t xml:space="preserve"> en belangen. </w:t>
      </w:r>
      <w:r w:rsidR="007150F6">
        <w:t xml:space="preserve">In het geval van </w:t>
      </w:r>
      <w:r w:rsidR="00427EAB">
        <w:t xml:space="preserve">de </w:t>
      </w:r>
      <w:r w:rsidR="007150F6">
        <w:t>organisatie</w:t>
      </w:r>
      <w:r w:rsidR="00427EAB">
        <w:t>s</w:t>
      </w:r>
      <w:r w:rsidR="007150F6">
        <w:t xml:space="preserve"> die in de motie worden genoemd, zal </w:t>
      </w:r>
      <w:r w:rsidR="00036D34">
        <w:t>het</w:t>
      </w:r>
      <w:r w:rsidR="00427EAB">
        <w:t xml:space="preserve"> gerechtvaardigde belang veelal prevaleren boven het belang tot het</w:t>
      </w:r>
      <w:r w:rsidR="00036D34">
        <w:t xml:space="preserve"> verwijderen van gegevens. Dit </w:t>
      </w:r>
      <w:r w:rsidR="00427EAB">
        <w:t xml:space="preserve">laatste </w:t>
      </w:r>
      <w:r w:rsidR="00036D34">
        <w:t xml:space="preserve">is </w:t>
      </w:r>
      <w:r w:rsidR="00427EAB">
        <w:t>bijvoorbeeld</w:t>
      </w:r>
      <w:r w:rsidR="00036D34">
        <w:t xml:space="preserve"> denkbaar als </w:t>
      </w:r>
      <w:r w:rsidRPr="007150F6" w:rsidR="007150F6">
        <w:t xml:space="preserve">de blijvende bewaring van gegevens </w:t>
      </w:r>
      <w:r w:rsidR="00036D34">
        <w:t xml:space="preserve">grote impact heeft </w:t>
      </w:r>
      <w:r w:rsidRPr="007150F6" w:rsidR="007150F6">
        <w:t xml:space="preserve">op de specifieke situatie van </w:t>
      </w:r>
      <w:r w:rsidR="00036D34">
        <w:t>een</w:t>
      </w:r>
      <w:r w:rsidRPr="007150F6" w:rsidR="007150F6">
        <w:t xml:space="preserve"> betrokkene</w:t>
      </w:r>
      <w:r w:rsidR="00036D34">
        <w:t>.</w:t>
      </w:r>
      <w:r w:rsidR="00D15D5D">
        <w:t xml:space="preserve"> Met belangstelling zie ik uit naar de beantwoording van prejudiciële vragen door het Hof van Justitie van de Europese Unie over onder andere de toepassing van het recht op </w:t>
      </w:r>
      <w:proofErr w:type="spellStart"/>
      <w:r w:rsidR="00D15D5D">
        <w:t>gegevenswissing</w:t>
      </w:r>
      <w:proofErr w:type="spellEnd"/>
      <w:r w:rsidR="00D15D5D">
        <w:rPr>
          <w:rStyle w:val="Voetnootmarkering"/>
        </w:rPr>
        <w:footnoteReference w:id="10"/>
      </w:r>
      <w:r w:rsidR="00D15D5D">
        <w:t xml:space="preserve">.   </w:t>
      </w:r>
    </w:p>
    <w:p w:rsidR="008B090C" w:rsidP="00640D93" w:rsidRDefault="008B090C" w14:paraId="04CF62AA" w14:textId="6FF67A7A">
      <w:r>
        <w:t xml:space="preserve"> </w:t>
      </w:r>
    </w:p>
    <w:p w:rsidRPr="00945DDF" w:rsidR="00945DDF" w:rsidP="00945DDF" w:rsidRDefault="00945DDF" w14:paraId="47DF5D93" w14:textId="727536B4">
      <w:pPr>
        <w:rPr>
          <w:b/>
          <w:bCs/>
        </w:rPr>
      </w:pPr>
      <w:r w:rsidRPr="00945DDF">
        <w:rPr>
          <w:b/>
          <w:bCs/>
        </w:rPr>
        <w:t>Conclusie</w:t>
      </w:r>
    </w:p>
    <w:p w:rsidR="00945DDF" w:rsidP="00945DDF" w:rsidRDefault="00670C3A" w14:paraId="16E96663" w14:textId="0F90AFCD">
      <w:r>
        <w:t xml:space="preserve">In de Verzamelwet </w:t>
      </w:r>
      <w:r w:rsidR="00123BC4">
        <w:t>g</w:t>
      </w:r>
      <w:r>
        <w:t xml:space="preserve">egevensbescherming </w:t>
      </w:r>
      <w:r w:rsidR="00B83142">
        <w:t>zijn</w:t>
      </w:r>
      <w:r>
        <w:t xml:space="preserve"> de uitzonderingen op de AVG voor archivering in het algemeen belang uitgebreid, zij het tot specifieke </w:t>
      </w:r>
      <w:r w:rsidRPr="00945DDF">
        <w:t>archiefcollecties, die vanwege het algemene belang steun krijgen van de overheid</w:t>
      </w:r>
      <w:r>
        <w:t xml:space="preserve">. Ik wil de ervaringen met deze bepaling eerst afwachten. </w:t>
      </w:r>
      <w:r w:rsidR="00B56873">
        <w:t>Bij de volgende evaluatie van de UAVG, die voor 2027 gepland staat, kunnen de eerste bevindingen hierover worden opgehaald. Artikel 45 UAVG is daarnaast</w:t>
      </w:r>
      <w:r>
        <w:t xml:space="preserve"> niet het enige dat handelingsperspectief biedt voor </w:t>
      </w:r>
      <w:r w:rsidRPr="00D6327F">
        <w:t>partijen die niet onder de Archiefwet vallen</w:t>
      </w:r>
      <w:r>
        <w:t xml:space="preserve">, want ook de bepalingen uit de (U)AVG met betrekking tot onderzoeksdoeleinden en wetenschappelijk/statistisch onderzoek bieden ruimte voor het ontplooien van verwerkingsactiviteiten. </w:t>
      </w:r>
      <w:r w:rsidR="00D6327F">
        <w:t xml:space="preserve">Er is mij </w:t>
      </w:r>
      <w:r>
        <w:t xml:space="preserve">ten slotte </w:t>
      </w:r>
      <w:r w:rsidR="00D6327F">
        <w:t xml:space="preserve">niet gebleken dat </w:t>
      </w:r>
      <w:r w:rsidR="007972BA">
        <w:t xml:space="preserve">de in de motie genoemde </w:t>
      </w:r>
      <w:r w:rsidR="00945DDF">
        <w:t xml:space="preserve">partijen breed problemen ervaren als gevolg van de AVG. </w:t>
      </w:r>
      <w:r w:rsidR="007972BA">
        <w:t>De partijen met wie is gesproken, passen de AVG consciëntieus toe als onderdeel van hun werkprocessen. Zij kunnen in ruime mate de grondslag ‘gerechtvaardigd belang’ gebruiken voor het verwerken van persoonsgegevens</w:t>
      </w:r>
      <w:r>
        <w:t>.</w:t>
      </w:r>
      <w:r w:rsidR="00D6327F">
        <w:t xml:space="preserve"> </w:t>
      </w:r>
      <w:r w:rsidR="00036D34">
        <w:t xml:space="preserve">De kans dat belangrijke historische gegevens met een beroep op de AVG gewist moeten worden, is ten slotte evenmin een risico dat zich veelvuldig zal voordoen. </w:t>
      </w:r>
      <w:r w:rsidR="003817B6">
        <w:br/>
      </w:r>
    </w:p>
    <w:p w:rsidR="00EA0041" w:rsidP="00945DDF" w:rsidRDefault="00EA0041" w14:paraId="68451A54" w14:textId="77777777"/>
    <w:p w:rsidR="00D6327F" w:rsidP="00D6327F" w:rsidRDefault="00D6327F" w14:paraId="1F40E65E" w14:textId="77777777">
      <w:r>
        <w:t>De Staatssecretaris van Justitie en Veiligheid,</w:t>
      </w:r>
    </w:p>
    <w:p w:rsidR="00D6327F" w:rsidP="00D6327F" w:rsidRDefault="00D6327F" w14:paraId="17D2797F" w14:textId="77777777"/>
    <w:p w:rsidR="00D6327F" w:rsidP="00D6327F" w:rsidRDefault="00D6327F" w14:paraId="095F7015" w14:textId="77777777"/>
    <w:p w:rsidR="00EA0041" w:rsidP="00D6327F" w:rsidRDefault="00EA0041" w14:paraId="0BC2AD14" w14:textId="77777777"/>
    <w:p w:rsidR="00EA0041" w:rsidP="00D6327F" w:rsidRDefault="00EA0041" w14:paraId="4E9955A6" w14:textId="77777777"/>
    <w:p w:rsidR="00D6327F" w:rsidP="00945DDF" w:rsidRDefault="00D6327F" w14:paraId="41961F15" w14:textId="6C1F4872">
      <w:r>
        <w:t>Claudia van Bruggen</w:t>
      </w:r>
    </w:p>
    <w:sectPr w:rsidR="00D6327F">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F952" w14:textId="77777777" w:rsidR="005C5719" w:rsidRDefault="005C5719">
      <w:pPr>
        <w:spacing w:line="240" w:lineRule="auto"/>
      </w:pPr>
      <w:r>
        <w:separator/>
      </w:r>
    </w:p>
  </w:endnote>
  <w:endnote w:type="continuationSeparator" w:id="0">
    <w:p w14:paraId="65F6B1EB" w14:textId="77777777" w:rsidR="005C5719" w:rsidRDefault="005C5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CE28" w14:textId="77777777" w:rsidR="00F92D2F" w:rsidRDefault="00F92D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FD29" w14:textId="77777777" w:rsidR="009B566A" w:rsidRDefault="009B566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A5AA" w14:textId="77777777" w:rsidR="00F92D2F" w:rsidRDefault="00F92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4371" w14:textId="77777777" w:rsidR="005C5719" w:rsidRDefault="005C5719">
      <w:pPr>
        <w:spacing w:line="240" w:lineRule="auto"/>
      </w:pPr>
      <w:r>
        <w:separator/>
      </w:r>
    </w:p>
  </w:footnote>
  <w:footnote w:type="continuationSeparator" w:id="0">
    <w:p w14:paraId="66A8BDD5" w14:textId="77777777" w:rsidR="005C5719" w:rsidRDefault="005C5719">
      <w:pPr>
        <w:spacing w:line="240" w:lineRule="auto"/>
      </w:pPr>
      <w:r>
        <w:continuationSeparator/>
      </w:r>
    </w:p>
  </w:footnote>
  <w:footnote w:id="1">
    <w:p w14:paraId="7FEA76C1" w14:textId="50CE617D" w:rsidR="00083B04" w:rsidRDefault="00083B04">
      <w:pPr>
        <w:pStyle w:val="Voetnoottekst"/>
      </w:pPr>
      <w:r>
        <w:rPr>
          <w:rStyle w:val="Voetnootmarkering"/>
        </w:rPr>
        <w:footnoteRef/>
      </w:r>
      <w:r>
        <w:t xml:space="preserve"> </w:t>
      </w:r>
      <w:r w:rsidRPr="00F9769C">
        <w:rPr>
          <w:sz w:val="16"/>
          <w:szCs w:val="16"/>
        </w:rPr>
        <w:t>Kamerstukken II, 2024–2025, 36 264, nr. 11</w:t>
      </w:r>
    </w:p>
  </w:footnote>
  <w:footnote w:id="2">
    <w:p w14:paraId="261A629E" w14:textId="326B68B3" w:rsidR="00021556" w:rsidRDefault="00021556">
      <w:pPr>
        <w:pStyle w:val="Voetnoottekst"/>
      </w:pPr>
      <w:r>
        <w:rPr>
          <w:rStyle w:val="Voetnootmarkering"/>
        </w:rPr>
        <w:footnoteRef/>
      </w:r>
      <w:r>
        <w:t xml:space="preserve"> </w:t>
      </w:r>
      <w:hyperlink r:id="rId1" w:history="1">
        <w:r w:rsidRPr="00021556">
          <w:rPr>
            <w:rStyle w:val="Hyperlink"/>
            <w:sz w:val="16"/>
            <w:szCs w:val="16"/>
          </w:rPr>
          <w:t>https://www.autoriteitpersoonsgegevens.nl/documenten/advies-verzamelwet-gegevensbescherming</w:t>
        </w:r>
      </w:hyperlink>
      <w:r>
        <w:t xml:space="preserve"> </w:t>
      </w:r>
    </w:p>
  </w:footnote>
  <w:footnote w:id="3">
    <w:p w14:paraId="0B7DA5E8" w14:textId="72F79106" w:rsidR="003F57BB" w:rsidRPr="00EA0041" w:rsidRDefault="003F57BB" w:rsidP="003F57BB">
      <w:pPr>
        <w:pStyle w:val="Voetnoottekst"/>
        <w:rPr>
          <w:sz w:val="16"/>
          <w:szCs w:val="16"/>
        </w:rPr>
      </w:pPr>
      <w:r>
        <w:rPr>
          <w:rStyle w:val="Voetnootmarkering"/>
        </w:rPr>
        <w:footnoteRef/>
      </w:r>
      <w:r>
        <w:t xml:space="preserve"> </w:t>
      </w:r>
      <w:r>
        <w:rPr>
          <w:sz w:val="16"/>
          <w:szCs w:val="16"/>
        </w:rPr>
        <w:t xml:space="preserve">Zo ook N. van Driel, </w:t>
      </w:r>
      <w:r w:rsidRPr="003F57BB">
        <w:rPr>
          <w:sz w:val="16"/>
          <w:szCs w:val="16"/>
        </w:rPr>
        <w:t>Update archiveringsbelangen in de Verzamelwet gegevensbescherming</w:t>
      </w:r>
      <w:r>
        <w:rPr>
          <w:sz w:val="16"/>
          <w:szCs w:val="16"/>
        </w:rPr>
        <w:t xml:space="preserve">. </w:t>
      </w:r>
      <w:r w:rsidRPr="003F57BB">
        <w:rPr>
          <w:sz w:val="16"/>
          <w:szCs w:val="16"/>
        </w:rPr>
        <w:t>Nieuwe ronde, nieuwe kansen</w:t>
      </w:r>
      <w:r>
        <w:rPr>
          <w:sz w:val="16"/>
          <w:szCs w:val="16"/>
        </w:rPr>
        <w:t xml:space="preserve">, in: </w:t>
      </w:r>
      <w:r w:rsidRPr="003F57BB">
        <w:rPr>
          <w:sz w:val="16"/>
          <w:szCs w:val="16"/>
        </w:rPr>
        <w:t>Archievenblad 1 2025.6</w:t>
      </w:r>
    </w:p>
  </w:footnote>
  <w:footnote w:id="4">
    <w:p w14:paraId="535084E1" w14:textId="2FA01C2B" w:rsidR="00F53B91" w:rsidRPr="00F53B91" w:rsidRDefault="00F53B91">
      <w:pPr>
        <w:pStyle w:val="Voetnoottekst"/>
        <w:rPr>
          <w:sz w:val="16"/>
          <w:szCs w:val="16"/>
        </w:rPr>
      </w:pPr>
      <w:r>
        <w:rPr>
          <w:rStyle w:val="Voetnootmarkering"/>
        </w:rPr>
        <w:footnoteRef/>
      </w:r>
      <w:r>
        <w:t xml:space="preserve"> </w:t>
      </w:r>
      <w:r w:rsidRPr="00F53B91">
        <w:rPr>
          <w:sz w:val="16"/>
          <w:szCs w:val="16"/>
        </w:rPr>
        <w:t>Zie hiervoor Hof van Justitie van de Europese Unie (</w:t>
      </w:r>
      <w:proofErr w:type="spellStart"/>
      <w:r w:rsidRPr="00F53B91">
        <w:rPr>
          <w:sz w:val="16"/>
          <w:szCs w:val="16"/>
        </w:rPr>
        <w:t>HvJEU</w:t>
      </w:r>
      <w:proofErr w:type="spellEnd"/>
      <w:r w:rsidRPr="00F53B91">
        <w:rPr>
          <w:sz w:val="16"/>
          <w:szCs w:val="16"/>
        </w:rPr>
        <w:t xml:space="preserve">) 4 oktober 2024, Koninklijke Nederlandse </w:t>
      </w:r>
      <w:proofErr w:type="spellStart"/>
      <w:r w:rsidRPr="00F53B91">
        <w:rPr>
          <w:sz w:val="16"/>
          <w:szCs w:val="16"/>
        </w:rPr>
        <w:t>Lawn</w:t>
      </w:r>
      <w:proofErr w:type="spellEnd"/>
      <w:r w:rsidRPr="00F53B91">
        <w:rPr>
          <w:sz w:val="16"/>
          <w:szCs w:val="16"/>
        </w:rPr>
        <w:t xml:space="preserve"> Tennisbond tegen Autoriteit Persoonsgegevens (AP), C-621/22, ECLI:EU:C:2024:858, </w:t>
      </w:r>
      <w:proofErr w:type="spellStart"/>
      <w:r w:rsidRPr="00F53B91">
        <w:rPr>
          <w:sz w:val="16"/>
          <w:szCs w:val="16"/>
        </w:rPr>
        <w:t>r.o.</w:t>
      </w:r>
      <w:proofErr w:type="spellEnd"/>
      <w:r w:rsidRPr="00F53B91">
        <w:rPr>
          <w:sz w:val="16"/>
          <w:szCs w:val="16"/>
        </w:rPr>
        <w:t xml:space="preserve"> 37</w:t>
      </w:r>
    </w:p>
  </w:footnote>
  <w:footnote w:id="5">
    <w:p w14:paraId="7C008EC3" w14:textId="3E6241BC" w:rsidR="00F53B91" w:rsidRDefault="00F53B91">
      <w:pPr>
        <w:pStyle w:val="Voetnoottekst"/>
      </w:pPr>
      <w:r>
        <w:rPr>
          <w:rStyle w:val="Voetnootmarkering"/>
        </w:rPr>
        <w:footnoteRef/>
      </w:r>
      <w:r>
        <w:t xml:space="preserve"> </w:t>
      </w:r>
      <w:r w:rsidRPr="00F53B91">
        <w:rPr>
          <w:sz w:val="16"/>
          <w:szCs w:val="16"/>
        </w:rPr>
        <w:t xml:space="preserve">Aldus de richtsnoeren van het Europees Comité voor gegevensbescherming (EDPB),   </w:t>
      </w:r>
      <w:hyperlink r:id="rId2" w:history="1">
        <w:r w:rsidRPr="00F53B91">
          <w:rPr>
            <w:rStyle w:val="Hyperlink"/>
            <w:sz w:val="16"/>
            <w:szCs w:val="16"/>
          </w:rPr>
          <w:t>https://www.edpb.europa.eu/system/files/2024-10/edpb_guidelines_202401_legitimateinterest_en.pdf</w:t>
        </w:r>
      </w:hyperlink>
      <w:r>
        <w:t xml:space="preserve"> </w:t>
      </w:r>
    </w:p>
  </w:footnote>
  <w:footnote w:id="6">
    <w:p w14:paraId="6B094E33" w14:textId="2A2FF5AD" w:rsidR="003F57BB" w:rsidRDefault="003F57BB">
      <w:pPr>
        <w:pStyle w:val="Voetnoottekst"/>
      </w:pPr>
      <w:r>
        <w:rPr>
          <w:rStyle w:val="Voetnootmarkering"/>
        </w:rPr>
        <w:footnoteRef/>
      </w:r>
      <w:r>
        <w:t xml:space="preserve"> </w:t>
      </w:r>
      <w:r w:rsidRPr="00EA0041">
        <w:rPr>
          <w:sz w:val="16"/>
          <w:szCs w:val="16"/>
        </w:rPr>
        <w:t>https://www.autoriteitpersoonsgegevens.nl/themas/basis-avg/avg-algemeen/grondslagen-avg-uitgelegd#grondslag-gerechtvaardigd-belang</w:t>
      </w:r>
    </w:p>
  </w:footnote>
  <w:footnote w:id="7">
    <w:p w14:paraId="4826C3FE" w14:textId="2F20EF4A" w:rsidR="00427EAB" w:rsidRDefault="00427EAB">
      <w:pPr>
        <w:pStyle w:val="Voetnoottekst"/>
      </w:pPr>
      <w:r>
        <w:rPr>
          <w:rStyle w:val="Voetnootmarkering"/>
        </w:rPr>
        <w:footnoteRef/>
      </w:r>
      <w:r>
        <w:t xml:space="preserve"> </w:t>
      </w:r>
      <w:r w:rsidRPr="003817B6">
        <w:rPr>
          <w:sz w:val="16"/>
          <w:szCs w:val="16"/>
        </w:rPr>
        <w:t>Artikel 17 AVG</w:t>
      </w:r>
    </w:p>
  </w:footnote>
  <w:footnote w:id="8">
    <w:p w14:paraId="2EE40554" w14:textId="2F0B554B" w:rsidR="00427EAB" w:rsidRDefault="00427EAB">
      <w:pPr>
        <w:pStyle w:val="Voetnoottekst"/>
      </w:pPr>
      <w:r>
        <w:rPr>
          <w:rStyle w:val="Voetnootmarkering"/>
        </w:rPr>
        <w:footnoteRef/>
      </w:r>
      <w:r>
        <w:t xml:space="preserve"> </w:t>
      </w:r>
      <w:r>
        <w:rPr>
          <w:sz w:val="16"/>
          <w:szCs w:val="16"/>
        </w:rPr>
        <w:t>Ar</w:t>
      </w:r>
      <w:r w:rsidRPr="003817B6">
        <w:rPr>
          <w:sz w:val="16"/>
          <w:szCs w:val="16"/>
        </w:rPr>
        <w:t>tikel 21 AVG</w:t>
      </w:r>
    </w:p>
  </w:footnote>
  <w:footnote w:id="9">
    <w:p w14:paraId="63FA4861" w14:textId="1192A8A0" w:rsidR="00640D93" w:rsidRDefault="00640D93">
      <w:pPr>
        <w:pStyle w:val="Voetnoottekst"/>
      </w:pPr>
      <w:r>
        <w:rPr>
          <w:rStyle w:val="Voetnootmarkering"/>
        </w:rPr>
        <w:footnoteRef/>
      </w:r>
      <w:r>
        <w:t xml:space="preserve"> </w:t>
      </w:r>
      <w:r w:rsidRPr="003817B6">
        <w:rPr>
          <w:sz w:val="16"/>
          <w:szCs w:val="16"/>
        </w:rPr>
        <w:t xml:space="preserve">Zie https://www.edpb.europa.eu/system/files/2024-10/edpb_guidelines_202401_legitimateinterest_en.pdf, </w:t>
      </w:r>
      <w:proofErr w:type="spellStart"/>
      <w:r w:rsidRPr="003817B6">
        <w:rPr>
          <w:sz w:val="16"/>
          <w:szCs w:val="16"/>
        </w:rPr>
        <w:t>pt</w:t>
      </w:r>
      <w:proofErr w:type="spellEnd"/>
      <w:r w:rsidRPr="003817B6">
        <w:rPr>
          <w:sz w:val="16"/>
          <w:szCs w:val="16"/>
        </w:rPr>
        <w:t>. 73.</w:t>
      </w:r>
    </w:p>
  </w:footnote>
  <w:footnote w:id="10">
    <w:p w14:paraId="7C91642E" w14:textId="133CD34E" w:rsidR="00D15D5D" w:rsidRDefault="00D15D5D">
      <w:pPr>
        <w:pStyle w:val="Voetnoottekst"/>
      </w:pPr>
      <w:r>
        <w:rPr>
          <w:rStyle w:val="Voetnootmarkering"/>
        </w:rPr>
        <w:footnoteRef/>
      </w:r>
      <w:r>
        <w:t xml:space="preserve"> </w:t>
      </w:r>
      <w:r w:rsidRPr="003817B6">
        <w:rPr>
          <w:sz w:val="16"/>
          <w:szCs w:val="16"/>
        </w:rPr>
        <w:t>https://eur-lex.europa.eu/legal-content/EN/TXT/PDF/?uri=OJ:C_202501878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4A9F" w14:textId="77777777" w:rsidR="00F92D2F" w:rsidRDefault="00F92D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AA6" w14:textId="77777777" w:rsidR="009B566A" w:rsidRDefault="00F52B7A">
    <w:r>
      <w:rPr>
        <w:noProof/>
      </w:rPr>
      <mc:AlternateContent>
        <mc:Choice Requires="wps">
          <w:drawing>
            <wp:anchor distT="0" distB="0" distL="0" distR="0" simplePos="0" relativeHeight="251652608" behindDoc="0" locked="1" layoutInCell="1" allowOverlap="1" wp14:anchorId="77568D08" wp14:editId="4E6D540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F64BE9" w14:textId="77777777" w:rsidR="009B566A" w:rsidRDefault="00F52B7A">
                          <w:pPr>
                            <w:pStyle w:val="Referentiegegevensbold"/>
                          </w:pPr>
                          <w:r>
                            <w:t>Directoraat-Generaal Rechtspleging en Rechtshandhaving</w:t>
                          </w:r>
                        </w:p>
                        <w:p w14:paraId="23CAEA4F" w14:textId="77777777" w:rsidR="009B566A" w:rsidRDefault="00F52B7A">
                          <w:pPr>
                            <w:pStyle w:val="Referentiegegevens"/>
                          </w:pPr>
                          <w:r>
                            <w:t>Directie Rechtsbestel</w:t>
                          </w:r>
                        </w:p>
                        <w:p w14:paraId="3A8BA92C" w14:textId="77777777" w:rsidR="009B566A" w:rsidRDefault="00F52B7A">
                          <w:pPr>
                            <w:pStyle w:val="Referentiegegevens"/>
                          </w:pPr>
                          <w:r>
                            <w:t>Afdeling Gegevensbescherming en Privacy</w:t>
                          </w:r>
                        </w:p>
                        <w:p w14:paraId="1AE5D9F9" w14:textId="77777777" w:rsidR="009B566A" w:rsidRDefault="009B566A">
                          <w:pPr>
                            <w:pStyle w:val="WitregelW2"/>
                          </w:pPr>
                        </w:p>
                        <w:p w14:paraId="7EE7E8E4" w14:textId="77777777" w:rsidR="009B566A" w:rsidRDefault="00F52B7A">
                          <w:pPr>
                            <w:pStyle w:val="Referentiegegevensbold"/>
                          </w:pPr>
                          <w:r>
                            <w:t>Datum</w:t>
                          </w:r>
                        </w:p>
                        <w:p w14:paraId="21DE5EF4" w14:textId="22BA9EE0" w:rsidR="009B566A" w:rsidRDefault="005C5719">
                          <w:pPr>
                            <w:pStyle w:val="Referentiegegevens"/>
                          </w:pPr>
                          <w:sdt>
                            <w:sdtPr>
                              <w:id w:val="1557747254"/>
                              <w:date w:fullDate="2026-06-23T00:00:00Z">
                                <w:dateFormat w:val="d MMMM yyyy"/>
                                <w:lid w:val="nl"/>
                                <w:storeMappedDataAs w:val="dateTime"/>
                                <w:calendar w:val="gregorian"/>
                              </w:date>
                            </w:sdtPr>
                            <w:sdtEndPr/>
                            <w:sdtContent>
                              <w:r w:rsidR="004037A2">
                                <w:rPr>
                                  <w:lang w:val="nl"/>
                                </w:rPr>
                                <w:t>23 juni 2026</w:t>
                              </w:r>
                            </w:sdtContent>
                          </w:sdt>
                        </w:p>
                        <w:p w14:paraId="6AED6E4F" w14:textId="77777777" w:rsidR="009B566A" w:rsidRDefault="009B566A">
                          <w:pPr>
                            <w:pStyle w:val="WitregelW1"/>
                          </w:pPr>
                        </w:p>
                        <w:p w14:paraId="31ADCB54" w14:textId="77777777" w:rsidR="009B566A" w:rsidRDefault="00F52B7A">
                          <w:pPr>
                            <w:pStyle w:val="Referentiegegevensbold"/>
                          </w:pPr>
                          <w:r>
                            <w:t>Onze referentie</w:t>
                          </w:r>
                        </w:p>
                        <w:p w14:paraId="735E2E74" w14:textId="77777777" w:rsidR="009B566A" w:rsidRDefault="00F52B7A">
                          <w:pPr>
                            <w:pStyle w:val="Referentiegegevens"/>
                          </w:pPr>
                          <w:r>
                            <w:t>7698872</w:t>
                          </w:r>
                        </w:p>
                      </w:txbxContent>
                    </wps:txbx>
                    <wps:bodyPr vert="horz" wrap="square" lIns="0" tIns="0" rIns="0" bIns="0" anchor="t" anchorCtr="0"/>
                  </wps:wsp>
                </a:graphicData>
              </a:graphic>
            </wp:anchor>
          </w:drawing>
        </mc:Choice>
        <mc:Fallback>
          <w:pict>
            <v:shapetype w14:anchorId="77568D0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F64BE9" w14:textId="77777777" w:rsidR="009B566A" w:rsidRDefault="00F52B7A">
                    <w:pPr>
                      <w:pStyle w:val="Referentiegegevensbold"/>
                    </w:pPr>
                    <w:r>
                      <w:t>Directoraat-Generaal Rechtspleging en Rechtshandhaving</w:t>
                    </w:r>
                  </w:p>
                  <w:p w14:paraId="23CAEA4F" w14:textId="77777777" w:rsidR="009B566A" w:rsidRDefault="00F52B7A">
                    <w:pPr>
                      <w:pStyle w:val="Referentiegegevens"/>
                    </w:pPr>
                    <w:r>
                      <w:t>Directie Rechtsbestel</w:t>
                    </w:r>
                  </w:p>
                  <w:p w14:paraId="3A8BA92C" w14:textId="77777777" w:rsidR="009B566A" w:rsidRDefault="00F52B7A">
                    <w:pPr>
                      <w:pStyle w:val="Referentiegegevens"/>
                    </w:pPr>
                    <w:r>
                      <w:t>Afdeling Gegevensbescherming en Privacy</w:t>
                    </w:r>
                  </w:p>
                  <w:p w14:paraId="1AE5D9F9" w14:textId="77777777" w:rsidR="009B566A" w:rsidRDefault="009B566A">
                    <w:pPr>
                      <w:pStyle w:val="WitregelW2"/>
                    </w:pPr>
                  </w:p>
                  <w:p w14:paraId="7EE7E8E4" w14:textId="77777777" w:rsidR="009B566A" w:rsidRDefault="00F52B7A">
                    <w:pPr>
                      <w:pStyle w:val="Referentiegegevensbold"/>
                    </w:pPr>
                    <w:r>
                      <w:t>Datum</w:t>
                    </w:r>
                  </w:p>
                  <w:p w14:paraId="21DE5EF4" w14:textId="22BA9EE0" w:rsidR="009B566A" w:rsidRDefault="005C5719">
                    <w:pPr>
                      <w:pStyle w:val="Referentiegegevens"/>
                    </w:pPr>
                    <w:sdt>
                      <w:sdtPr>
                        <w:id w:val="1557747254"/>
                        <w:date w:fullDate="2026-06-23T00:00:00Z">
                          <w:dateFormat w:val="d MMMM yyyy"/>
                          <w:lid w:val="nl"/>
                          <w:storeMappedDataAs w:val="dateTime"/>
                          <w:calendar w:val="gregorian"/>
                        </w:date>
                      </w:sdtPr>
                      <w:sdtEndPr/>
                      <w:sdtContent>
                        <w:r w:rsidR="004037A2">
                          <w:rPr>
                            <w:lang w:val="nl"/>
                          </w:rPr>
                          <w:t>23 juni 2026</w:t>
                        </w:r>
                      </w:sdtContent>
                    </w:sdt>
                  </w:p>
                  <w:p w14:paraId="6AED6E4F" w14:textId="77777777" w:rsidR="009B566A" w:rsidRDefault="009B566A">
                    <w:pPr>
                      <w:pStyle w:val="WitregelW1"/>
                    </w:pPr>
                  </w:p>
                  <w:p w14:paraId="31ADCB54" w14:textId="77777777" w:rsidR="009B566A" w:rsidRDefault="00F52B7A">
                    <w:pPr>
                      <w:pStyle w:val="Referentiegegevensbold"/>
                    </w:pPr>
                    <w:r>
                      <w:t>Onze referentie</w:t>
                    </w:r>
                  </w:p>
                  <w:p w14:paraId="735E2E74" w14:textId="77777777" w:rsidR="009B566A" w:rsidRDefault="00F52B7A">
                    <w:pPr>
                      <w:pStyle w:val="Referentiegegevens"/>
                    </w:pPr>
                    <w:r>
                      <w:t>7698872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3E8982" wp14:editId="212E13B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55F3C8" w14:textId="77777777" w:rsidR="00AB42CA" w:rsidRDefault="00AB42CA"/>
                      </w:txbxContent>
                    </wps:txbx>
                    <wps:bodyPr vert="horz" wrap="square" lIns="0" tIns="0" rIns="0" bIns="0" anchor="t" anchorCtr="0"/>
                  </wps:wsp>
                </a:graphicData>
              </a:graphic>
            </wp:anchor>
          </w:drawing>
        </mc:Choice>
        <mc:Fallback>
          <w:pict>
            <v:shape w14:anchorId="533E898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455F3C8" w14:textId="77777777" w:rsidR="00AB42CA" w:rsidRDefault="00AB42C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FB67AD6" wp14:editId="1693688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2C3037" w14:textId="61E21BDF" w:rsidR="009B566A" w:rsidRDefault="00F52B7A">
                          <w:pPr>
                            <w:pStyle w:val="Referentiegegevens"/>
                          </w:pPr>
                          <w:r>
                            <w:t xml:space="preserve">Pagina </w:t>
                          </w:r>
                          <w:r>
                            <w:fldChar w:fldCharType="begin"/>
                          </w:r>
                          <w:r>
                            <w:instrText>PAGE</w:instrText>
                          </w:r>
                          <w:r>
                            <w:fldChar w:fldCharType="separate"/>
                          </w:r>
                          <w:r w:rsidR="009E508A">
                            <w:rPr>
                              <w:noProof/>
                            </w:rPr>
                            <w:t>2</w:t>
                          </w:r>
                          <w:r>
                            <w:fldChar w:fldCharType="end"/>
                          </w:r>
                          <w:r>
                            <w:t xml:space="preserve"> van </w:t>
                          </w:r>
                          <w:r>
                            <w:fldChar w:fldCharType="begin"/>
                          </w:r>
                          <w:r>
                            <w:instrText>NUMPAGES</w:instrText>
                          </w:r>
                          <w:r>
                            <w:fldChar w:fldCharType="separate"/>
                          </w:r>
                          <w:r w:rsidR="009E508A">
                            <w:rPr>
                              <w:noProof/>
                            </w:rPr>
                            <w:t>1</w:t>
                          </w:r>
                          <w:r>
                            <w:fldChar w:fldCharType="end"/>
                          </w:r>
                        </w:p>
                      </w:txbxContent>
                    </wps:txbx>
                    <wps:bodyPr vert="horz" wrap="square" lIns="0" tIns="0" rIns="0" bIns="0" anchor="t" anchorCtr="0"/>
                  </wps:wsp>
                </a:graphicData>
              </a:graphic>
            </wp:anchor>
          </w:drawing>
        </mc:Choice>
        <mc:Fallback>
          <w:pict>
            <v:shape w14:anchorId="7FB67AD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2C3037" w14:textId="61E21BDF" w:rsidR="009B566A" w:rsidRDefault="00F52B7A">
                    <w:pPr>
                      <w:pStyle w:val="Referentiegegevens"/>
                    </w:pPr>
                    <w:r>
                      <w:t xml:space="preserve">Pagina </w:t>
                    </w:r>
                    <w:r>
                      <w:fldChar w:fldCharType="begin"/>
                    </w:r>
                    <w:r>
                      <w:instrText>PAGE</w:instrText>
                    </w:r>
                    <w:r>
                      <w:fldChar w:fldCharType="separate"/>
                    </w:r>
                    <w:r w:rsidR="009E508A">
                      <w:rPr>
                        <w:noProof/>
                      </w:rPr>
                      <w:t>2</w:t>
                    </w:r>
                    <w:r>
                      <w:fldChar w:fldCharType="end"/>
                    </w:r>
                    <w:r>
                      <w:t xml:space="preserve"> van </w:t>
                    </w:r>
                    <w:r>
                      <w:fldChar w:fldCharType="begin"/>
                    </w:r>
                    <w:r>
                      <w:instrText>NUMPAGES</w:instrText>
                    </w:r>
                    <w:r>
                      <w:fldChar w:fldCharType="separate"/>
                    </w:r>
                    <w:r w:rsidR="009E508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20E5" w14:textId="77777777" w:rsidR="009B566A" w:rsidRDefault="00F52B7A">
    <w:pPr>
      <w:spacing w:after="6377" w:line="14" w:lineRule="exact"/>
    </w:pPr>
    <w:r>
      <w:rPr>
        <w:noProof/>
      </w:rPr>
      <mc:AlternateContent>
        <mc:Choice Requires="wps">
          <w:drawing>
            <wp:anchor distT="0" distB="0" distL="0" distR="0" simplePos="0" relativeHeight="251655680" behindDoc="0" locked="1" layoutInCell="1" allowOverlap="1" wp14:anchorId="301D64B3" wp14:editId="72ACEB3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1083414" w14:textId="77777777" w:rsidR="004037A2" w:rsidRDefault="00F52B7A">
                          <w:r>
                            <w:t xml:space="preserve">Aan de Voorzitter van de Tweede Kamer </w:t>
                          </w:r>
                        </w:p>
                        <w:p w14:paraId="605B9538" w14:textId="21AC7B70" w:rsidR="009B566A" w:rsidRDefault="00F52B7A">
                          <w:r>
                            <w:t>der Staten-Generaal</w:t>
                          </w:r>
                        </w:p>
                        <w:p w14:paraId="347866FA" w14:textId="77777777" w:rsidR="009B566A" w:rsidRDefault="00F52B7A">
                          <w:r>
                            <w:t xml:space="preserve">Postbus 20018 </w:t>
                          </w:r>
                        </w:p>
                        <w:p w14:paraId="0A13524D" w14:textId="77777777" w:rsidR="009B566A" w:rsidRDefault="00F52B7A">
                          <w:r>
                            <w:t>2500 EA  DEN HAAG</w:t>
                          </w:r>
                        </w:p>
                      </w:txbxContent>
                    </wps:txbx>
                    <wps:bodyPr vert="horz" wrap="square" lIns="0" tIns="0" rIns="0" bIns="0" anchor="t" anchorCtr="0"/>
                  </wps:wsp>
                </a:graphicData>
              </a:graphic>
            </wp:anchor>
          </w:drawing>
        </mc:Choice>
        <mc:Fallback>
          <w:pict>
            <v:shapetype w14:anchorId="301D64B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1083414" w14:textId="77777777" w:rsidR="004037A2" w:rsidRDefault="00F52B7A">
                    <w:r>
                      <w:t xml:space="preserve">Aan de Voorzitter van de Tweede Kamer </w:t>
                    </w:r>
                  </w:p>
                  <w:p w14:paraId="605B9538" w14:textId="21AC7B70" w:rsidR="009B566A" w:rsidRDefault="00F52B7A">
                    <w:r>
                      <w:t>der Staten-Generaal</w:t>
                    </w:r>
                  </w:p>
                  <w:p w14:paraId="347866FA" w14:textId="77777777" w:rsidR="009B566A" w:rsidRDefault="00F52B7A">
                    <w:r>
                      <w:t xml:space="preserve">Postbus 20018 </w:t>
                    </w:r>
                  </w:p>
                  <w:p w14:paraId="0A13524D" w14:textId="77777777" w:rsidR="009B566A" w:rsidRDefault="00F52B7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EC85BB1" wp14:editId="066A9F67">
              <wp:simplePos x="0" y="0"/>
              <wp:positionH relativeFrom="margin">
                <wp:align>left</wp:align>
              </wp:positionH>
              <wp:positionV relativeFrom="page">
                <wp:posOffset>3355340</wp:posOffset>
              </wp:positionV>
              <wp:extent cx="4746625" cy="5162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46625" cy="5162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B566A" w14:paraId="612FC5C9" w14:textId="77777777">
                            <w:trPr>
                              <w:trHeight w:val="240"/>
                            </w:trPr>
                            <w:tc>
                              <w:tcPr>
                                <w:tcW w:w="1140" w:type="dxa"/>
                              </w:tcPr>
                              <w:p w14:paraId="65A1649B" w14:textId="77777777" w:rsidR="009B566A" w:rsidRDefault="00F52B7A">
                                <w:r>
                                  <w:t>Datum</w:t>
                                </w:r>
                              </w:p>
                            </w:tc>
                            <w:tc>
                              <w:tcPr>
                                <w:tcW w:w="5918" w:type="dxa"/>
                              </w:tcPr>
                              <w:p w14:paraId="7B9D6B71" w14:textId="5B753E2D" w:rsidR="009B566A" w:rsidRDefault="005C5719">
                                <w:sdt>
                                  <w:sdtPr>
                                    <w:id w:val="-1718507080"/>
                                    <w:date w:fullDate="2026-06-23T00:00:00Z">
                                      <w:dateFormat w:val="d MMMM yyyy"/>
                                      <w:lid w:val="nl"/>
                                      <w:storeMappedDataAs w:val="dateTime"/>
                                      <w:calendar w:val="gregorian"/>
                                    </w:date>
                                  </w:sdtPr>
                                  <w:sdtEndPr/>
                                  <w:sdtContent>
                                    <w:r w:rsidR="004037A2">
                                      <w:rPr>
                                        <w:lang w:val="nl"/>
                                      </w:rPr>
                                      <w:t>23 juni 2026</w:t>
                                    </w:r>
                                  </w:sdtContent>
                                </w:sdt>
                              </w:p>
                            </w:tc>
                          </w:tr>
                          <w:tr w:rsidR="009B566A" w14:paraId="08AF77BE" w14:textId="77777777">
                            <w:trPr>
                              <w:trHeight w:val="240"/>
                            </w:trPr>
                            <w:tc>
                              <w:tcPr>
                                <w:tcW w:w="1140" w:type="dxa"/>
                              </w:tcPr>
                              <w:p w14:paraId="00C3940E" w14:textId="77777777" w:rsidR="009B566A" w:rsidRDefault="00F52B7A">
                                <w:r>
                                  <w:t>Betreft</w:t>
                                </w:r>
                              </w:p>
                            </w:tc>
                            <w:tc>
                              <w:tcPr>
                                <w:tcW w:w="5918" w:type="dxa"/>
                              </w:tcPr>
                              <w:p w14:paraId="6A137D01" w14:textId="08D6FBD9" w:rsidR="009B566A" w:rsidRDefault="00F52B7A">
                                <w:r>
                                  <w:t xml:space="preserve">Motie </w:t>
                                </w:r>
                                <w:proofErr w:type="spellStart"/>
                                <w:r w:rsidR="00051A1F">
                                  <w:t>Valize</w:t>
                                </w:r>
                                <w:proofErr w:type="spellEnd"/>
                                <w:r w:rsidR="00051A1F">
                                  <w:t xml:space="preserve"> inzake partijen die niet onder de Archiefwet vallen</w:t>
                                </w:r>
                              </w:p>
                            </w:tc>
                          </w:tr>
                        </w:tbl>
                        <w:p w14:paraId="4E9173F0" w14:textId="77777777" w:rsidR="00AB42CA" w:rsidRDefault="00AB42C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85BB1" id="46feebd0-aa3c-11ea-a756-beb5f67e67be" o:spid="_x0000_s1030" type="#_x0000_t202" style="position:absolute;margin-left:0;margin-top:264.2pt;width:373.75pt;height:40.6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B566A" w14:paraId="612FC5C9" w14:textId="77777777">
                      <w:trPr>
                        <w:trHeight w:val="240"/>
                      </w:trPr>
                      <w:tc>
                        <w:tcPr>
                          <w:tcW w:w="1140" w:type="dxa"/>
                        </w:tcPr>
                        <w:p w14:paraId="65A1649B" w14:textId="77777777" w:rsidR="009B566A" w:rsidRDefault="00F52B7A">
                          <w:r>
                            <w:t>Datum</w:t>
                          </w:r>
                        </w:p>
                      </w:tc>
                      <w:tc>
                        <w:tcPr>
                          <w:tcW w:w="5918" w:type="dxa"/>
                        </w:tcPr>
                        <w:p w14:paraId="7B9D6B71" w14:textId="5B753E2D" w:rsidR="009B566A" w:rsidRDefault="005C5719">
                          <w:sdt>
                            <w:sdtPr>
                              <w:id w:val="-1718507080"/>
                              <w:date w:fullDate="2026-06-23T00:00:00Z">
                                <w:dateFormat w:val="d MMMM yyyy"/>
                                <w:lid w:val="nl"/>
                                <w:storeMappedDataAs w:val="dateTime"/>
                                <w:calendar w:val="gregorian"/>
                              </w:date>
                            </w:sdtPr>
                            <w:sdtEndPr/>
                            <w:sdtContent>
                              <w:r w:rsidR="004037A2">
                                <w:rPr>
                                  <w:lang w:val="nl"/>
                                </w:rPr>
                                <w:t>23 juni 2026</w:t>
                              </w:r>
                            </w:sdtContent>
                          </w:sdt>
                        </w:p>
                      </w:tc>
                    </w:tr>
                    <w:tr w:rsidR="009B566A" w14:paraId="08AF77BE" w14:textId="77777777">
                      <w:trPr>
                        <w:trHeight w:val="240"/>
                      </w:trPr>
                      <w:tc>
                        <w:tcPr>
                          <w:tcW w:w="1140" w:type="dxa"/>
                        </w:tcPr>
                        <w:p w14:paraId="00C3940E" w14:textId="77777777" w:rsidR="009B566A" w:rsidRDefault="00F52B7A">
                          <w:r>
                            <w:t>Betreft</w:t>
                          </w:r>
                        </w:p>
                      </w:tc>
                      <w:tc>
                        <w:tcPr>
                          <w:tcW w:w="5918" w:type="dxa"/>
                        </w:tcPr>
                        <w:p w14:paraId="6A137D01" w14:textId="08D6FBD9" w:rsidR="009B566A" w:rsidRDefault="00F52B7A">
                          <w:r>
                            <w:t xml:space="preserve">Motie </w:t>
                          </w:r>
                          <w:proofErr w:type="spellStart"/>
                          <w:r w:rsidR="00051A1F">
                            <w:t>Valize</w:t>
                          </w:r>
                          <w:proofErr w:type="spellEnd"/>
                          <w:r w:rsidR="00051A1F">
                            <w:t xml:space="preserve"> inzake partijen die niet onder de Archiefwet vallen</w:t>
                          </w:r>
                        </w:p>
                      </w:tc>
                    </w:tr>
                  </w:tbl>
                  <w:p w14:paraId="4E9173F0" w14:textId="77777777" w:rsidR="00AB42CA" w:rsidRDefault="00AB42C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2120549" wp14:editId="28617E1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90FA3A" w14:textId="77777777" w:rsidR="009B566A" w:rsidRDefault="00F52B7A">
                          <w:pPr>
                            <w:pStyle w:val="Referentiegegevensbold"/>
                          </w:pPr>
                          <w:r>
                            <w:t>Directoraat-Generaal Rechtspleging en Rechtshandhaving</w:t>
                          </w:r>
                        </w:p>
                        <w:p w14:paraId="69DC42C2" w14:textId="77777777" w:rsidR="009B566A" w:rsidRDefault="00F52B7A">
                          <w:pPr>
                            <w:pStyle w:val="Referentiegegevens"/>
                          </w:pPr>
                          <w:r>
                            <w:t>Directie Rechtsbestel</w:t>
                          </w:r>
                        </w:p>
                        <w:p w14:paraId="41F9F574" w14:textId="77777777" w:rsidR="009B566A" w:rsidRDefault="00F52B7A">
                          <w:pPr>
                            <w:pStyle w:val="Referentiegegevens"/>
                          </w:pPr>
                          <w:r>
                            <w:t>Afdeling Gegevensbescherming en Privacy</w:t>
                          </w:r>
                        </w:p>
                        <w:p w14:paraId="2D4A28FA" w14:textId="77777777" w:rsidR="009B566A" w:rsidRDefault="009B566A">
                          <w:pPr>
                            <w:pStyle w:val="WitregelW1"/>
                          </w:pPr>
                        </w:p>
                        <w:p w14:paraId="1112BD63" w14:textId="77777777" w:rsidR="009B566A" w:rsidRDefault="00F52B7A">
                          <w:pPr>
                            <w:pStyle w:val="Referentiegegevens"/>
                          </w:pPr>
                          <w:r>
                            <w:t>Turfmarkt 147</w:t>
                          </w:r>
                        </w:p>
                        <w:p w14:paraId="16F84C25" w14:textId="77777777" w:rsidR="009B566A" w:rsidRPr="00EA0041" w:rsidRDefault="00F52B7A">
                          <w:pPr>
                            <w:pStyle w:val="Referentiegegevens"/>
                            <w:rPr>
                              <w:lang w:val="de-DE"/>
                            </w:rPr>
                          </w:pPr>
                          <w:r w:rsidRPr="00EA0041">
                            <w:rPr>
                              <w:lang w:val="de-DE"/>
                            </w:rPr>
                            <w:t>2511 DP   Den Haag</w:t>
                          </w:r>
                        </w:p>
                        <w:p w14:paraId="4E8DDE5D" w14:textId="77777777" w:rsidR="009B566A" w:rsidRPr="00EA0041" w:rsidRDefault="00F52B7A">
                          <w:pPr>
                            <w:pStyle w:val="Referentiegegevens"/>
                            <w:rPr>
                              <w:lang w:val="de-DE"/>
                            </w:rPr>
                          </w:pPr>
                          <w:r w:rsidRPr="00EA0041">
                            <w:rPr>
                              <w:lang w:val="de-DE"/>
                            </w:rPr>
                            <w:t>Postbus 20301</w:t>
                          </w:r>
                        </w:p>
                        <w:p w14:paraId="33987518" w14:textId="77777777" w:rsidR="009B566A" w:rsidRPr="00EA0041" w:rsidRDefault="00F52B7A">
                          <w:pPr>
                            <w:pStyle w:val="Referentiegegevens"/>
                            <w:rPr>
                              <w:lang w:val="de-DE"/>
                            </w:rPr>
                          </w:pPr>
                          <w:r w:rsidRPr="00EA0041">
                            <w:rPr>
                              <w:lang w:val="de-DE"/>
                            </w:rPr>
                            <w:t>2500 EH   Den Haag</w:t>
                          </w:r>
                        </w:p>
                        <w:p w14:paraId="7AD0F55A" w14:textId="77777777" w:rsidR="009B566A" w:rsidRPr="00EA0041" w:rsidRDefault="00F52B7A">
                          <w:pPr>
                            <w:pStyle w:val="Referentiegegevens"/>
                            <w:rPr>
                              <w:lang w:val="de-DE"/>
                            </w:rPr>
                          </w:pPr>
                          <w:r w:rsidRPr="00EA0041">
                            <w:rPr>
                              <w:lang w:val="de-DE"/>
                            </w:rPr>
                            <w:t>www.rijksoverheid.nl/jenv</w:t>
                          </w:r>
                        </w:p>
                        <w:p w14:paraId="3D618385" w14:textId="77777777" w:rsidR="009B566A" w:rsidRPr="00EA0041" w:rsidRDefault="009B566A">
                          <w:pPr>
                            <w:pStyle w:val="WitregelW2"/>
                            <w:rPr>
                              <w:lang w:val="de-DE"/>
                            </w:rPr>
                          </w:pPr>
                        </w:p>
                        <w:p w14:paraId="60FF48AD" w14:textId="77777777" w:rsidR="009B566A" w:rsidRDefault="00F52B7A">
                          <w:pPr>
                            <w:pStyle w:val="Referentiegegevensbold"/>
                          </w:pPr>
                          <w:r>
                            <w:t>Onze referentie</w:t>
                          </w:r>
                        </w:p>
                        <w:p w14:paraId="3C93FA00" w14:textId="77777777" w:rsidR="009B566A" w:rsidRDefault="00F52B7A">
                          <w:pPr>
                            <w:pStyle w:val="Referentiegegevens"/>
                          </w:pPr>
                          <w:r>
                            <w:t>7698872</w:t>
                          </w:r>
                        </w:p>
                      </w:txbxContent>
                    </wps:txbx>
                    <wps:bodyPr vert="horz" wrap="square" lIns="0" tIns="0" rIns="0" bIns="0" anchor="t" anchorCtr="0"/>
                  </wps:wsp>
                </a:graphicData>
              </a:graphic>
            </wp:anchor>
          </w:drawing>
        </mc:Choice>
        <mc:Fallback>
          <w:pict>
            <v:shape w14:anchorId="2212054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90FA3A" w14:textId="77777777" w:rsidR="009B566A" w:rsidRDefault="00F52B7A">
                    <w:pPr>
                      <w:pStyle w:val="Referentiegegevensbold"/>
                    </w:pPr>
                    <w:r>
                      <w:t>Directoraat-Generaal Rechtspleging en Rechtshandhaving</w:t>
                    </w:r>
                  </w:p>
                  <w:p w14:paraId="69DC42C2" w14:textId="77777777" w:rsidR="009B566A" w:rsidRDefault="00F52B7A">
                    <w:pPr>
                      <w:pStyle w:val="Referentiegegevens"/>
                    </w:pPr>
                    <w:r>
                      <w:t>Directie Rechtsbestel</w:t>
                    </w:r>
                  </w:p>
                  <w:p w14:paraId="41F9F574" w14:textId="77777777" w:rsidR="009B566A" w:rsidRDefault="00F52B7A">
                    <w:pPr>
                      <w:pStyle w:val="Referentiegegevens"/>
                    </w:pPr>
                    <w:r>
                      <w:t>Afdeling Gegevensbescherming en Privacy</w:t>
                    </w:r>
                  </w:p>
                  <w:p w14:paraId="2D4A28FA" w14:textId="77777777" w:rsidR="009B566A" w:rsidRDefault="009B566A">
                    <w:pPr>
                      <w:pStyle w:val="WitregelW1"/>
                    </w:pPr>
                  </w:p>
                  <w:p w14:paraId="1112BD63" w14:textId="77777777" w:rsidR="009B566A" w:rsidRDefault="00F52B7A">
                    <w:pPr>
                      <w:pStyle w:val="Referentiegegevens"/>
                    </w:pPr>
                    <w:r>
                      <w:t>Turfmarkt 147</w:t>
                    </w:r>
                  </w:p>
                  <w:p w14:paraId="16F84C25" w14:textId="77777777" w:rsidR="009B566A" w:rsidRPr="00EA0041" w:rsidRDefault="00F52B7A">
                    <w:pPr>
                      <w:pStyle w:val="Referentiegegevens"/>
                      <w:rPr>
                        <w:lang w:val="de-DE"/>
                      </w:rPr>
                    </w:pPr>
                    <w:r w:rsidRPr="00EA0041">
                      <w:rPr>
                        <w:lang w:val="de-DE"/>
                      </w:rPr>
                      <w:t>2511 DP   Den Haag</w:t>
                    </w:r>
                  </w:p>
                  <w:p w14:paraId="4E8DDE5D" w14:textId="77777777" w:rsidR="009B566A" w:rsidRPr="00EA0041" w:rsidRDefault="00F52B7A">
                    <w:pPr>
                      <w:pStyle w:val="Referentiegegevens"/>
                      <w:rPr>
                        <w:lang w:val="de-DE"/>
                      </w:rPr>
                    </w:pPr>
                    <w:r w:rsidRPr="00EA0041">
                      <w:rPr>
                        <w:lang w:val="de-DE"/>
                      </w:rPr>
                      <w:t>Postbus 20301</w:t>
                    </w:r>
                  </w:p>
                  <w:p w14:paraId="33987518" w14:textId="77777777" w:rsidR="009B566A" w:rsidRPr="00EA0041" w:rsidRDefault="00F52B7A">
                    <w:pPr>
                      <w:pStyle w:val="Referentiegegevens"/>
                      <w:rPr>
                        <w:lang w:val="de-DE"/>
                      </w:rPr>
                    </w:pPr>
                    <w:r w:rsidRPr="00EA0041">
                      <w:rPr>
                        <w:lang w:val="de-DE"/>
                      </w:rPr>
                      <w:t>2500 EH   Den Haag</w:t>
                    </w:r>
                  </w:p>
                  <w:p w14:paraId="7AD0F55A" w14:textId="77777777" w:rsidR="009B566A" w:rsidRPr="00EA0041" w:rsidRDefault="00F52B7A">
                    <w:pPr>
                      <w:pStyle w:val="Referentiegegevens"/>
                      <w:rPr>
                        <w:lang w:val="de-DE"/>
                      </w:rPr>
                    </w:pPr>
                    <w:r w:rsidRPr="00EA0041">
                      <w:rPr>
                        <w:lang w:val="de-DE"/>
                      </w:rPr>
                      <w:t>www.rijksoverheid.nl/jenv</w:t>
                    </w:r>
                  </w:p>
                  <w:p w14:paraId="3D618385" w14:textId="77777777" w:rsidR="009B566A" w:rsidRPr="00EA0041" w:rsidRDefault="009B566A">
                    <w:pPr>
                      <w:pStyle w:val="WitregelW2"/>
                      <w:rPr>
                        <w:lang w:val="de-DE"/>
                      </w:rPr>
                    </w:pPr>
                  </w:p>
                  <w:p w14:paraId="60FF48AD" w14:textId="77777777" w:rsidR="009B566A" w:rsidRDefault="00F52B7A">
                    <w:pPr>
                      <w:pStyle w:val="Referentiegegevensbold"/>
                    </w:pPr>
                    <w:r>
                      <w:t>Onze referentie</w:t>
                    </w:r>
                  </w:p>
                  <w:p w14:paraId="3C93FA00" w14:textId="77777777" w:rsidR="009B566A" w:rsidRDefault="00F52B7A">
                    <w:pPr>
                      <w:pStyle w:val="Referentiegegevens"/>
                    </w:pPr>
                    <w:r>
                      <w:t>7698872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F2DFCA9" wp14:editId="6242B8D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0B5A8E" w14:textId="77777777" w:rsidR="00AB42CA" w:rsidRDefault="00AB42CA"/>
                      </w:txbxContent>
                    </wps:txbx>
                    <wps:bodyPr vert="horz" wrap="square" lIns="0" tIns="0" rIns="0" bIns="0" anchor="t" anchorCtr="0"/>
                  </wps:wsp>
                </a:graphicData>
              </a:graphic>
            </wp:anchor>
          </w:drawing>
        </mc:Choice>
        <mc:Fallback>
          <w:pict>
            <v:shape w14:anchorId="3F2DFCA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E0B5A8E" w14:textId="77777777" w:rsidR="00AB42CA" w:rsidRDefault="00AB42C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BAA51E" wp14:editId="775D378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02051B" w14:textId="6208165F" w:rsidR="009B566A" w:rsidRDefault="00F52B7A">
                          <w:pPr>
                            <w:pStyle w:val="Referentiegegevens"/>
                          </w:pPr>
                          <w:r>
                            <w:t xml:space="preserve">Pagina </w:t>
                          </w:r>
                          <w:r>
                            <w:fldChar w:fldCharType="begin"/>
                          </w:r>
                          <w:r>
                            <w:instrText>PAGE</w:instrText>
                          </w:r>
                          <w:r>
                            <w:fldChar w:fldCharType="separate"/>
                          </w:r>
                          <w:r w:rsidR="009E508A">
                            <w:rPr>
                              <w:noProof/>
                            </w:rPr>
                            <w:t>1</w:t>
                          </w:r>
                          <w:r>
                            <w:fldChar w:fldCharType="end"/>
                          </w:r>
                          <w:r>
                            <w:t xml:space="preserve"> van </w:t>
                          </w:r>
                          <w:r>
                            <w:fldChar w:fldCharType="begin"/>
                          </w:r>
                          <w:r>
                            <w:instrText>NUMPAGES</w:instrText>
                          </w:r>
                          <w:r>
                            <w:fldChar w:fldCharType="separate"/>
                          </w:r>
                          <w:r w:rsidR="009E508A">
                            <w:rPr>
                              <w:noProof/>
                            </w:rPr>
                            <w:t>1</w:t>
                          </w:r>
                          <w:r>
                            <w:fldChar w:fldCharType="end"/>
                          </w:r>
                        </w:p>
                      </w:txbxContent>
                    </wps:txbx>
                    <wps:bodyPr vert="horz" wrap="square" lIns="0" tIns="0" rIns="0" bIns="0" anchor="t" anchorCtr="0"/>
                  </wps:wsp>
                </a:graphicData>
              </a:graphic>
            </wp:anchor>
          </w:drawing>
        </mc:Choice>
        <mc:Fallback>
          <w:pict>
            <v:shape w14:anchorId="34BAA51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102051B" w14:textId="6208165F" w:rsidR="009B566A" w:rsidRDefault="00F52B7A">
                    <w:pPr>
                      <w:pStyle w:val="Referentiegegevens"/>
                    </w:pPr>
                    <w:r>
                      <w:t xml:space="preserve">Pagina </w:t>
                    </w:r>
                    <w:r>
                      <w:fldChar w:fldCharType="begin"/>
                    </w:r>
                    <w:r>
                      <w:instrText>PAGE</w:instrText>
                    </w:r>
                    <w:r>
                      <w:fldChar w:fldCharType="separate"/>
                    </w:r>
                    <w:r w:rsidR="009E508A">
                      <w:rPr>
                        <w:noProof/>
                      </w:rPr>
                      <w:t>1</w:t>
                    </w:r>
                    <w:r>
                      <w:fldChar w:fldCharType="end"/>
                    </w:r>
                    <w:r>
                      <w:t xml:space="preserve"> van </w:t>
                    </w:r>
                    <w:r>
                      <w:fldChar w:fldCharType="begin"/>
                    </w:r>
                    <w:r>
                      <w:instrText>NUMPAGES</w:instrText>
                    </w:r>
                    <w:r>
                      <w:fldChar w:fldCharType="separate"/>
                    </w:r>
                    <w:r w:rsidR="009E508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2828C2" wp14:editId="75B077E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E1AEC2" w14:textId="77777777" w:rsidR="009B566A" w:rsidRDefault="00F52B7A">
                          <w:pPr>
                            <w:spacing w:line="240" w:lineRule="auto"/>
                          </w:pPr>
                          <w:r>
                            <w:rPr>
                              <w:noProof/>
                            </w:rPr>
                            <w:drawing>
                              <wp:inline distT="0" distB="0" distL="0" distR="0" wp14:anchorId="562D0B5F" wp14:editId="191A28D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2828C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2E1AEC2" w14:textId="77777777" w:rsidR="009B566A" w:rsidRDefault="00F52B7A">
                    <w:pPr>
                      <w:spacing w:line="240" w:lineRule="auto"/>
                    </w:pPr>
                    <w:r>
                      <w:rPr>
                        <w:noProof/>
                      </w:rPr>
                      <w:drawing>
                        <wp:inline distT="0" distB="0" distL="0" distR="0" wp14:anchorId="562D0B5F" wp14:editId="191A28D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DF512E5" wp14:editId="0DE2886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73EC97" w14:textId="77777777" w:rsidR="009B566A" w:rsidRDefault="00F52B7A">
                          <w:pPr>
                            <w:spacing w:line="240" w:lineRule="auto"/>
                          </w:pPr>
                          <w:r>
                            <w:rPr>
                              <w:noProof/>
                            </w:rPr>
                            <w:drawing>
                              <wp:inline distT="0" distB="0" distL="0" distR="0" wp14:anchorId="1B9D4DBF" wp14:editId="7CBC4E1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F512E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273EC97" w14:textId="77777777" w:rsidR="009B566A" w:rsidRDefault="00F52B7A">
                    <w:pPr>
                      <w:spacing w:line="240" w:lineRule="auto"/>
                    </w:pPr>
                    <w:r>
                      <w:rPr>
                        <w:noProof/>
                      </w:rPr>
                      <w:drawing>
                        <wp:inline distT="0" distB="0" distL="0" distR="0" wp14:anchorId="1B9D4DBF" wp14:editId="7CBC4E1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69692A8" wp14:editId="1985115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AAC0F4" w14:textId="77777777" w:rsidR="009B566A" w:rsidRDefault="00F52B7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69692A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AAC0F4" w14:textId="77777777" w:rsidR="009B566A" w:rsidRDefault="00F52B7A">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3277F"/>
    <w:multiLevelType w:val="multilevel"/>
    <w:tmpl w:val="3BD8B13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24EF255"/>
    <w:multiLevelType w:val="multilevel"/>
    <w:tmpl w:val="9A3F22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5779574"/>
    <w:multiLevelType w:val="multilevel"/>
    <w:tmpl w:val="4395A9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0E8419"/>
    <w:multiLevelType w:val="multilevel"/>
    <w:tmpl w:val="FBF504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295C40F"/>
    <w:multiLevelType w:val="multilevel"/>
    <w:tmpl w:val="2F46152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30EC143"/>
    <w:multiLevelType w:val="multilevel"/>
    <w:tmpl w:val="A9B0C3E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78991907">
    <w:abstractNumId w:val="4"/>
  </w:num>
  <w:num w:numId="2" w16cid:durableId="237637878">
    <w:abstractNumId w:val="0"/>
  </w:num>
  <w:num w:numId="3" w16cid:durableId="1959295218">
    <w:abstractNumId w:val="2"/>
  </w:num>
  <w:num w:numId="4" w16cid:durableId="1120537611">
    <w:abstractNumId w:val="3"/>
  </w:num>
  <w:num w:numId="5" w16cid:durableId="1011642679">
    <w:abstractNumId w:val="5"/>
  </w:num>
  <w:num w:numId="6" w16cid:durableId="177767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8A"/>
    <w:rsid w:val="00021556"/>
    <w:rsid w:val="00027AB6"/>
    <w:rsid w:val="00036D34"/>
    <w:rsid w:val="00051A1F"/>
    <w:rsid w:val="0005289F"/>
    <w:rsid w:val="0005548F"/>
    <w:rsid w:val="00060E41"/>
    <w:rsid w:val="000722BB"/>
    <w:rsid w:val="00082549"/>
    <w:rsid w:val="00083B04"/>
    <w:rsid w:val="00086771"/>
    <w:rsid w:val="000F6DFD"/>
    <w:rsid w:val="001026AE"/>
    <w:rsid w:val="00110B92"/>
    <w:rsid w:val="00123BC4"/>
    <w:rsid w:val="001608E6"/>
    <w:rsid w:val="0016399A"/>
    <w:rsid w:val="001D09F4"/>
    <w:rsid w:val="00207EF1"/>
    <w:rsid w:val="00214326"/>
    <w:rsid w:val="00245C03"/>
    <w:rsid w:val="0026246A"/>
    <w:rsid w:val="002B4115"/>
    <w:rsid w:val="002D7285"/>
    <w:rsid w:val="003055FC"/>
    <w:rsid w:val="0030791F"/>
    <w:rsid w:val="003112E9"/>
    <w:rsid w:val="003817B6"/>
    <w:rsid w:val="00381C1D"/>
    <w:rsid w:val="00384D69"/>
    <w:rsid w:val="003F57BB"/>
    <w:rsid w:val="004037A2"/>
    <w:rsid w:val="00427EAB"/>
    <w:rsid w:val="00477021"/>
    <w:rsid w:val="00493E5A"/>
    <w:rsid w:val="004E1603"/>
    <w:rsid w:val="004E2F11"/>
    <w:rsid w:val="005004D2"/>
    <w:rsid w:val="00524062"/>
    <w:rsid w:val="00534253"/>
    <w:rsid w:val="00535080"/>
    <w:rsid w:val="00586210"/>
    <w:rsid w:val="005C5719"/>
    <w:rsid w:val="005E20B1"/>
    <w:rsid w:val="005E76D0"/>
    <w:rsid w:val="00614265"/>
    <w:rsid w:val="00637887"/>
    <w:rsid w:val="006400EC"/>
    <w:rsid w:val="00640D93"/>
    <w:rsid w:val="00670C3A"/>
    <w:rsid w:val="007031E0"/>
    <w:rsid w:val="00714A89"/>
    <w:rsid w:val="007150F6"/>
    <w:rsid w:val="007202C1"/>
    <w:rsid w:val="0076716D"/>
    <w:rsid w:val="00791FD9"/>
    <w:rsid w:val="007972BA"/>
    <w:rsid w:val="007D0E92"/>
    <w:rsid w:val="007D7C49"/>
    <w:rsid w:val="007E2FBD"/>
    <w:rsid w:val="00810EB2"/>
    <w:rsid w:val="00832AF9"/>
    <w:rsid w:val="0084587F"/>
    <w:rsid w:val="0085623B"/>
    <w:rsid w:val="00894A3E"/>
    <w:rsid w:val="008B090C"/>
    <w:rsid w:val="008B4E4E"/>
    <w:rsid w:val="0090564C"/>
    <w:rsid w:val="00906F9A"/>
    <w:rsid w:val="00915F78"/>
    <w:rsid w:val="00944BBB"/>
    <w:rsid w:val="00945DDF"/>
    <w:rsid w:val="009757AB"/>
    <w:rsid w:val="009A5361"/>
    <w:rsid w:val="009A697D"/>
    <w:rsid w:val="009B06FC"/>
    <w:rsid w:val="009B524D"/>
    <w:rsid w:val="009B566A"/>
    <w:rsid w:val="009E508A"/>
    <w:rsid w:val="009E5FEA"/>
    <w:rsid w:val="00A4087D"/>
    <w:rsid w:val="00A83905"/>
    <w:rsid w:val="00AA2A2D"/>
    <w:rsid w:val="00AA6721"/>
    <w:rsid w:val="00AB42CA"/>
    <w:rsid w:val="00AB4B39"/>
    <w:rsid w:val="00AC0246"/>
    <w:rsid w:val="00AE6E8D"/>
    <w:rsid w:val="00B0674B"/>
    <w:rsid w:val="00B56873"/>
    <w:rsid w:val="00B66BA8"/>
    <w:rsid w:val="00B83142"/>
    <w:rsid w:val="00B961B8"/>
    <w:rsid w:val="00BD1399"/>
    <w:rsid w:val="00C61FB2"/>
    <w:rsid w:val="00CB37E3"/>
    <w:rsid w:val="00D15D5D"/>
    <w:rsid w:val="00D464B9"/>
    <w:rsid w:val="00D6327F"/>
    <w:rsid w:val="00D641E9"/>
    <w:rsid w:val="00D86444"/>
    <w:rsid w:val="00D87B77"/>
    <w:rsid w:val="00D90C31"/>
    <w:rsid w:val="00DA6C0C"/>
    <w:rsid w:val="00DD763D"/>
    <w:rsid w:val="00DF254E"/>
    <w:rsid w:val="00E42E94"/>
    <w:rsid w:val="00E665DE"/>
    <w:rsid w:val="00E76759"/>
    <w:rsid w:val="00EA0041"/>
    <w:rsid w:val="00ED61C7"/>
    <w:rsid w:val="00EF0D4F"/>
    <w:rsid w:val="00F4610F"/>
    <w:rsid w:val="00F52B7A"/>
    <w:rsid w:val="00F53B91"/>
    <w:rsid w:val="00F7546A"/>
    <w:rsid w:val="00F92D2F"/>
    <w:rsid w:val="00F9769C"/>
    <w:rsid w:val="00FD6075"/>
    <w:rsid w:val="00FE5F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1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7E2F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E508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E508A"/>
    <w:rPr>
      <w:rFonts w:ascii="Verdana" w:hAnsi="Verdana"/>
      <w:color w:val="000000"/>
    </w:rPr>
  </w:style>
  <w:style w:type="character" w:styleId="Voetnootmarkering">
    <w:name w:val="footnote reference"/>
    <w:basedOn w:val="Standaardalinea-lettertype"/>
    <w:uiPriority w:val="99"/>
    <w:semiHidden/>
    <w:unhideWhenUsed/>
    <w:rsid w:val="009E508A"/>
    <w:rPr>
      <w:vertAlign w:val="superscript"/>
    </w:rPr>
  </w:style>
  <w:style w:type="paragraph" w:styleId="Koptekst">
    <w:name w:val="header"/>
    <w:basedOn w:val="Standaard"/>
    <w:link w:val="KoptekstChar"/>
    <w:uiPriority w:val="99"/>
    <w:unhideWhenUsed/>
    <w:rsid w:val="00AA67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6721"/>
    <w:rPr>
      <w:rFonts w:ascii="Verdana" w:hAnsi="Verdana"/>
      <w:color w:val="000000"/>
      <w:sz w:val="18"/>
      <w:szCs w:val="18"/>
    </w:rPr>
  </w:style>
  <w:style w:type="paragraph" w:styleId="Revisie">
    <w:name w:val="Revision"/>
    <w:hidden/>
    <w:uiPriority w:val="99"/>
    <w:semiHidden/>
    <w:rsid w:val="00D641E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641E9"/>
    <w:rPr>
      <w:sz w:val="16"/>
      <w:szCs w:val="16"/>
    </w:rPr>
  </w:style>
  <w:style w:type="paragraph" w:styleId="Tekstopmerking">
    <w:name w:val="annotation text"/>
    <w:basedOn w:val="Standaard"/>
    <w:link w:val="TekstopmerkingChar"/>
    <w:uiPriority w:val="99"/>
    <w:unhideWhenUsed/>
    <w:rsid w:val="00D641E9"/>
    <w:pPr>
      <w:spacing w:line="240" w:lineRule="auto"/>
    </w:pPr>
    <w:rPr>
      <w:sz w:val="20"/>
      <w:szCs w:val="20"/>
    </w:rPr>
  </w:style>
  <w:style w:type="character" w:customStyle="1" w:styleId="TekstopmerkingChar">
    <w:name w:val="Tekst opmerking Char"/>
    <w:basedOn w:val="Standaardalinea-lettertype"/>
    <w:link w:val="Tekstopmerking"/>
    <w:uiPriority w:val="99"/>
    <w:rsid w:val="00D641E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641E9"/>
    <w:rPr>
      <w:b/>
      <w:bCs/>
    </w:rPr>
  </w:style>
  <w:style w:type="character" w:customStyle="1" w:styleId="OnderwerpvanopmerkingChar">
    <w:name w:val="Onderwerp van opmerking Char"/>
    <w:basedOn w:val="TekstopmerkingChar"/>
    <w:link w:val="Onderwerpvanopmerking"/>
    <w:uiPriority w:val="99"/>
    <w:semiHidden/>
    <w:rsid w:val="00D641E9"/>
    <w:rPr>
      <w:rFonts w:ascii="Verdana" w:hAnsi="Verdana"/>
      <w:b/>
      <w:bCs/>
      <w:color w:val="000000"/>
    </w:rPr>
  </w:style>
  <w:style w:type="character" w:styleId="Onopgelostemelding">
    <w:name w:val="Unresolved Mention"/>
    <w:basedOn w:val="Standaardalinea-lettertype"/>
    <w:uiPriority w:val="99"/>
    <w:semiHidden/>
    <w:unhideWhenUsed/>
    <w:rsid w:val="00C61FB2"/>
    <w:rPr>
      <w:color w:val="605E5C"/>
      <w:shd w:val="clear" w:color="auto" w:fill="E1DFDD"/>
    </w:rPr>
  </w:style>
  <w:style w:type="character" w:styleId="GevolgdeHyperlink">
    <w:name w:val="FollowedHyperlink"/>
    <w:basedOn w:val="Standaardalinea-lettertype"/>
    <w:uiPriority w:val="99"/>
    <w:semiHidden/>
    <w:unhideWhenUsed/>
    <w:rsid w:val="00F53B91"/>
    <w:rPr>
      <w:color w:val="954F72" w:themeColor="followedHyperlink"/>
      <w:u w:val="single"/>
    </w:rPr>
  </w:style>
  <w:style w:type="character" w:customStyle="1" w:styleId="Kop4Char">
    <w:name w:val="Kop 4 Char"/>
    <w:basedOn w:val="Standaardalinea-lettertype"/>
    <w:link w:val="Kop4"/>
    <w:uiPriority w:val="9"/>
    <w:semiHidden/>
    <w:rsid w:val="007E2FBD"/>
    <w:rPr>
      <w:rFonts w:asciiTheme="majorHAnsi" w:eastAsiaTheme="majorEastAsia" w:hAnsiTheme="majorHAnsi" w:cstheme="majorBidi"/>
      <w:i/>
      <w:iCs/>
      <w:color w:val="2F5496"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774">
      <w:bodyDiv w:val="1"/>
      <w:marLeft w:val="0"/>
      <w:marRight w:val="0"/>
      <w:marTop w:val="0"/>
      <w:marBottom w:val="0"/>
      <w:divBdr>
        <w:top w:val="none" w:sz="0" w:space="0" w:color="auto"/>
        <w:left w:val="none" w:sz="0" w:space="0" w:color="auto"/>
        <w:bottom w:val="none" w:sz="0" w:space="0" w:color="auto"/>
        <w:right w:val="none" w:sz="0" w:space="0" w:color="auto"/>
      </w:divBdr>
      <w:divsChild>
        <w:div w:id="2123450596">
          <w:marLeft w:val="0"/>
          <w:marRight w:val="0"/>
          <w:marTop w:val="0"/>
          <w:marBottom w:val="0"/>
          <w:divBdr>
            <w:top w:val="none" w:sz="0" w:space="0" w:color="auto"/>
            <w:left w:val="none" w:sz="0" w:space="0" w:color="auto"/>
            <w:bottom w:val="none" w:sz="0" w:space="0" w:color="auto"/>
            <w:right w:val="none" w:sz="0" w:space="0" w:color="auto"/>
          </w:divBdr>
          <w:divsChild>
            <w:div w:id="289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3085">
      <w:bodyDiv w:val="1"/>
      <w:marLeft w:val="0"/>
      <w:marRight w:val="0"/>
      <w:marTop w:val="0"/>
      <w:marBottom w:val="0"/>
      <w:divBdr>
        <w:top w:val="none" w:sz="0" w:space="0" w:color="auto"/>
        <w:left w:val="none" w:sz="0" w:space="0" w:color="auto"/>
        <w:bottom w:val="none" w:sz="0" w:space="0" w:color="auto"/>
        <w:right w:val="none" w:sz="0" w:space="0" w:color="auto"/>
      </w:divBdr>
    </w:div>
    <w:div w:id="610748922">
      <w:bodyDiv w:val="1"/>
      <w:marLeft w:val="0"/>
      <w:marRight w:val="0"/>
      <w:marTop w:val="0"/>
      <w:marBottom w:val="0"/>
      <w:divBdr>
        <w:top w:val="none" w:sz="0" w:space="0" w:color="auto"/>
        <w:left w:val="none" w:sz="0" w:space="0" w:color="auto"/>
        <w:bottom w:val="none" w:sz="0" w:space="0" w:color="auto"/>
        <w:right w:val="none" w:sz="0" w:space="0" w:color="auto"/>
      </w:divBdr>
    </w:div>
    <w:div w:id="814835612">
      <w:bodyDiv w:val="1"/>
      <w:marLeft w:val="0"/>
      <w:marRight w:val="0"/>
      <w:marTop w:val="0"/>
      <w:marBottom w:val="0"/>
      <w:divBdr>
        <w:top w:val="none" w:sz="0" w:space="0" w:color="auto"/>
        <w:left w:val="none" w:sz="0" w:space="0" w:color="auto"/>
        <w:bottom w:val="none" w:sz="0" w:space="0" w:color="auto"/>
        <w:right w:val="none" w:sz="0" w:space="0" w:color="auto"/>
      </w:divBdr>
    </w:div>
    <w:div w:id="1348215773">
      <w:bodyDiv w:val="1"/>
      <w:marLeft w:val="0"/>
      <w:marRight w:val="0"/>
      <w:marTop w:val="0"/>
      <w:marBottom w:val="0"/>
      <w:divBdr>
        <w:top w:val="none" w:sz="0" w:space="0" w:color="auto"/>
        <w:left w:val="none" w:sz="0" w:space="0" w:color="auto"/>
        <w:bottom w:val="none" w:sz="0" w:space="0" w:color="auto"/>
        <w:right w:val="none" w:sz="0" w:space="0" w:color="auto"/>
      </w:divBdr>
    </w:div>
    <w:div w:id="1392460073">
      <w:bodyDiv w:val="1"/>
      <w:marLeft w:val="0"/>
      <w:marRight w:val="0"/>
      <w:marTop w:val="0"/>
      <w:marBottom w:val="0"/>
      <w:divBdr>
        <w:top w:val="none" w:sz="0" w:space="0" w:color="auto"/>
        <w:left w:val="none" w:sz="0" w:space="0" w:color="auto"/>
        <w:bottom w:val="none" w:sz="0" w:space="0" w:color="auto"/>
        <w:right w:val="none" w:sz="0" w:space="0" w:color="auto"/>
      </w:divBdr>
    </w:div>
    <w:div w:id="1531870735">
      <w:bodyDiv w:val="1"/>
      <w:marLeft w:val="0"/>
      <w:marRight w:val="0"/>
      <w:marTop w:val="0"/>
      <w:marBottom w:val="0"/>
      <w:divBdr>
        <w:top w:val="none" w:sz="0" w:space="0" w:color="auto"/>
        <w:left w:val="none" w:sz="0" w:space="0" w:color="auto"/>
        <w:bottom w:val="none" w:sz="0" w:space="0" w:color="auto"/>
        <w:right w:val="none" w:sz="0" w:space="0" w:color="auto"/>
      </w:divBdr>
    </w:div>
    <w:div w:id="1808011536">
      <w:bodyDiv w:val="1"/>
      <w:marLeft w:val="0"/>
      <w:marRight w:val="0"/>
      <w:marTop w:val="0"/>
      <w:marBottom w:val="0"/>
      <w:divBdr>
        <w:top w:val="none" w:sz="0" w:space="0" w:color="auto"/>
        <w:left w:val="none" w:sz="0" w:space="0" w:color="auto"/>
        <w:bottom w:val="none" w:sz="0" w:space="0" w:color="auto"/>
        <w:right w:val="none" w:sz="0" w:space="0" w:color="auto"/>
      </w:divBdr>
    </w:div>
    <w:div w:id="1887328145">
      <w:bodyDiv w:val="1"/>
      <w:marLeft w:val="0"/>
      <w:marRight w:val="0"/>
      <w:marTop w:val="0"/>
      <w:marBottom w:val="0"/>
      <w:divBdr>
        <w:top w:val="none" w:sz="0" w:space="0" w:color="auto"/>
        <w:left w:val="none" w:sz="0" w:space="0" w:color="auto"/>
        <w:bottom w:val="none" w:sz="0" w:space="0" w:color="auto"/>
        <w:right w:val="none" w:sz="0" w:space="0" w:color="auto"/>
      </w:divBdr>
      <w:divsChild>
        <w:div w:id="1009022677">
          <w:marLeft w:val="0"/>
          <w:marRight w:val="0"/>
          <w:marTop w:val="0"/>
          <w:marBottom w:val="0"/>
          <w:divBdr>
            <w:top w:val="none" w:sz="0" w:space="0" w:color="auto"/>
            <w:left w:val="none" w:sz="0" w:space="0" w:color="auto"/>
            <w:bottom w:val="none" w:sz="0" w:space="0" w:color="auto"/>
            <w:right w:val="none" w:sz="0" w:space="0" w:color="auto"/>
          </w:divBdr>
          <w:divsChild>
            <w:div w:id="5501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3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privacy-regulation.eu/nl/artikel-89-waarborgen-en-afwijkingen-verband-met-verwerking-met-het-oog-op-archivering-het-algemeen-belang-wetenschappel-EU-AVG.htm" TargetMode="External" Id="rId10" /><Relationship Type="http://schemas.openxmlformats.org/officeDocument/2006/relationships/styles" Target="styles.xml" Id="rId4" /><Relationship Type="http://schemas.openxmlformats.org/officeDocument/2006/relationships/hyperlink" Target="https://www.eerstekamer.nl/begrip/hamerstuk"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dpb.europa.eu/system/files/2024-10/edpb_guidelines_202401_legitimateinterest_en.pdf" TargetMode="External"/><Relationship Id="rId1" Type="http://schemas.openxmlformats.org/officeDocument/2006/relationships/hyperlink" Target="https://www.autoriteitpersoonsgegevens.nl/documenten/advies-verzamelwet-gegevensbeschermin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1594</ap:Words>
  <ap:Characters>8773</ap:Characters>
  <ap:DocSecurity>0</ap:DocSecurity>
  <ap:Lines>73</ap:Lines>
  <ap:Paragraphs>20</ap:Paragraphs>
  <ap:ScaleCrop>false</ap:ScaleCrop>
  <ap:LinksUpToDate>false</ap:LinksUpToDate>
  <ap:CharactersWithSpaces>10347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2026-06-23T08:12:00.0000000Z</dcterms:created>
  <dcterms:modified xsi:type="dcterms:W3CDTF">2026-06-23T08:12:00.0000000Z</dcterms:modified>
  <dc:description>------------------------</dc:description>
  <dc:subject/>
  <keywords/>
  <version/>
  <category/>
</coreProperties>
</file>