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DF7" w:rsidRDefault="00284DF7" w14:paraId="52938263" w14:textId="77777777">
      <w:pPr>
        <w:pStyle w:val="WitregelW1bodytekst"/>
      </w:pPr>
      <w:bookmarkStart w:name="_GoBack" w:id="0"/>
      <w:bookmarkEnd w:id="0"/>
      <w:r>
        <w:t>Geachte voorzitter,</w:t>
      </w:r>
    </w:p>
    <w:p w:rsidR="00B71C55" w:rsidP="003F261F" w:rsidRDefault="00B71C55" w14:paraId="311C34FA" w14:textId="77777777"/>
    <w:p w:rsidR="00256AB0" w:rsidP="003F261F" w:rsidRDefault="00256AB0" w14:paraId="321A106A" w14:textId="5A9B17DC">
      <w:r w:rsidRPr="00256AB0">
        <w:t xml:space="preserve">Met deze brief ontvangt de Kamer de </w:t>
      </w:r>
      <w:r>
        <w:t xml:space="preserve">jaarlijkse </w:t>
      </w:r>
      <w:r w:rsidRPr="00256AB0">
        <w:t>Voortgangsrapportage 2025 Nationale Agenda Laadinfrastructuur (NAL)</w:t>
      </w:r>
      <w:r>
        <w:t>. Daarbij worden de volgende stukken gedeeld: de</w:t>
      </w:r>
      <w:r w:rsidRPr="00256AB0">
        <w:t xml:space="preserve"> begeleidende aanbiedingsbrief van de NAL-voorzitter, de Nationale Routekaart Bidirectioneel Laden, de Revnext studie Potentie bidirectioneel laden, en de Outlook Mobiliteit</w:t>
      </w:r>
      <w:r w:rsidR="000E2398">
        <w:t xml:space="preserve"> 2026</w:t>
      </w:r>
      <w:r w:rsidRPr="00256AB0">
        <w:t>.</w:t>
      </w:r>
    </w:p>
    <w:p w:rsidR="00256AB0" w:rsidP="003F261F" w:rsidRDefault="00256AB0" w14:paraId="1910F39E" w14:textId="77777777"/>
    <w:p w:rsidR="00265D98" w:rsidP="00543CBE" w:rsidRDefault="00543CBE" w14:paraId="50AD88E8" w14:textId="5205E086">
      <w:r w:rsidRPr="007B0C09">
        <w:t xml:space="preserve">Directe aanleiding </w:t>
      </w:r>
      <w:r w:rsidR="00256AB0">
        <w:t>voor</w:t>
      </w:r>
      <w:r w:rsidR="00BC2F8C">
        <w:t xml:space="preserve"> deze brief</w:t>
      </w:r>
      <w:r w:rsidRPr="007B0C09">
        <w:t xml:space="preserve"> is de voortgangsrapportage</w:t>
      </w:r>
      <w:r w:rsidR="00360A3B">
        <w:t xml:space="preserve"> </w:t>
      </w:r>
      <w:r w:rsidR="00473768">
        <w:t xml:space="preserve">met aanbiedingsbrief </w:t>
      </w:r>
      <w:r w:rsidR="009326E3">
        <w:t>(bijlage</w:t>
      </w:r>
      <w:r w:rsidR="00473768">
        <w:t xml:space="preserve"> 1 en</w:t>
      </w:r>
      <w:r w:rsidR="009326E3">
        <w:t xml:space="preserve"> 2)</w:t>
      </w:r>
      <w:r w:rsidRPr="007B0C09">
        <w:t xml:space="preserve"> die de Nationale Agenda Laadinfrastructuur (NAL) op 22 april 2026 </w:t>
      </w:r>
      <w:r w:rsidR="008629E9">
        <w:t>gedeeld he</w:t>
      </w:r>
      <w:r w:rsidR="00473768">
        <w:t>bben</w:t>
      </w:r>
      <w:r w:rsidR="008629E9">
        <w:t xml:space="preserve"> </w:t>
      </w:r>
      <w:r w:rsidRPr="007B0C09">
        <w:t xml:space="preserve">met </w:t>
      </w:r>
      <w:r w:rsidR="008629E9">
        <w:t xml:space="preserve">de </w:t>
      </w:r>
      <w:r w:rsidR="003A0C91">
        <w:t>s</w:t>
      </w:r>
      <w:r w:rsidR="008629E9">
        <w:t>taatssecretaris van IenW,</w:t>
      </w:r>
      <w:r w:rsidRPr="007B0C09">
        <w:t xml:space="preserve"> en de minister en staatssecretaris van Klimaat en Groene Groei. De NAL-voorzitter benoemt de</w:t>
      </w:r>
      <w:r w:rsidR="007E2A5E">
        <w:t xml:space="preserve"> </w:t>
      </w:r>
      <w:r w:rsidRPr="007B0C09">
        <w:t>belangrijkste ontwikkelingen rondom de uitrol van laadinfrastructuur in Nederland</w:t>
      </w:r>
      <w:r w:rsidR="00473768">
        <w:t xml:space="preserve"> </w:t>
      </w:r>
      <w:r w:rsidR="006020B6">
        <w:t xml:space="preserve">met </w:t>
      </w:r>
      <w:r w:rsidR="00BC2F8C">
        <w:t xml:space="preserve">drie </w:t>
      </w:r>
      <w:r w:rsidR="00473768">
        <w:t>specifieke aandachtspunten</w:t>
      </w:r>
      <w:r w:rsidR="00265D98">
        <w:t>:</w:t>
      </w:r>
    </w:p>
    <w:p w:rsidRPr="00265D98" w:rsidR="00265D98" w:rsidP="001A39D8" w:rsidRDefault="00265D98" w14:paraId="7E93252D" w14:textId="2CD3E6DC">
      <w:pPr>
        <w:pStyle w:val="ListParagraph"/>
        <w:numPr>
          <w:ilvl w:val="0"/>
          <w:numId w:val="25"/>
        </w:numPr>
        <w:rPr>
          <w:strike/>
        </w:rPr>
      </w:pPr>
      <w:r>
        <w:t xml:space="preserve">Marktontwikkelingen en voortgang </w:t>
      </w:r>
      <w:r w:rsidR="00205E68">
        <w:t>regionale uitrol laadinfrastructuur</w:t>
      </w:r>
    </w:p>
    <w:p w:rsidRPr="00265D98" w:rsidR="00265D98" w:rsidP="001A39D8" w:rsidRDefault="00265D98" w14:paraId="23419E17" w14:textId="594076FB">
      <w:pPr>
        <w:pStyle w:val="ListParagraph"/>
        <w:numPr>
          <w:ilvl w:val="0"/>
          <w:numId w:val="25"/>
        </w:numPr>
        <w:rPr>
          <w:strike/>
        </w:rPr>
      </w:pPr>
      <w:r>
        <w:t>L</w:t>
      </w:r>
      <w:r w:rsidR="00410FA3">
        <w:t>aadinfrastructuur als onderdeel van het nieuwe energiesysteem</w:t>
      </w:r>
    </w:p>
    <w:p w:rsidRPr="007E2A5E" w:rsidR="00265D98" w:rsidP="001A39D8" w:rsidRDefault="007116A4" w14:paraId="464B4608" w14:textId="16059BCC">
      <w:pPr>
        <w:pStyle w:val="ListParagraph"/>
        <w:numPr>
          <w:ilvl w:val="0"/>
          <w:numId w:val="25"/>
        </w:numPr>
        <w:rPr>
          <w:strike/>
        </w:rPr>
      </w:pPr>
      <w:r>
        <w:t>P</w:t>
      </w:r>
      <w:r w:rsidR="00410FA3">
        <w:t>rijstransparantie</w:t>
      </w:r>
      <w:r>
        <w:t xml:space="preserve"> en marktorganisatie</w:t>
      </w:r>
      <w:r w:rsidR="00410FA3">
        <w:t xml:space="preserve"> </w:t>
      </w:r>
    </w:p>
    <w:p w:rsidR="00BC2F8C" w:rsidP="00265D98" w:rsidRDefault="00BC2F8C" w14:paraId="62D47EC6" w14:textId="77777777"/>
    <w:p w:rsidRPr="0058167F" w:rsidR="00543CBE" w:rsidP="00582FEE" w:rsidRDefault="0058167F" w14:paraId="405D09C9" w14:textId="59B88860">
      <w:bookmarkStart w:name="_Hlk232669843" w:id="1"/>
      <w:r>
        <w:t xml:space="preserve">De </w:t>
      </w:r>
      <w:r w:rsidRPr="0001016A" w:rsidR="0001016A">
        <w:t>voortgangsrapportage laat een dubbel beeld zien. Enerzijds staat Nederland er goed</w:t>
      </w:r>
      <w:r w:rsidR="0001016A">
        <w:t xml:space="preserve"> </w:t>
      </w:r>
      <w:r w:rsidRPr="0001016A" w:rsidR="0001016A">
        <w:t xml:space="preserve">voor: </w:t>
      </w:r>
      <w:r w:rsidR="002747CB">
        <w:t>d</w:t>
      </w:r>
      <w:r w:rsidRPr="00E501E1" w:rsidR="002747CB">
        <w:t>e afgelopen jaren is de</w:t>
      </w:r>
      <w:r w:rsidR="002747CB">
        <w:t xml:space="preserve"> </w:t>
      </w:r>
      <w:r w:rsidRPr="00E501E1" w:rsidR="002747CB">
        <w:t>uitrol van laadinfrastructuur sterk versneld en behoort Nederland tot de koplopers in Europa.</w:t>
      </w:r>
      <w:r w:rsidR="002747CB">
        <w:t xml:space="preserve"> </w:t>
      </w:r>
      <w:r w:rsidRPr="0001016A" w:rsidR="0001016A">
        <w:t xml:space="preserve">Anderzijds </w:t>
      </w:r>
      <w:r w:rsidR="00BB4320">
        <w:t>zal d</w:t>
      </w:r>
      <w:r w:rsidRPr="007B0C09" w:rsidR="00BB4320">
        <w:t xml:space="preserve">e vraag naar elektriciteit vanuit zowel de mobiliteit als andere </w:t>
      </w:r>
      <w:r w:rsidRPr="00CD2D68" w:rsidR="00BB4320">
        <w:t xml:space="preserve">sectoren sterk toenemen, terwijl de ruimte op het elektriciteitsnet steeds schaarser wordt. </w:t>
      </w:r>
      <w:r w:rsidRPr="00CD2D68" w:rsidR="00A603D1">
        <w:t>Netcongestie zal</w:t>
      </w:r>
      <w:r w:rsidRPr="00CD2D68" w:rsidR="00273E0E">
        <w:t xml:space="preserve"> stevige</w:t>
      </w:r>
      <w:r w:rsidRPr="00CD2D68" w:rsidR="00A603D1">
        <w:t xml:space="preserve"> impact hebben op de realisatie van laadinfrastructuur, het is momenteel vooral de vraag hoe groot die impact zal zijn. </w:t>
      </w:r>
      <w:r w:rsidRPr="00CD2D68" w:rsidR="00EB689A">
        <w:t xml:space="preserve">Hoe dan ook is duidelijk dat de ongehinderde uitrol van laadinfrastructuur de komende jaren geen vanzelfsprekendheid is. </w:t>
      </w:r>
      <w:r w:rsidRPr="00CD2D68" w:rsidR="00273E0E">
        <w:t>Verschillende logistieke ondernemers hebben daar nu al last van, doordat zij op de wachtlijst staan voor een (grotere) aansluiting. Dit leidt tot frustratie</w:t>
      </w:r>
      <w:r w:rsidRPr="00CD2D68" w:rsidR="00EB689A">
        <w:t xml:space="preserve"> en kan het draagvlak voor elektrisch rijden schaden. Verzwaring van het stroomnet is van het allergrootste belang en tegelijkertijd moet worden ingezet op het slimmer benutten van het net dat er al ligt. Want ook daar is winst te behalen en juist daar kan mobiliteit een sleutelrol spelen. Op die manier worden de negatieve gevolgen van netcongestie enigszins beperkt en kan d</w:t>
      </w:r>
      <w:r w:rsidRPr="00CD2D68" w:rsidR="003B6EEF">
        <w:t>e transitie naar duurzame mobiliteit</w:t>
      </w:r>
      <w:r w:rsidRPr="00CD2D68" w:rsidR="0053223B">
        <w:t xml:space="preserve"> én meer energie-onafhankelijkheid</w:t>
      </w:r>
      <w:r w:rsidRPr="00CD2D68" w:rsidR="00EB689A">
        <w:t xml:space="preserve"> zoveel mogelijk doorgang vinden</w:t>
      </w:r>
      <w:r w:rsidRPr="00CD2D68" w:rsidR="003B6EEF">
        <w:t xml:space="preserve">. </w:t>
      </w:r>
      <w:r w:rsidRPr="00CD2D68" w:rsidR="00543CBE">
        <w:t xml:space="preserve">Met deze brief wordt </w:t>
      </w:r>
      <w:r w:rsidRPr="00CD2D68" w:rsidR="00EB689A">
        <w:t>ingegaan</w:t>
      </w:r>
      <w:r w:rsidRPr="00CD2D68" w:rsidR="00543CBE">
        <w:t xml:space="preserve"> op deze o</w:t>
      </w:r>
      <w:r w:rsidRPr="007B0C09" w:rsidR="00543CBE">
        <w:t>ntwikkelingen</w:t>
      </w:r>
      <w:r w:rsidR="00410FA3">
        <w:t xml:space="preserve">, aandachtspunten </w:t>
      </w:r>
      <w:r w:rsidRPr="007B0C09" w:rsidR="00543CBE">
        <w:t>en het beleid voor de komende jaren</w:t>
      </w:r>
      <w:r w:rsidR="00042D56">
        <w:t>.</w:t>
      </w:r>
      <w:r w:rsidR="00156740">
        <w:t xml:space="preserve"> </w:t>
      </w:r>
    </w:p>
    <w:bookmarkEnd w:id="1"/>
    <w:p w:rsidR="00BB4320" w:rsidP="00284DF7" w:rsidRDefault="00BB4320" w14:paraId="318548D6" w14:textId="77777777"/>
    <w:p w:rsidRPr="007B0C09" w:rsidR="00FD191D" w:rsidP="00284DF7" w:rsidRDefault="00FD191D" w14:paraId="6D780B8C" w14:textId="77777777"/>
    <w:p w:rsidRPr="007B0C09" w:rsidR="00844E41" w:rsidP="001A39D8" w:rsidRDefault="00205E68" w14:paraId="5C9FAB6A" w14:textId="78046E3E">
      <w:pPr>
        <w:pStyle w:val="ListParagraph"/>
        <w:numPr>
          <w:ilvl w:val="0"/>
          <w:numId w:val="23"/>
        </w:numPr>
        <w:rPr>
          <w:b/>
          <w:bCs/>
        </w:rPr>
      </w:pPr>
      <w:r>
        <w:rPr>
          <w:b/>
          <w:bCs/>
        </w:rPr>
        <w:t>Marktont</w:t>
      </w:r>
      <w:r w:rsidR="006020B6">
        <w:rPr>
          <w:b/>
          <w:bCs/>
        </w:rPr>
        <w:t>w</w:t>
      </w:r>
      <w:r>
        <w:rPr>
          <w:b/>
          <w:bCs/>
        </w:rPr>
        <w:t>ikkelingen en v</w:t>
      </w:r>
      <w:r w:rsidRPr="007B0C09" w:rsidR="00284DF7">
        <w:rPr>
          <w:b/>
          <w:bCs/>
        </w:rPr>
        <w:t>oortgang</w:t>
      </w:r>
      <w:r w:rsidRPr="007B0C09" w:rsidR="003F261F">
        <w:rPr>
          <w:b/>
          <w:bCs/>
        </w:rPr>
        <w:t xml:space="preserve"> regionale uitrol laadinfrastructuur</w:t>
      </w:r>
      <w:bookmarkStart w:name="_Hlk228277963" w:id="2"/>
    </w:p>
    <w:p w:rsidR="00156740" w:rsidP="00AD11D4" w:rsidRDefault="00156740" w14:paraId="2BE85E66" w14:textId="59E3307C">
      <w:r w:rsidRPr="00997E9B">
        <w:t>Volgens de Klimaatwet moet de Nederlandse mobiliteitssector klimaatneutraal zijn in 2050.</w:t>
      </w:r>
      <w:r w:rsidRPr="00997E9B">
        <w:rPr>
          <w:rStyle w:val="FootnoteReference"/>
        </w:rPr>
        <w:footnoteReference w:id="1"/>
      </w:r>
      <w:r w:rsidRPr="00997E9B">
        <w:t xml:space="preserve"> </w:t>
      </w:r>
      <w:r w:rsidRPr="00997E9B" w:rsidR="00997E9B">
        <w:t>In het coalitieakkoord is daarom afgesproken dat de laadinfrastructuur voor elektrische voertuigen uitgebreid wordt.</w:t>
      </w:r>
      <w:r w:rsidRPr="00997E9B" w:rsidR="00997E9B">
        <w:rPr>
          <w:rStyle w:val="FootnoteReference"/>
        </w:rPr>
        <w:footnoteReference w:id="2"/>
      </w:r>
      <w:r w:rsidRPr="00997E9B" w:rsidR="00997E9B">
        <w:t xml:space="preserve"> </w:t>
      </w:r>
      <w:r w:rsidRPr="00997E9B">
        <w:t xml:space="preserve">Zoals </w:t>
      </w:r>
      <w:r w:rsidRPr="00997E9B" w:rsidR="00997E9B">
        <w:t xml:space="preserve">ook </w:t>
      </w:r>
      <w:r w:rsidRPr="00997E9B">
        <w:t>benoemd in de Beleidsbrief Infrastructuur en Waterstaat van 24 april jl. vormt elektrificatie de dominante route naar klimaatneutrale mobiliteit.</w:t>
      </w:r>
      <w:r w:rsidRPr="00997E9B">
        <w:rPr>
          <w:rStyle w:val="FootnoteReference"/>
        </w:rPr>
        <w:footnoteReference w:id="3"/>
      </w:r>
      <w:r w:rsidRPr="00997E9B">
        <w:t xml:space="preserve"> </w:t>
      </w:r>
    </w:p>
    <w:p w:rsidR="006020B6" w:rsidP="00AD11D4" w:rsidRDefault="006020B6" w14:paraId="586A72EF" w14:textId="77777777">
      <w:pPr>
        <w:rPr>
          <w:u w:val="single"/>
        </w:rPr>
      </w:pPr>
    </w:p>
    <w:p w:rsidR="006020B6" w:rsidP="00156740" w:rsidRDefault="00156740" w14:paraId="1C352A62" w14:textId="611ACE86">
      <w:r w:rsidRPr="007B0C09">
        <w:t>Nederland behoort internationaal</w:t>
      </w:r>
      <w:r w:rsidR="00997E9B">
        <w:t xml:space="preserve"> al</w:t>
      </w:r>
      <w:r w:rsidRPr="007B0C09">
        <w:t xml:space="preserve"> tot de koplopers op het gebied van elektrisch vervoer en laadinfrastructuur. Dankzij de gezamenlijke inzet van overheden, netbeheerders, marktpartijen en kennisinstellingen in het samenwerkingsverband van de NAL beschikken elektrische rijders in Nederland over </w:t>
      </w:r>
      <w:r w:rsidR="00BB4320">
        <w:t>éé</w:t>
      </w:r>
      <w:r w:rsidRPr="007B0C09">
        <w:t>n van de meest toegankelijke en betrouwbare laadnetwerken van Europa met meer dan 1 miljoen laadpunten</w:t>
      </w:r>
      <w:r>
        <w:t>, inclusief private laadpunten</w:t>
      </w:r>
      <w:r w:rsidRPr="007B0C09">
        <w:t xml:space="preserve">. Dat is een voorwaarde </w:t>
      </w:r>
      <w:r>
        <w:t xml:space="preserve">voor </w:t>
      </w:r>
      <w:r w:rsidRPr="007B0C09">
        <w:t>de verduurzaming van de mobiliteitssector</w:t>
      </w:r>
      <w:r>
        <w:t xml:space="preserve">, </w:t>
      </w:r>
      <w:r w:rsidRPr="007B0C09">
        <w:t>voor het behalen van de klimaatdoelen</w:t>
      </w:r>
      <w:r>
        <w:t xml:space="preserve"> </w:t>
      </w:r>
      <w:r w:rsidRPr="007B0C09">
        <w:t xml:space="preserve">en het versterken van de energieonafhankelijkheid van Nederland. </w:t>
      </w:r>
    </w:p>
    <w:p w:rsidR="006020B6" w:rsidP="00156740" w:rsidRDefault="006020B6" w14:paraId="311F2B54" w14:textId="77777777"/>
    <w:p w:rsidRPr="007B0C09" w:rsidR="00156740" w:rsidP="00156740" w:rsidRDefault="00156740" w14:paraId="1956052B" w14:textId="679841B1">
      <w:r w:rsidRPr="007B0C09">
        <w:t>Tegelijkertijd staan</w:t>
      </w:r>
      <w:r w:rsidR="006020B6">
        <w:t xml:space="preserve"> we</w:t>
      </w:r>
      <w:r w:rsidRPr="007B0C09">
        <w:t>, zeker wat betreft het zwaardere vervoer</w:t>
      </w:r>
      <w:r>
        <w:t xml:space="preserve"> en bouwmaterieel</w:t>
      </w:r>
      <w:r w:rsidRPr="007B0C09">
        <w:t xml:space="preserve">, aan het begin van de elektrificatie. De vraag naar elektriciteit vanuit zowel de mobiliteit als andere sectoren zal nog sterk toenemen, terwijl de ruimte op het elektriciteitsnet steeds schaarser wordt. Het is van belang om de ruimte die er wel is, vooral buiten de piek, optimaal te benutten en op die manier zoveel mogelijk te voorkomen dat netcongestie </w:t>
      </w:r>
      <w:r>
        <w:t xml:space="preserve">de </w:t>
      </w:r>
      <w:r w:rsidRPr="007B0C09">
        <w:t>realisatie van nieuwe laadpunten vertraagt.</w:t>
      </w:r>
    </w:p>
    <w:p w:rsidR="00156740" w:rsidP="00AD11D4" w:rsidRDefault="00156740" w14:paraId="2DA43624" w14:textId="77777777">
      <w:pPr>
        <w:rPr>
          <w:u w:val="single"/>
        </w:rPr>
      </w:pPr>
    </w:p>
    <w:p w:rsidRPr="0058167F" w:rsidR="00844E41" w:rsidP="001A39D8" w:rsidRDefault="00156740" w14:paraId="14AD3C05" w14:textId="7B77AC7E">
      <w:pPr>
        <w:pStyle w:val="ListParagraph"/>
        <w:numPr>
          <w:ilvl w:val="0"/>
          <w:numId w:val="27"/>
        </w:numPr>
        <w:rPr>
          <w:u w:val="single"/>
        </w:rPr>
      </w:pPr>
      <w:r w:rsidRPr="0058167F">
        <w:rPr>
          <w:u w:val="single"/>
        </w:rPr>
        <w:t xml:space="preserve">Ontwikkeling </w:t>
      </w:r>
      <w:r w:rsidR="00A37DFC">
        <w:rPr>
          <w:u w:val="single"/>
        </w:rPr>
        <w:t>p</w:t>
      </w:r>
      <w:r w:rsidRPr="0058167F" w:rsidR="00844E41">
        <w:rPr>
          <w:u w:val="single"/>
        </w:rPr>
        <w:t>ersonen- en bestelauto’s</w:t>
      </w:r>
      <w:r w:rsidR="00BC2F8C">
        <w:rPr>
          <w:u w:val="single"/>
        </w:rPr>
        <w:t xml:space="preserve">: </w:t>
      </w:r>
      <w:r w:rsidR="00D16000">
        <w:rPr>
          <w:u w:val="single"/>
        </w:rPr>
        <w:t>laadzekerheid is en blijft hoog</w:t>
      </w:r>
    </w:p>
    <w:p w:rsidR="00CF4A3A" w:rsidP="00AD11D4" w:rsidRDefault="00844E41" w14:paraId="6D3C5A08" w14:textId="046D0C16">
      <w:r w:rsidRPr="007B0C09">
        <w:t>De uitrol van de publieke laadinfrastructuur voor personen- en bestelauto’s ontwikkelt zich</w:t>
      </w:r>
      <w:r w:rsidRPr="007B0C09" w:rsidR="0070536D">
        <w:t xml:space="preserve"> vooralsnog</w:t>
      </w:r>
      <w:r w:rsidRPr="007B0C09">
        <w:t xml:space="preserve"> onverminderd sterk</w:t>
      </w:r>
      <w:r w:rsidRPr="00042D56">
        <w:t xml:space="preserve">. </w:t>
      </w:r>
      <w:r w:rsidRPr="00042D56" w:rsidR="00CA2282">
        <w:t xml:space="preserve">Nederland </w:t>
      </w:r>
      <w:r w:rsidR="00DB6126">
        <w:t xml:space="preserve">is koploper </w:t>
      </w:r>
      <w:r w:rsidRPr="00042D56" w:rsidR="00DA6B13">
        <w:t>in</w:t>
      </w:r>
      <w:r w:rsidRPr="00042D56" w:rsidR="00CA2282">
        <w:t xml:space="preserve"> E</w:t>
      </w:r>
      <w:r w:rsidR="00DB6126">
        <w:t>uropa</w:t>
      </w:r>
      <w:r w:rsidRPr="00042D56" w:rsidR="00CA2282">
        <w:t xml:space="preserve"> </w:t>
      </w:r>
      <w:r w:rsidRPr="00042D56" w:rsidR="00DA6B13">
        <w:t>wat betreft</w:t>
      </w:r>
      <w:r w:rsidRPr="00042D56" w:rsidR="00CA2282">
        <w:t xml:space="preserve"> </w:t>
      </w:r>
      <w:r w:rsidRPr="00042D56" w:rsidR="00DA6B13">
        <w:t xml:space="preserve">het aantal </w:t>
      </w:r>
      <w:r w:rsidRPr="00042D56" w:rsidR="00CD4D1A">
        <w:t xml:space="preserve">publieke </w:t>
      </w:r>
      <w:r w:rsidRPr="00042D56" w:rsidR="00DA6B13">
        <w:t>laadpunten</w:t>
      </w:r>
      <w:r w:rsidRPr="00042D56" w:rsidR="00CA2282">
        <w:t>, met meer dan 200.000 laadpunten.</w:t>
      </w:r>
      <w:r w:rsidR="00950FEC">
        <w:rPr>
          <w:rStyle w:val="FootnoteReference"/>
        </w:rPr>
        <w:footnoteReference w:id="4"/>
      </w:r>
      <w:r w:rsidRPr="00042D56" w:rsidR="00CA2282">
        <w:t xml:space="preserve"> </w:t>
      </w:r>
      <w:r w:rsidRPr="00042D56" w:rsidR="00BE0F5D">
        <w:t>I</w:t>
      </w:r>
      <w:r w:rsidRPr="00042D56" w:rsidR="00D64D2C">
        <w:t>n Nederland bedient elk publiek laadpunt</w:t>
      </w:r>
      <w:r w:rsidRPr="007B0C09" w:rsidR="00D64D2C">
        <w:t xml:space="preserve"> 9 stekkerauto’s. Met toevoeg</w:t>
      </w:r>
      <w:r w:rsidRPr="007B0C09" w:rsidR="007507C7">
        <w:t>i</w:t>
      </w:r>
      <w:r w:rsidRPr="007B0C09" w:rsidR="00D64D2C">
        <w:t>n</w:t>
      </w:r>
      <w:r w:rsidRPr="007B0C09" w:rsidR="007507C7">
        <w:t>g</w:t>
      </w:r>
      <w:r w:rsidRPr="007B0C09" w:rsidR="00D64D2C">
        <w:t xml:space="preserve"> van semipublieke laadpunten (bijvoorbeeld bij bouwmarkten) en snella</w:t>
      </w:r>
      <w:r w:rsidRPr="007B0C09" w:rsidR="007507C7">
        <w:t>adpunten</w:t>
      </w:r>
      <w:r w:rsidRPr="007B0C09" w:rsidR="00D64D2C">
        <w:t xml:space="preserve"> is de ratio </w:t>
      </w:r>
      <w:r w:rsidR="00C01F83">
        <w:t>1 stekkerauto</w:t>
      </w:r>
      <w:r w:rsidRPr="007B0C09" w:rsidR="00D64D2C">
        <w:t xml:space="preserve"> op 6</w:t>
      </w:r>
      <w:r w:rsidR="00C01F83">
        <w:t xml:space="preserve"> laadpunten</w:t>
      </w:r>
      <w:r w:rsidRPr="007B0C09" w:rsidR="00D64D2C">
        <w:t>.</w:t>
      </w:r>
      <w:r w:rsidRPr="00042D56" w:rsidR="00950FEC">
        <w:rPr>
          <w:rStyle w:val="FootnoteReference"/>
        </w:rPr>
        <w:footnoteReference w:id="5"/>
      </w:r>
      <w:r w:rsidRPr="007B0C09" w:rsidR="00D64D2C">
        <w:t xml:space="preserve"> </w:t>
      </w:r>
      <w:r w:rsidRPr="007B0C09">
        <w:t>I</w:t>
      </w:r>
      <w:r w:rsidRPr="007B0C09" w:rsidR="00AD11D4">
        <w:t xml:space="preserve">n 2025 </w:t>
      </w:r>
      <w:r w:rsidRPr="007B0C09">
        <w:t xml:space="preserve">groeide het laadnetwerk </w:t>
      </w:r>
      <w:r w:rsidRPr="007B0C09" w:rsidR="00AD11D4">
        <w:t xml:space="preserve">gemiddeld met </w:t>
      </w:r>
      <w:r w:rsidRPr="007B0C09" w:rsidR="00300632">
        <w:t>ongeveer</w:t>
      </w:r>
      <w:r w:rsidRPr="007B0C09" w:rsidR="0007413D">
        <w:t xml:space="preserve"> 1.600</w:t>
      </w:r>
      <w:r w:rsidRPr="007B0C09" w:rsidR="00AD11D4">
        <w:t xml:space="preserve"> laadpunten per maand,</w:t>
      </w:r>
      <w:r w:rsidR="00AD11D4">
        <w:t xml:space="preserve"> </w:t>
      </w:r>
      <w:r w:rsidR="0007413D">
        <w:t>vergelijkbaar met het tempo</w:t>
      </w:r>
      <w:r w:rsidR="00AD11D4">
        <w:t xml:space="preserve"> in 2024. </w:t>
      </w:r>
    </w:p>
    <w:p w:rsidR="00CF4A3A" w:rsidP="00AD11D4" w:rsidRDefault="00CF4A3A" w14:paraId="7A7E43CB" w14:textId="77777777"/>
    <w:p w:rsidRPr="000A21D5" w:rsidR="000668C2" w:rsidP="000668C2" w:rsidRDefault="00CF4A3A" w14:paraId="53D18D81" w14:textId="2BEE1445">
      <w:r>
        <w:t>Op basis van de definitie landelijk dekkend laadnetwerk hebben de meeste NAL-regio’s inmiddels een dekkingsgraad van 90% bereikt.</w:t>
      </w:r>
      <w:r w:rsidRPr="000A21D5" w:rsidR="000668C2">
        <w:rPr>
          <w:rStyle w:val="FootnoteReference"/>
        </w:rPr>
        <w:footnoteReference w:id="6"/>
      </w:r>
      <w:r w:rsidRPr="000A21D5" w:rsidR="000668C2">
        <w:t xml:space="preserve"> </w:t>
      </w:r>
      <w:r w:rsidR="000668C2">
        <w:t xml:space="preserve">Dit </w:t>
      </w:r>
      <w:r w:rsidRPr="002F4639" w:rsidR="000668C2">
        <w:t xml:space="preserve">betekent dat er ten minste één publiek laadpunt in </w:t>
      </w:r>
      <w:r w:rsidR="000668C2">
        <w:t>iedere 500m</w:t>
      </w:r>
      <w:r w:rsidR="000668C2">
        <w:rPr>
          <w:vertAlign w:val="superscript"/>
        </w:rPr>
        <w:t>2</w:t>
      </w:r>
      <w:r w:rsidRPr="002F4639" w:rsidR="000668C2">
        <w:t xml:space="preserve"> aanwezig </w:t>
      </w:r>
      <w:r>
        <w:t>is</w:t>
      </w:r>
      <w:r w:rsidR="000668C2">
        <w:t>,</w:t>
      </w:r>
      <w:r w:rsidRPr="002F4639" w:rsidR="000668C2">
        <w:t xml:space="preserve"> </w:t>
      </w:r>
      <w:r w:rsidRPr="002F4639" w:rsidR="00300632">
        <w:t>als</w:t>
      </w:r>
      <w:r w:rsidRPr="002F4639" w:rsidR="000668C2">
        <w:t xml:space="preserve"> </w:t>
      </w:r>
      <w:r w:rsidR="000668C2">
        <w:t>dit gebied</w:t>
      </w:r>
      <w:r w:rsidRPr="002F4639" w:rsidR="000668C2">
        <w:t xml:space="preserve"> 125 huishoudens of meer telt</w:t>
      </w:r>
      <w:r w:rsidR="000668C2">
        <w:rPr>
          <w:rStyle w:val="FootnoteReference"/>
        </w:rPr>
        <w:footnoteReference w:id="7"/>
      </w:r>
      <w:r w:rsidR="000668C2">
        <w:t xml:space="preserve">. </w:t>
      </w:r>
      <w:r w:rsidRPr="000A21D5" w:rsidR="000668C2">
        <w:t>Bij de NAL-regio’s die meer dan 95% dekking hebben gerealiseerd</w:t>
      </w:r>
      <w:r w:rsidR="000668C2">
        <w:t>,</w:t>
      </w:r>
      <w:r w:rsidRPr="000A21D5" w:rsidR="000668C2">
        <w:t xml:space="preserve"> wordt een verdere autonome ingroei verwacht</w:t>
      </w:r>
      <w:r w:rsidR="000668C2">
        <w:t>. Deze regio’s gaan van het actief stimuleren van de uitrol, naar monitoring van de voortgang</w:t>
      </w:r>
      <w:r w:rsidRPr="000A21D5" w:rsidR="000668C2">
        <w:t>.</w:t>
      </w:r>
      <w:r w:rsidR="000668C2">
        <w:t xml:space="preserve"> Het ministerie van IenW blijft intensief samenwerken met de NAL-regio’s waar de dekkingsgraad onder de 95% ligt, om een dekkend netwerk te realiseren. Dit is, mede op verzoek van de Kamer, vooral gericht op regio’s </w:t>
      </w:r>
      <w:r w:rsidRPr="000A21D5" w:rsidR="000668C2">
        <w:t>waar de uitrol in landelijke gebieden achterblijft.</w:t>
      </w:r>
      <w:r w:rsidRPr="000A21D5" w:rsidR="000668C2">
        <w:rPr>
          <w:rStyle w:val="FootnoteReference"/>
        </w:rPr>
        <w:footnoteReference w:id="8"/>
      </w:r>
    </w:p>
    <w:p w:rsidR="000668C2" w:rsidP="00AD11D4" w:rsidRDefault="000668C2" w14:paraId="016681F0" w14:textId="292E6C46"/>
    <w:p w:rsidR="00DA77F4" w:rsidP="00AD11D4" w:rsidRDefault="000668C2" w14:paraId="557C1A8A" w14:textId="70BB7757">
      <w:r>
        <w:t>Met de voltooiing van een landelijk dekkend laadnetwerk verschuift d</w:t>
      </w:r>
      <w:r w:rsidRPr="00BB205D" w:rsidR="00844E41">
        <w:t>e opgave en</w:t>
      </w:r>
      <w:r w:rsidRPr="00BB205D" w:rsidR="00A8117E">
        <w:t xml:space="preserve"> inzet van de regio’s naar </w:t>
      </w:r>
      <w:r w:rsidRPr="00BB205D" w:rsidR="00844E41">
        <w:t xml:space="preserve">verdere </w:t>
      </w:r>
      <w:r w:rsidRPr="00BB205D" w:rsidR="00A8117E">
        <w:t>verdichting van het netwerk</w:t>
      </w:r>
      <w:r w:rsidRPr="00BB205D" w:rsidR="00187639">
        <w:t xml:space="preserve">. Dat gebeurt data-gestuurd, </w:t>
      </w:r>
      <w:r w:rsidRPr="00BB205D" w:rsidR="00844E41">
        <w:t xml:space="preserve">zodat laadpunten worden gerealiseerd </w:t>
      </w:r>
      <w:r w:rsidRPr="00BB205D" w:rsidR="00187639">
        <w:t xml:space="preserve">op de plekken waar de vraag </w:t>
      </w:r>
      <w:r w:rsidRPr="00065CE3" w:rsidR="00187639">
        <w:t>het grootst is.</w:t>
      </w:r>
      <w:r w:rsidRPr="00065CE3" w:rsidR="00CD4D1A">
        <w:t xml:space="preserve"> </w:t>
      </w:r>
      <w:bookmarkStart w:name="_Hlk231389403" w:id="3"/>
      <w:r w:rsidRPr="00065CE3" w:rsidR="00CD4D1A">
        <w:t>De verwachting is dat er in 2030 ruim 378.000 (semi-)publieke laad</w:t>
      </w:r>
      <w:r w:rsidR="00950FEC">
        <w:t>punte</w:t>
      </w:r>
      <w:r w:rsidRPr="00065CE3" w:rsidR="00CD4D1A">
        <w:t>n voor personenvervoer nodig zijn voor ongeveer 2.2 miljoen volledig elektrische personenauto’s en 2</w:t>
      </w:r>
      <w:r w:rsidR="00BB4320">
        <w:t>5</w:t>
      </w:r>
      <w:r w:rsidRPr="00065CE3" w:rsidR="00CD4D1A">
        <w:t>0.000 bestelauto’s</w:t>
      </w:r>
      <w:r w:rsidR="005E0B07">
        <w:t>.</w:t>
      </w:r>
      <w:r w:rsidR="006F2400">
        <w:t xml:space="preserve"> </w:t>
      </w:r>
      <w:r w:rsidRPr="006F2400" w:rsidR="006F2400">
        <w:t>Er wordt voorzien dat aan deze publieke laadvraag in 2030 voldaan kan worden, onder andere door de inzet van netbewust laden.</w:t>
      </w:r>
      <w:r w:rsidRPr="00065CE3" w:rsidR="00CD4D1A">
        <w:rPr>
          <w:rStyle w:val="FootnoteReference"/>
        </w:rPr>
        <w:footnoteReference w:id="9"/>
      </w:r>
      <w:r w:rsidRPr="00065CE3" w:rsidR="004E2D7D">
        <w:t xml:space="preserve"> </w:t>
      </w:r>
      <w:bookmarkEnd w:id="3"/>
    </w:p>
    <w:p w:rsidR="005E0B07" w:rsidP="00AD11D4" w:rsidRDefault="005E0B07" w14:paraId="33B4973E" w14:textId="77777777"/>
    <w:p w:rsidR="00844E41" w:rsidP="00AD11D4" w:rsidRDefault="000668C2" w14:paraId="6CF368D3" w14:textId="15E4B648">
      <w:r>
        <w:t>Daar</w:t>
      </w:r>
      <w:r w:rsidR="004B4C07">
        <w:t>n</w:t>
      </w:r>
      <w:r>
        <w:t>aast gelden p</w:t>
      </w:r>
      <w:r w:rsidRPr="00E922D4" w:rsidR="000A21D5">
        <w:t>er 29 mei 2026 via een wijziging van het Besluit bouwwerken leefomgeving aangescherpte verplichtingen voor het plaatsen van laadinfrastructuur bij parkeerplaatsen die behoren tot een gebouw</w:t>
      </w:r>
      <w:r w:rsidR="000A21D5">
        <w:t>.</w:t>
      </w:r>
      <w:r w:rsidR="000A21D5">
        <w:rPr>
          <w:rStyle w:val="FootnoteReference"/>
        </w:rPr>
        <w:footnoteReference w:id="10"/>
      </w:r>
      <w:r w:rsidRPr="00E922D4" w:rsidR="000A21D5">
        <w:t xml:space="preserve"> Dit zal zorgen voor een versne</w:t>
      </w:r>
      <w:r w:rsidR="008629E9">
        <w:t>lde uitrol</w:t>
      </w:r>
      <w:r w:rsidRPr="00E922D4" w:rsidR="000A21D5">
        <w:t xml:space="preserve"> van het aantal private en publiek toegankelijke laadpunten en vraagt de komende jaren een inspanning van onder andere gebouweigenaren en gemeenten. </w:t>
      </w:r>
      <w:r w:rsidR="00230CA1">
        <w:t>IenW</w:t>
      </w:r>
      <w:r w:rsidR="006D31C1">
        <w:t xml:space="preserve"> monitor</w:t>
      </w:r>
      <w:r w:rsidR="00230CA1">
        <w:t>t</w:t>
      </w:r>
      <w:r w:rsidR="006D31C1">
        <w:t xml:space="preserve"> </w:t>
      </w:r>
      <w:r w:rsidRPr="00E922D4" w:rsidR="000A21D5">
        <w:t>welke impact dit heeft op het laadnetwerk en de laadmix.</w:t>
      </w:r>
    </w:p>
    <w:p w:rsidR="00972134" w:rsidP="00AD11D4" w:rsidRDefault="00972134" w14:paraId="4FE1D7DE" w14:textId="77777777"/>
    <w:p w:rsidRPr="0058167F" w:rsidR="00844E41" w:rsidP="001A39D8" w:rsidRDefault="00156740" w14:paraId="10E0E140" w14:textId="27F9BCB9">
      <w:pPr>
        <w:pStyle w:val="ListParagraph"/>
        <w:numPr>
          <w:ilvl w:val="0"/>
          <w:numId w:val="26"/>
        </w:numPr>
        <w:rPr>
          <w:u w:val="single"/>
        </w:rPr>
      </w:pPr>
      <w:r w:rsidRPr="0058167F">
        <w:rPr>
          <w:u w:val="single"/>
        </w:rPr>
        <w:t xml:space="preserve">Ontwikkeling </w:t>
      </w:r>
      <w:r w:rsidR="002A42A0">
        <w:rPr>
          <w:u w:val="single"/>
        </w:rPr>
        <w:t>z</w:t>
      </w:r>
      <w:r w:rsidRPr="0058167F" w:rsidR="00844E41">
        <w:rPr>
          <w:u w:val="single"/>
        </w:rPr>
        <w:t>waar vervoer</w:t>
      </w:r>
      <w:r w:rsidR="009C40E6">
        <w:rPr>
          <w:u w:val="single"/>
        </w:rPr>
        <w:t xml:space="preserve">: </w:t>
      </w:r>
      <w:r w:rsidR="00EF1D16">
        <w:rPr>
          <w:u w:val="single"/>
        </w:rPr>
        <w:t>e</w:t>
      </w:r>
      <w:r w:rsidR="0006593D">
        <w:rPr>
          <w:u w:val="single"/>
        </w:rPr>
        <w:t xml:space="preserve">ffecten netcongestie op ingroei zware voertuigen duidelijk bij publicatie KEV in najaar </w:t>
      </w:r>
      <w:r w:rsidR="00A46697">
        <w:rPr>
          <w:u w:val="single"/>
        </w:rPr>
        <w:t xml:space="preserve"> </w:t>
      </w:r>
    </w:p>
    <w:p w:rsidR="00845867" w:rsidP="00E922D4" w:rsidRDefault="00384DFF" w14:paraId="269AA091" w14:textId="10BAD1A0">
      <w:bookmarkStart w:name="_Hlk231203970" w:id="4"/>
      <w:bookmarkEnd w:id="2"/>
      <w:r w:rsidRPr="00125F04">
        <w:t xml:space="preserve">Nederland is ook </w:t>
      </w:r>
      <w:r w:rsidR="00972134">
        <w:t>éé</w:t>
      </w:r>
      <w:r w:rsidRPr="00125F04">
        <w:t>n van de koplopers op het gebied van laadinfrastructuur voor zwaar vervoer. Ondernemers kunnen op bijna 240 (semi-)publieke laadlocaties voor zwa</w:t>
      </w:r>
      <w:r w:rsidR="008629E9">
        <w:t>re voertuigen</w:t>
      </w:r>
      <w:r w:rsidRPr="00125F04">
        <w:t xml:space="preserve"> terecht, met in totaal </w:t>
      </w:r>
      <w:r w:rsidR="004E2D7D">
        <w:t>bijna 1.0</w:t>
      </w:r>
      <w:r w:rsidRPr="00125F04">
        <w:t>00 laadpunten.</w:t>
      </w:r>
      <w:r w:rsidRPr="00125F04">
        <w:rPr>
          <w:rStyle w:val="FootnoteReference"/>
        </w:rPr>
        <w:footnoteReference w:id="11"/>
      </w:r>
      <w:r w:rsidRPr="00125F04">
        <w:t xml:space="preserve"> </w:t>
      </w:r>
      <w:r w:rsidRPr="00125F04" w:rsidR="00951722">
        <w:t>De markt voor elektrische vrachtwagens en bouwmaterieel groeit</w:t>
      </w:r>
      <w:r w:rsidRPr="00125F04" w:rsidR="0094483D">
        <w:t xml:space="preserve">. </w:t>
      </w:r>
      <w:r w:rsidRPr="00125F04" w:rsidR="00D364AA">
        <w:t>Op dit moment rijden er 2.600 elektrische zware bedrijfsvoertuigen rond in Nederland.</w:t>
      </w:r>
      <w:r w:rsidR="00C6408B">
        <w:rPr>
          <w:rStyle w:val="FootnoteReference"/>
        </w:rPr>
        <w:footnoteReference w:id="12"/>
      </w:r>
      <w:r w:rsidRPr="00C35A77" w:rsidR="00C35A77">
        <w:t xml:space="preserve"> </w:t>
      </w:r>
      <w:r w:rsidR="00997E9B">
        <w:t>Naar</w:t>
      </w:r>
      <w:r w:rsidRPr="00C35A77" w:rsidR="00C35A77">
        <w:t xml:space="preserve"> verwacht</w:t>
      </w:r>
      <w:r w:rsidR="00997E9B">
        <w:t>ing</w:t>
      </w:r>
      <w:r w:rsidRPr="00C35A77" w:rsidR="00C35A77">
        <w:t xml:space="preserve"> </w:t>
      </w:r>
      <w:r w:rsidR="00997E9B">
        <w:t>zet</w:t>
      </w:r>
      <w:r w:rsidRPr="00C35A77" w:rsidR="00C35A77">
        <w:t xml:space="preserve"> deze groei hoe dan ook door, maar de snelheid waarmee dat gebeurt is onzeker. </w:t>
      </w:r>
    </w:p>
    <w:p w:rsidR="00845867" w:rsidP="00E922D4" w:rsidRDefault="00845867" w14:paraId="6DB4BA34" w14:textId="77777777"/>
    <w:p w:rsidRPr="00CF4A3A" w:rsidR="00E922D4" w:rsidP="00E922D4" w:rsidRDefault="00C35A77" w14:paraId="118F442E" w14:textId="4FA96BD9">
      <w:r w:rsidRPr="00C35A77">
        <w:t>De Outlook Mobiliteit 2026</w:t>
      </w:r>
      <w:r w:rsidR="00152711">
        <w:t xml:space="preserve"> (bijlage 5)</w:t>
      </w:r>
      <w:r w:rsidRPr="00C35A77">
        <w:t>, opgesteld door ElaadNL i</w:t>
      </w:r>
      <w:r>
        <w:t xml:space="preserve">n samenwerking met </w:t>
      </w:r>
      <w:r w:rsidRPr="00C35A77">
        <w:t>de NAL-partners, gaat uit van een minimale groei tot 18.000 zware voertuigen</w:t>
      </w:r>
      <w:r w:rsidR="00972134">
        <w:t xml:space="preserve"> (doelstelling is 16.000</w:t>
      </w:r>
      <w:r w:rsidR="00B96FB0">
        <w:t xml:space="preserve"> elektrische vrachtwagens</w:t>
      </w:r>
      <w:r w:rsidR="00972134">
        <w:t>)</w:t>
      </w:r>
      <w:r w:rsidRPr="00C35A77">
        <w:t xml:space="preserve">, en in het gunstigste </w:t>
      </w:r>
      <w:r w:rsidRPr="00CF4A3A">
        <w:t>geval zelfs tot 55.000</w:t>
      </w:r>
      <w:r w:rsidRPr="00CF4A3A" w:rsidR="00DB6126">
        <w:t xml:space="preserve"> in 2030</w:t>
      </w:r>
      <w:r w:rsidRPr="00CF4A3A">
        <w:t>.</w:t>
      </w:r>
      <w:r w:rsidRPr="00CF4A3A" w:rsidR="00E02F3D">
        <w:rPr>
          <w:rStyle w:val="FootnoteReference"/>
        </w:rPr>
        <w:footnoteReference w:id="13"/>
      </w:r>
      <w:r w:rsidRPr="00CF4A3A">
        <w:t xml:space="preserve"> Kanttekening hierbij is dat de effecten van netcongestie nog niet zijn meegenomen</w:t>
      </w:r>
      <w:r w:rsidR="009C40E6">
        <w:t xml:space="preserve"> (zie </w:t>
      </w:r>
      <w:r w:rsidR="00B96FB0">
        <w:t xml:space="preserve">verdere uitwerking onder kop 2). </w:t>
      </w:r>
      <w:r w:rsidRPr="00CF4A3A">
        <w:t xml:space="preserve">Meer duidelijkheid over de effecten van netcongestie op de </w:t>
      </w:r>
      <w:r w:rsidR="00F607A7">
        <w:t>in</w:t>
      </w:r>
      <w:r w:rsidRPr="00CF4A3A">
        <w:t xml:space="preserve">groei van het aantal zware </w:t>
      </w:r>
      <w:r w:rsidR="00F607A7">
        <w:t xml:space="preserve">elektrische </w:t>
      </w:r>
      <w:r w:rsidRPr="00CF4A3A">
        <w:t>voertuigen</w:t>
      </w:r>
      <w:r w:rsidRPr="00CF4A3A" w:rsidR="00861535">
        <w:t xml:space="preserve"> word</w:t>
      </w:r>
      <w:r w:rsidRPr="00CF4A3A" w:rsidR="00DB6126">
        <w:t>t</w:t>
      </w:r>
      <w:r w:rsidRPr="00CF4A3A">
        <w:t xml:space="preserve"> verwacht bij de publicatie van de Klimaat- en Energieverkenning (KEV) door het PBL in dit najaar.</w:t>
      </w:r>
      <w:r w:rsidRPr="00CF4A3A" w:rsidR="008629E9">
        <w:t xml:space="preserve"> </w:t>
      </w:r>
      <w:r w:rsidRPr="00CF4A3A" w:rsidR="00065CE3">
        <w:t xml:space="preserve">Het </w:t>
      </w:r>
      <w:r w:rsidRPr="00CF4A3A" w:rsidR="00AF47E8">
        <w:t>merendeel van de</w:t>
      </w:r>
      <w:r w:rsidRPr="00CF4A3A" w:rsidR="00065CE3">
        <w:t>ze</w:t>
      </w:r>
      <w:r w:rsidRPr="00CF4A3A" w:rsidR="00AF47E8">
        <w:t xml:space="preserve"> zware bedrijfsvoertuigen </w:t>
      </w:r>
      <w:r w:rsidRPr="00CF4A3A" w:rsidR="00065CE3">
        <w:t xml:space="preserve">zal naar schatting in de toekomst </w:t>
      </w:r>
      <w:r w:rsidRPr="00CF4A3A" w:rsidR="00AF47E8">
        <w:t xml:space="preserve">op depot </w:t>
      </w:r>
      <w:r w:rsidRPr="00CF4A3A" w:rsidR="00065CE3">
        <w:t xml:space="preserve">(74%) en op logistieke laadpleinen (11%) </w:t>
      </w:r>
      <w:r w:rsidRPr="00CF4A3A" w:rsidR="00AF47E8">
        <w:t>laden.</w:t>
      </w:r>
      <w:r w:rsidRPr="00CF4A3A" w:rsidR="00AF47E8">
        <w:rPr>
          <w:rStyle w:val="FootnoteReference"/>
        </w:rPr>
        <w:footnoteReference w:id="14"/>
      </w:r>
    </w:p>
    <w:bookmarkEnd w:id="4"/>
    <w:p w:rsidRPr="00CF4A3A" w:rsidR="00AF47E8" w:rsidP="00E922D4" w:rsidRDefault="00AF47E8" w14:paraId="6A94461F" w14:textId="77777777"/>
    <w:p w:rsidR="00E07E53" w:rsidP="00AD11D4" w:rsidRDefault="00E922D4" w14:paraId="41AB3310" w14:textId="758E31BA">
      <w:r w:rsidRPr="00CF4A3A">
        <w:t>Het laden van verschillende type zware voertuigen</w:t>
      </w:r>
      <w:r w:rsidR="008629E9">
        <w:t xml:space="preserve"> </w:t>
      </w:r>
      <w:r w:rsidR="00055873">
        <w:t xml:space="preserve">wordt onderzocht in </w:t>
      </w:r>
      <w:r w:rsidR="00E07E53">
        <w:t>onderzoeksprogramma’s</w:t>
      </w:r>
      <w:r w:rsidR="008629E9">
        <w:t>,</w:t>
      </w:r>
      <w:r w:rsidR="00E07E53">
        <w:t xml:space="preserve"> </w:t>
      </w:r>
      <w:r>
        <w:t xml:space="preserve">waarmee </w:t>
      </w:r>
      <w:r w:rsidR="00E07E53">
        <w:t xml:space="preserve">gewerkt </w:t>
      </w:r>
      <w:r>
        <w:t xml:space="preserve">wordt </w:t>
      </w:r>
      <w:r w:rsidR="00E07E53">
        <w:t xml:space="preserve">aan kennisontwikkeling en -verspreiding. </w:t>
      </w:r>
      <w:r w:rsidR="0036314F">
        <w:t xml:space="preserve">Een voorbeeld daarvan is </w:t>
      </w:r>
      <w:r w:rsidRPr="00646FFB" w:rsidR="0036314F">
        <w:rPr>
          <w:i/>
          <w:iCs/>
        </w:rPr>
        <w:t>Living Lab Heavy Duty</w:t>
      </w:r>
      <w:r w:rsidR="0036314F">
        <w:t xml:space="preserve"> </w:t>
      </w:r>
      <w:r w:rsidRPr="002B02B3" w:rsidR="0036314F">
        <w:rPr>
          <w:i/>
          <w:iCs/>
        </w:rPr>
        <w:t>Laadpleinen</w:t>
      </w:r>
      <w:r w:rsidR="0036314F">
        <w:t xml:space="preserve">, </w:t>
      </w:r>
      <w:r w:rsidR="006D31C1">
        <w:t>waarbij wordt onderzocht</w:t>
      </w:r>
      <w:r w:rsidR="0036314F">
        <w:t xml:space="preserve"> hoe laadpleinen </w:t>
      </w:r>
      <w:r w:rsidR="003B6EEF">
        <w:t xml:space="preserve">voor vrachtwagens </w:t>
      </w:r>
      <w:r w:rsidR="0036314F">
        <w:t xml:space="preserve">in de praktijk werken en wat er in de toekomst nodig is om sneller </w:t>
      </w:r>
      <w:r w:rsidR="003B6EEF">
        <w:t xml:space="preserve">logistieke </w:t>
      </w:r>
      <w:r w:rsidR="0036314F">
        <w:t>laadinfrastructuur te ontwikkelen en op de markt te brengen.</w:t>
      </w:r>
      <w:r w:rsidR="0036314F">
        <w:rPr>
          <w:rStyle w:val="FootnoteReference"/>
        </w:rPr>
        <w:footnoteReference w:id="15"/>
      </w:r>
      <w:r w:rsidR="0036314F">
        <w:t xml:space="preserve"> </w:t>
      </w:r>
      <w:r w:rsidR="00E07E53">
        <w:t>Ook worden (internationale) standaarden, beleid, en wetgeving ontwikkeld ten behoeve van de uitrol van laadinfrastructuur</w:t>
      </w:r>
      <w:r w:rsidR="00845867">
        <w:t xml:space="preserve">. </w:t>
      </w:r>
    </w:p>
    <w:p w:rsidR="007A6020" w:rsidP="00AD11D4" w:rsidRDefault="007A6020" w14:paraId="14610704" w14:textId="3CCFE7B0"/>
    <w:p w:rsidR="000053B5" w:rsidP="000053B5" w:rsidRDefault="00316E74" w14:paraId="6A16F88F" w14:textId="08BFF3BF">
      <w:r>
        <w:t xml:space="preserve">Daarnaast </w:t>
      </w:r>
      <w:r w:rsidR="00861535">
        <w:t xml:space="preserve">wordt </w:t>
      </w:r>
      <w:r>
        <w:t xml:space="preserve">de uitrol van </w:t>
      </w:r>
      <w:r w:rsidR="003B6EEF">
        <w:t xml:space="preserve">logistieke </w:t>
      </w:r>
      <w:r>
        <w:t>laadinfrastructuur</w:t>
      </w:r>
      <w:r w:rsidR="006D31C1">
        <w:t xml:space="preserve"> </w:t>
      </w:r>
      <w:r w:rsidR="00861535">
        <w:t>gestimuleerd met</w:t>
      </w:r>
      <w:r w:rsidR="006D31C1">
        <w:t xml:space="preserve"> subsidies</w:t>
      </w:r>
      <w:r>
        <w:t xml:space="preserve">. </w:t>
      </w:r>
      <w:r w:rsidR="00A45FFD">
        <w:t xml:space="preserve">De </w:t>
      </w:r>
      <w:r w:rsidRPr="00A45FFD" w:rsidR="00A45FFD">
        <w:t>Subsidieregeling Publieke Laadinfrastructuur zwaar vervoer</w:t>
      </w:r>
      <w:r w:rsidR="00A45FFD">
        <w:t xml:space="preserve"> ging op 3 februari 2026 open met een totaalbudget van €14,</w:t>
      </w:r>
      <w:r w:rsidRPr="00FD191D" w:rsidR="00A45FFD">
        <w:t>5 mln. De Subsidieregeling Private Laadinfrastructuur bij bedrijven ging op 20 januari 2026 open met een budget van €</w:t>
      </w:r>
      <w:r w:rsidRPr="00FD191D" w:rsidR="00FD191D">
        <w:t>78</w:t>
      </w:r>
      <w:r w:rsidRPr="00FD191D" w:rsidR="00A45FFD">
        <w:t>,5 mln</w:t>
      </w:r>
      <w:r w:rsidRPr="00FD191D" w:rsidR="00E02F3D">
        <w:t>.</w:t>
      </w:r>
      <w:r w:rsidRPr="00FD191D" w:rsidR="00C6408B">
        <w:t>, en is op 2 juni verhoogd met €35 mln</w:t>
      </w:r>
      <w:r w:rsidRPr="00FD191D" w:rsidR="00A45FFD">
        <w:t>.</w:t>
      </w:r>
      <w:r w:rsidRPr="00FD191D" w:rsidR="00A10291">
        <w:t xml:space="preserve"> De Subsidieregeling Schoon en Emissieloos Bouwmaterieel ging op 3 maart</w:t>
      </w:r>
      <w:r w:rsidR="00A10291">
        <w:t xml:space="preserve"> 2026 open met een budget van €25 mln. specifiek voor laadinfrastructuur.</w:t>
      </w:r>
      <w:r w:rsidR="00A45FFD">
        <w:t xml:space="preserve"> </w:t>
      </w:r>
    </w:p>
    <w:p w:rsidR="00D21CD9" w:rsidP="00284DF7" w:rsidRDefault="00D21CD9" w14:paraId="757B8CD2" w14:textId="77777777"/>
    <w:p w:rsidR="00D21CD9" w:rsidP="00D21CD9" w:rsidRDefault="00D21CD9" w14:paraId="3AAEE8FC" w14:textId="76960E79">
      <w:r>
        <w:t xml:space="preserve">Bij de Transportraad van 8 juni 2026 is de </w:t>
      </w:r>
      <w:r w:rsidRPr="008D6139">
        <w:rPr>
          <w:i/>
          <w:iCs/>
        </w:rPr>
        <w:t>Clean Transport Corridor Initiative (CTCI)</w:t>
      </w:r>
      <w:r>
        <w:rPr>
          <w:rFonts w:ascii="Cambria Math" w:hAnsi="Cambria Math" w:cs="Cambria Math"/>
          <w:i/>
          <w:iCs/>
        </w:rPr>
        <w:t xml:space="preserve"> </w:t>
      </w:r>
      <w:r w:rsidRPr="008D6139">
        <w:rPr>
          <w:i/>
          <w:iCs/>
        </w:rPr>
        <w:t>roadmap</w:t>
      </w:r>
      <w:r>
        <w:t xml:space="preserve"> ter ministeri</w:t>
      </w:r>
      <w:r>
        <w:rPr>
          <w:rFonts w:cs="Verdana"/>
        </w:rPr>
        <w:t>ë</w:t>
      </w:r>
      <w:r>
        <w:t>le ondertekening voorgelegd aan Nederland en 8 andere lidstaten</w:t>
      </w:r>
      <w:r>
        <w:rPr>
          <w:rStyle w:val="FootnoteReference"/>
        </w:rPr>
        <w:footnoteReference w:id="16"/>
      </w:r>
      <w:r>
        <w:t xml:space="preserve">. De CTCI is een initiatief van lidstaten en de Europese Commissie om de uitrol van laadinfrastructuur voor elektrische zware bedrijfsvoertuigen </w:t>
      </w:r>
      <w:r w:rsidRPr="003E7E79">
        <w:t xml:space="preserve">langs </w:t>
      </w:r>
      <w:r>
        <w:t>het</w:t>
      </w:r>
      <w:r w:rsidRPr="003E7E79">
        <w:t xml:space="preserve"> Trans-Europese transportnetwerk (TEN-T) </w:t>
      </w:r>
      <w:r>
        <w:t xml:space="preserve">te versnellen. Het grootste belang van de </w:t>
      </w:r>
      <w:r w:rsidRPr="00D21CD9">
        <w:rPr>
          <w:i/>
          <w:iCs/>
        </w:rPr>
        <w:t>CTCI roadmap</w:t>
      </w:r>
      <w:r>
        <w:t xml:space="preserve"> voor Nederland is dat andere Europese lidstaten zich ook committeren aan de uitrol van logistieke laadinfrastructuur langs de corridors. Dit is niet alleen goed voor het concurrentievermogen van Nederlandse langeafstandsvervoerders met elektrische vrachtwagens, maar ook voor Nederlandse </w:t>
      </w:r>
      <w:r w:rsidRPr="00423F23">
        <w:t>voertuig</w:t>
      </w:r>
      <w:r>
        <w:t>fabrikanten die door de Europese CO</w:t>
      </w:r>
      <w:r w:rsidRPr="00D21CD9">
        <w:rPr>
          <w:vertAlign w:val="subscript"/>
        </w:rPr>
        <w:t>2</w:t>
      </w:r>
      <w:r>
        <w:t>-emissienormen verplicht zijn om een toenemend aandeel emissievrije vrachtwagens te verkopen</w:t>
      </w:r>
      <w:r>
        <w:rPr>
          <w:rStyle w:val="FootnoteReference"/>
        </w:rPr>
        <w:footnoteReference w:id="17"/>
      </w:r>
      <w:r>
        <w:t>.</w:t>
      </w:r>
    </w:p>
    <w:p w:rsidR="002431A2" w:rsidP="00284DF7" w:rsidRDefault="002431A2" w14:paraId="3DA0DF43" w14:textId="77777777"/>
    <w:p w:rsidRPr="003C0C92" w:rsidR="00FD191D" w:rsidP="00284DF7" w:rsidRDefault="00FD191D" w14:paraId="441B284D" w14:textId="77777777"/>
    <w:p w:rsidR="0058167F" w:rsidP="001A39D8" w:rsidRDefault="00156740" w14:paraId="31E10CBB" w14:textId="77777777">
      <w:pPr>
        <w:pStyle w:val="ListParagraph"/>
        <w:numPr>
          <w:ilvl w:val="0"/>
          <w:numId w:val="23"/>
        </w:numPr>
        <w:rPr>
          <w:b/>
          <w:bCs/>
        </w:rPr>
      </w:pPr>
      <w:bookmarkStart w:name="_Hlk232611902" w:id="5"/>
      <w:r>
        <w:rPr>
          <w:b/>
          <w:bCs/>
        </w:rPr>
        <w:t xml:space="preserve">Aandachtspunt: Laadinfrastructuur </w:t>
      </w:r>
      <w:r w:rsidR="0058167F">
        <w:rPr>
          <w:b/>
          <w:bCs/>
        </w:rPr>
        <w:t>als onderdeel van het nieuwe</w:t>
      </w:r>
      <w:r>
        <w:rPr>
          <w:b/>
          <w:bCs/>
        </w:rPr>
        <w:t xml:space="preserve"> energiesysteem</w:t>
      </w:r>
    </w:p>
    <w:p w:rsidRPr="0058167F" w:rsidR="00CA084E" w:rsidP="001A39D8" w:rsidRDefault="002A2936" w14:paraId="58BE5C01" w14:textId="1E4D2C06">
      <w:pPr>
        <w:pStyle w:val="ListParagraph"/>
        <w:numPr>
          <w:ilvl w:val="0"/>
          <w:numId w:val="28"/>
        </w:numPr>
        <w:rPr>
          <w:b/>
          <w:bCs/>
        </w:rPr>
      </w:pPr>
      <w:r w:rsidRPr="0058167F">
        <w:rPr>
          <w:u w:val="single"/>
        </w:rPr>
        <w:t xml:space="preserve">Problematiek </w:t>
      </w:r>
      <w:r w:rsidR="00A37DFC">
        <w:rPr>
          <w:u w:val="single"/>
        </w:rPr>
        <w:t>n</w:t>
      </w:r>
      <w:r w:rsidRPr="0058167F" w:rsidR="003C0C92">
        <w:rPr>
          <w:u w:val="single"/>
        </w:rPr>
        <w:t>etcongesti</w:t>
      </w:r>
      <w:r w:rsidRPr="0058167F" w:rsidR="00405949">
        <w:rPr>
          <w:u w:val="single"/>
        </w:rPr>
        <w:t>e</w:t>
      </w:r>
      <w:r w:rsidRPr="0058167F" w:rsidR="00CA084E">
        <w:rPr>
          <w:u w:val="single"/>
        </w:rPr>
        <w:t xml:space="preserve"> </w:t>
      </w:r>
    </w:p>
    <w:bookmarkEnd w:id="5"/>
    <w:p w:rsidRPr="00E12B8C" w:rsidR="00D70822" w:rsidP="00D70822" w:rsidRDefault="000C77C2" w14:paraId="1C2AD286" w14:textId="65A89291">
      <w:r>
        <w:t>D</w:t>
      </w:r>
      <w:r w:rsidRPr="00E12B8C" w:rsidR="00E84CD3">
        <w:t>e laadinfrastructuur</w:t>
      </w:r>
      <w:r w:rsidRPr="00E12B8C" w:rsidR="0070536D">
        <w:t xml:space="preserve"> </w:t>
      </w:r>
      <w:r>
        <w:t xml:space="preserve">is </w:t>
      </w:r>
      <w:r w:rsidRPr="00E12B8C" w:rsidR="0070536D">
        <w:t>de afgelopen jaren voortvarend uitgebreid</w:t>
      </w:r>
      <w:r w:rsidR="003A0C91">
        <w:t>. D</w:t>
      </w:r>
      <w:r>
        <w:t>oor netcongestie</w:t>
      </w:r>
      <w:r w:rsidRPr="00E12B8C" w:rsidR="00E84CD3">
        <w:t xml:space="preserve"> staat </w:t>
      </w:r>
      <w:r w:rsidRPr="00E12B8C" w:rsidR="0070536D">
        <w:t xml:space="preserve">de uitrol van nieuwe laadpunten </w:t>
      </w:r>
      <w:r w:rsidRPr="00E12B8C" w:rsidR="00E84CD3">
        <w:t xml:space="preserve">onder druk. </w:t>
      </w:r>
      <w:r w:rsidRPr="00E12B8C" w:rsidR="00A10270">
        <w:t>Onder andere in het Landelijk Actieprogramma Netcongestie (LAN) werken Rijk</w:t>
      </w:r>
      <w:r>
        <w:t xml:space="preserve"> (waaronder de ministeries van EZK en IenW)</w:t>
      </w:r>
      <w:r w:rsidRPr="00E12B8C" w:rsidR="00A10270">
        <w:t>, medeoverheden, netbeheerders en marktpartijen samen om netcongestie en de gevolgen daarvan te beperken.</w:t>
      </w:r>
    </w:p>
    <w:p w:rsidRPr="00E12B8C" w:rsidR="00CA084E" w:rsidP="00E84CD3" w:rsidRDefault="00CA084E" w14:paraId="64E81B23" w14:textId="77777777"/>
    <w:p w:rsidR="00346DFF" w:rsidP="00346DFF" w:rsidRDefault="00CA084E" w14:paraId="62F774ED" w14:textId="25A11A5A">
      <w:r w:rsidRPr="00E12B8C">
        <w:t>In Nederland is er op dit moment op veel plekken onvoldoende ruimte op het elektriciteitsnet om aan alle vraag naar transportcapaciteit te voldoen</w:t>
      </w:r>
      <w:r w:rsidRPr="00E12B8C" w:rsidR="006903D2">
        <w:t xml:space="preserve"> </w:t>
      </w:r>
      <w:r w:rsidRPr="00E12B8C">
        <w:t>(netcongestie).</w:t>
      </w:r>
      <w:r w:rsidRPr="00E12B8C" w:rsidR="006903D2">
        <w:t xml:space="preserve"> </w:t>
      </w:r>
      <w:r w:rsidRPr="00E12B8C">
        <w:t>Daarom hanteren netbeheerders voor grootverbruikers</w:t>
      </w:r>
      <w:r w:rsidRPr="00E12B8C" w:rsidR="00357E04">
        <w:t xml:space="preserve"> al langer</w:t>
      </w:r>
      <w:r w:rsidRPr="00E12B8C">
        <w:t xml:space="preserve"> een maatschappelijk prioriteringskader: als capaciteit beschikbaar komt, dan gaat deze naar de aanvrager die het hoogst geprioriteerd staat.</w:t>
      </w:r>
      <w:r w:rsidRPr="00E12B8C" w:rsidR="006903D2">
        <w:t xml:space="preserve"> </w:t>
      </w:r>
      <w:r w:rsidRPr="00E12B8C">
        <w:t>Inmiddels staan ruim 15.000 grootverbruike</w:t>
      </w:r>
      <w:r>
        <w:t xml:space="preserve">rs, waaronder ook logistieke ondernemers </w:t>
      </w:r>
      <w:r w:rsidRPr="009316B4">
        <w:t>in congestiegebieden</w:t>
      </w:r>
      <w:r w:rsidR="0027227C">
        <w:t>,</w:t>
      </w:r>
      <w:r>
        <w:t xml:space="preserve"> op een</w:t>
      </w:r>
      <w:r w:rsidRPr="009316B4">
        <w:t xml:space="preserve"> wachtrij</w:t>
      </w:r>
      <w:r>
        <w:t xml:space="preserve"> en die wachtrij groeit</w:t>
      </w:r>
      <w:r w:rsidRPr="009316B4">
        <w:t>.</w:t>
      </w:r>
      <w:r w:rsidR="00370AAC">
        <w:t xml:space="preserve"> </w:t>
      </w:r>
    </w:p>
    <w:p w:rsidR="00716B74" w:rsidP="00716B74" w:rsidRDefault="00716B74" w14:paraId="139BE51D" w14:textId="77777777"/>
    <w:p w:rsidR="00716B74" w:rsidP="00716B74" w:rsidRDefault="00716B74" w14:paraId="760C2036" w14:textId="72615E61">
      <w:r>
        <w:t>De realisatie van laadinfrastructuur valt buiten het prioriteringskader en dat betekent dat zonder interventie de laadzekerheid voor elektrische rijders, zowel licht als zwaar vervoer</w:t>
      </w:r>
      <w:r w:rsidR="00EE2B36">
        <w:t xml:space="preserve"> en bouwmaterieel</w:t>
      </w:r>
      <w:r w:rsidR="0027227C">
        <w:t>,</w:t>
      </w:r>
      <w:r>
        <w:t xml:space="preserve"> op termijn onder druk </w:t>
      </w:r>
      <w:r w:rsidR="00092C52">
        <w:t xml:space="preserve">kan </w:t>
      </w:r>
      <w:r>
        <w:t>kom</w:t>
      </w:r>
      <w:r w:rsidR="00092C52">
        <w:t>en</w:t>
      </w:r>
      <w:r>
        <w:t xml:space="preserve"> te staan. Laden gekoppeld aan de woonfunctie en OV worden overigens wel geprioriteerd, waarbij moet worden opgemerkt dat prioriteit geen garantie is voor daadwerkelijke netcapaciteit. Er moet daarvoor wel (extra) ruimte op het elektriciteitsnet beschikbaar zijn en dat is niet overal in Nederland momenteel het geval. </w:t>
      </w:r>
    </w:p>
    <w:p w:rsidR="00CA084E" w:rsidP="00CA084E" w:rsidRDefault="00CA084E" w14:paraId="46BF1B79" w14:textId="77777777">
      <w:pPr>
        <w:tabs>
          <w:tab w:val="left" w:pos="1980"/>
        </w:tabs>
      </w:pPr>
    </w:p>
    <w:p w:rsidR="009E4BA4" w:rsidP="009E4BA4" w:rsidRDefault="00CA084E" w14:paraId="158EA512" w14:textId="71BBFBDD">
      <w:pPr>
        <w:rPr>
          <w:rStyle w:val="cf01"/>
          <w:rFonts w:ascii="Verdana" w:hAnsi="Verdana"/>
        </w:rPr>
      </w:pPr>
      <w:bookmarkStart w:name="_Hlk232611949" w:id="6"/>
      <w:r w:rsidRPr="00042D56">
        <w:rPr>
          <w:rFonts w:eastAsia="Times New Roman" w:cs="Times New Roman"/>
          <w:color w:val="auto"/>
        </w:rPr>
        <w:t>Kleinverbruikers (huishoudens</w:t>
      </w:r>
      <w:r w:rsidRPr="00042D56" w:rsidR="00370AAC">
        <w:rPr>
          <w:rFonts w:eastAsia="Times New Roman" w:cs="Times New Roman"/>
          <w:color w:val="auto"/>
        </w:rPr>
        <w:t>, publieke laadpaalexploitanten</w:t>
      </w:r>
      <w:r w:rsidRPr="00042D56">
        <w:rPr>
          <w:rFonts w:eastAsia="Times New Roman" w:cs="Times New Roman"/>
          <w:color w:val="auto"/>
        </w:rPr>
        <w:t xml:space="preserve"> en MKB) k</w:t>
      </w:r>
      <w:r w:rsidRPr="00042D56" w:rsidR="00357E04">
        <w:rPr>
          <w:rFonts w:eastAsia="Times New Roman" w:cs="Times New Roman"/>
          <w:color w:val="auto"/>
        </w:rPr>
        <w:t xml:space="preserve">onden tot voor kort </w:t>
      </w:r>
      <w:r w:rsidRPr="00042D56">
        <w:rPr>
          <w:rFonts w:eastAsia="Times New Roman" w:cs="Times New Roman"/>
          <w:color w:val="auto"/>
        </w:rPr>
        <w:t>een aansluiting of netverzwaring aanvragen</w:t>
      </w:r>
      <w:r w:rsidR="0027227C">
        <w:rPr>
          <w:rFonts w:eastAsia="Times New Roman" w:cs="Times New Roman"/>
          <w:color w:val="auto"/>
        </w:rPr>
        <w:t>. D</w:t>
      </w:r>
      <w:r w:rsidRPr="00042D56">
        <w:rPr>
          <w:rFonts w:eastAsia="Times New Roman" w:cs="Times New Roman"/>
          <w:color w:val="auto"/>
        </w:rPr>
        <w:t>it verandert per 1 juli 2026</w:t>
      </w:r>
      <w:bookmarkEnd w:id="6"/>
      <w:r w:rsidRPr="00042D56">
        <w:rPr>
          <w:rFonts w:eastAsia="Times New Roman" w:cs="Times New Roman"/>
          <w:color w:val="auto"/>
        </w:rPr>
        <w:t>. Vanaf dan krijgen ook deze</w:t>
      </w:r>
      <w:r w:rsidRPr="00042D56" w:rsidR="007507C7">
        <w:rPr>
          <w:rFonts w:eastAsia="Times New Roman" w:cs="Times New Roman"/>
          <w:color w:val="auto"/>
        </w:rPr>
        <w:t xml:space="preserve"> groepen</w:t>
      </w:r>
      <w:r w:rsidRPr="00042D56">
        <w:rPr>
          <w:rFonts w:eastAsia="Times New Roman" w:cs="Times New Roman"/>
          <w:color w:val="auto"/>
        </w:rPr>
        <w:t xml:space="preserve"> te maken met het prioriteringskader en dus ook met wachtrijen. Vanaf 1 juli geldt dus een integrale wachtrij voor alle aansluitingen.</w:t>
      </w:r>
      <w:r w:rsidR="0027227C">
        <w:t xml:space="preserve"> </w:t>
      </w:r>
    </w:p>
    <w:p w:rsidRPr="00042D56" w:rsidR="00346DFF" w:rsidP="00346DFF" w:rsidRDefault="00346DFF" w14:paraId="028EF896" w14:textId="77777777">
      <w:pPr>
        <w:rPr>
          <w:bCs/>
        </w:rPr>
      </w:pPr>
    </w:p>
    <w:p w:rsidRPr="000E2398" w:rsidR="00716B74" w:rsidP="002A2936" w:rsidRDefault="0027227C" w14:paraId="73F77800" w14:textId="701518B4">
      <w:r>
        <w:t>In 2025</w:t>
      </w:r>
      <w:r w:rsidR="002C3AAB">
        <w:t xml:space="preserve"> </w:t>
      </w:r>
      <w:r>
        <w:t>werd duidelijk</w:t>
      </w:r>
      <w:r w:rsidRPr="00042D56" w:rsidR="00716B74">
        <w:t xml:space="preserve"> dat het waarschijnlijk is dat netschaarste de ingroei van zware elektrische voertuigen, zoals vrachtwagens, bussen en zwaar bouwmaterieel, remt</w:t>
      </w:r>
      <w:r w:rsidR="00A2761D">
        <w:t>.</w:t>
      </w:r>
      <w:r w:rsidR="00A67C9F">
        <w:rPr>
          <w:rStyle w:val="FootnoteReference"/>
        </w:rPr>
        <w:footnoteReference w:id="18"/>
      </w:r>
      <w:r w:rsidRPr="00042D56" w:rsidR="00716B74">
        <w:t xml:space="preserve"> </w:t>
      </w:r>
      <w:r w:rsidR="00360A3B">
        <w:t xml:space="preserve">Met de vorige kamerbrief </w:t>
      </w:r>
      <w:r w:rsidRPr="00360A3B" w:rsidR="00360A3B">
        <w:t>over regionale uitrol laadinfrastructuur, van 26 augustus 2025, werd de studie “Op stoom of zonder stroom?” gedeeld met de Kamer.</w:t>
      </w:r>
      <w:r w:rsidR="00360A3B">
        <w:t xml:space="preserve"> Deze studie kwam tot </w:t>
      </w:r>
      <w:r w:rsidR="00A67C9F">
        <w:t xml:space="preserve">dezelfde conclusie </w:t>
      </w:r>
      <w:r w:rsidRPr="00042D56" w:rsidR="00716B74">
        <w:t xml:space="preserve">en </w:t>
      </w:r>
      <w:r>
        <w:t>meerdere</w:t>
      </w:r>
      <w:r w:rsidRPr="00042D56" w:rsidR="00716B74">
        <w:t xml:space="preserve"> aanbevelingen</w:t>
      </w:r>
      <w:r w:rsidRPr="00042D56" w:rsidR="00E14F94">
        <w:t>, w</w:t>
      </w:r>
      <w:r w:rsidRPr="00042D56" w:rsidR="00716B74">
        <w:t>aaronder een verkenning naar een sectorale aanpak voor logistiek</w:t>
      </w:r>
      <w:r w:rsidR="00B037AF">
        <w:t>.</w:t>
      </w:r>
      <w:r w:rsidR="00A67C9F">
        <w:rPr>
          <w:rStyle w:val="FootnoteReference"/>
        </w:rPr>
        <w:footnoteReference w:id="19"/>
      </w:r>
      <w:r w:rsidR="00360A3B">
        <w:t xml:space="preserve"> </w:t>
      </w:r>
      <w:r w:rsidRPr="000E2398" w:rsidR="000E2398">
        <w:t xml:space="preserve">In de </w:t>
      </w:r>
      <w:r w:rsidR="000E2398">
        <w:t xml:space="preserve">vorige </w:t>
      </w:r>
      <w:r w:rsidRPr="000E2398" w:rsidR="000E2398">
        <w:t>kamerbrief is toegezegd dat de Kamer met de brief van 2026 geïnformeerd wordt over de progressie op deze aanbevelingen</w:t>
      </w:r>
      <w:r w:rsidR="000E2398">
        <w:t xml:space="preserve">. Dit is terug te vinden in </w:t>
      </w:r>
      <w:r w:rsidR="00A2761D">
        <w:t xml:space="preserve">de </w:t>
      </w:r>
      <w:r w:rsidR="000E2398">
        <w:t>onderstaande oplossingsrichtingen.</w:t>
      </w:r>
    </w:p>
    <w:p w:rsidR="0058167F" w:rsidP="0058167F" w:rsidRDefault="0058167F" w14:paraId="60EC8508" w14:textId="77777777"/>
    <w:p w:rsidRPr="004B4C07" w:rsidR="004B4C07" w:rsidP="001A39D8" w:rsidRDefault="00156740" w14:paraId="28F2355F" w14:textId="10331648">
      <w:pPr>
        <w:pStyle w:val="ListParagraph"/>
        <w:numPr>
          <w:ilvl w:val="0"/>
          <w:numId w:val="28"/>
        </w:numPr>
        <w:rPr>
          <w:u w:val="single"/>
        </w:rPr>
      </w:pPr>
      <w:r w:rsidRPr="004B4C07">
        <w:rPr>
          <w:u w:val="single"/>
        </w:rPr>
        <w:t xml:space="preserve">Oplossingsrichtingen </w:t>
      </w:r>
      <w:r w:rsidRPr="004B4C07" w:rsidR="002A2936">
        <w:rPr>
          <w:u w:val="single"/>
        </w:rPr>
        <w:t xml:space="preserve">problematiek </w:t>
      </w:r>
      <w:r w:rsidRPr="004B4C07">
        <w:rPr>
          <w:u w:val="single"/>
        </w:rPr>
        <w:t>netcongestie</w:t>
      </w:r>
    </w:p>
    <w:p w:rsidRPr="00B96FB0" w:rsidR="00092C52" w:rsidP="001A39D8" w:rsidRDefault="00092C52" w14:paraId="3F312EC2" w14:textId="1FC56917">
      <w:pPr>
        <w:pStyle w:val="ListParagraph"/>
        <w:numPr>
          <w:ilvl w:val="0"/>
          <w:numId w:val="29"/>
        </w:numPr>
        <w:rPr>
          <w:i/>
          <w:iCs/>
        </w:rPr>
      </w:pPr>
      <w:r w:rsidRPr="00B96FB0">
        <w:rPr>
          <w:i/>
          <w:iCs/>
        </w:rPr>
        <w:t>Slim Laden</w:t>
      </w:r>
    </w:p>
    <w:p w:rsidR="00CF4A3A" w:rsidP="00A438B3" w:rsidRDefault="00241632" w14:paraId="11AFA993" w14:textId="00079D7B">
      <w:r>
        <w:t xml:space="preserve">Door slim laden kan het laadproces van elektrische voertuigen worden afgestemd op de beschikbare netcapaciteit, het aanbod van duurzame energie, en de voorkeuren van de gebruiker. Dit draagt bij aan de stabiliteit en betaalbaarheid van het elektriciteitsnet en zorgt voor een efficiënt gebruik van duurzame stroom. Daarnaast kunnen gebruikers profiteren van lagere laadkosten. Binnen de NAL werken </w:t>
      </w:r>
      <w:r w:rsidRPr="00C677CB">
        <w:t xml:space="preserve">gebruikers- en brancheorganisaties, overheden en netbeheerders hiervoor nauw samen. </w:t>
      </w:r>
    </w:p>
    <w:p w:rsidR="00CF4A3A" w:rsidP="00A438B3" w:rsidRDefault="00CF4A3A" w14:paraId="4B26A93C" w14:textId="77777777"/>
    <w:p w:rsidR="00CF4A3A" w:rsidP="00CF4A3A" w:rsidRDefault="00CF4A3A" w14:paraId="740E2198" w14:textId="46ED1D2F">
      <w:r>
        <w:t>In 2025</w:t>
      </w:r>
      <w:r w:rsidRPr="00C677CB">
        <w:t xml:space="preserve"> </w:t>
      </w:r>
      <w:r>
        <w:t>waren</w:t>
      </w:r>
      <w:r w:rsidRPr="00C677CB">
        <w:t xml:space="preserve"> 57% van alle laadsessies al slimme laadsessies.</w:t>
      </w:r>
      <w:r>
        <w:t xml:space="preserve"> Er zijn </w:t>
      </w:r>
      <w:r w:rsidRPr="00CF4A3A">
        <w:t>bijvoorbeeld voor de winter van 2025/2026 in de provincies Utrecht, en delen van Groningen, Drenthe, Noord-Brabant</w:t>
      </w:r>
      <w:r>
        <w:t xml:space="preserve"> en Limburg, aanvullende afspraken over netbewust publiek laden gemaakt tussen netbeheerders en laadpaalbeheerders in samenspraak met de NAL. Hierdoor werd op meer dan 10.000 laadpunten het laadvermogen tijdens piekmomenten op het stroomnet tijdelijk aanzienlijk gereduceerd. Zo bleef het stroomnet betrouwbaar en werd ruimte voor verdere groei van laadinfrastructuur gecreëerd. Deze ketensamenwerking heeft tot een nauwere samenwerking tussen Netbeheer Nederland en de NAL geleid, die moet resulteren in de implementatie van landelijk uniform dynamisch netbewust laden vanaf de komende winter.</w:t>
      </w:r>
    </w:p>
    <w:p w:rsidR="004B4C07" w:rsidP="006020B6" w:rsidRDefault="004B4C07" w14:paraId="26AE256A" w14:textId="77777777">
      <w:pPr>
        <w:rPr>
          <w:rStyle w:val="cf01"/>
          <w:rFonts w:ascii="Verdana" w:hAnsi="Verdana"/>
        </w:rPr>
      </w:pPr>
    </w:p>
    <w:p w:rsidRPr="00B96FB0" w:rsidR="00092C52" w:rsidP="001A39D8" w:rsidRDefault="00092C52" w14:paraId="62B28A84" w14:textId="1578D03B">
      <w:pPr>
        <w:pStyle w:val="ListParagraph"/>
        <w:numPr>
          <w:ilvl w:val="0"/>
          <w:numId w:val="30"/>
        </w:numPr>
        <w:rPr>
          <w:rStyle w:val="cf01"/>
          <w:rFonts w:ascii="Verdana" w:hAnsi="Verdana"/>
          <w:i/>
          <w:iCs/>
        </w:rPr>
      </w:pPr>
      <w:r w:rsidRPr="00B96FB0">
        <w:rPr>
          <w:rStyle w:val="cf01"/>
          <w:rFonts w:ascii="Verdana" w:hAnsi="Verdana"/>
          <w:i/>
          <w:iCs/>
        </w:rPr>
        <w:t>CSC en flexibele contractvorm</w:t>
      </w:r>
    </w:p>
    <w:p w:rsidR="006020B6" w:rsidP="006020B6" w:rsidRDefault="00A438B3" w14:paraId="534305FB" w14:textId="0D740CEB">
      <w:pPr>
        <w:rPr>
          <w:bCs/>
        </w:rPr>
      </w:pPr>
      <w:r>
        <w:rPr>
          <w:rStyle w:val="cf01"/>
          <w:rFonts w:ascii="Verdana" w:hAnsi="Verdana"/>
        </w:rPr>
        <w:t xml:space="preserve">Met behulp van slim laden werkt het ministerie van IenW ook aan een oplossing voor de integrale wachtrijproblematiek. </w:t>
      </w:r>
      <w:r w:rsidRPr="00042D56" w:rsidR="002A2936">
        <w:rPr>
          <w:rStyle w:val="cf01"/>
          <w:rFonts w:ascii="Verdana" w:hAnsi="Verdana"/>
        </w:rPr>
        <w:t>Om zoveel mogelijk te voorkomen dat de uitrol van publieke laadinfrastructuur vertraging oploopt hebben netbeheerders, overheden en laadpaalexploitanten twee mogelijke oplossingsrichtingen vastgesteld</w:t>
      </w:r>
      <w:r w:rsidR="002A2936">
        <w:rPr>
          <w:bCs/>
        </w:rPr>
        <w:t xml:space="preserve">. </w:t>
      </w:r>
      <w:r w:rsidRPr="00156740" w:rsidR="00156740">
        <w:rPr>
          <w:bCs/>
        </w:rPr>
        <w:t xml:space="preserve">Netcongestie is vooral een probleem tijdens momenten van piekvraag, en dan vooral op bepaalde dagen in de wintermaanden. Daarbuiten is er vaak nog wel ruimte op het net. Met “klassieke” netaansluitingen kan daarvan geen gebruik worden gemaakt, omdat daarbij altijd een vast vermogen wordt gegarandeerd door netbeheerders. Mobiliteit is bij uitstek een sector die flexibel gebruik kan maken van de ruimte die er nog wel is op het net, waardoor er ondanks netcongestie toch mogelijkheden kunnen liggen om laadinfrastructuur uit te breiden. Zowel voor kleinverbruik als voor grootverbruik wordt naar dergelijke oplossingen gezocht. </w:t>
      </w:r>
    </w:p>
    <w:p w:rsidR="00705D1E" w:rsidP="006020B6" w:rsidRDefault="00705D1E" w14:paraId="4725BD34" w14:textId="77777777">
      <w:pPr>
        <w:rPr>
          <w:rStyle w:val="cf01"/>
          <w:rFonts w:ascii="Verdana" w:hAnsi="Verdana"/>
        </w:rPr>
      </w:pPr>
    </w:p>
    <w:p w:rsidRPr="00CF4A3A" w:rsidR="00156740" w:rsidP="006020B6" w:rsidRDefault="00156740" w14:paraId="53EE1533" w14:textId="62CC50C2">
      <w:pPr>
        <w:rPr>
          <w:rStyle w:val="cf01"/>
          <w:rFonts w:ascii="Verdana" w:hAnsi="Verdana"/>
        </w:rPr>
      </w:pPr>
      <w:r w:rsidRPr="00CF4A3A">
        <w:rPr>
          <w:rStyle w:val="cf01"/>
          <w:rFonts w:ascii="Verdana" w:hAnsi="Verdana"/>
        </w:rPr>
        <w:t xml:space="preserve">De </w:t>
      </w:r>
      <w:r w:rsidRPr="00705D1E">
        <w:rPr>
          <w:rStyle w:val="cf01"/>
          <w:rFonts w:ascii="Verdana" w:hAnsi="Verdana"/>
          <w:i/>
          <w:iCs/>
        </w:rPr>
        <w:t>eerste</w:t>
      </w:r>
      <w:r w:rsidRPr="00CF4A3A">
        <w:rPr>
          <w:rStyle w:val="cf01"/>
          <w:rFonts w:ascii="Verdana" w:hAnsi="Verdana"/>
        </w:rPr>
        <w:t xml:space="preserve"> oplossingsrichting is een aanvulling op het groeps-capaciteitssturingscontract (CSC). Nieuwe laadpalen krijgen daarbij geen extra netcapaciteit toegewezen, maar maken gebruik van het vermogen dat binnen een bestaand cluster van laadpalen beschikbaar is. Door dit vermogen slim te verdelen, kan dezelfde netcapaciteit door meer laadpalen worden gebruikt.</w:t>
      </w:r>
    </w:p>
    <w:p w:rsidR="00705D1E" w:rsidP="006020B6" w:rsidRDefault="00705D1E" w14:paraId="41134F1C" w14:textId="77777777">
      <w:pPr>
        <w:rPr>
          <w:rStyle w:val="cf01"/>
          <w:rFonts w:ascii="Verdana" w:hAnsi="Verdana"/>
        </w:rPr>
      </w:pPr>
    </w:p>
    <w:p w:rsidR="00156740" w:rsidP="006020B6" w:rsidRDefault="00156740" w14:paraId="6101425B" w14:textId="0DD86124">
      <w:pPr>
        <w:rPr>
          <w:rStyle w:val="cf01"/>
          <w:rFonts w:ascii="Verdana" w:hAnsi="Verdana"/>
        </w:rPr>
      </w:pPr>
      <w:r w:rsidRPr="00CF4A3A">
        <w:rPr>
          <w:rStyle w:val="cf01"/>
          <w:rFonts w:ascii="Verdana" w:hAnsi="Verdana"/>
        </w:rPr>
        <w:t xml:space="preserve">In de </w:t>
      </w:r>
      <w:r w:rsidRPr="00705D1E">
        <w:rPr>
          <w:rStyle w:val="cf01"/>
          <w:rFonts w:ascii="Verdana" w:hAnsi="Verdana"/>
          <w:i/>
          <w:iCs/>
        </w:rPr>
        <w:t>tweede</w:t>
      </w:r>
      <w:r w:rsidRPr="00CF4A3A">
        <w:rPr>
          <w:rStyle w:val="cf01"/>
          <w:rFonts w:ascii="Verdana" w:hAnsi="Verdana"/>
        </w:rPr>
        <w:t xml:space="preserve"> oplossingsrichting wordt gewerkt aan het verder verkennen van flexibele contractvormen, welke nu nog alleen beschikbaar zijn voor grootverbruikers. Hierbij is transportcapaciteit gedurende een deel van de tijd beschikbaar. Op momenten dat er voldoende ruimte is op het net, kan volop worden geladen. Tijdens piekmomenten kan de beschikbare laadcapaciteit tijdelijk lager zijn. Deze oplossingsrichtingen zijn afhankelijk van de beschikbare ruimte op het net en vragen nog verdere uitwerking voordat toepassing binnen publieke laadinfrastructuur mogelijk is. In het najaar is meer bekend over verdere implementatie.</w:t>
      </w:r>
    </w:p>
    <w:p w:rsidRPr="00CF4A3A" w:rsidR="00B96FB0" w:rsidP="006020B6" w:rsidRDefault="00B96FB0" w14:paraId="696992AE" w14:textId="77777777"/>
    <w:p w:rsidRPr="00B96FB0" w:rsidR="00E335BD" w:rsidP="001A39D8" w:rsidRDefault="00092C52" w14:paraId="39ED86F3" w14:textId="6BFBA3BB">
      <w:pPr>
        <w:pStyle w:val="ListParagraph"/>
        <w:numPr>
          <w:ilvl w:val="0"/>
          <w:numId w:val="30"/>
        </w:numPr>
        <w:rPr>
          <w:i/>
          <w:iCs/>
        </w:rPr>
      </w:pPr>
      <w:r w:rsidRPr="00B96FB0">
        <w:rPr>
          <w:i/>
          <w:iCs/>
        </w:rPr>
        <w:t>Bi</w:t>
      </w:r>
      <w:r w:rsidR="00D16000">
        <w:rPr>
          <w:i/>
          <w:iCs/>
        </w:rPr>
        <w:t>d</w:t>
      </w:r>
      <w:r w:rsidRPr="00B96FB0">
        <w:rPr>
          <w:i/>
          <w:iCs/>
        </w:rPr>
        <w:t>irectioneel Laden</w:t>
      </w:r>
    </w:p>
    <w:p w:rsidRPr="006729D0" w:rsidR="004E3341" w:rsidP="004E3341" w:rsidRDefault="00614FAB" w14:paraId="65FEE8C6" w14:textId="1CCEC562">
      <w:r w:rsidRPr="00CF4A3A">
        <w:t>Ook werkt het ministerie aan het laden van de toekomst: bidirectioneel laden. Bidirectioneel laden stelt elektrische voertuigen in staat stroom op te slaan en vervolgens op een later moment terug te leveren aan het net of aan een verbruiker</w:t>
      </w:r>
      <w:r w:rsidRPr="00235D35">
        <w:rPr>
          <w:rFonts w:cs="Verdana"/>
        </w:rPr>
        <w:t xml:space="preserve">. Hiermee kunnen elektrische auto’s flexibel </w:t>
      </w:r>
      <w:r w:rsidRPr="00235D35">
        <w:t>ingezet worden om stroom op te slaan als er veel aanbod is en later weer beschikbaar te stellen op momenten dat stroom schaars is.</w:t>
      </w:r>
      <w:r>
        <w:t xml:space="preserve"> </w:t>
      </w:r>
      <w:r w:rsidRPr="000E1D55" w:rsidR="000E1D55">
        <w:t>Een studie van Haskoning laat zien dat 1</w:t>
      </w:r>
      <w:r w:rsidR="00705D1E">
        <w:t>.</w:t>
      </w:r>
      <w:r w:rsidRPr="000E1D55" w:rsidR="000E1D55">
        <w:t>000 bidirectionele deelauto’s in 2027 in potentie 3,7 MW vermogen kunnen terug</w:t>
      </w:r>
      <w:r w:rsidR="000E3CB5">
        <w:t xml:space="preserve"> </w:t>
      </w:r>
      <w:r w:rsidRPr="000E1D55" w:rsidR="000E1D55">
        <w:t>leveren</w:t>
      </w:r>
      <w:r w:rsidR="00E335BD">
        <w:t>.</w:t>
      </w:r>
      <w:r w:rsidR="000129CC">
        <w:rPr>
          <w:rStyle w:val="FootnoteReference"/>
        </w:rPr>
        <w:footnoteReference w:id="20"/>
      </w:r>
      <w:r w:rsidR="00E335BD">
        <w:t xml:space="preserve"> </w:t>
      </w:r>
      <w:r w:rsidRPr="000E1D55" w:rsidR="000E1D55">
        <w:t>Schattingen van het potentieel in 2050 lopen op tot 4,5 GW regelbaar vermogen bij huiseigenaren met een eigen laadpunt</w:t>
      </w:r>
      <w:r w:rsidR="00E335BD">
        <w:t>,</w:t>
      </w:r>
      <w:r w:rsidR="000129CC">
        <w:rPr>
          <w:rStyle w:val="FootnoteReference"/>
        </w:rPr>
        <w:footnoteReference w:id="21"/>
      </w:r>
      <w:r w:rsidRPr="000E1D55" w:rsidR="000E1D55">
        <w:t xml:space="preserve"> en in een gunstig scenario tot 9,5 GW aan V2G</w:t>
      </w:r>
      <w:r w:rsidRPr="000E1D55" w:rsidR="000E1D55">
        <w:noBreakHyphen/>
        <w:t>vermogen uit personenvoertuigen in totaal in 2050</w:t>
      </w:r>
      <w:r w:rsidR="00E335BD">
        <w:t>.</w:t>
      </w:r>
      <w:r w:rsidR="000129CC">
        <w:rPr>
          <w:rStyle w:val="FootnoteReference"/>
        </w:rPr>
        <w:footnoteReference w:id="22"/>
      </w:r>
      <w:r w:rsidRPr="00B573C9" w:rsidR="00264F8F">
        <w:t xml:space="preserve"> Dit kan ook de kosten van </w:t>
      </w:r>
      <w:r w:rsidRPr="006729D0" w:rsidR="00264F8F">
        <w:t xml:space="preserve">het elektriciteitsnet en dus de energierekening drukken. </w:t>
      </w:r>
      <w:r w:rsidRPr="006729D0" w:rsidR="000129CC">
        <w:t>Een rapport van Revnext (</w:t>
      </w:r>
      <w:r w:rsidRPr="006729D0" w:rsidR="00852BC3">
        <w:t>b</w:t>
      </w:r>
      <w:r w:rsidRPr="006729D0" w:rsidR="000129CC">
        <w:t xml:space="preserve">ijlage </w:t>
      </w:r>
      <w:r w:rsidR="009326E3">
        <w:t>3</w:t>
      </w:r>
      <w:r w:rsidRPr="006729D0" w:rsidR="000129CC">
        <w:t xml:space="preserve">) laat zien dat bidirectioneel laden jaarlijkse besparingen kan opleveren tot ruim </w:t>
      </w:r>
      <w:r w:rsidR="00A438B3">
        <w:t>900</w:t>
      </w:r>
      <w:r w:rsidRPr="006729D0" w:rsidR="000129CC">
        <w:t xml:space="preserve"> euro voor bestaande EV-rijders (een ruim </w:t>
      </w:r>
      <w:r w:rsidR="00A438B3">
        <w:t>9</w:t>
      </w:r>
      <w:r w:rsidRPr="006729D0" w:rsidR="000129CC">
        <w:t xml:space="preserve">% lagere </w:t>
      </w:r>
      <w:r w:rsidRPr="006729D0" w:rsidR="003518F1">
        <w:rPr>
          <w:i/>
          <w:iCs/>
        </w:rPr>
        <w:t xml:space="preserve">Total Cost of Ownership </w:t>
      </w:r>
      <w:r w:rsidRPr="006729D0" w:rsidR="003518F1">
        <w:t>(</w:t>
      </w:r>
      <w:r w:rsidRPr="006729D0" w:rsidR="000129CC">
        <w:t>TCO</w:t>
      </w:r>
      <w:r w:rsidRPr="006729D0" w:rsidR="003518F1">
        <w:t>)</w:t>
      </w:r>
      <w:r w:rsidRPr="006729D0" w:rsidR="000129CC">
        <w:t xml:space="preserve"> en ongeveer </w:t>
      </w:r>
      <w:r w:rsidR="00A438B3">
        <w:t>1050</w:t>
      </w:r>
      <w:r w:rsidRPr="006729D0" w:rsidR="000129CC">
        <w:t xml:space="preserve"> euro voor nieuwe EV-rijders (een </w:t>
      </w:r>
      <w:r w:rsidR="00A438B3">
        <w:t>10.8</w:t>
      </w:r>
      <w:r w:rsidRPr="006729D0" w:rsidR="000129CC">
        <w:t>% lagere TCO).</w:t>
      </w:r>
      <w:r w:rsidRPr="006729D0" w:rsidR="00487D8B">
        <w:t xml:space="preserve"> </w:t>
      </w:r>
      <w:r w:rsidRPr="006729D0" w:rsidR="00264F8F">
        <w:t>Ten slotte kan met bidirectioneel laden hernieuwbare energie optimaal benut worden.</w:t>
      </w:r>
    </w:p>
    <w:p w:rsidRPr="006729D0" w:rsidR="00264F8F" w:rsidP="004E3341" w:rsidRDefault="00264F8F" w14:paraId="20A12F2B" w14:textId="77777777"/>
    <w:p w:rsidRPr="006729D0" w:rsidR="000E3CB5" w:rsidP="00264F8F" w:rsidRDefault="003518F1" w14:paraId="31B2996D" w14:textId="46489921">
      <w:r w:rsidRPr="006729D0">
        <w:t xml:space="preserve">Het </w:t>
      </w:r>
      <w:r w:rsidRPr="006729D0" w:rsidR="0007785A">
        <w:t>m</w:t>
      </w:r>
      <w:r w:rsidRPr="006729D0">
        <w:t>inisterie wil deze voordelen benutten, en ervoor zorgen</w:t>
      </w:r>
      <w:r w:rsidRPr="006729D0" w:rsidR="00B37C3F">
        <w:t xml:space="preserve"> dat Nederland in </w:t>
      </w:r>
      <w:r w:rsidRPr="006729D0" w:rsidR="00264F8F">
        <w:t xml:space="preserve">Europa gidsland </w:t>
      </w:r>
      <w:r w:rsidRPr="006729D0" w:rsidR="00B37C3F">
        <w:t xml:space="preserve">blijft </w:t>
      </w:r>
      <w:r w:rsidRPr="006729D0" w:rsidR="00264F8F">
        <w:t xml:space="preserve">op het gebied van laadinfrastructuur door </w:t>
      </w:r>
      <w:r w:rsidRPr="006729D0" w:rsidR="00B37C3F">
        <w:t xml:space="preserve">Nederland </w:t>
      </w:r>
      <w:r w:rsidRPr="006729D0" w:rsidR="00264F8F">
        <w:t xml:space="preserve">te positioneren als hét introductieland voor commerciële bidirectionele oplossingen. </w:t>
      </w:r>
      <w:r w:rsidRPr="006729D0">
        <w:t>Dit maakt</w:t>
      </w:r>
      <w:r w:rsidRPr="006729D0" w:rsidR="00264F8F">
        <w:t xml:space="preserve"> Nederland een aantrekkelijke afzetmarkt voor internationale bedrijven</w:t>
      </w:r>
      <w:r w:rsidRPr="006729D0">
        <w:t>,</w:t>
      </w:r>
      <w:r w:rsidRPr="006729D0" w:rsidR="00264F8F">
        <w:t xml:space="preserve"> en </w:t>
      </w:r>
      <w:r w:rsidRPr="006729D0" w:rsidR="0007785A">
        <w:t>biedt de mogelijkheid om richting te geven</w:t>
      </w:r>
      <w:r w:rsidRPr="006729D0">
        <w:t xml:space="preserve"> </w:t>
      </w:r>
      <w:r w:rsidRPr="006729D0" w:rsidR="00264F8F">
        <w:t xml:space="preserve">aan de ontwikkeling van deze techniek. </w:t>
      </w:r>
      <w:r w:rsidR="002B1D05">
        <w:t>In eerste instantie voor elektrische personenvoertuigen, en mogelijk in de toekomst ook voor zwaar vervoer.</w:t>
      </w:r>
    </w:p>
    <w:p w:rsidRPr="006729D0" w:rsidR="000E3CB5" w:rsidP="00264F8F" w:rsidRDefault="000E3CB5" w14:paraId="4F0C4370" w14:textId="77777777"/>
    <w:p w:rsidR="00A438B3" w:rsidP="00A438B3" w:rsidRDefault="00360A3B" w14:paraId="51E680A7" w14:textId="77777777">
      <w:r w:rsidRPr="00360A3B">
        <w:t xml:space="preserve">Dit vraagt wel om het creëren van de juiste omstandigheden voor investeringen in bidirectioneel laden en een aantrekkelijk aanbod voor elektrische rijders. In de Nationale Routekaart Bidirectioneel Laden (bijlage 4) is uitgewerkt hoe Nederland hiermee aan de slag gaat. In de zomer van 2026 start de uitvoering. Hiervoor werkt het Rijk onder andere samen met de netbeheerders, marktpartijen, medeoverheden en consumentenorganisaties. </w:t>
      </w:r>
      <w:r w:rsidRPr="00CF038B" w:rsidR="00A438B3">
        <w:t xml:space="preserve">De </w:t>
      </w:r>
      <w:r w:rsidR="00A438B3">
        <w:t xml:space="preserve">uitrol van bidirectioneel laden </w:t>
      </w:r>
      <w:r w:rsidRPr="00CF038B" w:rsidR="00A438B3">
        <w:t xml:space="preserve">verloopt naar verwachting in twee fases. In fase I (2026–2030) vindt bidirectioneel laden plaats op kleine schaal </w:t>
      </w:r>
      <w:r w:rsidR="00A438B3">
        <w:t xml:space="preserve">en wordt gewerkt aan oplossingen voor verschillende uitdagingen. De uitdagingen zijn het bevorderen van interoperabiliteit, de ingroei van bidirectionele laadpunten en voertuigen, het verbeteren van de businesscase voor bedrijven en particulieren, en het ontwikkelen van passende informatievoorziening voor eindgebruikers. In fase II (2030–2035) wordt bidirectioneel laden grootschaliger doordat barrières zijn weggenomen. </w:t>
      </w:r>
    </w:p>
    <w:p w:rsidR="00A438B3" w:rsidP="00904D8B" w:rsidRDefault="00A438B3" w14:paraId="581FCD9B" w14:textId="77777777"/>
    <w:p w:rsidRPr="00904D8B" w:rsidR="00904D8B" w:rsidP="00904D8B" w:rsidRDefault="00360A3B" w14:paraId="6527253E" w14:textId="0CFDC467">
      <w:r w:rsidRPr="00360A3B">
        <w:t xml:space="preserve">De </w:t>
      </w:r>
      <w:r w:rsidR="00A438B3">
        <w:t>r</w:t>
      </w:r>
      <w:r w:rsidRPr="00360A3B">
        <w:t xml:space="preserve">outekaart gaat ook in op het probleem van de dubbele energiebelasting, en voldoet zo aan de toezegging </w:t>
      </w:r>
      <w:r w:rsidR="000471D0">
        <w:t>aan het lid Zwinkels</w:t>
      </w:r>
      <w:r w:rsidRPr="00360A3B">
        <w:t xml:space="preserve"> van 14 januari jl. (T202601-019)</w:t>
      </w:r>
      <w:r>
        <w:t xml:space="preserve">. </w:t>
      </w:r>
      <w:r w:rsidRPr="00904D8B" w:rsidR="00904D8B">
        <w:t xml:space="preserve">Zoals in de routekaart is beschreven, zet dit kabinet in op beter inzicht in de effecten van dubbele energiebelasting, bijvoorbeeld op de businesscase van bidirectioneel laden en de impact op netcongestie. Zodra een technische oplossing beschikbaar is, kan worden beoordeeld of de baten van het wegnemen van dubbele energiebelasting opwegen tegen de lasten en een eventuele toename van de uitvoeringscomplexiteit. Tegelijkertijd wordt gewerkt aan geavanceerde meetmethoden die </w:t>
      </w:r>
      <w:r w:rsidR="00904D8B">
        <w:t>deze</w:t>
      </w:r>
      <w:r w:rsidRPr="00904D8B" w:rsidR="00904D8B">
        <w:t xml:space="preserve"> technische oplossing dichterbij brengen. </w:t>
      </w:r>
      <w:r w:rsidR="004B4C07">
        <w:t>De Kamer wordt</w:t>
      </w:r>
      <w:r w:rsidRPr="00904D8B" w:rsidR="00904D8B">
        <w:t xml:space="preserve"> op de hoogte </w:t>
      </w:r>
      <w:r w:rsidR="004B4C07">
        <w:t xml:space="preserve">gehouden </w:t>
      </w:r>
      <w:r w:rsidRPr="00904D8B" w:rsidR="00904D8B">
        <w:t>van de voortgang en nieuwe inzichten.</w:t>
      </w:r>
    </w:p>
    <w:p w:rsidR="002A2936" w:rsidP="002A2936" w:rsidRDefault="002A2936" w14:paraId="74F4DF99" w14:textId="77777777">
      <w:pPr>
        <w:rPr>
          <w:bCs/>
        </w:rPr>
      </w:pPr>
    </w:p>
    <w:p w:rsidRPr="00B96FB0" w:rsidR="00092C52" w:rsidP="001A39D8" w:rsidRDefault="00092C52" w14:paraId="65B7DA47" w14:textId="2EC61726">
      <w:pPr>
        <w:pStyle w:val="ListParagraph"/>
        <w:numPr>
          <w:ilvl w:val="0"/>
          <w:numId w:val="30"/>
        </w:numPr>
        <w:rPr>
          <w:bCs/>
          <w:i/>
          <w:iCs/>
        </w:rPr>
      </w:pPr>
      <w:r w:rsidRPr="00B96FB0">
        <w:rPr>
          <w:bCs/>
          <w:i/>
          <w:iCs/>
        </w:rPr>
        <w:t>Samenwerkingsagenda Logistiek Netcongestie</w:t>
      </w:r>
    </w:p>
    <w:p w:rsidRPr="00360A3B" w:rsidR="002A2936" w:rsidP="002A2936" w:rsidRDefault="00360A3B" w14:paraId="37027E8A" w14:textId="1A488F7F">
      <w:pPr>
        <w:rPr>
          <w:bCs/>
        </w:rPr>
      </w:pPr>
      <w:r>
        <w:rPr>
          <w:bCs/>
        </w:rPr>
        <w:t xml:space="preserve">Voor zwaar vervoer wordt gewerkt aan een samenwerkingsagenda logistiek en netcongestie. </w:t>
      </w:r>
      <w:r w:rsidR="002A2936">
        <w:rPr>
          <w:bCs/>
        </w:rPr>
        <w:t>Daarbinnen werken</w:t>
      </w:r>
      <w:r w:rsidRPr="00A10270" w:rsidR="002A2936">
        <w:rPr>
          <w:bCs/>
        </w:rPr>
        <w:t xml:space="preserve"> Rijk, </w:t>
      </w:r>
      <w:r w:rsidRPr="001F6994" w:rsidR="002A2936">
        <w:rPr>
          <w:bCs/>
        </w:rPr>
        <w:t>brancheorganisaties, regionale netbeheerders en de NAL zoveel mogelijk toe naar een maximale uitrol van laadinfra voor zwaar vervoer binnen de grenzen van netcongestie. Deze uitwerking gebeurt langs drie sporen</w:t>
      </w:r>
      <w:r w:rsidR="00CF4A3A">
        <w:rPr>
          <w:bCs/>
        </w:rPr>
        <w:t>, waarover de Kamer periodiek geïnformeerd wordt</w:t>
      </w:r>
      <w:r w:rsidRPr="001F6994" w:rsidR="002A2936">
        <w:rPr>
          <w:bCs/>
        </w:rPr>
        <w:t>:</w:t>
      </w:r>
    </w:p>
    <w:p w:rsidRPr="002A2936" w:rsidR="002A2936" w:rsidP="001A39D8" w:rsidRDefault="002A2936" w14:paraId="75BD420E" w14:textId="53576232">
      <w:pPr>
        <w:pStyle w:val="ListParagraph"/>
        <w:numPr>
          <w:ilvl w:val="0"/>
          <w:numId w:val="24"/>
        </w:numPr>
        <w:rPr>
          <w:bCs/>
        </w:rPr>
      </w:pPr>
      <w:r w:rsidRPr="002A2936">
        <w:rPr>
          <w:bCs/>
        </w:rPr>
        <w:t>Het zoveel mogelijk beschikbaar maken van bestaande kennis en ervaring voor ondernemers. Dit gebeurt onder andere via de informatiecampagne “</w:t>
      </w:r>
      <w:r w:rsidR="00F30A7C">
        <w:rPr>
          <w:bCs/>
        </w:rPr>
        <w:t xml:space="preserve">Logistiek </w:t>
      </w:r>
      <w:r w:rsidRPr="002A2936">
        <w:rPr>
          <w:bCs/>
        </w:rPr>
        <w:t>Op Stroom”, specifiek gericht op logistieke ondernemers, die onlangs van start is gegaan.</w:t>
      </w:r>
      <w:r>
        <w:rPr>
          <w:rStyle w:val="FootnoteReference"/>
          <w:bCs/>
        </w:rPr>
        <w:footnoteReference w:id="23"/>
      </w:r>
      <w:r w:rsidRPr="002A2936">
        <w:rPr>
          <w:bCs/>
        </w:rPr>
        <w:t xml:space="preserve"> </w:t>
      </w:r>
    </w:p>
    <w:p w:rsidRPr="002A2936" w:rsidR="002A2936" w:rsidP="001A39D8" w:rsidRDefault="002A2936" w14:paraId="789C0FB0" w14:textId="77777777">
      <w:pPr>
        <w:pStyle w:val="ListParagraph"/>
        <w:numPr>
          <w:ilvl w:val="0"/>
          <w:numId w:val="24"/>
        </w:numPr>
        <w:rPr>
          <w:bCs/>
        </w:rPr>
      </w:pPr>
      <w:r w:rsidRPr="002A2936">
        <w:rPr>
          <w:bCs/>
        </w:rPr>
        <w:t xml:space="preserve">Het in de praktijk testen en opschalen van zogenaamde stroomoplossingen (mitigerende maatregelen voor netcongestie). Dit zijn oplossingen zoals bijvoorbeeld batterijopslag, </w:t>
      </w:r>
      <w:r w:rsidRPr="002A2936">
        <w:rPr>
          <w:bCs/>
          <w:i/>
          <w:iCs/>
        </w:rPr>
        <w:t>cable pooling</w:t>
      </w:r>
      <w:r w:rsidRPr="002A2936">
        <w:rPr>
          <w:bCs/>
        </w:rPr>
        <w:t xml:space="preserve">, blokstroom of andere alternatieve transportrechten die ondernemers in staat stellen om optimaal gebruik te maken van de capaciteit die nog wel aanwezig is op het elektriciteitsnet. </w:t>
      </w:r>
    </w:p>
    <w:p w:rsidRPr="002A2936" w:rsidR="002A2936" w:rsidP="001A39D8" w:rsidRDefault="002A2936" w14:paraId="1612D5D7" w14:textId="77777777">
      <w:pPr>
        <w:pStyle w:val="ListParagraph"/>
        <w:numPr>
          <w:ilvl w:val="0"/>
          <w:numId w:val="24"/>
        </w:numPr>
        <w:rPr>
          <w:bCs/>
        </w:rPr>
      </w:pPr>
      <w:r w:rsidRPr="002A2936">
        <w:rPr>
          <w:bCs/>
        </w:rPr>
        <w:t>Het uitwerken van een toekomstperspectief over de rol van logistiek in het stroomnet van de toekomst.</w:t>
      </w:r>
    </w:p>
    <w:p w:rsidR="0070536D" w:rsidP="004E3341" w:rsidRDefault="0070536D" w14:paraId="74C5B815" w14:textId="77777777"/>
    <w:p w:rsidR="00B96FB0" w:rsidP="004E3341" w:rsidRDefault="00B96FB0" w14:paraId="74F86E46" w14:textId="77777777"/>
    <w:p w:rsidRPr="007E2A5E" w:rsidR="0070536D" w:rsidP="001A39D8" w:rsidRDefault="002A2936" w14:paraId="4E55F121" w14:textId="288335D1">
      <w:pPr>
        <w:pStyle w:val="ListParagraph"/>
        <w:numPr>
          <w:ilvl w:val="0"/>
          <w:numId w:val="23"/>
        </w:numPr>
        <w:rPr>
          <w:b/>
          <w:bCs/>
        </w:rPr>
      </w:pPr>
      <w:r w:rsidRPr="007E2A5E">
        <w:rPr>
          <w:b/>
          <w:bCs/>
        </w:rPr>
        <w:t xml:space="preserve">Aandachtspunt: </w:t>
      </w:r>
      <w:r w:rsidR="007E2A5E">
        <w:rPr>
          <w:b/>
          <w:bCs/>
        </w:rPr>
        <w:t>p</w:t>
      </w:r>
      <w:r w:rsidRPr="007E2A5E" w:rsidR="0070536D">
        <w:rPr>
          <w:b/>
          <w:bCs/>
        </w:rPr>
        <w:t>rijstransparantie en marktorganisatie</w:t>
      </w:r>
    </w:p>
    <w:p w:rsidR="0070536D" w:rsidP="0070536D" w:rsidRDefault="0070536D" w14:paraId="52105827" w14:textId="6F9E6E4B">
      <w:r>
        <w:t>H</w:t>
      </w:r>
      <w:r w:rsidRPr="001E4C23">
        <w:t>et kabinet hech</w:t>
      </w:r>
      <w:r>
        <w:t>t</w:t>
      </w:r>
      <w:r w:rsidRPr="001E4C23">
        <w:t xml:space="preserve"> grote waarde aan de betaalbaarheid van autorijden</w:t>
      </w:r>
      <w:r>
        <w:t>. T</w:t>
      </w:r>
      <w:r w:rsidRPr="001E4C23">
        <w:t>ransparant</w:t>
      </w:r>
      <w:r>
        <w:t xml:space="preserve">e prijzen zijn </w:t>
      </w:r>
      <w:r w:rsidRPr="001E4C23">
        <w:t>voorwaardelijk aan een gezonde marktsituatie</w:t>
      </w:r>
      <w:r>
        <w:t xml:space="preserve"> en daarmee aan een passende prijs.</w:t>
      </w:r>
      <w:r w:rsidRPr="001E4C23">
        <w:t xml:space="preserve"> </w:t>
      </w:r>
      <w:r>
        <w:t>Uit onderzoek gefinancierd door het ministerie blijkt dat d</w:t>
      </w:r>
      <w:r w:rsidRPr="001E4C23">
        <w:t>e transparantie van laadprijzen op dit moment nog achter</w:t>
      </w:r>
      <w:r>
        <w:t>blijft</w:t>
      </w:r>
      <w:r w:rsidR="00AB6A29">
        <w:t>.</w:t>
      </w:r>
      <w:r>
        <w:rPr>
          <w:rStyle w:val="FootnoteReference"/>
        </w:rPr>
        <w:footnoteReference w:id="24"/>
      </w:r>
      <w:r>
        <w:t xml:space="preserve"> </w:t>
      </w:r>
      <w:r w:rsidR="00AB6A29">
        <w:t>Marktpartijen zijn</w:t>
      </w:r>
      <w:r w:rsidRPr="001E4C23">
        <w:t xml:space="preserve"> </w:t>
      </w:r>
      <w:r w:rsidRPr="00FF248E">
        <w:t>op</w:t>
      </w:r>
      <w:r>
        <w:t>geroepen</w:t>
      </w:r>
      <w:r w:rsidRPr="001E4C23">
        <w:t xml:space="preserve"> om hun verantwoordelijkheid te nemen en dus actief en duidelijk hun </w:t>
      </w:r>
      <w:r>
        <w:t xml:space="preserve">laadprijzen </w:t>
      </w:r>
      <w:r w:rsidRPr="001E4C23">
        <w:t>kenbaar te maken</w:t>
      </w:r>
      <w:r>
        <w:t xml:space="preserve">. </w:t>
      </w:r>
    </w:p>
    <w:p w:rsidR="0070536D" w:rsidP="0070536D" w:rsidRDefault="0070536D" w14:paraId="5812AFDA" w14:textId="77777777"/>
    <w:p w:rsidR="0070536D" w:rsidP="0070536D" w:rsidRDefault="00360A3B" w14:paraId="3EF1C5EB" w14:textId="064A401E">
      <w:r w:rsidRPr="00360A3B">
        <w:t xml:space="preserve">Door het toezicht aan te scherpen kan eveneens een versnelling op dit onderwerp teweeg worden gebracht. Op 14-01-2026 is aan </w:t>
      </w:r>
      <w:r w:rsidR="000471D0">
        <w:t>het lid Schutz</w:t>
      </w:r>
      <w:r w:rsidRPr="00360A3B">
        <w:t xml:space="preserve"> toegezegd dat de Kamer in juni dit jaar, in de kamerbrief over laadinfrastructuur, geïnformeerd wordt over de nieuwste ontwikkelingen over prijstransparantie n.a.v. contact met de Autoriteit Consument Markt (ACM, T202601-020). </w:t>
      </w:r>
      <w:r w:rsidR="005B0029">
        <w:t>Deze toezegging is uitgevoerd, d</w:t>
      </w:r>
      <w:r w:rsidRPr="00360A3B">
        <w:t>e ACM bevestigt dat er signalen zijn dat de prijstransparantie in de sector tekortschiet. Zij zal daarom een nieuw vooronderzoek starten om zo een zorgvuldig oordeel te vormen over de prijstransparantie van laaddiensten.</w:t>
      </w:r>
    </w:p>
    <w:p w:rsidR="00360A3B" w:rsidP="0070536D" w:rsidRDefault="00360A3B" w14:paraId="3E7942B4" w14:textId="77777777"/>
    <w:p w:rsidRPr="0027456F" w:rsidR="0070536D" w:rsidP="0070536D" w:rsidRDefault="0070536D" w14:paraId="5C428D74" w14:textId="0ED75DE4">
      <w:r>
        <w:t xml:space="preserve">Daarnaast </w:t>
      </w:r>
      <w:r w:rsidR="00AB6A29">
        <w:t>wordt overwogen</w:t>
      </w:r>
      <w:r>
        <w:t xml:space="preserve"> om de regelgeving betreffende prijstransparantie bij laadprijzen te specificeren. Hierbij moet worden afgewogen of een specificatie van prijstransparantieregels op nationaal of Europees niveau het meest passend is. Hier</w:t>
      </w:r>
      <w:r w:rsidR="00AB6A29">
        <w:t xml:space="preserve">over wordt een positie ingenomen </w:t>
      </w:r>
      <w:r>
        <w:t xml:space="preserve">als onderdeel van de lopende herziening van de </w:t>
      </w:r>
      <w:r w:rsidRPr="00CF3C2A">
        <w:t>Verordening betreffende de uitrol van infrastructuur voor alternatieve brandstoffen (AFIR-verordening</w:t>
      </w:r>
      <w:r>
        <w:t xml:space="preserve">) die voor eind 2026 gepland staat. </w:t>
      </w:r>
    </w:p>
    <w:p w:rsidR="0070536D" w:rsidP="0070536D" w:rsidRDefault="0070536D" w14:paraId="0039871E" w14:textId="77777777"/>
    <w:p w:rsidR="0070536D" w:rsidP="0070536D" w:rsidRDefault="0070536D" w14:paraId="3A01338F" w14:textId="0A7CC4C5">
      <w:r w:rsidRPr="001E4C23">
        <w:t xml:space="preserve">Daarnaast </w:t>
      </w:r>
      <w:r w:rsidR="00AB6A29">
        <w:t>wordt</w:t>
      </w:r>
      <w:r w:rsidRPr="001E4C23">
        <w:t xml:space="preserve"> samen met partners in de Nationale Agenda Laadinfrastructuur </w:t>
      </w:r>
      <w:r w:rsidR="00AB6A29">
        <w:t>gewerkt aan het bevorderen van</w:t>
      </w:r>
      <w:r w:rsidRPr="001E4C23">
        <w:t xml:space="preserve"> de marktomstandigheden.</w:t>
      </w:r>
      <w:r>
        <w:t xml:space="preserve"> Met de NAL </w:t>
      </w:r>
      <w:r w:rsidR="00AB6A29">
        <w:t>is</w:t>
      </w:r>
      <w:r>
        <w:t xml:space="preserve"> de Definitie Prijstransparantie</w:t>
      </w:r>
      <w:r w:rsidR="00AB6A29">
        <w:t xml:space="preserve"> ontwikkel</w:t>
      </w:r>
      <w:r w:rsidR="00891ACA">
        <w:t>d</w:t>
      </w:r>
      <w:r w:rsidR="00AB6A29">
        <w:t>.</w:t>
      </w:r>
      <w:r>
        <w:rPr>
          <w:rStyle w:val="FootnoteReference"/>
        </w:rPr>
        <w:footnoteReference w:id="25"/>
      </w:r>
      <w:r>
        <w:t xml:space="preserve"> Deze definitie geeft inzicht in wat wordt verstaan onder prijstransparantie</w:t>
      </w:r>
      <w:r w:rsidR="00AB6A29">
        <w:t>,</w:t>
      </w:r>
      <w:r>
        <w:t xml:space="preserve"> en wat particulieren en bedrijven mogen verwachten. </w:t>
      </w:r>
    </w:p>
    <w:p w:rsidR="0070536D" w:rsidP="0070536D" w:rsidRDefault="0070536D" w14:paraId="5B23CE7D" w14:textId="77777777"/>
    <w:p w:rsidRPr="00270AB1" w:rsidR="0070536D" w:rsidP="0070536D" w:rsidRDefault="0070536D" w14:paraId="07B57BF6" w14:textId="5E4B02D6">
      <w:r>
        <w:t xml:space="preserve">Tot slot </w:t>
      </w:r>
      <w:r w:rsidR="00AB6A29">
        <w:t>wordt</w:t>
      </w:r>
      <w:r>
        <w:t xml:space="preserve"> samen met de partners in de NAL </w:t>
      </w:r>
      <w:r w:rsidR="00AB6A29">
        <w:t xml:space="preserve">onderzocht </w:t>
      </w:r>
      <w:r>
        <w:t>in welke mate de huidige marktorganisatie voor publieke toegankelijke laaddiensten een adequate bijdrage levert aan publieke belangen. Een tussenrapportage wijst erop dat de gebruiker niet altijd centraal staat</w:t>
      </w:r>
      <w:r w:rsidR="00AB6A29">
        <w:t>,</w:t>
      </w:r>
      <w:r>
        <w:t xml:space="preserve"> </w:t>
      </w:r>
      <w:r w:rsidR="00AB6A29">
        <w:t>wat</w:t>
      </w:r>
      <w:r>
        <w:t xml:space="preserve"> onder andere terug</w:t>
      </w:r>
      <w:r w:rsidR="00AB6A29">
        <w:t xml:space="preserve"> te zien is</w:t>
      </w:r>
      <w:r>
        <w:t xml:space="preserve"> in de prijstransparantie</w:t>
      </w:r>
      <w:r w:rsidR="00AB6A29">
        <w:t>.</w:t>
      </w:r>
      <w:r>
        <w:rPr>
          <w:rStyle w:val="FootnoteReference"/>
        </w:rPr>
        <w:footnoteReference w:id="26"/>
      </w:r>
      <w:r>
        <w:t xml:space="preserve"> In het derde kwartaal van 2026 wordt het eindrapport verwacht waarin ook de mogelijkheden voor ingrepen op de marktorganisatie in beeld worden gebracht.</w:t>
      </w:r>
    </w:p>
    <w:p w:rsidR="00CE3446" w:rsidP="0070536D" w:rsidRDefault="00CE3446" w14:paraId="27657FCC" w14:textId="77777777"/>
    <w:p w:rsidR="00052B71" w:rsidRDefault="00D91FCC" w14:paraId="1FE39548" w14:textId="79E48061">
      <w:pPr>
        <w:pStyle w:val="Slotzin"/>
      </w:pPr>
      <w:r w:rsidRPr="00BE4EEA">
        <w:t>Hoogachtend</w:t>
      </w:r>
      <w:r>
        <w:t>,</w:t>
      </w:r>
    </w:p>
    <w:p w:rsidR="00052B71" w:rsidRDefault="00D91FCC" w14:paraId="78E2A24D" w14:textId="77777777">
      <w:pPr>
        <w:pStyle w:val="OndertekeningArea1"/>
      </w:pPr>
      <w:r>
        <w:t>DE STAATSSECRETARIS VAN INFRASTRUCTUUR EN WATERSTAAT,</w:t>
      </w:r>
    </w:p>
    <w:p w:rsidR="00052B71" w:rsidRDefault="00052B71" w14:paraId="29795830" w14:textId="77777777"/>
    <w:p w:rsidR="00052B71" w:rsidRDefault="00052B71" w14:paraId="2F38F8CA" w14:textId="77777777"/>
    <w:p w:rsidR="00052B71" w:rsidRDefault="00052B71" w14:paraId="37AD1E92" w14:textId="77777777"/>
    <w:p w:rsidR="00052B71" w:rsidRDefault="00052B71" w14:paraId="077AA1EE" w14:textId="77777777"/>
    <w:p w:rsidR="00324504" w:rsidRDefault="00D91FCC" w14:paraId="2F67A65F" w14:textId="531F9618">
      <w:r>
        <w:t>Annet Bertram</w:t>
      </w:r>
    </w:p>
    <w:sectPr w:rsidR="0032450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02959" w14:textId="77777777" w:rsidR="00C73ED5" w:rsidRDefault="00C73ED5">
      <w:pPr>
        <w:spacing w:line="240" w:lineRule="auto"/>
      </w:pPr>
      <w:r>
        <w:separator/>
      </w:r>
    </w:p>
  </w:endnote>
  <w:endnote w:type="continuationSeparator" w:id="0">
    <w:p w14:paraId="774EE138" w14:textId="77777777" w:rsidR="00C73ED5" w:rsidRDefault="00C73E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1ACBF" w14:textId="77777777" w:rsidR="008E53FA" w:rsidRDefault="008E5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CCA18" w14:textId="77777777" w:rsidR="008E53FA" w:rsidRDefault="008E53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6E76F" w14:textId="77777777" w:rsidR="008E53FA" w:rsidRDefault="008E5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A6A4E" w14:textId="77777777" w:rsidR="00C73ED5" w:rsidRDefault="00C73ED5">
      <w:pPr>
        <w:spacing w:line="240" w:lineRule="auto"/>
      </w:pPr>
      <w:r>
        <w:separator/>
      </w:r>
    </w:p>
  </w:footnote>
  <w:footnote w:type="continuationSeparator" w:id="0">
    <w:p w14:paraId="4CDE24FB" w14:textId="77777777" w:rsidR="00C73ED5" w:rsidRDefault="00C73ED5">
      <w:pPr>
        <w:spacing w:line="240" w:lineRule="auto"/>
      </w:pPr>
      <w:r>
        <w:continuationSeparator/>
      </w:r>
    </w:p>
  </w:footnote>
  <w:footnote w:id="1">
    <w:p w14:paraId="4DE05A70" w14:textId="190A65E6" w:rsidR="00156740" w:rsidRPr="00A4315C" w:rsidRDefault="00156740" w:rsidP="00156740">
      <w:pPr>
        <w:pStyle w:val="FootnoteText"/>
        <w:rPr>
          <w:sz w:val="16"/>
          <w:szCs w:val="16"/>
        </w:rPr>
      </w:pPr>
      <w:r w:rsidRPr="00A4315C">
        <w:rPr>
          <w:rStyle w:val="FootnoteReference"/>
          <w:sz w:val="16"/>
          <w:szCs w:val="16"/>
        </w:rPr>
        <w:footnoteRef/>
      </w:r>
      <w:r w:rsidRPr="00A4315C">
        <w:rPr>
          <w:sz w:val="16"/>
          <w:szCs w:val="16"/>
        </w:rPr>
        <w:t xml:space="preserve"> </w:t>
      </w:r>
      <w:r w:rsidR="00A4315C" w:rsidRPr="00A4315C">
        <w:rPr>
          <w:sz w:val="16"/>
          <w:szCs w:val="16"/>
        </w:rPr>
        <w:t xml:space="preserve">Rijksoverheid, </w:t>
      </w:r>
      <w:r w:rsidR="00A4315C" w:rsidRPr="00A4315C">
        <w:rPr>
          <w:i/>
          <w:iCs/>
          <w:sz w:val="16"/>
          <w:szCs w:val="16"/>
        </w:rPr>
        <w:t>Wet Klimaatwet</w:t>
      </w:r>
      <w:r w:rsidR="00A4315C">
        <w:rPr>
          <w:sz w:val="16"/>
          <w:szCs w:val="16"/>
        </w:rPr>
        <w:t xml:space="preserve"> (2019)</w:t>
      </w:r>
      <w:r w:rsidR="00280E84">
        <w:rPr>
          <w:sz w:val="16"/>
          <w:szCs w:val="16"/>
        </w:rPr>
        <w:t xml:space="preserve"> </w:t>
      </w:r>
    </w:p>
  </w:footnote>
  <w:footnote w:id="2">
    <w:p w14:paraId="1112EE21" w14:textId="407B389F" w:rsidR="00997E9B" w:rsidRPr="00A4315C" w:rsidRDefault="00997E9B" w:rsidP="00997E9B">
      <w:pPr>
        <w:pStyle w:val="FootnoteText"/>
        <w:rPr>
          <w:sz w:val="16"/>
          <w:szCs w:val="16"/>
        </w:rPr>
      </w:pPr>
      <w:r w:rsidRPr="00A4315C">
        <w:rPr>
          <w:rStyle w:val="FootnoteReference"/>
          <w:sz w:val="16"/>
          <w:szCs w:val="16"/>
        </w:rPr>
        <w:footnoteRef/>
      </w:r>
      <w:r w:rsidRPr="00A4315C">
        <w:rPr>
          <w:sz w:val="16"/>
          <w:szCs w:val="16"/>
        </w:rPr>
        <w:t xml:space="preserve"> </w:t>
      </w:r>
      <w:r w:rsidR="00A4315C">
        <w:rPr>
          <w:sz w:val="16"/>
          <w:szCs w:val="16"/>
        </w:rPr>
        <w:t xml:space="preserve">D66, VVD &amp; CDA, </w:t>
      </w:r>
      <w:r w:rsidR="00A4315C" w:rsidRPr="00A4315C">
        <w:rPr>
          <w:i/>
          <w:iCs/>
          <w:sz w:val="16"/>
          <w:szCs w:val="16"/>
        </w:rPr>
        <w:t>Aan de slag – Coalitieakkoord 2026-2030</w:t>
      </w:r>
      <w:r w:rsidR="00A4315C">
        <w:rPr>
          <w:sz w:val="16"/>
          <w:szCs w:val="16"/>
        </w:rPr>
        <w:t xml:space="preserve"> (2026).</w:t>
      </w:r>
    </w:p>
  </w:footnote>
  <w:footnote w:id="3">
    <w:p w14:paraId="32FA666F" w14:textId="6FA75DE4" w:rsidR="00156740" w:rsidRPr="00280E84" w:rsidRDefault="00156740" w:rsidP="00156740">
      <w:pPr>
        <w:pStyle w:val="FootnoteText"/>
        <w:rPr>
          <w:sz w:val="16"/>
          <w:szCs w:val="16"/>
          <w:lang w:val="en-GB"/>
        </w:rPr>
      </w:pPr>
      <w:r w:rsidRPr="00A4315C">
        <w:rPr>
          <w:rStyle w:val="FootnoteReference"/>
          <w:sz w:val="16"/>
          <w:szCs w:val="16"/>
        </w:rPr>
        <w:footnoteRef/>
      </w:r>
      <w:r w:rsidRPr="00A4315C">
        <w:rPr>
          <w:sz w:val="16"/>
          <w:szCs w:val="16"/>
        </w:rPr>
        <w:t xml:space="preserve"> </w:t>
      </w:r>
      <w:r w:rsidR="00A4315C">
        <w:rPr>
          <w:sz w:val="16"/>
          <w:szCs w:val="16"/>
        </w:rPr>
        <w:t xml:space="preserve">Ministerie van Infrastructuur en Waterstaat, </w:t>
      </w:r>
      <w:r w:rsidR="00A4315C" w:rsidRPr="00A4315C">
        <w:rPr>
          <w:i/>
          <w:iCs/>
          <w:sz w:val="16"/>
          <w:szCs w:val="16"/>
        </w:rPr>
        <w:t>Beleidsbrief Infrastructuur en Waterstaat: Nederland bereikbaar, schoon, veilig en economisch sterk houden</w:t>
      </w:r>
      <w:r w:rsidR="00A4315C">
        <w:rPr>
          <w:sz w:val="16"/>
          <w:szCs w:val="16"/>
        </w:rPr>
        <w:t xml:space="preserve"> (</w:t>
      </w:r>
      <w:r w:rsidR="00280E84" w:rsidRPr="00280E84">
        <w:rPr>
          <w:sz w:val="16"/>
          <w:szCs w:val="16"/>
        </w:rPr>
        <w:t>24 april 2026</w:t>
      </w:r>
      <w:r w:rsidR="00A4315C">
        <w:rPr>
          <w:sz w:val="16"/>
          <w:szCs w:val="16"/>
        </w:rPr>
        <w:t>).</w:t>
      </w:r>
      <w:r w:rsidR="00280E84">
        <w:rPr>
          <w:sz w:val="16"/>
          <w:szCs w:val="16"/>
        </w:rPr>
        <w:t xml:space="preserve"> </w:t>
      </w:r>
      <w:r w:rsidR="00280E84" w:rsidRPr="00280E84">
        <w:rPr>
          <w:sz w:val="16"/>
          <w:szCs w:val="16"/>
          <w:lang w:val="en-GB"/>
        </w:rPr>
        <w:t>36800-XII-34</w:t>
      </w:r>
    </w:p>
  </w:footnote>
  <w:footnote w:id="4">
    <w:p w14:paraId="49C338C3" w14:textId="704920C8" w:rsidR="00950FEC" w:rsidRPr="00A4315C" w:rsidRDefault="00950FEC">
      <w:pPr>
        <w:pStyle w:val="FootnoteText"/>
        <w:rPr>
          <w:sz w:val="16"/>
          <w:szCs w:val="16"/>
          <w:lang w:val="en-US"/>
        </w:rPr>
      </w:pPr>
      <w:r w:rsidRPr="00A4315C">
        <w:rPr>
          <w:rStyle w:val="FootnoteReference"/>
          <w:sz w:val="16"/>
          <w:szCs w:val="16"/>
        </w:rPr>
        <w:footnoteRef/>
      </w:r>
      <w:r w:rsidRPr="00A4315C">
        <w:rPr>
          <w:sz w:val="16"/>
          <w:szCs w:val="16"/>
          <w:lang w:val="en-US"/>
        </w:rPr>
        <w:t xml:space="preserve"> </w:t>
      </w:r>
      <w:r w:rsidR="00A4315C" w:rsidRPr="00A4315C">
        <w:rPr>
          <w:sz w:val="16"/>
          <w:szCs w:val="16"/>
          <w:lang w:val="en-US"/>
        </w:rPr>
        <w:t>European Alternative Fuels Ob</w:t>
      </w:r>
      <w:r w:rsidR="00A4315C">
        <w:rPr>
          <w:sz w:val="16"/>
          <w:szCs w:val="16"/>
          <w:lang w:val="en-US"/>
        </w:rPr>
        <w:t xml:space="preserve">servatory, </w:t>
      </w:r>
      <w:r w:rsidR="00A4315C">
        <w:rPr>
          <w:i/>
          <w:iCs/>
          <w:sz w:val="16"/>
          <w:szCs w:val="16"/>
          <w:lang w:val="en-US"/>
        </w:rPr>
        <w:t>Dashboard Netherlands – Infrastructure</w:t>
      </w:r>
      <w:r w:rsidR="00A4315C">
        <w:rPr>
          <w:sz w:val="16"/>
          <w:szCs w:val="16"/>
          <w:lang w:val="en-US"/>
        </w:rPr>
        <w:t xml:space="preserve"> (2026).</w:t>
      </w:r>
      <w:r w:rsidR="00280E84" w:rsidRPr="00280E84">
        <w:rPr>
          <w:lang w:val="en-GB"/>
        </w:rPr>
        <w:t xml:space="preserve"> </w:t>
      </w:r>
    </w:p>
  </w:footnote>
  <w:footnote w:id="5">
    <w:p w14:paraId="224CB489" w14:textId="3F9C7534" w:rsidR="00950FEC" w:rsidRPr="00872A22" w:rsidRDefault="00950FEC" w:rsidP="00950FEC">
      <w:pPr>
        <w:pStyle w:val="FootnoteText"/>
        <w:rPr>
          <w:sz w:val="16"/>
          <w:szCs w:val="16"/>
          <w:lang w:val="en-GB"/>
        </w:rPr>
      </w:pPr>
      <w:r w:rsidRPr="00A4315C">
        <w:rPr>
          <w:rStyle w:val="FootnoteReference"/>
          <w:sz w:val="16"/>
          <w:szCs w:val="16"/>
        </w:rPr>
        <w:footnoteRef/>
      </w:r>
      <w:r w:rsidRPr="00872A22">
        <w:rPr>
          <w:sz w:val="16"/>
          <w:szCs w:val="16"/>
          <w:lang w:val="en-GB"/>
        </w:rPr>
        <w:t xml:space="preserve"> </w:t>
      </w:r>
      <w:r w:rsidR="00A4315C" w:rsidRPr="00872A22">
        <w:rPr>
          <w:sz w:val="16"/>
          <w:szCs w:val="16"/>
          <w:lang w:val="en-GB"/>
        </w:rPr>
        <w:t xml:space="preserve">International Council on Clean Transportation, </w:t>
      </w:r>
      <w:r w:rsidR="00A4315C" w:rsidRPr="00872A22">
        <w:rPr>
          <w:i/>
          <w:iCs/>
          <w:sz w:val="16"/>
          <w:szCs w:val="16"/>
          <w:lang w:val="en-GB"/>
        </w:rPr>
        <w:t>Market Spotlight</w:t>
      </w:r>
      <w:r w:rsidR="00A4315C" w:rsidRPr="00872A22">
        <w:rPr>
          <w:sz w:val="16"/>
          <w:szCs w:val="16"/>
          <w:lang w:val="en-GB"/>
        </w:rPr>
        <w:t xml:space="preserve"> (2026).</w:t>
      </w:r>
      <w:r w:rsidR="00872A22" w:rsidRPr="00872A22">
        <w:rPr>
          <w:sz w:val="16"/>
          <w:szCs w:val="16"/>
          <w:lang w:val="en-GB"/>
        </w:rPr>
        <w:t xml:space="preserve"> </w:t>
      </w:r>
    </w:p>
  </w:footnote>
  <w:footnote w:id="6">
    <w:p w14:paraId="74FC8E2C" w14:textId="28CE6DCF" w:rsidR="000668C2" w:rsidRPr="00A4315C" w:rsidRDefault="000668C2" w:rsidP="000668C2">
      <w:pPr>
        <w:pStyle w:val="FootnoteText"/>
        <w:rPr>
          <w:sz w:val="16"/>
          <w:szCs w:val="16"/>
        </w:rPr>
      </w:pPr>
      <w:r w:rsidRPr="00A4315C">
        <w:rPr>
          <w:rStyle w:val="FootnoteReference"/>
          <w:sz w:val="16"/>
          <w:szCs w:val="16"/>
        </w:rPr>
        <w:footnoteRef/>
      </w:r>
      <w:r w:rsidRPr="00A4315C">
        <w:rPr>
          <w:sz w:val="16"/>
          <w:szCs w:val="16"/>
        </w:rPr>
        <w:t xml:space="preserve"> </w:t>
      </w:r>
      <w:r w:rsidR="00A4315C">
        <w:rPr>
          <w:sz w:val="16"/>
          <w:szCs w:val="16"/>
        </w:rPr>
        <w:t>Nationale Agenda Laadinfrastructuur</w:t>
      </w:r>
      <w:r w:rsidR="001C5482">
        <w:rPr>
          <w:sz w:val="16"/>
          <w:szCs w:val="16"/>
        </w:rPr>
        <w:t xml:space="preserve"> (NAL)</w:t>
      </w:r>
      <w:r w:rsidR="00A4315C">
        <w:rPr>
          <w:sz w:val="16"/>
          <w:szCs w:val="16"/>
        </w:rPr>
        <w:t xml:space="preserve">, </w:t>
      </w:r>
      <w:r w:rsidR="00A4315C">
        <w:rPr>
          <w:i/>
          <w:iCs/>
          <w:sz w:val="16"/>
          <w:szCs w:val="16"/>
        </w:rPr>
        <w:t>Samenwerkingsovereenkomst Regionale Aanpak Laadinfrastructuur 2</w:t>
      </w:r>
      <w:r w:rsidR="00A4315C">
        <w:rPr>
          <w:sz w:val="16"/>
          <w:szCs w:val="16"/>
        </w:rPr>
        <w:t xml:space="preserve"> (2023).</w:t>
      </w:r>
      <w:r w:rsidR="00280E84">
        <w:rPr>
          <w:sz w:val="16"/>
          <w:szCs w:val="16"/>
        </w:rPr>
        <w:t xml:space="preserve"> </w:t>
      </w:r>
    </w:p>
  </w:footnote>
  <w:footnote w:id="7">
    <w:p w14:paraId="17E71889" w14:textId="0ED75D26" w:rsidR="000668C2" w:rsidRPr="00A4315C" w:rsidRDefault="000668C2" w:rsidP="000668C2">
      <w:pPr>
        <w:pStyle w:val="FootnoteText"/>
        <w:rPr>
          <w:sz w:val="16"/>
          <w:szCs w:val="16"/>
        </w:rPr>
      </w:pPr>
      <w:r w:rsidRPr="00A4315C">
        <w:rPr>
          <w:rStyle w:val="FootnoteReference"/>
          <w:sz w:val="16"/>
          <w:szCs w:val="16"/>
        </w:rPr>
        <w:footnoteRef/>
      </w:r>
      <w:r w:rsidRPr="00A4315C">
        <w:rPr>
          <w:sz w:val="16"/>
          <w:szCs w:val="16"/>
        </w:rPr>
        <w:t xml:space="preserve"> </w:t>
      </w:r>
      <w:r w:rsidR="00A4315C">
        <w:rPr>
          <w:sz w:val="16"/>
          <w:szCs w:val="16"/>
        </w:rPr>
        <w:t>Rijksdienst voor Ondernemend Nederland</w:t>
      </w:r>
      <w:r w:rsidR="0099240F">
        <w:rPr>
          <w:sz w:val="16"/>
          <w:szCs w:val="16"/>
        </w:rPr>
        <w:t xml:space="preserve"> (RVO)</w:t>
      </w:r>
      <w:r w:rsidR="00A4315C">
        <w:rPr>
          <w:sz w:val="16"/>
          <w:szCs w:val="16"/>
        </w:rPr>
        <w:t xml:space="preserve">, </w:t>
      </w:r>
      <w:r w:rsidR="00A4315C">
        <w:rPr>
          <w:i/>
          <w:iCs/>
          <w:sz w:val="16"/>
          <w:szCs w:val="16"/>
        </w:rPr>
        <w:t xml:space="preserve">Laadinfrastructuur databank – Landelijke dekkend netwerk voor licht vervoer </w:t>
      </w:r>
      <w:r w:rsidR="00A4315C">
        <w:rPr>
          <w:sz w:val="16"/>
          <w:szCs w:val="16"/>
        </w:rPr>
        <w:t>(2026).</w:t>
      </w:r>
      <w:r w:rsidR="00280E84" w:rsidRPr="00280E84">
        <w:t xml:space="preserve"> </w:t>
      </w:r>
    </w:p>
  </w:footnote>
  <w:footnote w:id="8">
    <w:p w14:paraId="17A4FEA3" w14:textId="6962DDAC" w:rsidR="000668C2" w:rsidRPr="00A4315C" w:rsidRDefault="000668C2" w:rsidP="000668C2">
      <w:pPr>
        <w:pStyle w:val="FootnoteText"/>
        <w:rPr>
          <w:sz w:val="16"/>
          <w:szCs w:val="16"/>
        </w:rPr>
      </w:pPr>
      <w:r w:rsidRPr="00A4315C">
        <w:rPr>
          <w:rStyle w:val="FootnoteReference"/>
          <w:sz w:val="16"/>
          <w:szCs w:val="16"/>
        </w:rPr>
        <w:footnoteRef/>
      </w:r>
      <w:r w:rsidRPr="00A4315C">
        <w:rPr>
          <w:sz w:val="16"/>
          <w:szCs w:val="16"/>
        </w:rPr>
        <w:t xml:space="preserve"> </w:t>
      </w:r>
      <w:r w:rsidR="00720D63">
        <w:rPr>
          <w:sz w:val="16"/>
          <w:szCs w:val="16"/>
        </w:rPr>
        <w:t>Tweede Kamer de</w:t>
      </w:r>
      <w:r w:rsidR="008A611F">
        <w:rPr>
          <w:sz w:val="16"/>
          <w:szCs w:val="16"/>
        </w:rPr>
        <w:t>r</w:t>
      </w:r>
      <w:r w:rsidR="00720D63">
        <w:rPr>
          <w:sz w:val="16"/>
          <w:szCs w:val="16"/>
        </w:rPr>
        <w:t xml:space="preserve"> Staten-Generaal, </w:t>
      </w:r>
      <w:r w:rsidR="008A611F" w:rsidRPr="0099240F">
        <w:rPr>
          <w:i/>
          <w:iCs/>
          <w:sz w:val="16"/>
          <w:szCs w:val="16"/>
        </w:rPr>
        <w:t xml:space="preserve">Kamerstuk </w:t>
      </w:r>
      <w:r w:rsidR="00A4315C" w:rsidRPr="0099240F">
        <w:rPr>
          <w:i/>
          <w:iCs/>
          <w:sz w:val="16"/>
          <w:szCs w:val="16"/>
        </w:rPr>
        <w:t>31</w:t>
      </w:r>
      <w:r w:rsidR="008A611F" w:rsidRPr="0099240F">
        <w:rPr>
          <w:i/>
          <w:iCs/>
          <w:sz w:val="16"/>
          <w:szCs w:val="16"/>
        </w:rPr>
        <w:t>.</w:t>
      </w:r>
      <w:r w:rsidR="00A4315C" w:rsidRPr="0099240F">
        <w:rPr>
          <w:i/>
          <w:iCs/>
          <w:sz w:val="16"/>
          <w:szCs w:val="16"/>
        </w:rPr>
        <w:t>305</w:t>
      </w:r>
      <w:r w:rsidR="00720D63" w:rsidRPr="0099240F">
        <w:rPr>
          <w:i/>
          <w:iCs/>
          <w:sz w:val="16"/>
          <w:szCs w:val="16"/>
        </w:rPr>
        <w:t xml:space="preserve"> </w:t>
      </w:r>
      <w:r w:rsidR="008A611F" w:rsidRPr="0099240F">
        <w:rPr>
          <w:i/>
          <w:iCs/>
          <w:sz w:val="16"/>
          <w:szCs w:val="16"/>
        </w:rPr>
        <w:t xml:space="preserve">– Motie </w:t>
      </w:r>
      <w:r w:rsidR="00720D63" w:rsidRPr="0099240F">
        <w:rPr>
          <w:i/>
          <w:iCs/>
          <w:sz w:val="16"/>
          <w:szCs w:val="16"/>
        </w:rPr>
        <w:t>344</w:t>
      </w:r>
      <w:r w:rsidR="00720D63">
        <w:rPr>
          <w:sz w:val="16"/>
          <w:szCs w:val="16"/>
        </w:rPr>
        <w:t xml:space="preserve"> (2022).</w:t>
      </w:r>
    </w:p>
  </w:footnote>
  <w:footnote w:id="9">
    <w:p w14:paraId="317D43ED" w14:textId="1AB4CC8B" w:rsidR="00CD4D1A" w:rsidRPr="0099240F" w:rsidRDefault="00CD4D1A">
      <w:pPr>
        <w:pStyle w:val="FootnoteText"/>
        <w:rPr>
          <w:sz w:val="16"/>
          <w:szCs w:val="16"/>
        </w:rPr>
      </w:pPr>
      <w:r w:rsidRPr="00A4315C">
        <w:rPr>
          <w:rStyle w:val="FootnoteReference"/>
          <w:sz w:val="16"/>
          <w:szCs w:val="16"/>
        </w:rPr>
        <w:footnoteRef/>
      </w:r>
      <w:r w:rsidRPr="00A4315C">
        <w:rPr>
          <w:sz w:val="16"/>
          <w:szCs w:val="16"/>
        </w:rPr>
        <w:t xml:space="preserve"> </w:t>
      </w:r>
      <w:r w:rsidR="0099240F">
        <w:rPr>
          <w:sz w:val="16"/>
          <w:szCs w:val="16"/>
        </w:rPr>
        <w:t xml:space="preserve">ElaadNL, </w:t>
      </w:r>
      <w:r w:rsidR="0099240F">
        <w:rPr>
          <w:i/>
          <w:iCs/>
          <w:sz w:val="16"/>
          <w:szCs w:val="16"/>
        </w:rPr>
        <w:t>Outlook Mobiliteit 2026</w:t>
      </w:r>
      <w:r w:rsidR="0099240F">
        <w:rPr>
          <w:sz w:val="16"/>
          <w:szCs w:val="16"/>
        </w:rPr>
        <w:t xml:space="preserve"> (2026).</w:t>
      </w:r>
      <w:r w:rsidR="00280E84">
        <w:rPr>
          <w:sz w:val="16"/>
          <w:szCs w:val="16"/>
        </w:rPr>
        <w:t xml:space="preserve"> </w:t>
      </w:r>
    </w:p>
  </w:footnote>
  <w:footnote w:id="10">
    <w:p w14:paraId="6DFA90CA" w14:textId="15CE7114" w:rsidR="000A21D5" w:rsidRPr="00A4315C" w:rsidRDefault="000A21D5" w:rsidP="000A21D5">
      <w:pPr>
        <w:pStyle w:val="FootnoteText"/>
        <w:rPr>
          <w:sz w:val="16"/>
          <w:szCs w:val="16"/>
        </w:rPr>
      </w:pPr>
      <w:r w:rsidRPr="00A4315C">
        <w:rPr>
          <w:rStyle w:val="FootnoteReference"/>
          <w:sz w:val="16"/>
          <w:szCs w:val="16"/>
        </w:rPr>
        <w:footnoteRef/>
      </w:r>
      <w:r w:rsidRPr="00A4315C">
        <w:rPr>
          <w:sz w:val="16"/>
          <w:szCs w:val="16"/>
        </w:rPr>
        <w:t xml:space="preserve"> </w:t>
      </w:r>
      <w:r w:rsidR="0099240F">
        <w:rPr>
          <w:sz w:val="16"/>
          <w:szCs w:val="16"/>
        </w:rPr>
        <w:t xml:space="preserve">Volkshuisvesting Nederland, </w:t>
      </w:r>
      <w:r w:rsidR="0099240F">
        <w:rPr>
          <w:i/>
          <w:iCs/>
          <w:sz w:val="16"/>
          <w:szCs w:val="16"/>
        </w:rPr>
        <w:t>Europese richtlijn energieprestatie gebouwen</w:t>
      </w:r>
      <w:r w:rsidR="0099240F">
        <w:rPr>
          <w:sz w:val="16"/>
          <w:szCs w:val="16"/>
        </w:rPr>
        <w:t xml:space="preserve"> (2026).</w:t>
      </w:r>
      <w:r w:rsidR="0099240F" w:rsidRPr="00A4315C">
        <w:rPr>
          <w:sz w:val="16"/>
          <w:szCs w:val="16"/>
        </w:rPr>
        <w:t xml:space="preserve"> </w:t>
      </w:r>
    </w:p>
  </w:footnote>
  <w:footnote w:id="11">
    <w:p w14:paraId="617883DB" w14:textId="661D632D" w:rsidR="00384DFF" w:rsidRPr="00A4315C" w:rsidRDefault="00384DFF" w:rsidP="00384DFF">
      <w:pPr>
        <w:pStyle w:val="FootnoteText"/>
        <w:rPr>
          <w:sz w:val="16"/>
          <w:szCs w:val="16"/>
        </w:rPr>
      </w:pPr>
      <w:r w:rsidRPr="00A4315C">
        <w:rPr>
          <w:rStyle w:val="FootnoteReference"/>
          <w:sz w:val="16"/>
          <w:szCs w:val="16"/>
        </w:rPr>
        <w:footnoteRef/>
      </w:r>
      <w:r w:rsidRPr="00A4315C">
        <w:rPr>
          <w:sz w:val="16"/>
          <w:szCs w:val="16"/>
        </w:rPr>
        <w:t xml:space="preserve"> </w:t>
      </w:r>
      <w:r w:rsidR="0099240F">
        <w:rPr>
          <w:sz w:val="16"/>
          <w:szCs w:val="16"/>
        </w:rPr>
        <w:t xml:space="preserve">RVO, </w:t>
      </w:r>
      <w:r w:rsidR="0099240F">
        <w:rPr>
          <w:i/>
          <w:iCs/>
          <w:sz w:val="16"/>
          <w:szCs w:val="16"/>
        </w:rPr>
        <w:t xml:space="preserve">Laadinfrastructuur databank – Laadpunten voor zwaar vervoer </w:t>
      </w:r>
      <w:r w:rsidR="0099240F">
        <w:rPr>
          <w:sz w:val="16"/>
          <w:szCs w:val="16"/>
        </w:rPr>
        <w:t>(2026).</w:t>
      </w:r>
      <w:r w:rsidR="00280E84">
        <w:rPr>
          <w:sz w:val="16"/>
          <w:szCs w:val="16"/>
        </w:rPr>
        <w:t xml:space="preserve"> </w:t>
      </w:r>
    </w:p>
  </w:footnote>
  <w:footnote w:id="12">
    <w:p w14:paraId="35222C18" w14:textId="45F5146D" w:rsidR="00C6408B" w:rsidRPr="00A4315C" w:rsidRDefault="00C6408B">
      <w:pPr>
        <w:pStyle w:val="FootnoteText"/>
        <w:rPr>
          <w:sz w:val="16"/>
          <w:szCs w:val="16"/>
        </w:rPr>
      </w:pPr>
      <w:r w:rsidRPr="00A4315C">
        <w:rPr>
          <w:rStyle w:val="FootnoteReference"/>
          <w:sz w:val="16"/>
          <w:szCs w:val="16"/>
        </w:rPr>
        <w:footnoteRef/>
      </w:r>
      <w:r w:rsidRPr="00A4315C">
        <w:rPr>
          <w:sz w:val="16"/>
          <w:szCs w:val="16"/>
        </w:rPr>
        <w:t xml:space="preserve"> </w:t>
      </w:r>
      <w:r w:rsidR="001C5482">
        <w:rPr>
          <w:sz w:val="16"/>
          <w:szCs w:val="16"/>
        </w:rPr>
        <w:t xml:space="preserve">RVO, </w:t>
      </w:r>
      <w:r w:rsidR="001C5482">
        <w:rPr>
          <w:i/>
          <w:iCs/>
          <w:sz w:val="16"/>
          <w:szCs w:val="16"/>
        </w:rPr>
        <w:t xml:space="preserve">Laadinfrastructuur databank – Zware bedrijfsvoertuigen </w:t>
      </w:r>
      <w:r w:rsidR="001C5482">
        <w:rPr>
          <w:sz w:val="16"/>
          <w:szCs w:val="16"/>
        </w:rPr>
        <w:t>(2026).</w:t>
      </w:r>
      <w:r w:rsidR="00872A22" w:rsidRPr="00A4315C">
        <w:rPr>
          <w:sz w:val="16"/>
          <w:szCs w:val="16"/>
        </w:rPr>
        <w:t xml:space="preserve"> </w:t>
      </w:r>
    </w:p>
  </w:footnote>
  <w:footnote w:id="13">
    <w:p w14:paraId="0A1106F9" w14:textId="67616F66" w:rsidR="00E02F3D" w:rsidRPr="00A4315C" w:rsidRDefault="00E02F3D">
      <w:pPr>
        <w:pStyle w:val="FootnoteText"/>
        <w:rPr>
          <w:sz w:val="16"/>
          <w:szCs w:val="16"/>
        </w:rPr>
      </w:pPr>
      <w:r w:rsidRPr="00A4315C">
        <w:rPr>
          <w:rStyle w:val="FootnoteReference"/>
          <w:sz w:val="16"/>
          <w:szCs w:val="16"/>
        </w:rPr>
        <w:footnoteRef/>
      </w:r>
      <w:r w:rsidRPr="00A4315C">
        <w:rPr>
          <w:sz w:val="16"/>
          <w:szCs w:val="16"/>
        </w:rPr>
        <w:t xml:space="preserve"> </w:t>
      </w:r>
      <w:r w:rsidR="0099240F">
        <w:rPr>
          <w:sz w:val="16"/>
          <w:szCs w:val="16"/>
        </w:rPr>
        <w:t xml:space="preserve">ElaadNL, </w:t>
      </w:r>
      <w:r w:rsidR="0099240F">
        <w:rPr>
          <w:i/>
          <w:iCs/>
          <w:sz w:val="16"/>
          <w:szCs w:val="16"/>
        </w:rPr>
        <w:t>Outlook Mobiliteit 2026</w:t>
      </w:r>
      <w:r w:rsidR="0099240F">
        <w:rPr>
          <w:sz w:val="16"/>
          <w:szCs w:val="16"/>
        </w:rPr>
        <w:t xml:space="preserve"> (2026).</w:t>
      </w:r>
      <w:r w:rsidR="0099240F" w:rsidRPr="00A4315C">
        <w:rPr>
          <w:sz w:val="16"/>
          <w:szCs w:val="16"/>
        </w:rPr>
        <w:t xml:space="preserve"> </w:t>
      </w:r>
      <w:r w:rsidR="00280E84">
        <w:rPr>
          <w:sz w:val="16"/>
          <w:szCs w:val="16"/>
        </w:rPr>
        <w:t xml:space="preserve"> </w:t>
      </w:r>
    </w:p>
  </w:footnote>
  <w:footnote w:id="14">
    <w:p w14:paraId="474997E4" w14:textId="738BCB01" w:rsidR="00AF47E8" w:rsidRPr="00A4315C" w:rsidRDefault="00AF47E8" w:rsidP="00AF47E8">
      <w:pPr>
        <w:pStyle w:val="FootnoteText"/>
        <w:rPr>
          <w:sz w:val="16"/>
          <w:szCs w:val="16"/>
        </w:rPr>
      </w:pPr>
      <w:r w:rsidRPr="00A4315C">
        <w:rPr>
          <w:rStyle w:val="FootnoteReference"/>
          <w:sz w:val="16"/>
          <w:szCs w:val="16"/>
        </w:rPr>
        <w:footnoteRef/>
      </w:r>
      <w:r w:rsidRPr="00A4315C">
        <w:rPr>
          <w:sz w:val="16"/>
          <w:szCs w:val="16"/>
        </w:rPr>
        <w:t xml:space="preserve"> </w:t>
      </w:r>
      <w:r w:rsidR="00872A22">
        <w:rPr>
          <w:sz w:val="16"/>
          <w:szCs w:val="16"/>
        </w:rPr>
        <w:t xml:space="preserve">ElaadNL, </w:t>
      </w:r>
      <w:r w:rsidR="00872A22">
        <w:rPr>
          <w:i/>
          <w:iCs/>
          <w:sz w:val="16"/>
          <w:szCs w:val="16"/>
        </w:rPr>
        <w:t>Outlook Mobiliteit 2026</w:t>
      </w:r>
      <w:r w:rsidR="00872A22">
        <w:rPr>
          <w:sz w:val="16"/>
          <w:szCs w:val="16"/>
        </w:rPr>
        <w:t xml:space="preserve"> (2026).</w:t>
      </w:r>
    </w:p>
  </w:footnote>
  <w:footnote w:id="15">
    <w:p w14:paraId="54939A61" w14:textId="1B6D421B" w:rsidR="0036314F" w:rsidRPr="00A4315C" w:rsidRDefault="0036314F">
      <w:pPr>
        <w:pStyle w:val="FootnoteText"/>
        <w:rPr>
          <w:sz w:val="16"/>
          <w:szCs w:val="16"/>
        </w:rPr>
      </w:pPr>
      <w:r w:rsidRPr="00A4315C">
        <w:rPr>
          <w:rStyle w:val="FootnoteReference"/>
          <w:sz w:val="16"/>
          <w:szCs w:val="16"/>
        </w:rPr>
        <w:footnoteRef/>
      </w:r>
      <w:r w:rsidRPr="00A4315C">
        <w:rPr>
          <w:sz w:val="16"/>
          <w:szCs w:val="16"/>
        </w:rPr>
        <w:t xml:space="preserve"> </w:t>
      </w:r>
      <w:r w:rsidR="0099240F">
        <w:rPr>
          <w:sz w:val="16"/>
          <w:szCs w:val="16"/>
        </w:rPr>
        <w:t xml:space="preserve">Rijkswaterstaat, </w:t>
      </w:r>
      <w:r w:rsidR="0099240F">
        <w:rPr>
          <w:i/>
          <w:iCs/>
          <w:sz w:val="16"/>
          <w:szCs w:val="16"/>
        </w:rPr>
        <w:t>Living Lab Heavy Duty Laadpleinen: lessen uit het eerste jaar</w:t>
      </w:r>
      <w:r w:rsidR="0099240F">
        <w:rPr>
          <w:sz w:val="16"/>
          <w:szCs w:val="16"/>
        </w:rPr>
        <w:t xml:space="preserve"> (2025).</w:t>
      </w:r>
      <w:r w:rsidR="0099240F" w:rsidRPr="00A4315C">
        <w:rPr>
          <w:sz w:val="16"/>
          <w:szCs w:val="16"/>
        </w:rPr>
        <w:t xml:space="preserve"> </w:t>
      </w:r>
      <w:r w:rsidR="00280E84" w:rsidRPr="00280E84">
        <w:rPr>
          <w:sz w:val="16"/>
          <w:szCs w:val="16"/>
        </w:rPr>
        <w:t>TNO 2025 R11236</w:t>
      </w:r>
    </w:p>
  </w:footnote>
  <w:footnote w:id="16">
    <w:p w14:paraId="75B61C48" w14:textId="1F2E3A22" w:rsidR="00D21CD9" w:rsidRPr="00A4315C" w:rsidRDefault="00D21CD9" w:rsidP="00280E84">
      <w:pPr>
        <w:spacing w:line="240" w:lineRule="auto"/>
        <w:rPr>
          <w:sz w:val="16"/>
          <w:szCs w:val="16"/>
        </w:rPr>
      </w:pPr>
      <w:r w:rsidRPr="00A4315C">
        <w:rPr>
          <w:rStyle w:val="FootnoteReference"/>
          <w:sz w:val="16"/>
          <w:szCs w:val="16"/>
        </w:rPr>
        <w:footnoteRef/>
      </w:r>
      <w:r w:rsidRPr="00A4315C">
        <w:rPr>
          <w:sz w:val="16"/>
          <w:szCs w:val="16"/>
        </w:rPr>
        <w:t xml:space="preserve"> De </w:t>
      </w:r>
      <w:r w:rsidRPr="00280E84">
        <w:rPr>
          <w:i/>
          <w:iCs/>
          <w:sz w:val="16"/>
          <w:szCs w:val="16"/>
        </w:rPr>
        <w:t>CTCI roadmap</w:t>
      </w:r>
      <w:r w:rsidRPr="00A4315C">
        <w:rPr>
          <w:sz w:val="16"/>
          <w:szCs w:val="16"/>
        </w:rPr>
        <w:t xml:space="preserve"> is een product van de </w:t>
      </w:r>
      <w:r w:rsidR="0099240F" w:rsidRPr="00A4315C">
        <w:rPr>
          <w:sz w:val="16"/>
          <w:szCs w:val="16"/>
        </w:rPr>
        <w:t>CTCI-samenwerkingsovereenkomst</w:t>
      </w:r>
      <w:r w:rsidRPr="00A4315C">
        <w:rPr>
          <w:sz w:val="16"/>
          <w:szCs w:val="16"/>
        </w:rPr>
        <w:t xml:space="preserve">, die vorig jaar is ondertekend door de 9 lidstaten: België, Denemarken, Duitsland, Litouwen, Malta, Oostenrijk, Polen, Zweden en Nederland. </w:t>
      </w:r>
    </w:p>
  </w:footnote>
  <w:footnote w:id="17">
    <w:p w14:paraId="632CD965" w14:textId="77777777" w:rsidR="00D21CD9" w:rsidRPr="00A4315C" w:rsidRDefault="00D21CD9" w:rsidP="00D21CD9">
      <w:pPr>
        <w:pStyle w:val="FootnoteText"/>
        <w:rPr>
          <w:sz w:val="16"/>
          <w:szCs w:val="16"/>
        </w:rPr>
      </w:pPr>
      <w:r w:rsidRPr="00A4315C">
        <w:rPr>
          <w:rStyle w:val="FootnoteReference"/>
          <w:sz w:val="16"/>
          <w:szCs w:val="16"/>
        </w:rPr>
        <w:footnoteRef/>
      </w:r>
      <w:r w:rsidRPr="00A4315C">
        <w:rPr>
          <w:sz w:val="16"/>
          <w:szCs w:val="16"/>
        </w:rPr>
        <w:t xml:space="preserve"> De CO</w:t>
      </w:r>
      <w:r w:rsidRPr="00A4315C">
        <w:rPr>
          <w:sz w:val="16"/>
          <w:szCs w:val="16"/>
          <w:vertAlign w:val="subscript"/>
        </w:rPr>
        <w:t>2</w:t>
      </w:r>
      <w:r w:rsidRPr="00A4315C">
        <w:rPr>
          <w:sz w:val="16"/>
          <w:szCs w:val="16"/>
        </w:rPr>
        <w:t>-emissienormen voor zware bedrijfsvoertuigen stellen CO2-reductiedoelstellingen aan nieuw geregistreerde voertuigen van fabrikanten van vrachtwagens en bussen. De nieuwverkoop van voertuigen moet in 2030 gemiddeld 45% minder CO</w:t>
      </w:r>
      <w:r w:rsidRPr="00A4315C">
        <w:rPr>
          <w:sz w:val="16"/>
          <w:szCs w:val="16"/>
          <w:vertAlign w:val="subscript"/>
        </w:rPr>
        <w:t>2</w:t>
      </w:r>
      <w:r w:rsidRPr="00A4315C">
        <w:rPr>
          <w:sz w:val="16"/>
          <w:szCs w:val="16"/>
        </w:rPr>
        <w:t xml:space="preserve"> moeten uitstoten, in 2035 65% minder en in 2040 90% minder (t.o.v. van het referentiejaar 2020).</w:t>
      </w:r>
    </w:p>
  </w:footnote>
  <w:footnote w:id="18">
    <w:p w14:paraId="103D784E" w14:textId="15A1485A" w:rsidR="00A67C9F" w:rsidRPr="00A4315C" w:rsidRDefault="00A67C9F">
      <w:pPr>
        <w:pStyle w:val="FootnoteText"/>
        <w:rPr>
          <w:sz w:val="16"/>
          <w:szCs w:val="16"/>
        </w:rPr>
      </w:pPr>
      <w:r w:rsidRPr="00A4315C">
        <w:rPr>
          <w:rStyle w:val="FootnoteReference"/>
          <w:sz w:val="16"/>
          <w:szCs w:val="16"/>
        </w:rPr>
        <w:footnoteRef/>
      </w:r>
      <w:r w:rsidRPr="00A4315C">
        <w:rPr>
          <w:sz w:val="16"/>
          <w:szCs w:val="16"/>
        </w:rPr>
        <w:t xml:space="preserve"> </w:t>
      </w:r>
      <w:bookmarkStart w:id="7" w:name="_Hlk231203961"/>
      <w:r w:rsidR="0099240F">
        <w:rPr>
          <w:sz w:val="16"/>
          <w:szCs w:val="16"/>
        </w:rPr>
        <w:t xml:space="preserve">TNO, </w:t>
      </w:r>
      <w:r w:rsidR="0099240F">
        <w:rPr>
          <w:i/>
          <w:iCs/>
          <w:sz w:val="16"/>
          <w:szCs w:val="16"/>
        </w:rPr>
        <w:t>Achtergrondrapport mobiliteit bij KEV 2024 en ERL 2025</w:t>
      </w:r>
      <w:r w:rsidR="0099240F">
        <w:rPr>
          <w:sz w:val="16"/>
          <w:szCs w:val="16"/>
        </w:rPr>
        <w:t xml:space="preserve"> (2025).</w:t>
      </w:r>
      <w:bookmarkEnd w:id="7"/>
      <w:r w:rsidR="0099240F" w:rsidRPr="00A4315C">
        <w:rPr>
          <w:sz w:val="16"/>
          <w:szCs w:val="16"/>
        </w:rPr>
        <w:t xml:space="preserve"> </w:t>
      </w:r>
    </w:p>
  </w:footnote>
  <w:footnote w:id="19">
    <w:p w14:paraId="21A202A7" w14:textId="2D5B705B" w:rsidR="00A67C9F" w:rsidRPr="00A4315C" w:rsidRDefault="00A67C9F">
      <w:pPr>
        <w:pStyle w:val="FootnoteText"/>
        <w:rPr>
          <w:sz w:val="16"/>
          <w:szCs w:val="16"/>
        </w:rPr>
      </w:pPr>
      <w:r w:rsidRPr="00A4315C">
        <w:rPr>
          <w:rStyle w:val="FootnoteReference"/>
          <w:sz w:val="16"/>
          <w:szCs w:val="16"/>
        </w:rPr>
        <w:footnoteRef/>
      </w:r>
      <w:r w:rsidRPr="00A4315C">
        <w:rPr>
          <w:sz w:val="16"/>
          <w:szCs w:val="16"/>
        </w:rPr>
        <w:t xml:space="preserve"> </w:t>
      </w:r>
      <w:r w:rsidR="00C93447">
        <w:rPr>
          <w:sz w:val="16"/>
          <w:szCs w:val="16"/>
        </w:rPr>
        <w:t xml:space="preserve">Ministerie van Infrastructuur en Waterstaat, </w:t>
      </w:r>
      <w:r w:rsidR="00C93447">
        <w:rPr>
          <w:i/>
          <w:iCs/>
          <w:sz w:val="16"/>
          <w:szCs w:val="16"/>
        </w:rPr>
        <w:t>Op stoom of zonder stroom?</w:t>
      </w:r>
      <w:r w:rsidR="00C93447">
        <w:rPr>
          <w:sz w:val="16"/>
          <w:szCs w:val="16"/>
        </w:rPr>
        <w:t xml:space="preserve"> (2025).</w:t>
      </w:r>
      <w:r w:rsidR="00C93447" w:rsidRPr="00A4315C">
        <w:rPr>
          <w:sz w:val="16"/>
          <w:szCs w:val="16"/>
        </w:rPr>
        <w:t xml:space="preserve"> </w:t>
      </w:r>
    </w:p>
  </w:footnote>
  <w:footnote w:id="20">
    <w:p w14:paraId="730AE74B" w14:textId="1708A2DD" w:rsidR="000129CC" w:rsidRPr="00A4315C" w:rsidRDefault="000129CC">
      <w:pPr>
        <w:pStyle w:val="FootnoteText"/>
        <w:rPr>
          <w:sz w:val="16"/>
          <w:szCs w:val="16"/>
          <w:u w:val="single"/>
        </w:rPr>
      </w:pPr>
      <w:r w:rsidRPr="00A4315C">
        <w:rPr>
          <w:rStyle w:val="FootnoteReference"/>
          <w:sz w:val="16"/>
          <w:szCs w:val="16"/>
        </w:rPr>
        <w:footnoteRef/>
      </w:r>
      <w:r w:rsidRPr="00A4315C">
        <w:rPr>
          <w:sz w:val="16"/>
          <w:szCs w:val="16"/>
        </w:rPr>
        <w:t xml:space="preserve"> </w:t>
      </w:r>
      <w:r w:rsidR="00C93447">
        <w:rPr>
          <w:sz w:val="16"/>
          <w:szCs w:val="16"/>
        </w:rPr>
        <w:t xml:space="preserve">MyWheels, </w:t>
      </w:r>
      <w:r w:rsidR="00C93447">
        <w:rPr>
          <w:i/>
          <w:iCs/>
          <w:sz w:val="16"/>
          <w:szCs w:val="16"/>
        </w:rPr>
        <w:t>de V2G-deelauto als buurtbatterij</w:t>
      </w:r>
      <w:r w:rsidR="00C93447">
        <w:rPr>
          <w:sz w:val="16"/>
          <w:szCs w:val="16"/>
        </w:rPr>
        <w:t xml:space="preserve"> (2026).</w:t>
      </w:r>
      <w:r w:rsidR="00C93447" w:rsidRPr="00A4315C">
        <w:rPr>
          <w:sz w:val="16"/>
          <w:szCs w:val="16"/>
          <w:u w:val="single"/>
        </w:rPr>
        <w:t xml:space="preserve"> </w:t>
      </w:r>
    </w:p>
  </w:footnote>
  <w:footnote w:id="21">
    <w:p w14:paraId="50B2C4A5" w14:textId="6866AB57" w:rsidR="000129CC" w:rsidRPr="00A4315C" w:rsidRDefault="000129CC">
      <w:pPr>
        <w:pStyle w:val="FootnoteText"/>
        <w:rPr>
          <w:sz w:val="16"/>
          <w:szCs w:val="16"/>
          <w:u w:val="single"/>
        </w:rPr>
      </w:pPr>
      <w:r w:rsidRPr="00A4315C">
        <w:rPr>
          <w:rStyle w:val="FootnoteReference"/>
          <w:sz w:val="16"/>
          <w:szCs w:val="16"/>
        </w:rPr>
        <w:footnoteRef/>
      </w:r>
      <w:r w:rsidRPr="00A4315C">
        <w:rPr>
          <w:sz w:val="16"/>
          <w:szCs w:val="16"/>
        </w:rPr>
        <w:t xml:space="preserve"> </w:t>
      </w:r>
      <w:r w:rsidR="00C93447">
        <w:rPr>
          <w:sz w:val="16"/>
          <w:szCs w:val="16"/>
        </w:rPr>
        <w:t xml:space="preserve">ElaadNL, </w:t>
      </w:r>
      <w:r w:rsidR="00C93447">
        <w:rPr>
          <w:i/>
          <w:iCs/>
          <w:sz w:val="16"/>
          <w:szCs w:val="16"/>
        </w:rPr>
        <w:t xml:space="preserve">Bidirectioneel laden. Welke kant gaat het op? </w:t>
      </w:r>
      <w:r w:rsidR="00C93447">
        <w:rPr>
          <w:sz w:val="16"/>
          <w:szCs w:val="16"/>
        </w:rPr>
        <w:t>(2025).</w:t>
      </w:r>
      <w:r w:rsidR="00C93447" w:rsidRPr="00A4315C">
        <w:rPr>
          <w:sz w:val="16"/>
          <w:szCs w:val="16"/>
          <w:u w:val="single"/>
        </w:rPr>
        <w:t xml:space="preserve"> </w:t>
      </w:r>
    </w:p>
  </w:footnote>
  <w:footnote w:id="22">
    <w:p w14:paraId="030EA6F1" w14:textId="4A03429C" w:rsidR="000129CC" w:rsidRPr="00A4315C" w:rsidRDefault="000129CC">
      <w:pPr>
        <w:pStyle w:val="FootnoteText"/>
        <w:rPr>
          <w:sz w:val="16"/>
          <w:szCs w:val="16"/>
        </w:rPr>
      </w:pPr>
      <w:r w:rsidRPr="00A4315C">
        <w:rPr>
          <w:rStyle w:val="FootnoteReference"/>
          <w:sz w:val="16"/>
          <w:szCs w:val="16"/>
        </w:rPr>
        <w:footnoteRef/>
      </w:r>
      <w:r w:rsidRPr="00A4315C">
        <w:rPr>
          <w:sz w:val="16"/>
          <w:szCs w:val="16"/>
        </w:rPr>
        <w:t xml:space="preserve"> </w:t>
      </w:r>
      <w:r w:rsidR="00C93447">
        <w:rPr>
          <w:sz w:val="16"/>
          <w:szCs w:val="16"/>
        </w:rPr>
        <w:t xml:space="preserve">Netbeheer Nederland, </w:t>
      </w:r>
      <w:r w:rsidR="00C93447">
        <w:rPr>
          <w:i/>
          <w:iCs/>
          <w:sz w:val="16"/>
          <w:szCs w:val="16"/>
        </w:rPr>
        <w:t>Netbeheer Nederland Scenario’s Editie 2025</w:t>
      </w:r>
      <w:r w:rsidR="00C93447">
        <w:rPr>
          <w:sz w:val="16"/>
          <w:szCs w:val="16"/>
        </w:rPr>
        <w:t xml:space="preserve"> (2025).</w:t>
      </w:r>
      <w:r w:rsidR="00C93447" w:rsidRPr="00A4315C">
        <w:rPr>
          <w:sz w:val="16"/>
          <w:szCs w:val="16"/>
        </w:rPr>
        <w:t xml:space="preserve"> </w:t>
      </w:r>
    </w:p>
  </w:footnote>
  <w:footnote w:id="23">
    <w:p w14:paraId="152D2CA5" w14:textId="6632FFFC" w:rsidR="002A2936" w:rsidRPr="00A4315C" w:rsidRDefault="002A2936" w:rsidP="002A2936">
      <w:pPr>
        <w:pStyle w:val="FootnoteText"/>
        <w:rPr>
          <w:sz w:val="16"/>
          <w:szCs w:val="16"/>
        </w:rPr>
      </w:pPr>
      <w:r w:rsidRPr="00A4315C">
        <w:rPr>
          <w:rStyle w:val="FootnoteReference"/>
          <w:sz w:val="16"/>
          <w:szCs w:val="16"/>
        </w:rPr>
        <w:footnoteRef/>
      </w:r>
      <w:r w:rsidRPr="00A4315C">
        <w:rPr>
          <w:sz w:val="16"/>
          <w:szCs w:val="16"/>
        </w:rPr>
        <w:t xml:space="preserve"> </w:t>
      </w:r>
      <w:r w:rsidR="00C93447">
        <w:rPr>
          <w:sz w:val="16"/>
          <w:szCs w:val="16"/>
        </w:rPr>
        <w:t>Nationaal Kennisplatform Laadinfrastructuur Nederland</w:t>
      </w:r>
      <w:r w:rsidR="001C5482">
        <w:rPr>
          <w:sz w:val="16"/>
          <w:szCs w:val="16"/>
        </w:rPr>
        <w:t xml:space="preserve"> (NKL)</w:t>
      </w:r>
      <w:r w:rsidR="00C93447">
        <w:rPr>
          <w:sz w:val="16"/>
          <w:szCs w:val="16"/>
        </w:rPr>
        <w:t xml:space="preserve">, </w:t>
      </w:r>
      <w:r w:rsidR="00C93447">
        <w:rPr>
          <w:i/>
          <w:iCs/>
          <w:sz w:val="16"/>
          <w:szCs w:val="16"/>
        </w:rPr>
        <w:t>Logistiek op stroom</w:t>
      </w:r>
      <w:r w:rsidR="00C93447">
        <w:rPr>
          <w:sz w:val="16"/>
          <w:szCs w:val="16"/>
        </w:rPr>
        <w:t xml:space="preserve"> (2026).</w:t>
      </w:r>
      <w:r w:rsidR="00C93447" w:rsidRPr="00A4315C">
        <w:rPr>
          <w:sz w:val="16"/>
          <w:szCs w:val="16"/>
        </w:rPr>
        <w:t xml:space="preserve"> </w:t>
      </w:r>
    </w:p>
  </w:footnote>
  <w:footnote w:id="24">
    <w:p w14:paraId="37B3393C" w14:textId="38C64B1B" w:rsidR="0070536D" w:rsidRPr="00A4315C" w:rsidRDefault="0070536D" w:rsidP="0070536D">
      <w:pPr>
        <w:pStyle w:val="FootnoteText"/>
        <w:rPr>
          <w:sz w:val="16"/>
          <w:szCs w:val="16"/>
        </w:rPr>
      </w:pPr>
      <w:r w:rsidRPr="00A4315C">
        <w:rPr>
          <w:rStyle w:val="FootnoteReference"/>
          <w:sz w:val="16"/>
          <w:szCs w:val="16"/>
        </w:rPr>
        <w:footnoteRef/>
      </w:r>
      <w:r w:rsidRPr="00A4315C">
        <w:rPr>
          <w:sz w:val="16"/>
          <w:szCs w:val="16"/>
        </w:rPr>
        <w:t xml:space="preserve"> </w:t>
      </w:r>
      <w:r w:rsidR="001C5482">
        <w:rPr>
          <w:sz w:val="16"/>
          <w:szCs w:val="16"/>
        </w:rPr>
        <w:t xml:space="preserve">NKL, </w:t>
      </w:r>
      <w:r w:rsidR="001C5482">
        <w:rPr>
          <w:i/>
          <w:iCs/>
          <w:sz w:val="16"/>
          <w:szCs w:val="16"/>
        </w:rPr>
        <w:t>Benchmark Prijstransparantie laden van elektrisch vervoer 2025</w:t>
      </w:r>
      <w:r w:rsidR="001C5482">
        <w:rPr>
          <w:sz w:val="16"/>
          <w:szCs w:val="16"/>
        </w:rPr>
        <w:t xml:space="preserve"> (2025).</w:t>
      </w:r>
      <w:r w:rsidR="001C5482" w:rsidRPr="00A4315C">
        <w:rPr>
          <w:sz w:val="16"/>
          <w:szCs w:val="16"/>
        </w:rPr>
        <w:t xml:space="preserve"> </w:t>
      </w:r>
    </w:p>
  </w:footnote>
  <w:footnote w:id="25">
    <w:p w14:paraId="71A7878A" w14:textId="1E564699" w:rsidR="0070536D" w:rsidRPr="00A4315C" w:rsidRDefault="0070536D" w:rsidP="0070536D">
      <w:pPr>
        <w:pStyle w:val="FootnoteText"/>
        <w:rPr>
          <w:sz w:val="16"/>
          <w:szCs w:val="16"/>
        </w:rPr>
      </w:pPr>
      <w:r w:rsidRPr="00A4315C">
        <w:rPr>
          <w:rStyle w:val="FootnoteReference"/>
          <w:sz w:val="16"/>
          <w:szCs w:val="16"/>
        </w:rPr>
        <w:footnoteRef/>
      </w:r>
      <w:r w:rsidRPr="00A4315C">
        <w:rPr>
          <w:sz w:val="16"/>
          <w:szCs w:val="16"/>
        </w:rPr>
        <w:t xml:space="preserve"> </w:t>
      </w:r>
      <w:r w:rsidR="001C5482">
        <w:rPr>
          <w:sz w:val="16"/>
          <w:szCs w:val="16"/>
        </w:rPr>
        <w:t xml:space="preserve">NAL, </w:t>
      </w:r>
      <w:r w:rsidR="001C5482">
        <w:rPr>
          <w:i/>
          <w:iCs/>
          <w:sz w:val="16"/>
          <w:szCs w:val="16"/>
        </w:rPr>
        <w:t>Definitie prijstransparantie</w:t>
      </w:r>
      <w:r w:rsidR="001C5482">
        <w:rPr>
          <w:sz w:val="16"/>
          <w:szCs w:val="16"/>
        </w:rPr>
        <w:t xml:space="preserve"> (2025).</w:t>
      </w:r>
      <w:r w:rsidR="001C5482" w:rsidRPr="00A4315C">
        <w:rPr>
          <w:sz w:val="16"/>
          <w:szCs w:val="16"/>
        </w:rPr>
        <w:t xml:space="preserve"> </w:t>
      </w:r>
    </w:p>
  </w:footnote>
  <w:footnote w:id="26">
    <w:p w14:paraId="4307A3AE" w14:textId="5B76F43F" w:rsidR="0070536D" w:rsidRPr="00A4315C" w:rsidRDefault="0070536D" w:rsidP="0070536D">
      <w:pPr>
        <w:pStyle w:val="FootnoteText"/>
        <w:rPr>
          <w:sz w:val="16"/>
          <w:szCs w:val="16"/>
        </w:rPr>
      </w:pPr>
      <w:r w:rsidRPr="00A4315C">
        <w:rPr>
          <w:rStyle w:val="FootnoteReference"/>
          <w:sz w:val="16"/>
          <w:szCs w:val="16"/>
        </w:rPr>
        <w:footnoteRef/>
      </w:r>
      <w:r w:rsidRPr="00A4315C">
        <w:rPr>
          <w:sz w:val="16"/>
          <w:szCs w:val="16"/>
        </w:rPr>
        <w:t xml:space="preserve"> </w:t>
      </w:r>
      <w:r w:rsidR="001C5482">
        <w:rPr>
          <w:sz w:val="16"/>
          <w:szCs w:val="16"/>
        </w:rPr>
        <w:t xml:space="preserve">RVO, </w:t>
      </w:r>
      <w:r w:rsidR="001C5482">
        <w:rPr>
          <w:i/>
          <w:iCs/>
          <w:sz w:val="16"/>
          <w:szCs w:val="16"/>
        </w:rPr>
        <w:t>Tussenrapport: Marktordening publiek toegankelijk laden. Inzicht in de huidige markt.</w:t>
      </w:r>
      <w:r w:rsidR="001C5482">
        <w:rPr>
          <w:sz w:val="16"/>
          <w:szCs w:val="16"/>
        </w:rPr>
        <w:t xml:space="preserve"> (2025).</w:t>
      </w:r>
      <w:r w:rsidR="001C5482" w:rsidRPr="00A4315C">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5AFBE" w14:textId="77777777" w:rsidR="008E53FA" w:rsidRDefault="008E53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6A951" w14:textId="77777777" w:rsidR="00052B71" w:rsidRDefault="00D91FCC">
    <w:r>
      <w:rPr>
        <w:noProof/>
        <w:lang w:val="en-GB" w:eastAsia="en-GB"/>
      </w:rPr>
      <mc:AlternateContent>
        <mc:Choice Requires="wps">
          <w:drawing>
            <wp:anchor distT="0" distB="0" distL="0" distR="0" simplePos="0" relativeHeight="251651584" behindDoc="0" locked="1" layoutInCell="1" allowOverlap="1" wp14:anchorId="6EA062B9" wp14:editId="19F83D15">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EE1C837" w14:textId="77777777" w:rsidR="00052B71" w:rsidRDefault="00D91FCC">
                          <w:pPr>
                            <w:pStyle w:val="AfzendgegevensKop0"/>
                          </w:pPr>
                          <w:r>
                            <w:t>Ministerie van Infrastructuur en Waterstaat</w:t>
                          </w:r>
                        </w:p>
                        <w:p w14:paraId="2224A38A" w14:textId="77777777" w:rsidR="00FE312D" w:rsidRDefault="00FE312D" w:rsidP="00FE312D"/>
                        <w:p w14:paraId="794AF2ED" w14:textId="77777777" w:rsidR="00FE312D" w:rsidRPr="00B526C8" w:rsidRDefault="00FE312D" w:rsidP="00FE312D">
                          <w:pPr>
                            <w:spacing w:line="276" w:lineRule="auto"/>
                            <w:rPr>
                              <w:b/>
                              <w:bCs/>
                              <w:sz w:val="13"/>
                              <w:szCs w:val="13"/>
                            </w:rPr>
                          </w:pPr>
                          <w:r w:rsidRPr="00B526C8">
                            <w:rPr>
                              <w:b/>
                              <w:bCs/>
                              <w:sz w:val="13"/>
                              <w:szCs w:val="13"/>
                            </w:rPr>
                            <w:t>Ons kenmerk</w:t>
                          </w:r>
                        </w:p>
                        <w:p w14:paraId="4B565F17" w14:textId="77777777" w:rsidR="00FE312D" w:rsidRDefault="00FE312D" w:rsidP="00FE312D">
                          <w:pPr>
                            <w:spacing w:line="276" w:lineRule="auto"/>
                            <w:rPr>
                              <w:sz w:val="13"/>
                              <w:szCs w:val="13"/>
                            </w:rPr>
                          </w:pPr>
                          <w:r w:rsidRPr="00FE312D">
                            <w:rPr>
                              <w:sz w:val="13"/>
                              <w:szCs w:val="13"/>
                            </w:rPr>
                            <w:t>IENW/BSK-2026/83803</w:t>
                          </w:r>
                        </w:p>
                        <w:p w14:paraId="65E76643" w14:textId="77777777" w:rsidR="00FE312D" w:rsidRPr="00FE312D" w:rsidRDefault="00FE312D" w:rsidP="00FE312D"/>
                      </w:txbxContent>
                    </wps:txbx>
                    <wps:bodyPr vert="horz" wrap="square" lIns="0" tIns="0" rIns="0" bIns="0" anchor="t" anchorCtr="0"/>
                  </wps:wsp>
                </a:graphicData>
              </a:graphic>
            </wp:anchor>
          </w:drawing>
        </mc:Choice>
        <mc:Fallback>
          <w:pict>
            <v:shapetype w14:anchorId="6EA062B9"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EE1C837" w14:textId="77777777" w:rsidR="00052B71" w:rsidRDefault="00D91FCC">
                    <w:pPr>
                      <w:pStyle w:val="AfzendgegevensKop0"/>
                    </w:pPr>
                    <w:r>
                      <w:t>Ministerie van Infrastructuur en Waterstaat</w:t>
                    </w:r>
                  </w:p>
                  <w:p w14:paraId="2224A38A" w14:textId="77777777" w:rsidR="00FE312D" w:rsidRDefault="00FE312D" w:rsidP="00FE312D"/>
                  <w:p w14:paraId="794AF2ED" w14:textId="77777777" w:rsidR="00FE312D" w:rsidRPr="00B526C8" w:rsidRDefault="00FE312D" w:rsidP="00FE312D">
                    <w:pPr>
                      <w:spacing w:line="276" w:lineRule="auto"/>
                      <w:rPr>
                        <w:b/>
                        <w:bCs/>
                        <w:sz w:val="13"/>
                        <w:szCs w:val="13"/>
                      </w:rPr>
                    </w:pPr>
                    <w:r w:rsidRPr="00B526C8">
                      <w:rPr>
                        <w:b/>
                        <w:bCs/>
                        <w:sz w:val="13"/>
                        <w:szCs w:val="13"/>
                      </w:rPr>
                      <w:t>Ons kenmerk</w:t>
                    </w:r>
                  </w:p>
                  <w:p w14:paraId="4B565F17" w14:textId="77777777" w:rsidR="00FE312D" w:rsidRDefault="00FE312D" w:rsidP="00FE312D">
                    <w:pPr>
                      <w:spacing w:line="276" w:lineRule="auto"/>
                      <w:rPr>
                        <w:sz w:val="13"/>
                        <w:szCs w:val="13"/>
                      </w:rPr>
                    </w:pPr>
                    <w:r w:rsidRPr="00FE312D">
                      <w:rPr>
                        <w:sz w:val="13"/>
                        <w:szCs w:val="13"/>
                      </w:rPr>
                      <w:t>IENW/BSK-2026/83803</w:t>
                    </w:r>
                  </w:p>
                  <w:p w14:paraId="65E76643" w14:textId="77777777" w:rsidR="00FE312D" w:rsidRPr="00FE312D" w:rsidRDefault="00FE312D" w:rsidP="00FE312D"/>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34C1B6E" wp14:editId="79BEE021">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C80DDB3" w14:textId="7C98FBBC" w:rsidR="00052B71" w:rsidRDefault="00D91FCC">
                          <w:pPr>
                            <w:pStyle w:val="Referentiegegevens"/>
                          </w:pPr>
                          <w:r>
                            <w:t xml:space="preserve">Page </w:t>
                          </w:r>
                          <w:r>
                            <w:fldChar w:fldCharType="begin"/>
                          </w:r>
                          <w:r>
                            <w:instrText>PAGE</w:instrText>
                          </w:r>
                          <w:r>
                            <w:fldChar w:fldCharType="separate"/>
                          </w:r>
                          <w:r w:rsidR="0067695F">
                            <w:rPr>
                              <w:noProof/>
                            </w:rPr>
                            <w:t>1</w:t>
                          </w:r>
                          <w:r>
                            <w:fldChar w:fldCharType="end"/>
                          </w:r>
                          <w:r>
                            <w:t xml:space="preserve"> of </w:t>
                          </w:r>
                          <w:r>
                            <w:fldChar w:fldCharType="begin"/>
                          </w:r>
                          <w:r>
                            <w:instrText>NUMPAGES</w:instrText>
                          </w:r>
                          <w:r>
                            <w:fldChar w:fldCharType="separate"/>
                          </w:r>
                          <w:r w:rsidR="003E45A9">
                            <w:rPr>
                              <w:noProof/>
                            </w:rPr>
                            <w:t>1</w:t>
                          </w:r>
                          <w:r>
                            <w:fldChar w:fldCharType="end"/>
                          </w:r>
                        </w:p>
                      </w:txbxContent>
                    </wps:txbx>
                    <wps:bodyPr vert="horz" wrap="square" lIns="0" tIns="0" rIns="0" bIns="0" anchor="t" anchorCtr="0"/>
                  </wps:wsp>
                </a:graphicData>
              </a:graphic>
            </wp:anchor>
          </w:drawing>
        </mc:Choice>
        <mc:Fallback>
          <w:pict>
            <v:shape w14:anchorId="634C1B6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C80DDB3" w14:textId="7C98FBBC" w:rsidR="00052B71" w:rsidRDefault="00D91FCC">
                    <w:pPr>
                      <w:pStyle w:val="Referentiegegevens"/>
                    </w:pPr>
                    <w:r>
                      <w:t xml:space="preserve">Page </w:t>
                    </w:r>
                    <w:r>
                      <w:fldChar w:fldCharType="begin"/>
                    </w:r>
                    <w:r>
                      <w:instrText>PAGE</w:instrText>
                    </w:r>
                    <w:r>
                      <w:fldChar w:fldCharType="separate"/>
                    </w:r>
                    <w:r w:rsidR="0067695F">
                      <w:rPr>
                        <w:noProof/>
                      </w:rPr>
                      <w:t>1</w:t>
                    </w:r>
                    <w:r>
                      <w:fldChar w:fldCharType="end"/>
                    </w:r>
                    <w:r>
                      <w:t xml:space="preserve"> of </w:t>
                    </w:r>
                    <w:r>
                      <w:fldChar w:fldCharType="begin"/>
                    </w:r>
                    <w:r>
                      <w:instrText>NUMPAGES</w:instrText>
                    </w:r>
                    <w:r>
                      <w:fldChar w:fldCharType="separate"/>
                    </w:r>
                    <w:r w:rsidR="003E45A9">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C2CF21F" wp14:editId="035142BE">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54202B5" w14:textId="77777777" w:rsidR="005C5828" w:rsidRDefault="005C5828"/>
                      </w:txbxContent>
                    </wps:txbx>
                    <wps:bodyPr vert="horz" wrap="square" lIns="0" tIns="0" rIns="0" bIns="0" anchor="t" anchorCtr="0"/>
                  </wps:wsp>
                </a:graphicData>
              </a:graphic>
            </wp:anchor>
          </w:drawing>
        </mc:Choice>
        <mc:Fallback>
          <w:pict>
            <v:shape w14:anchorId="1C2CF21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54202B5" w14:textId="77777777" w:rsidR="005C5828" w:rsidRDefault="005C5828"/>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F7A1E55" wp14:editId="6AEA7C45">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C130345" w14:textId="77777777" w:rsidR="005C5828" w:rsidRDefault="005C5828"/>
                      </w:txbxContent>
                    </wps:txbx>
                    <wps:bodyPr vert="horz" wrap="square" lIns="0" tIns="0" rIns="0" bIns="0" anchor="t" anchorCtr="0"/>
                  </wps:wsp>
                </a:graphicData>
              </a:graphic>
            </wp:anchor>
          </w:drawing>
        </mc:Choice>
        <mc:Fallback>
          <w:pict>
            <v:shape w14:anchorId="5F7A1E5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C130345" w14:textId="77777777" w:rsidR="005C5828" w:rsidRDefault="005C5828"/>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3F0EB" w14:textId="77777777" w:rsidR="00052B71" w:rsidRDefault="00D91FCC">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0AE484B" wp14:editId="79184E5E">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49E43ED" w14:textId="77777777" w:rsidR="005C5828" w:rsidRDefault="005C5828"/>
                      </w:txbxContent>
                    </wps:txbx>
                    <wps:bodyPr vert="horz" wrap="square" lIns="0" tIns="0" rIns="0" bIns="0" anchor="t" anchorCtr="0"/>
                  </wps:wsp>
                </a:graphicData>
              </a:graphic>
            </wp:anchor>
          </w:drawing>
        </mc:Choice>
        <mc:Fallback>
          <w:pict>
            <v:shapetype w14:anchorId="40AE484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49E43ED" w14:textId="77777777" w:rsidR="005C5828" w:rsidRDefault="005C5828"/>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4836648" wp14:editId="2FF7B4FE">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0EDAE79" w14:textId="480B0AE4" w:rsidR="00052B71" w:rsidRDefault="00D91FCC">
                          <w:pPr>
                            <w:pStyle w:val="Referentiegegevens"/>
                          </w:pPr>
                          <w:r>
                            <w:t xml:space="preserve">Page </w:t>
                          </w:r>
                          <w:r>
                            <w:fldChar w:fldCharType="begin"/>
                          </w:r>
                          <w:r>
                            <w:instrText>PAGE</w:instrText>
                          </w:r>
                          <w:r>
                            <w:fldChar w:fldCharType="separate"/>
                          </w:r>
                          <w:r w:rsidR="00390EFA">
                            <w:rPr>
                              <w:noProof/>
                            </w:rPr>
                            <w:t>1</w:t>
                          </w:r>
                          <w:r>
                            <w:fldChar w:fldCharType="end"/>
                          </w:r>
                          <w:r>
                            <w:t xml:space="preserve"> of </w:t>
                          </w:r>
                          <w:r>
                            <w:fldChar w:fldCharType="begin"/>
                          </w:r>
                          <w:r>
                            <w:instrText>NUMPAGES</w:instrText>
                          </w:r>
                          <w:r>
                            <w:fldChar w:fldCharType="separate"/>
                          </w:r>
                          <w:r w:rsidR="00390EFA">
                            <w:rPr>
                              <w:noProof/>
                            </w:rPr>
                            <w:t>1</w:t>
                          </w:r>
                          <w:r>
                            <w:fldChar w:fldCharType="end"/>
                          </w:r>
                        </w:p>
                      </w:txbxContent>
                    </wps:txbx>
                    <wps:bodyPr vert="horz" wrap="square" lIns="0" tIns="0" rIns="0" bIns="0" anchor="t" anchorCtr="0"/>
                  </wps:wsp>
                </a:graphicData>
              </a:graphic>
            </wp:anchor>
          </w:drawing>
        </mc:Choice>
        <mc:Fallback>
          <w:pict>
            <v:shape w14:anchorId="34836648"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0EDAE79" w14:textId="480B0AE4" w:rsidR="00052B71" w:rsidRDefault="00D91FCC">
                    <w:pPr>
                      <w:pStyle w:val="Referentiegegevens"/>
                    </w:pPr>
                    <w:r>
                      <w:t xml:space="preserve">Page </w:t>
                    </w:r>
                    <w:r>
                      <w:fldChar w:fldCharType="begin"/>
                    </w:r>
                    <w:r>
                      <w:instrText>PAGE</w:instrText>
                    </w:r>
                    <w:r>
                      <w:fldChar w:fldCharType="separate"/>
                    </w:r>
                    <w:r w:rsidR="00390EFA">
                      <w:rPr>
                        <w:noProof/>
                      </w:rPr>
                      <w:t>1</w:t>
                    </w:r>
                    <w:r>
                      <w:fldChar w:fldCharType="end"/>
                    </w:r>
                    <w:r>
                      <w:t xml:space="preserve"> of </w:t>
                    </w:r>
                    <w:r>
                      <w:fldChar w:fldCharType="begin"/>
                    </w:r>
                    <w:r>
                      <w:instrText>NUMPAGES</w:instrText>
                    </w:r>
                    <w:r>
                      <w:fldChar w:fldCharType="separate"/>
                    </w:r>
                    <w:r w:rsidR="00390EFA">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CE75023" wp14:editId="60FA1CB7">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D89E3F1" w14:textId="77777777" w:rsidR="00052B71" w:rsidRDefault="00D91FCC">
                          <w:pPr>
                            <w:pStyle w:val="AfzendgegevensKop0"/>
                          </w:pPr>
                          <w:r>
                            <w:t>Ministerie van Infrastructuur en Waterstaat</w:t>
                          </w:r>
                        </w:p>
                        <w:p w14:paraId="7DFA55CF" w14:textId="77777777" w:rsidR="00052B71" w:rsidRDefault="00052B71">
                          <w:pPr>
                            <w:pStyle w:val="WitregelW1"/>
                          </w:pPr>
                        </w:p>
                        <w:p w14:paraId="07BAEE6C" w14:textId="77777777" w:rsidR="00052B71" w:rsidRDefault="00D91FCC">
                          <w:pPr>
                            <w:pStyle w:val="Afzendgegevens"/>
                          </w:pPr>
                          <w:r>
                            <w:t>Rijnstraat 8</w:t>
                          </w:r>
                        </w:p>
                        <w:p w14:paraId="29596167" w14:textId="77777777" w:rsidR="00052B71" w:rsidRPr="00284DF7" w:rsidRDefault="00D91FCC">
                          <w:pPr>
                            <w:pStyle w:val="Afzendgegevens"/>
                            <w:rPr>
                              <w:lang w:val="de-DE"/>
                            </w:rPr>
                          </w:pPr>
                          <w:r w:rsidRPr="00284DF7">
                            <w:rPr>
                              <w:lang w:val="de-DE"/>
                            </w:rPr>
                            <w:t>2515 XP  Den Haag</w:t>
                          </w:r>
                        </w:p>
                        <w:p w14:paraId="64FA80C9" w14:textId="77777777" w:rsidR="00052B71" w:rsidRPr="00284DF7" w:rsidRDefault="00D91FCC">
                          <w:pPr>
                            <w:pStyle w:val="Afzendgegevens"/>
                            <w:rPr>
                              <w:lang w:val="de-DE"/>
                            </w:rPr>
                          </w:pPr>
                          <w:r w:rsidRPr="00284DF7">
                            <w:rPr>
                              <w:lang w:val="de-DE"/>
                            </w:rPr>
                            <w:t>Postbus 20901</w:t>
                          </w:r>
                        </w:p>
                        <w:p w14:paraId="792B8D16" w14:textId="77777777" w:rsidR="00052B71" w:rsidRPr="00284DF7" w:rsidRDefault="00D91FCC">
                          <w:pPr>
                            <w:pStyle w:val="Afzendgegevens"/>
                            <w:rPr>
                              <w:lang w:val="de-DE"/>
                            </w:rPr>
                          </w:pPr>
                          <w:r w:rsidRPr="00284DF7">
                            <w:rPr>
                              <w:lang w:val="de-DE"/>
                            </w:rPr>
                            <w:t>2500 EX Den Haag</w:t>
                          </w:r>
                        </w:p>
                        <w:p w14:paraId="16D07EAE" w14:textId="77777777" w:rsidR="00052B71" w:rsidRPr="00284DF7" w:rsidRDefault="00052B71">
                          <w:pPr>
                            <w:pStyle w:val="WitregelW1"/>
                            <w:rPr>
                              <w:lang w:val="de-DE"/>
                            </w:rPr>
                          </w:pPr>
                        </w:p>
                        <w:p w14:paraId="57988C16" w14:textId="77777777" w:rsidR="00052B71" w:rsidRPr="00284DF7" w:rsidRDefault="00D91FCC">
                          <w:pPr>
                            <w:pStyle w:val="Afzendgegevens"/>
                            <w:rPr>
                              <w:lang w:val="de-DE"/>
                            </w:rPr>
                          </w:pPr>
                          <w:r w:rsidRPr="00284DF7">
                            <w:rPr>
                              <w:lang w:val="de-DE"/>
                            </w:rPr>
                            <w:t>T   070-456 0000</w:t>
                          </w:r>
                        </w:p>
                        <w:p w14:paraId="12430EA6" w14:textId="77777777" w:rsidR="00052B71" w:rsidRDefault="00D91FCC">
                          <w:pPr>
                            <w:pStyle w:val="Afzendgegevens"/>
                          </w:pPr>
                          <w:r>
                            <w:t>F   070-456 1111</w:t>
                          </w:r>
                        </w:p>
                        <w:p w14:paraId="3195A3F0" w14:textId="77777777" w:rsidR="00052B71" w:rsidRPr="009F58DF" w:rsidRDefault="00052B71" w:rsidP="009F58DF">
                          <w:pPr>
                            <w:pStyle w:val="WitregelW2"/>
                            <w:spacing w:line="276" w:lineRule="auto"/>
                            <w:rPr>
                              <w:sz w:val="13"/>
                              <w:szCs w:val="13"/>
                            </w:rPr>
                          </w:pPr>
                        </w:p>
                        <w:p w14:paraId="4762AB17" w14:textId="77777777" w:rsidR="00FE312D" w:rsidRPr="009F58DF" w:rsidRDefault="00FE312D" w:rsidP="009F58DF">
                          <w:pPr>
                            <w:spacing w:line="276" w:lineRule="auto"/>
                            <w:rPr>
                              <w:b/>
                              <w:bCs/>
                              <w:sz w:val="13"/>
                              <w:szCs w:val="13"/>
                            </w:rPr>
                          </w:pPr>
                          <w:r w:rsidRPr="009F58DF">
                            <w:rPr>
                              <w:b/>
                              <w:bCs/>
                              <w:sz w:val="13"/>
                              <w:szCs w:val="13"/>
                            </w:rPr>
                            <w:t>Ons kenmerk</w:t>
                          </w:r>
                        </w:p>
                        <w:p w14:paraId="2F4A7337" w14:textId="7215776D" w:rsidR="00FE312D" w:rsidRPr="009F58DF" w:rsidRDefault="00FE312D" w:rsidP="009F58DF">
                          <w:pPr>
                            <w:spacing w:line="276" w:lineRule="auto"/>
                            <w:rPr>
                              <w:sz w:val="13"/>
                              <w:szCs w:val="13"/>
                            </w:rPr>
                          </w:pPr>
                          <w:r w:rsidRPr="009F58DF">
                            <w:rPr>
                              <w:sz w:val="13"/>
                              <w:szCs w:val="13"/>
                            </w:rPr>
                            <w:t>IENW/BSK-2026/83803</w:t>
                          </w:r>
                        </w:p>
                        <w:p w14:paraId="694ADFFC" w14:textId="77777777" w:rsidR="00FE312D" w:rsidRPr="009F58DF" w:rsidRDefault="00FE312D" w:rsidP="009F58DF">
                          <w:pPr>
                            <w:pStyle w:val="Referentiegegevenskop"/>
                            <w:spacing w:line="276" w:lineRule="auto"/>
                          </w:pPr>
                        </w:p>
                        <w:p w14:paraId="54BEF96A" w14:textId="40BB3772" w:rsidR="00052B71" w:rsidRPr="009F58DF" w:rsidRDefault="00D91FCC" w:rsidP="009F58DF">
                          <w:pPr>
                            <w:pStyle w:val="Referentiegegevenskop"/>
                            <w:spacing w:line="276" w:lineRule="auto"/>
                          </w:pPr>
                          <w:r w:rsidRPr="009F58DF">
                            <w:t>Bijlage(n)</w:t>
                          </w:r>
                        </w:p>
                        <w:p w14:paraId="3D733F6F" w14:textId="26BD0887" w:rsidR="00052B71" w:rsidRPr="009F58DF" w:rsidRDefault="00FE312D" w:rsidP="009F58DF">
                          <w:pPr>
                            <w:pStyle w:val="Referentiegegevens"/>
                            <w:spacing w:line="276" w:lineRule="auto"/>
                          </w:pPr>
                          <w:r w:rsidRPr="009F58DF">
                            <w:t>6</w:t>
                          </w:r>
                        </w:p>
                      </w:txbxContent>
                    </wps:txbx>
                    <wps:bodyPr vert="horz" wrap="square" lIns="0" tIns="0" rIns="0" bIns="0" anchor="t" anchorCtr="0"/>
                  </wps:wsp>
                </a:graphicData>
              </a:graphic>
            </wp:anchor>
          </w:drawing>
        </mc:Choice>
        <mc:Fallback>
          <w:pict>
            <v:shape w14:anchorId="4CE75023"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D89E3F1" w14:textId="77777777" w:rsidR="00052B71" w:rsidRDefault="00D91FCC">
                    <w:pPr>
                      <w:pStyle w:val="AfzendgegevensKop0"/>
                    </w:pPr>
                    <w:r>
                      <w:t>Ministerie van Infrastructuur en Waterstaat</w:t>
                    </w:r>
                  </w:p>
                  <w:p w14:paraId="7DFA55CF" w14:textId="77777777" w:rsidR="00052B71" w:rsidRDefault="00052B71">
                    <w:pPr>
                      <w:pStyle w:val="WitregelW1"/>
                    </w:pPr>
                  </w:p>
                  <w:p w14:paraId="07BAEE6C" w14:textId="77777777" w:rsidR="00052B71" w:rsidRDefault="00D91FCC">
                    <w:pPr>
                      <w:pStyle w:val="Afzendgegevens"/>
                    </w:pPr>
                    <w:r>
                      <w:t>Rijnstraat 8</w:t>
                    </w:r>
                  </w:p>
                  <w:p w14:paraId="29596167" w14:textId="77777777" w:rsidR="00052B71" w:rsidRPr="00284DF7" w:rsidRDefault="00D91FCC">
                    <w:pPr>
                      <w:pStyle w:val="Afzendgegevens"/>
                      <w:rPr>
                        <w:lang w:val="de-DE"/>
                      </w:rPr>
                    </w:pPr>
                    <w:r w:rsidRPr="00284DF7">
                      <w:rPr>
                        <w:lang w:val="de-DE"/>
                      </w:rPr>
                      <w:t>2515 XP  Den Haag</w:t>
                    </w:r>
                  </w:p>
                  <w:p w14:paraId="64FA80C9" w14:textId="77777777" w:rsidR="00052B71" w:rsidRPr="00284DF7" w:rsidRDefault="00D91FCC">
                    <w:pPr>
                      <w:pStyle w:val="Afzendgegevens"/>
                      <w:rPr>
                        <w:lang w:val="de-DE"/>
                      </w:rPr>
                    </w:pPr>
                    <w:r w:rsidRPr="00284DF7">
                      <w:rPr>
                        <w:lang w:val="de-DE"/>
                      </w:rPr>
                      <w:t>Postbus 20901</w:t>
                    </w:r>
                  </w:p>
                  <w:p w14:paraId="792B8D16" w14:textId="77777777" w:rsidR="00052B71" w:rsidRPr="00284DF7" w:rsidRDefault="00D91FCC">
                    <w:pPr>
                      <w:pStyle w:val="Afzendgegevens"/>
                      <w:rPr>
                        <w:lang w:val="de-DE"/>
                      </w:rPr>
                    </w:pPr>
                    <w:r w:rsidRPr="00284DF7">
                      <w:rPr>
                        <w:lang w:val="de-DE"/>
                      </w:rPr>
                      <w:t>2500 EX Den Haag</w:t>
                    </w:r>
                  </w:p>
                  <w:p w14:paraId="16D07EAE" w14:textId="77777777" w:rsidR="00052B71" w:rsidRPr="00284DF7" w:rsidRDefault="00052B71">
                    <w:pPr>
                      <w:pStyle w:val="WitregelW1"/>
                      <w:rPr>
                        <w:lang w:val="de-DE"/>
                      </w:rPr>
                    </w:pPr>
                  </w:p>
                  <w:p w14:paraId="57988C16" w14:textId="77777777" w:rsidR="00052B71" w:rsidRPr="00284DF7" w:rsidRDefault="00D91FCC">
                    <w:pPr>
                      <w:pStyle w:val="Afzendgegevens"/>
                      <w:rPr>
                        <w:lang w:val="de-DE"/>
                      </w:rPr>
                    </w:pPr>
                    <w:r w:rsidRPr="00284DF7">
                      <w:rPr>
                        <w:lang w:val="de-DE"/>
                      </w:rPr>
                      <w:t>T   070-456 0000</w:t>
                    </w:r>
                  </w:p>
                  <w:p w14:paraId="12430EA6" w14:textId="77777777" w:rsidR="00052B71" w:rsidRDefault="00D91FCC">
                    <w:pPr>
                      <w:pStyle w:val="Afzendgegevens"/>
                    </w:pPr>
                    <w:r>
                      <w:t>F   070-456 1111</w:t>
                    </w:r>
                  </w:p>
                  <w:p w14:paraId="3195A3F0" w14:textId="77777777" w:rsidR="00052B71" w:rsidRPr="009F58DF" w:rsidRDefault="00052B71" w:rsidP="009F58DF">
                    <w:pPr>
                      <w:pStyle w:val="WitregelW2"/>
                      <w:spacing w:line="276" w:lineRule="auto"/>
                      <w:rPr>
                        <w:sz w:val="13"/>
                        <w:szCs w:val="13"/>
                      </w:rPr>
                    </w:pPr>
                  </w:p>
                  <w:p w14:paraId="4762AB17" w14:textId="77777777" w:rsidR="00FE312D" w:rsidRPr="009F58DF" w:rsidRDefault="00FE312D" w:rsidP="009F58DF">
                    <w:pPr>
                      <w:spacing w:line="276" w:lineRule="auto"/>
                      <w:rPr>
                        <w:b/>
                        <w:bCs/>
                        <w:sz w:val="13"/>
                        <w:szCs w:val="13"/>
                      </w:rPr>
                    </w:pPr>
                    <w:r w:rsidRPr="009F58DF">
                      <w:rPr>
                        <w:b/>
                        <w:bCs/>
                        <w:sz w:val="13"/>
                        <w:szCs w:val="13"/>
                      </w:rPr>
                      <w:t>Ons kenmerk</w:t>
                    </w:r>
                  </w:p>
                  <w:p w14:paraId="2F4A7337" w14:textId="7215776D" w:rsidR="00FE312D" w:rsidRPr="009F58DF" w:rsidRDefault="00FE312D" w:rsidP="009F58DF">
                    <w:pPr>
                      <w:spacing w:line="276" w:lineRule="auto"/>
                      <w:rPr>
                        <w:sz w:val="13"/>
                        <w:szCs w:val="13"/>
                      </w:rPr>
                    </w:pPr>
                    <w:r w:rsidRPr="009F58DF">
                      <w:rPr>
                        <w:sz w:val="13"/>
                        <w:szCs w:val="13"/>
                      </w:rPr>
                      <w:t>IENW/BSK-2026/83803</w:t>
                    </w:r>
                  </w:p>
                  <w:p w14:paraId="694ADFFC" w14:textId="77777777" w:rsidR="00FE312D" w:rsidRPr="009F58DF" w:rsidRDefault="00FE312D" w:rsidP="009F58DF">
                    <w:pPr>
                      <w:pStyle w:val="Referentiegegevenskop"/>
                      <w:spacing w:line="276" w:lineRule="auto"/>
                    </w:pPr>
                  </w:p>
                  <w:p w14:paraId="54BEF96A" w14:textId="40BB3772" w:rsidR="00052B71" w:rsidRPr="009F58DF" w:rsidRDefault="00D91FCC" w:rsidP="009F58DF">
                    <w:pPr>
                      <w:pStyle w:val="Referentiegegevenskop"/>
                      <w:spacing w:line="276" w:lineRule="auto"/>
                    </w:pPr>
                    <w:r w:rsidRPr="009F58DF">
                      <w:t>Bijlage(n)</w:t>
                    </w:r>
                  </w:p>
                  <w:p w14:paraId="3D733F6F" w14:textId="26BD0887" w:rsidR="00052B71" w:rsidRPr="009F58DF" w:rsidRDefault="00FE312D" w:rsidP="009F58DF">
                    <w:pPr>
                      <w:pStyle w:val="Referentiegegevens"/>
                      <w:spacing w:line="276" w:lineRule="auto"/>
                    </w:pPr>
                    <w:r w:rsidRPr="009F58DF">
                      <w:t>6</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62C75B0" wp14:editId="22ABDFA5">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AD1C433" w14:textId="77777777" w:rsidR="00052B71" w:rsidRDefault="00D91FCC">
                          <w:pPr>
                            <w:spacing w:line="240" w:lineRule="auto"/>
                          </w:pPr>
                          <w:r>
                            <w:rPr>
                              <w:noProof/>
                              <w:lang w:val="en-GB" w:eastAsia="en-GB"/>
                            </w:rPr>
                            <w:drawing>
                              <wp:inline distT="0" distB="0" distL="0" distR="0" wp14:anchorId="35BC705A" wp14:editId="192EEFC2">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2C75B0"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AD1C433" w14:textId="77777777" w:rsidR="00052B71" w:rsidRDefault="00D91FCC">
                    <w:pPr>
                      <w:spacing w:line="240" w:lineRule="auto"/>
                    </w:pPr>
                    <w:r>
                      <w:rPr>
                        <w:noProof/>
                        <w:lang w:val="en-GB" w:eastAsia="en-GB"/>
                      </w:rPr>
                      <w:drawing>
                        <wp:inline distT="0" distB="0" distL="0" distR="0" wp14:anchorId="35BC705A" wp14:editId="192EEFC2">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6AF766A" wp14:editId="045E8033">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1F890BB" w14:textId="77777777" w:rsidR="00052B71" w:rsidRDefault="00D91FCC">
                          <w:pPr>
                            <w:spacing w:line="240" w:lineRule="auto"/>
                          </w:pPr>
                          <w:r>
                            <w:rPr>
                              <w:noProof/>
                              <w:lang w:val="en-GB" w:eastAsia="en-GB"/>
                            </w:rPr>
                            <w:drawing>
                              <wp:inline distT="0" distB="0" distL="0" distR="0" wp14:anchorId="38B0AEC2" wp14:editId="6D2D14AD">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AF766A"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1F890BB" w14:textId="77777777" w:rsidR="00052B71" w:rsidRDefault="00D91FCC">
                    <w:pPr>
                      <w:spacing w:line="240" w:lineRule="auto"/>
                    </w:pPr>
                    <w:r>
                      <w:rPr>
                        <w:noProof/>
                        <w:lang w:val="en-GB" w:eastAsia="en-GB"/>
                      </w:rPr>
                      <w:drawing>
                        <wp:inline distT="0" distB="0" distL="0" distR="0" wp14:anchorId="38B0AEC2" wp14:editId="6D2D14AD">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868E724" wp14:editId="2B7815EA">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6A546FA" w14:textId="77777777" w:rsidR="00052B71" w:rsidRDefault="00D91FC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868E724"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6A546FA" w14:textId="77777777" w:rsidR="00052B71" w:rsidRDefault="00D91FCC">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8ED7093" wp14:editId="08048495">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16BC214" w14:textId="77777777" w:rsidR="00FE312D" w:rsidRDefault="00FE312D" w:rsidP="00FE312D">
                          <w:r>
                            <w:t>De voorzitter van de Tweede Kamer</w:t>
                          </w:r>
                          <w:r>
                            <w:br/>
                            <w:t>der Staten-Generaal</w:t>
                          </w:r>
                          <w:r>
                            <w:br/>
                            <w:t>Postbus 20018</w:t>
                          </w:r>
                          <w:r>
                            <w:br/>
                            <w:t>2500 EA  DEN HAAG</w:t>
                          </w:r>
                        </w:p>
                        <w:p w14:paraId="1849A764" w14:textId="77777777" w:rsidR="005C5828" w:rsidRDefault="005C5828"/>
                      </w:txbxContent>
                    </wps:txbx>
                    <wps:bodyPr vert="horz" wrap="square" lIns="0" tIns="0" rIns="0" bIns="0" anchor="t" anchorCtr="0"/>
                  </wps:wsp>
                </a:graphicData>
              </a:graphic>
            </wp:anchor>
          </w:drawing>
        </mc:Choice>
        <mc:Fallback>
          <w:pict>
            <v:shape w14:anchorId="38ED7093"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16BC214" w14:textId="77777777" w:rsidR="00FE312D" w:rsidRDefault="00FE312D" w:rsidP="00FE312D">
                    <w:r>
                      <w:t>De voorzitter van de Tweede Kamer</w:t>
                    </w:r>
                    <w:r>
                      <w:br/>
                      <w:t>der Staten-Generaal</w:t>
                    </w:r>
                    <w:r>
                      <w:br/>
                      <w:t>Postbus 20018</w:t>
                    </w:r>
                    <w:r>
                      <w:br/>
                      <w:t>2500 EA  DEN HAAG</w:t>
                    </w:r>
                  </w:p>
                  <w:p w14:paraId="1849A764" w14:textId="77777777" w:rsidR="005C5828" w:rsidRDefault="005C5828"/>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05EFF0D" wp14:editId="476B7508">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52B71" w14:paraId="4ADFA727" w14:textId="77777777">
                            <w:trPr>
                              <w:trHeight w:val="200"/>
                            </w:trPr>
                            <w:tc>
                              <w:tcPr>
                                <w:tcW w:w="1140" w:type="dxa"/>
                              </w:tcPr>
                              <w:p w14:paraId="1E4A405E" w14:textId="77777777" w:rsidR="00052B71" w:rsidRDefault="00052B71"/>
                            </w:tc>
                            <w:tc>
                              <w:tcPr>
                                <w:tcW w:w="5400" w:type="dxa"/>
                              </w:tcPr>
                              <w:p w14:paraId="219421C1" w14:textId="77777777" w:rsidR="00052B71" w:rsidRDefault="00052B71"/>
                            </w:tc>
                          </w:tr>
                          <w:tr w:rsidR="00052B71" w14:paraId="745E6F23" w14:textId="77777777">
                            <w:trPr>
                              <w:trHeight w:val="240"/>
                            </w:trPr>
                            <w:tc>
                              <w:tcPr>
                                <w:tcW w:w="1140" w:type="dxa"/>
                              </w:tcPr>
                              <w:p w14:paraId="011C6C4C" w14:textId="77777777" w:rsidR="00052B71" w:rsidRDefault="00D91FCC">
                                <w:r>
                                  <w:t>Datum</w:t>
                                </w:r>
                              </w:p>
                            </w:tc>
                            <w:tc>
                              <w:tcPr>
                                <w:tcW w:w="5400" w:type="dxa"/>
                              </w:tcPr>
                              <w:p w14:paraId="3A734D04" w14:textId="7F08D622" w:rsidR="00052B71" w:rsidRDefault="009F58DF">
                                <w:r>
                                  <w:t>22 juni 2026</w:t>
                                </w:r>
                              </w:p>
                            </w:tc>
                          </w:tr>
                          <w:tr w:rsidR="00052B71" w14:paraId="0BDD01EA" w14:textId="77777777">
                            <w:trPr>
                              <w:trHeight w:val="240"/>
                            </w:trPr>
                            <w:tc>
                              <w:tcPr>
                                <w:tcW w:w="1140" w:type="dxa"/>
                              </w:tcPr>
                              <w:p w14:paraId="65DA9177" w14:textId="77777777" w:rsidR="00052B71" w:rsidRDefault="00D91FCC">
                                <w:r>
                                  <w:t>Betreft</w:t>
                                </w:r>
                              </w:p>
                            </w:tc>
                            <w:tc>
                              <w:tcPr>
                                <w:tcW w:w="5400" w:type="dxa"/>
                              </w:tcPr>
                              <w:p w14:paraId="0D0B76E6" w14:textId="0B79B201" w:rsidR="00052B71" w:rsidRDefault="00284DF7">
                                <w:r>
                                  <w:t>Regionale uitrol laadinfrastructuur</w:t>
                                </w:r>
                              </w:p>
                            </w:tc>
                          </w:tr>
                          <w:tr w:rsidR="00052B71" w14:paraId="58D2E57E" w14:textId="77777777">
                            <w:trPr>
                              <w:trHeight w:val="200"/>
                            </w:trPr>
                            <w:tc>
                              <w:tcPr>
                                <w:tcW w:w="1140" w:type="dxa"/>
                              </w:tcPr>
                              <w:p w14:paraId="389F35DD" w14:textId="77777777" w:rsidR="00052B71" w:rsidRDefault="00052B71"/>
                            </w:tc>
                            <w:tc>
                              <w:tcPr>
                                <w:tcW w:w="5400" w:type="dxa"/>
                              </w:tcPr>
                              <w:p w14:paraId="4EE2408B" w14:textId="77777777" w:rsidR="00052B71" w:rsidRDefault="00052B71"/>
                            </w:tc>
                          </w:tr>
                        </w:tbl>
                        <w:p w14:paraId="2DBAFA2D" w14:textId="77777777" w:rsidR="005C5828" w:rsidRDefault="005C5828"/>
                      </w:txbxContent>
                    </wps:txbx>
                    <wps:bodyPr vert="horz" wrap="square" lIns="0" tIns="0" rIns="0" bIns="0" anchor="t" anchorCtr="0"/>
                  </wps:wsp>
                </a:graphicData>
              </a:graphic>
            </wp:anchor>
          </w:drawing>
        </mc:Choice>
        <mc:Fallback>
          <w:pict>
            <v:shape w14:anchorId="305EFF0D"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052B71" w14:paraId="4ADFA727" w14:textId="77777777">
                      <w:trPr>
                        <w:trHeight w:val="200"/>
                      </w:trPr>
                      <w:tc>
                        <w:tcPr>
                          <w:tcW w:w="1140" w:type="dxa"/>
                        </w:tcPr>
                        <w:p w14:paraId="1E4A405E" w14:textId="77777777" w:rsidR="00052B71" w:rsidRDefault="00052B71"/>
                      </w:tc>
                      <w:tc>
                        <w:tcPr>
                          <w:tcW w:w="5400" w:type="dxa"/>
                        </w:tcPr>
                        <w:p w14:paraId="219421C1" w14:textId="77777777" w:rsidR="00052B71" w:rsidRDefault="00052B71"/>
                      </w:tc>
                    </w:tr>
                    <w:tr w:rsidR="00052B71" w14:paraId="745E6F23" w14:textId="77777777">
                      <w:trPr>
                        <w:trHeight w:val="240"/>
                      </w:trPr>
                      <w:tc>
                        <w:tcPr>
                          <w:tcW w:w="1140" w:type="dxa"/>
                        </w:tcPr>
                        <w:p w14:paraId="011C6C4C" w14:textId="77777777" w:rsidR="00052B71" w:rsidRDefault="00D91FCC">
                          <w:r>
                            <w:t>Datum</w:t>
                          </w:r>
                        </w:p>
                      </w:tc>
                      <w:tc>
                        <w:tcPr>
                          <w:tcW w:w="5400" w:type="dxa"/>
                        </w:tcPr>
                        <w:p w14:paraId="3A734D04" w14:textId="7F08D622" w:rsidR="00052B71" w:rsidRDefault="009F58DF">
                          <w:r>
                            <w:t>22 juni 2026</w:t>
                          </w:r>
                        </w:p>
                      </w:tc>
                    </w:tr>
                    <w:tr w:rsidR="00052B71" w14:paraId="0BDD01EA" w14:textId="77777777">
                      <w:trPr>
                        <w:trHeight w:val="240"/>
                      </w:trPr>
                      <w:tc>
                        <w:tcPr>
                          <w:tcW w:w="1140" w:type="dxa"/>
                        </w:tcPr>
                        <w:p w14:paraId="65DA9177" w14:textId="77777777" w:rsidR="00052B71" w:rsidRDefault="00D91FCC">
                          <w:r>
                            <w:t>Betreft</w:t>
                          </w:r>
                        </w:p>
                      </w:tc>
                      <w:tc>
                        <w:tcPr>
                          <w:tcW w:w="5400" w:type="dxa"/>
                        </w:tcPr>
                        <w:p w14:paraId="0D0B76E6" w14:textId="0B79B201" w:rsidR="00052B71" w:rsidRDefault="00284DF7">
                          <w:r>
                            <w:t>Regionale uitrol laadinfrastructuur</w:t>
                          </w:r>
                        </w:p>
                      </w:tc>
                    </w:tr>
                    <w:tr w:rsidR="00052B71" w14:paraId="58D2E57E" w14:textId="77777777">
                      <w:trPr>
                        <w:trHeight w:val="200"/>
                      </w:trPr>
                      <w:tc>
                        <w:tcPr>
                          <w:tcW w:w="1140" w:type="dxa"/>
                        </w:tcPr>
                        <w:p w14:paraId="389F35DD" w14:textId="77777777" w:rsidR="00052B71" w:rsidRDefault="00052B71"/>
                      </w:tc>
                      <w:tc>
                        <w:tcPr>
                          <w:tcW w:w="5400" w:type="dxa"/>
                        </w:tcPr>
                        <w:p w14:paraId="4EE2408B" w14:textId="77777777" w:rsidR="00052B71" w:rsidRDefault="00052B71"/>
                      </w:tc>
                    </w:tr>
                  </w:tbl>
                  <w:p w14:paraId="2DBAFA2D" w14:textId="77777777" w:rsidR="005C5828" w:rsidRDefault="005C5828"/>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0758F8C" wp14:editId="3910A6F5">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0341B5A" w14:textId="77777777" w:rsidR="005C5828" w:rsidRDefault="005C5828"/>
                      </w:txbxContent>
                    </wps:txbx>
                    <wps:bodyPr vert="horz" wrap="square" lIns="0" tIns="0" rIns="0" bIns="0" anchor="t" anchorCtr="0"/>
                  </wps:wsp>
                </a:graphicData>
              </a:graphic>
            </wp:anchor>
          </w:drawing>
        </mc:Choice>
        <mc:Fallback>
          <w:pict>
            <v:shape w14:anchorId="00758F8C"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0341B5A" w14:textId="77777777" w:rsidR="005C5828" w:rsidRDefault="005C5828"/>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864DF0"/>
    <w:multiLevelType w:val="multilevel"/>
    <w:tmpl w:val="B747749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8DE7868"/>
    <w:multiLevelType w:val="multilevel"/>
    <w:tmpl w:val="134CC6B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9D7EF5B"/>
    <w:multiLevelType w:val="multilevel"/>
    <w:tmpl w:val="AE38214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E5257B2"/>
    <w:multiLevelType w:val="multilevel"/>
    <w:tmpl w:val="4A10AACA"/>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C95F741"/>
    <w:multiLevelType w:val="multilevel"/>
    <w:tmpl w:val="3EFD83D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EACDEAE"/>
    <w:multiLevelType w:val="multilevel"/>
    <w:tmpl w:val="7D29DEB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20B675A"/>
    <w:multiLevelType w:val="multilevel"/>
    <w:tmpl w:val="3153AD5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19F7BB4"/>
    <w:multiLevelType w:val="multilevel"/>
    <w:tmpl w:val="4CCFF65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34796CF"/>
    <w:multiLevelType w:val="multilevel"/>
    <w:tmpl w:val="B7B8B92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D0CD4DE"/>
    <w:multiLevelType w:val="multilevel"/>
    <w:tmpl w:val="4D95A23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E63B1340"/>
    <w:multiLevelType w:val="multilevel"/>
    <w:tmpl w:val="83FFFAC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336DACD"/>
    <w:multiLevelType w:val="multilevel"/>
    <w:tmpl w:val="3DDFC81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348A719"/>
    <w:multiLevelType w:val="multilevel"/>
    <w:tmpl w:val="0F465A20"/>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55B345D"/>
    <w:multiLevelType w:val="multilevel"/>
    <w:tmpl w:val="EDA3D71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667912"/>
    <w:multiLevelType w:val="hybridMultilevel"/>
    <w:tmpl w:val="72C094B2"/>
    <w:lvl w:ilvl="0" w:tplc="04130017">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2DA6114D"/>
    <w:multiLevelType w:val="multilevel"/>
    <w:tmpl w:val="48A706E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3483517C"/>
    <w:multiLevelType w:val="hybridMultilevel"/>
    <w:tmpl w:val="C23CF41A"/>
    <w:lvl w:ilvl="0" w:tplc="4C9A0F3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C341C30"/>
    <w:multiLevelType w:val="multilevel"/>
    <w:tmpl w:val="3FBE206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B66C55"/>
    <w:multiLevelType w:val="hybridMultilevel"/>
    <w:tmpl w:val="5C48ACE0"/>
    <w:lvl w:ilvl="0" w:tplc="04130017">
      <w:start w:val="2"/>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45313B1E"/>
    <w:multiLevelType w:val="hybridMultilevel"/>
    <w:tmpl w:val="27123FAE"/>
    <w:lvl w:ilvl="0" w:tplc="A406026C">
      <w:start w:val="9"/>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4A376A57"/>
    <w:multiLevelType w:val="hybridMultilevel"/>
    <w:tmpl w:val="53BA5720"/>
    <w:lvl w:ilvl="0" w:tplc="08C497A6">
      <w:start w:val="2"/>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B2A1FD9"/>
    <w:multiLevelType w:val="multilevel"/>
    <w:tmpl w:val="B6E9C3D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589F4F"/>
    <w:multiLevelType w:val="multilevel"/>
    <w:tmpl w:val="327DEC1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9E0176"/>
    <w:multiLevelType w:val="multilevel"/>
    <w:tmpl w:val="227EF5A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C706F3"/>
    <w:multiLevelType w:val="multilevel"/>
    <w:tmpl w:val="E663C78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47A11EA"/>
    <w:multiLevelType w:val="hybridMultilevel"/>
    <w:tmpl w:val="50182666"/>
    <w:lvl w:ilvl="0" w:tplc="F80C8276">
      <w:start w:val="1"/>
      <w:numFmt w:val="lowerLetter"/>
      <w:lvlText w:val="%1)"/>
      <w:lvlJc w:val="left"/>
      <w:pPr>
        <w:ind w:left="1068" w:hanging="360"/>
      </w:pPr>
      <w:rPr>
        <w:rFonts w:hint="default"/>
        <w:b w:val="0"/>
        <w:u w:val="single"/>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57192CD2"/>
    <w:multiLevelType w:val="hybridMultilevel"/>
    <w:tmpl w:val="E6BA2FB2"/>
    <w:lvl w:ilvl="0" w:tplc="150A61E6">
      <w:start w:val="1"/>
      <w:numFmt w:val="decimal"/>
      <w:lvlText w:val="%1."/>
      <w:lvlJc w:val="left"/>
      <w:pPr>
        <w:ind w:left="787" w:hanging="360"/>
      </w:pPr>
      <w:rPr>
        <w:strike w:val="0"/>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27" w15:restartNumberingAfterBreak="0">
    <w:nsid w:val="5F411751"/>
    <w:multiLevelType w:val="hybridMultilevel"/>
    <w:tmpl w:val="71B47D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439B181"/>
    <w:multiLevelType w:val="multilevel"/>
    <w:tmpl w:val="E4F9C49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63352F5"/>
    <w:multiLevelType w:val="multilevel"/>
    <w:tmpl w:val="7CDEA53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E92AB66"/>
    <w:multiLevelType w:val="multilevel"/>
    <w:tmpl w:val="EEC1CE6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29"/>
  </w:num>
  <w:num w:numId="4">
    <w:abstractNumId w:val="11"/>
  </w:num>
  <w:num w:numId="5">
    <w:abstractNumId w:val="9"/>
  </w:num>
  <w:num w:numId="6">
    <w:abstractNumId w:val="3"/>
  </w:num>
  <w:num w:numId="7">
    <w:abstractNumId w:val="6"/>
  </w:num>
  <w:num w:numId="8">
    <w:abstractNumId w:val="17"/>
  </w:num>
  <w:num w:numId="9">
    <w:abstractNumId w:val="10"/>
  </w:num>
  <w:num w:numId="10">
    <w:abstractNumId w:val="7"/>
  </w:num>
  <w:num w:numId="11">
    <w:abstractNumId w:val="8"/>
  </w:num>
  <w:num w:numId="12">
    <w:abstractNumId w:val="15"/>
  </w:num>
  <w:num w:numId="13">
    <w:abstractNumId w:val="12"/>
  </w:num>
  <w:num w:numId="14">
    <w:abstractNumId w:val="2"/>
  </w:num>
  <w:num w:numId="15">
    <w:abstractNumId w:val="23"/>
  </w:num>
  <w:num w:numId="16">
    <w:abstractNumId w:val="4"/>
  </w:num>
  <w:num w:numId="17">
    <w:abstractNumId w:val="22"/>
  </w:num>
  <w:num w:numId="18">
    <w:abstractNumId w:val="21"/>
  </w:num>
  <w:num w:numId="19">
    <w:abstractNumId w:val="30"/>
  </w:num>
  <w:num w:numId="20">
    <w:abstractNumId w:val="13"/>
  </w:num>
  <w:num w:numId="21">
    <w:abstractNumId w:val="28"/>
  </w:num>
  <w:num w:numId="22">
    <w:abstractNumId w:val="1"/>
  </w:num>
  <w:num w:numId="23">
    <w:abstractNumId w:val="16"/>
  </w:num>
  <w:num w:numId="24">
    <w:abstractNumId w:val="27"/>
  </w:num>
  <w:num w:numId="25">
    <w:abstractNumId w:val="26"/>
  </w:num>
  <w:num w:numId="26">
    <w:abstractNumId w:val="18"/>
  </w:num>
  <w:num w:numId="27">
    <w:abstractNumId w:val="14"/>
  </w:num>
  <w:num w:numId="28">
    <w:abstractNumId w:val="25"/>
  </w:num>
  <w:num w:numId="29">
    <w:abstractNumId w:val="19"/>
  </w:num>
  <w:num w:numId="30">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5A9"/>
    <w:rsid w:val="00000461"/>
    <w:rsid w:val="000053B5"/>
    <w:rsid w:val="0001016A"/>
    <w:rsid w:val="00012179"/>
    <w:rsid w:val="000129CC"/>
    <w:rsid w:val="00027597"/>
    <w:rsid w:val="000323E1"/>
    <w:rsid w:val="00042D56"/>
    <w:rsid w:val="00044697"/>
    <w:rsid w:val="000471D0"/>
    <w:rsid w:val="00052B71"/>
    <w:rsid w:val="00055873"/>
    <w:rsid w:val="0005606F"/>
    <w:rsid w:val="00061191"/>
    <w:rsid w:val="000627CB"/>
    <w:rsid w:val="00063A8D"/>
    <w:rsid w:val="0006593D"/>
    <w:rsid w:val="00065CE3"/>
    <w:rsid w:val="000668C2"/>
    <w:rsid w:val="0007051E"/>
    <w:rsid w:val="0007413D"/>
    <w:rsid w:val="00075B79"/>
    <w:rsid w:val="00076C10"/>
    <w:rsid w:val="0007785A"/>
    <w:rsid w:val="00077C5B"/>
    <w:rsid w:val="0008512A"/>
    <w:rsid w:val="00087DD4"/>
    <w:rsid w:val="00092C52"/>
    <w:rsid w:val="00093B45"/>
    <w:rsid w:val="000957E2"/>
    <w:rsid w:val="000975B0"/>
    <w:rsid w:val="000A21D5"/>
    <w:rsid w:val="000B356A"/>
    <w:rsid w:val="000C77C2"/>
    <w:rsid w:val="000E0897"/>
    <w:rsid w:val="000E1D55"/>
    <w:rsid w:val="000E2398"/>
    <w:rsid w:val="000E3CB5"/>
    <w:rsid w:val="000F32B7"/>
    <w:rsid w:val="000F4F74"/>
    <w:rsid w:val="000F4FCC"/>
    <w:rsid w:val="000F605C"/>
    <w:rsid w:val="0010553D"/>
    <w:rsid w:val="001056B8"/>
    <w:rsid w:val="00115C19"/>
    <w:rsid w:val="00116115"/>
    <w:rsid w:val="0012095F"/>
    <w:rsid w:val="00121F47"/>
    <w:rsid w:val="00122229"/>
    <w:rsid w:val="00122C11"/>
    <w:rsid w:val="00125F04"/>
    <w:rsid w:val="00146419"/>
    <w:rsid w:val="0014688C"/>
    <w:rsid w:val="00152711"/>
    <w:rsid w:val="00153F11"/>
    <w:rsid w:val="00156740"/>
    <w:rsid w:val="00165B01"/>
    <w:rsid w:val="0017683D"/>
    <w:rsid w:val="00177F07"/>
    <w:rsid w:val="00180073"/>
    <w:rsid w:val="001824EC"/>
    <w:rsid w:val="00187639"/>
    <w:rsid w:val="001A39D8"/>
    <w:rsid w:val="001B44E3"/>
    <w:rsid w:val="001C2E00"/>
    <w:rsid w:val="001C5080"/>
    <w:rsid w:val="001C5482"/>
    <w:rsid w:val="001D0473"/>
    <w:rsid w:val="001D0CA1"/>
    <w:rsid w:val="001D1F19"/>
    <w:rsid w:val="001D3AD7"/>
    <w:rsid w:val="001D568D"/>
    <w:rsid w:val="001E0688"/>
    <w:rsid w:val="001E38A1"/>
    <w:rsid w:val="001E6751"/>
    <w:rsid w:val="001F5539"/>
    <w:rsid w:val="001F6994"/>
    <w:rsid w:val="0020041E"/>
    <w:rsid w:val="002058B7"/>
    <w:rsid w:val="00205E68"/>
    <w:rsid w:val="0020615A"/>
    <w:rsid w:val="0021367F"/>
    <w:rsid w:val="00213764"/>
    <w:rsid w:val="00213875"/>
    <w:rsid w:val="00217231"/>
    <w:rsid w:val="0022698F"/>
    <w:rsid w:val="00230CA1"/>
    <w:rsid w:val="0023161F"/>
    <w:rsid w:val="002337A0"/>
    <w:rsid w:val="002342E9"/>
    <w:rsid w:val="00241632"/>
    <w:rsid w:val="002431A2"/>
    <w:rsid w:val="00244DAA"/>
    <w:rsid w:val="0025165F"/>
    <w:rsid w:val="00254736"/>
    <w:rsid w:val="00254CBA"/>
    <w:rsid w:val="00256AB0"/>
    <w:rsid w:val="002639E7"/>
    <w:rsid w:val="00264F8F"/>
    <w:rsid w:val="00265D98"/>
    <w:rsid w:val="00266627"/>
    <w:rsid w:val="002668F7"/>
    <w:rsid w:val="00267FD1"/>
    <w:rsid w:val="0027227C"/>
    <w:rsid w:val="00273906"/>
    <w:rsid w:val="00273E0E"/>
    <w:rsid w:val="002740EA"/>
    <w:rsid w:val="002747CB"/>
    <w:rsid w:val="00277F2A"/>
    <w:rsid w:val="00280E84"/>
    <w:rsid w:val="00283D82"/>
    <w:rsid w:val="0028417A"/>
    <w:rsid w:val="00284DF7"/>
    <w:rsid w:val="00286CD7"/>
    <w:rsid w:val="00292926"/>
    <w:rsid w:val="00296BAB"/>
    <w:rsid w:val="0029767E"/>
    <w:rsid w:val="002A2936"/>
    <w:rsid w:val="002A42A0"/>
    <w:rsid w:val="002A5035"/>
    <w:rsid w:val="002A5E0B"/>
    <w:rsid w:val="002A6F6D"/>
    <w:rsid w:val="002B02B3"/>
    <w:rsid w:val="002B1D05"/>
    <w:rsid w:val="002B507F"/>
    <w:rsid w:val="002B56EA"/>
    <w:rsid w:val="002C2380"/>
    <w:rsid w:val="002C3AAB"/>
    <w:rsid w:val="002D5805"/>
    <w:rsid w:val="002D58BB"/>
    <w:rsid w:val="002E1C44"/>
    <w:rsid w:val="002E215A"/>
    <w:rsid w:val="002E3B14"/>
    <w:rsid w:val="002F248B"/>
    <w:rsid w:val="002F4639"/>
    <w:rsid w:val="002F46BF"/>
    <w:rsid w:val="002F564C"/>
    <w:rsid w:val="00300632"/>
    <w:rsid w:val="003109E2"/>
    <w:rsid w:val="00316E74"/>
    <w:rsid w:val="00324504"/>
    <w:rsid w:val="003256D2"/>
    <w:rsid w:val="00333BF7"/>
    <w:rsid w:val="00334BDB"/>
    <w:rsid w:val="003424C4"/>
    <w:rsid w:val="003424D5"/>
    <w:rsid w:val="00343511"/>
    <w:rsid w:val="00346DFF"/>
    <w:rsid w:val="003518F1"/>
    <w:rsid w:val="00351CEE"/>
    <w:rsid w:val="003533E6"/>
    <w:rsid w:val="00354084"/>
    <w:rsid w:val="0035781E"/>
    <w:rsid w:val="00357E04"/>
    <w:rsid w:val="00360A3B"/>
    <w:rsid w:val="00362373"/>
    <w:rsid w:val="0036314F"/>
    <w:rsid w:val="0036579B"/>
    <w:rsid w:val="00370AAC"/>
    <w:rsid w:val="003740CF"/>
    <w:rsid w:val="00375459"/>
    <w:rsid w:val="00375AB2"/>
    <w:rsid w:val="003767E0"/>
    <w:rsid w:val="00381F35"/>
    <w:rsid w:val="00384D6C"/>
    <w:rsid w:val="00384DFF"/>
    <w:rsid w:val="00390EFA"/>
    <w:rsid w:val="003920D1"/>
    <w:rsid w:val="0039317A"/>
    <w:rsid w:val="003A0C91"/>
    <w:rsid w:val="003A0FCA"/>
    <w:rsid w:val="003A2D7A"/>
    <w:rsid w:val="003A3940"/>
    <w:rsid w:val="003A52BE"/>
    <w:rsid w:val="003B2F15"/>
    <w:rsid w:val="003B5A71"/>
    <w:rsid w:val="003B6EEF"/>
    <w:rsid w:val="003C0877"/>
    <w:rsid w:val="003C0C92"/>
    <w:rsid w:val="003C6624"/>
    <w:rsid w:val="003D6E2C"/>
    <w:rsid w:val="003E1903"/>
    <w:rsid w:val="003E45A9"/>
    <w:rsid w:val="003E507E"/>
    <w:rsid w:val="003E7489"/>
    <w:rsid w:val="003F261F"/>
    <w:rsid w:val="003F328D"/>
    <w:rsid w:val="00403420"/>
    <w:rsid w:val="00405949"/>
    <w:rsid w:val="00410FA3"/>
    <w:rsid w:val="00417646"/>
    <w:rsid w:val="00420C14"/>
    <w:rsid w:val="004226FA"/>
    <w:rsid w:val="004230DC"/>
    <w:rsid w:val="00425D9D"/>
    <w:rsid w:val="00426972"/>
    <w:rsid w:val="00435647"/>
    <w:rsid w:val="00440848"/>
    <w:rsid w:val="00440AA9"/>
    <w:rsid w:val="004460CB"/>
    <w:rsid w:val="0044795F"/>
    <w:rsid w:val="00455092"/>
    <w:rsid w:val="004600D8"/>
    <w:rsid w:val="0046191B"/>
    <w:rsid w:val="00466D4D"/>
    <w:rsid w:val="00471809"/>
    <w:rsid w:val="00472EED"/>
    <w:rsid w:val="00473768"/>
    <w:rsid w:val="004776AE"/>
    <w:rsid w:val="0048126C"/>
    <w:rsid w:val="00487D8B"/>
    <w:rsid w:val="00497FE7"/>
    <w:rsid w:val="004A0307"/>
    <w:rsid w:val="004A30B4"/>
    <w:rsid w:val="004A42B6"/>
    <w:rsid w:val="004A437F"/>
    <w:rsid w:val="004B0498"/>
    <w:rsid w:val="004B4C07"/>
    <w:rsid w:val="004B6F1B"/>
    <w:rsid w:val="004B6FAF"/>
    <w:rsid w:val="004C229C"/>
    <w:rsid w:val="004C463B"/>
    <w:rsid w:val="004C757C"/>
    <w:rsid w:val="004D5F4F"/>
    <w:rsid w:val="004E2D7D"/>
    <w:rsid w:val="004E3341"/>
    <w:rsid w:val="004E3573"/>
    <w:rsid w:val="004E515A"/>
    <w:rsid w:val="004E75C5"/>
    <w:rsid w:val="004F2168"/>
    <w:rsid w:val="005004DC"/>
    <w:rsid w:val="005039AE"/>
    <w:rsid w:val="0051299E"/>
    <w:rsid w:val="00512D21"/>
    <w:rsid w:val="00514BFC"/>
    <w:rsid w:val="00525359"/>
    <w:rsid w:val="0053223B"/>
    <w:rsid w:val="00532317"/>
    <w:rsid w:val="00543CBE"/>
    <w:rsid w:val="00544C0F"/>
    <w:rsid w:val="00551F75"/>
    <w:rsid w:val="0055206E"/>
    <w:rsid w:val="005525B3"/>
    <w:rsid w:val="0055457C"/>
    <w:rsid w:val="005611A1"/>
    <w:rsid w:val="0056213D"/>
    <w:rsid w:val="0056249C"/>
    <w:rsid w:val="00562E21"/>
    <w:rsid w:val="00565700"/>
    <w:rsid w:val="0056667B"/>
    <w:rsid w:val="00567BBC"/>
    <w:rsid w:val="00575BF2"/>
    <w:rsid w:val="0058167F"/>
    <w:rsid w:val="00582FEE"/>
    <w:rsid w:val="005905E6"/>
    <w:rsid w:val="005945F5"/>
    <w:rsid w:val="005975FA"/>
    <w:rsid w:val="005A1F7E"/>
    <w:rsid w:val="005A27AE"/>
    <w:rsid w:val="005A3B0B"/>
    <w:rsid w:val="005B0029"/>
    <w:rsid w:val="005B0A25"/>
    <w:rsid w:val="005B2D86"/>
    <w:rsid w:val="005B4CE2"/>
    <w:rsid w:val="005B628A"/>
    <w:rsid w:val="005C416E"/>
    <w:rsid w:val="005C5828"/>
    <w:rsid w:val="005D1BD6"/>
    <w:rsid w:val="005D2F75"/>
    <w:rsid w:val="005D367E"/>
    <w:rsid w:val="005D699D"/>
    <w:rsid w:val="005E0B07"/>
    <w:rsid w:val="005E7D8C"/>
    <w:rsid w:val="005F23B5"/>
    <w:rsid w:val="005F37B6"/>
    <w:rsid w:val="005F4104"/>
    <w:rsid w:val="006020B6"/>
    <w:rsid w:val="00603F2B"/>
    <w:rsid w:val="00606D29"/>
    <w:rsid w:val="00610C28"/>
    <w:rsid w:val="00611219"/>
    <w:rsid w:val="00614FAB"/>
    <w:rsid w:val="0061582B"/>
    <w:rsid w:val="006167DA"/>
    <w:rsid w:val="0061687F"/>
    <w:rsid w:val="00634D0A"/>
    <w:rsid w:val="00641475"/>
    <w:rsid w:val="00642BBD"/>
    <w:rsid w:val="006454B9"/>
    <w:rsid w:val="00646FFB"/>
    <w:rsid w:val="00652D33"/>
    <w:rsid w:val="006534B7"/>
    <w:rsid w:val="0065457C"/>
    <w:rsid w:val="006556F0"/>
    <w:rsid w:val="006560B5"/>
    <w:rsid w:val="0066546A"/>
    <w:rsid w:val="00666031"/>
    <w:rsid w:val="00667EA2"/>
    <w:rsid w:val="00671283"/>
    <w:rsid w:val="006729D0"/>
    <w:rsid w:val="0067695F"/>
    <w:rsid w:val="00682169"/>
    <w:rsid w:val="006870E1"/>
    <w:rsid w:val="006903D2"/>
    <w:rsid w:val="00691FD1"/>
    <w:rsid w:val="006928A3"/>
    <w:rsid w:val="00692E6B"/>
    <w:rsid w:val="00694D3D"/>
    <w:rsid w:val="00695B2E"/>
    <w:rsid w:val="00696AC2"/>
    <w:rsid w:val="006A1981"/>
    <w:rsid w:val="006A45D0"/>
    <w:rsid w:val="006B2A86"/>
    <w:rsid w:val="006B6B29"/>
    <w:rsid w:val="006B727A"/>
    <w:rsid w:val="006B7D82"/>
    <w:rsid w:val="006C0E43"/>
    <w:rsid w:val="006C70EF"/>
    <w:rsid w:val="006D31C1"/>
    <w:rsid w:val="006D6FBB"/>
    <w:rsid w:val="006E0DD4"/>
    <w:rsid w:val="006E4E0B"/>
    <w:rsid w:val="006F2400"/>
    <w:rsid w:val="00701BC3"/>
    <w:rsid w:val="00702E6F"/>
    <w:rsid w:val="007040C5"/>
    <w:rsid w:val="0070536D"/>
    <w:rsid w:val="00705D1E"/>
    <w:rsid w:val="00710E7D"/>
    <w:rsid w:val="007116A4"/>
    <w:rsid w:val="00715964"/>
    <w:rsid w:val="00716B74"/>
    <w:rsid w:val="00720D63"/>
    <w:rsid w:val="00724D87"/>
    <w:rsid w:val="0073782A"/>
    <w:rsid w:val="007417F6"/>
    <w:rsid w:val="00743286"/>
    <w:rsid w:val="007446BA"/>
    <w:rsid w:val="00746904"/>
    <w:rsid w:val="007507C7"/>
    <w:rsid w:val="00753377"/>
    <w:rsid w:val="00755022"/>
    <w:rsid w:val="0076158E"/>
    <w:rsid w:val="0076239D"/>
    <w:rsid w:val="00765E6F"/>
    <w:rsid w:val="0077558E"/>
    <w:rsid w:val="00776202"/>
    <w:rsid w:val="00776D9A"/>
    <w:rsid w:val="007836A9"/>
    <w:rsid w:val="00785462"/>
    <w:rsid w:val="0078610C"/>
    <w:rsid w:val="0079686A"/>
    <w:rsid w:val="00797527"/>
    <w:rsid w:val="007A05A7"/>
    <w:rsid w:val="007A2A4B"/>
    <w:rsid w:val="007A6020"/>
    <w:rsid w:val="007B0C09"/>
    <w:rsid w:val="007B476C"/>
    <w:rsid w:val="007C4E8B"/>
    <w:rsid w:val="007C6FEB"/>
    <w:rsid w:val="007D0C59"/>
    <w:rsid w:val="007D6BEF"/>
    <w:rsid w:val="007D7296"/>
    <w:rsid w:val="007E0D0E"/>
    <w:rsid w:val="007E2A5E"/>
    <w:rsid w:val="007E6375"/>
    <w:rsid w:val="007F27E2"/>
    <w:rsid w:val="00810B13"/>
    <w:rsid w:val="00812A46"/>
    <w:rsid w:val="00814855"/>
    <w:rsid w:val="00815F17"/>
    <w:rsid w:val="008167DC"/>
    <w:rsid w:val="00823648"/>
    <w:rsid w:val="00832118"/>
    <w:rsid w:val="00834907"/>
    <w:rsid w:val="00834B57"/>
    <w:rsid w:val="00835F43"/>
    <w:rsid w:val="008412E9"/>
    <w:rsid w:val="00844E41"/>
    <w:rsid w:val="00845867"/>
    <w:rsid w:val="0085028A"/>
    <w:rsid w:val="0085052B"/>
    <w:rsid w:val="008522EB"/>
    <w:rsid w:val="00852BC3"/>
    <w:rsid w:val="0085441F"/>
    <w:rsid w:val="0085569B"/>
    <w:rsid w:val="008570AC"/>
    <w:rsid w:val="00860699"/>
    <w:rsid w:val="00861535"/>
    <w:rsid w:val="00861FB6"/>
    <w:rsid w:val="008626F7"/>
    <w:rsid w:val="008629E9"/>
    <w:rsid w:val="00872A22"/>
    <w:rsid w:val="00875BB1"/>
    <w:rsid w:val="00880272"/>
    <w:rsid w:val="008829B0"/>
    <w:rsid w:val="00886DD6"/>
    <w:rsid w:val="00891ACA"/>
    <w:rsid w:val="008963E6"/>
    <w:rsid w:val="008A611F"/>
    <w:rsid w:val="008A7137"/>
    <w:rsid w:val="008B5660"/>
    <w:rsid w:val="008C116C"/>
    <w:rsid w:val="008C6E4D"/>
    <w:rsid w:val="008E4555"/>
    <w:rsid w:val="008E53FA"/>
    <w:rsid w:val="008E7AF9"/>
    <w:rsid w:val="008F3D73"/>
    <w:rsid w:val="008F3E8D"/>
    <w:rsid w:val="008F7E9D"/>
    <w:rsid w:val="00904D8B"/>
    <w:rsid w:val="009153B4"/>
    <w:rsid w:val="00923AFA"/>
    <w:rsid w:val="00925C48"/>
    <w:rsid w:val="009266BC"/>
    <w:rsid w:val="0092738F"/>
    <w:rsid w:val="009326E3"/>
    <w:rsid w:val="009342C4"/>
    <w:rsid w:val="00941878"/>
    <w:rsid w:val="00942F35"/>
    <w:rsid w:val="009434E4"/>
    <w:rsid w:val="0094483D"/>
    <w:rsid w:val="0094501B"/>
    <w:rsid w:val="00947DDA"/>
    <w:rsid w:val="00950FEC"/>
    <w:rsid w:val="00951722"/>
    <w:rsid w:val="0095256C"/>
    <w:rsid w:val="00961B38"/>
    <w:rsid w:val="009626B7"/>
    <w:rsid w:val="00970538"/>
    <w:rsid w:val="0097178E"/>
    <w:rsid w:val="00972134"/>
    <w:rsid w:val="0099240F"/>
    <w:rsid w:val="00996D7B"/>
    <w:rsid w:val="00997E9B"/>
    <w:rsid w:val="009A0284"/>
    <w:rsid w:val="009A2808"/>
    <w:rsid w:val="009B35EA"/>
    <w:rsid w:val="009C2893"/>
    <w:rsid w:val="009C40E6"/>
    <w:rsid w:val="009C45EC"/>
    <w:rsid w:val="009C6A53"/>
    <w:rsid w:val="009D1AA6"/>
    <w:rsid w:val="009D2220"/>
    <w:rsid w:val="009D7A19"/>
    <w:rsid w:val="009E04AA"/>
    <w:rsid w:val="009E43FD"/>
    <w:rsid w:val="009E4BA4"/>
    <w:rsid w:val="009E6F75"/>
    <w:rsid w:val="009E7359"/>
    <w:rsid w:val="009F58DF"/>
    <w:rsid w:val="009F61C9"/>
    <w:rsid w:val="00A00846"/>
    <w:rsid w:val="00A06A71"/>
    <w:rsid w:val="00A10270"/>
    <w:rsid w:val="00A10291"/>
    <w:rsid w:val="00A13BB9"/>
    <w:rsid w:val="00A21215"/>
    <w:rsid w:val="00A2761D"/>
    <w:rsid w:val="00A301B9"/>
    <w:rsid w:val="00A31B3E"/>
    <w:rsid w:val="00A31D23"/>
    <w:rsid w:val="00A37DFC"/>
    <w:rsid w:val="00A4315C"/>
    <w:rsid w:val="00A438B3"/>
    <w:rsid w:val="00A45FFD"/>
    <w:rsid w:val="00A46697"/>
    <w:rsid w:val="00A46D3D"/>
    <w:rsid w:val="00A5177F"/>
    <w:rsid w:val="00A55CF9"/>
    <w:rsid w:val="00A603D1"/>
    <w:rsid w:val="00A67C9F"/>
    <w:rsid w:val="00A71BED"/>
    <w:rsid w:val="00A759C5"/>
    <w:rsid w:val="00A8117E"/>
    <w:rsid w:val="00A8189E"/>
    <w:rsid w:val="00A859AD"/>
    <w:rsid w:val="00A86815"/>
    <w:rsid w:val="00A91C7C"/>
    <w:rsid w:val="00A92752"/>
    <w:rsid w:val="00AB6A29"/>
    <w:rsid w:val="00AC135F"/>
    <w:rsid w:val="00AC32EE"/>
    <w:rsid w:val="00AC75C5"/>
    <w:rsid w:val="00AC7F87"/>
    <w:rsid w:val="00AD11D4"/>
    <w:rsid w:val="00AD71C9"/>
    <w:rsid w:val="00AE7680"/>
    <w:rsid w:val="00AF47E8"/>
    <w:rsid w:val="00AF7851"/>
    <w:rsid w:val="00B01D56"/>
    <w:rsid w:val="00B037AF"/>
    <w:rsid w:val="00B03B10"/>
    <w:rsid w:val="00B03F15"/>
    <w:rsid w:val="00B063A7"/>
    <w:rsid w:val="00B07AA0"/>
    <w:rsid w:val="00B10E8B"/>
    <w:rsid w:val="00B1266A"/>
    <w:rsid w:val="00B16AE1"/>
    <w:rsid w:val="00B17FCA"/>
    <w:rsid w:val="00B2067E"/>
    <w:rsid w:val="00B212AA"/>
    <w:rsid w:val="00B2361C"/>
    <w:rsid w:val="00B24B6D"/>
    <w:rsid w:val="00B24F93"/>
    <w:rsid w:val="00B30672"/>
    <w:rsid w:val="00B37C3F"/>
    <w:rsid w:val="00B463C8"/>
    <w:rsid w:val="00B4662B"/>
    <w:rsid w:val="00B51126"/>
    <w:rsid w:val="00B528C6"/>
    <w:rsid w:val="00B53292"/>
    <w:rsid w:val="00B5504B"/>
    <w:rsid w:val="00B57BD6"/>
    <w:rsid w:val="00B70F0D"/>
    <w:rsid w:val="00B71C55"/>
    <w:rsid w:val="00B72A53"/>
    <w:rsid w:val="00B75525"/>
    <w:rsid w:val="00B75640"/>
    <w:rsid w:val="00B761BD"/>
    <w:rsid w:val="00B829A3"/>
    <w:rsid w:val="00B8380A"/>
    <w:rsid w:val="00B8673B"/>
    <w:rsid w:val="00B86B92"/>
    <w:rsid w:val="00B8746F"/>
    <w:rsid w:val="00B906EC"/>
    <w:rsid w:val="00B91A4F"/>
    <w:rsid w:val="00B951FD"/>
    <w:rsid w:val="00B95235"/>
    <w:rsid w:val="00B96FB0"/>
    <w:rsid w:val="00BB205D"/>
    <w:rsid w:val="00BB30FD"/>
    <w:rsid w:val="00BB4320"/>
    <w:rsid w:val="00BC2F8C"/>
    <w:rsid w:val="00BC332C"/>
    <w:rsid w:val="00BC57A3"/>
    <w:rsid w:val="00BD35C3"/>
    <w:rsid w:val="00BE0F5D"/>
    <w:rsid w:val="00BE43C3"/>
    <w:rsid w:val="00BE4EEA"/>
    <w:rsid w:val="00BE66F5"/>
    <w:rsid w:val="00BF3333"/>
    <w:rsid w:val="00C01F83"/>
    <w:rsid w:val="00C07EF1"/>
    <w:rsid w:val="00C11971"/>
    <w:rsid w:val="00C12A42"/>
    <w:rsid w:val="00C14174"/>
    <w:rsid w:val="00C3041B"/>
    <w:rsid w:val="00C330A6"/>
    <w:rsid w:val="00C35A77"/>
    <w:rsid w:val="00C37CFE"/>
    <w:rsid w:val="00C622B1"/>
    <w:rsid w:val="00C6408B"/>
    <w:rsid w:val="00C661C2"/>
    <w:rsid w:val="00C677CB"/>
    <w:rsid w:val="00C72F9B"/>
    <w:rsid w:val="00C73ED5"/>
    <w:rsid w:val="00C76B63"/>
    <w:rsid w:val="00C814D1"/>
    <w:rsid w:val="00C82B11"/>
    <w:rsid w:val="00C872F6"/>
    <w:rsid w:val="00C900FB"/>
    <w:rsid w:val="00C907A6"/>
    <w:rsid w:val="00C93447"/>
    <w:rsid w:val="00C93FD6"/>
    <w:rsid w:val="00CA084E"/>
    <w:rsid w:val="00CA0FED"/>
    <w:rsid w:val="00CA2282"/>
    <w:rsid w:val="00CB4929"/>
    <w:rsid w:val="00CB6304"/>
    <w:rsid w:val="00CB6D74"/>
    <w:rsid w:val="00CC5F1D"/>
    <w:rsid w:val="00CD2D68"/>
    <w:rsid w:val="00CD3924"/>
    <w:rsid w:val="00CD4D1A"/>
    <w:rsid w:val="00CD4DEE"/>
    <w:rsid w:val="00CE1816"/>
    <w:rsid w:val="00CE1AF0"/>
    <w:rsid w:val="00CE3446"/>
    <w:rsid w:val="00CF038B"/>
    <w:rsid w:val="00CF4A3A"/>
    <w:rsid w:val="00CF7D73"/>
    <w:rsid w:val="00D006ED"/>
    <w:rsid w:val="00D024DD"/>
    <w:rsid w:val="00D034B2"/>
    <w:rsid w:val="00D107F7"/>
    <w:rsid w:val="00D127BF"/>
    <w:rsid w:val="00D130C3"/>
    <w:rsid w:val="00D141C7"/>
    <w:rsid w:val="00D16000"/>
    <w:rsid w:val="00D171D4"/>
    <w:rsid w:val="00D17296"/>
    <w:rsid w:val="00D173A0"/>
    <w:rsid w:val="00D21995"/>
    <w:rsid w:val="00D21CD9"/>
    <w:rsid w:val="00D25F6F"/>
    <w:rsid w:val="00D3098D"/>
    <w:rsid w:val="00D364AA"/>
    <w:rsid w:val="00D46C15"/>
    <w:rsid w:val="00D528C2"/>
    <w:rsid w:val="00D55396"/>
    <w:rsid w:val="00D57AD7"/>
    <w:rsid w:val="00D62FDD"/>
    <w:rsid w:val="00D6400F"/>
    <w:rsid w:val="00D64D2C"/>
    <w:rsid w:val="00D7066D"/>
    <w:rsid w:val="00D70822"/>
    <w:rsid w:val="00D72D7D"/>
    <w:rsid w:val="00D83000"/>
    <w:rsid w:val="00D84FD9"/>
    <w:rsid w:val="00D857AA"/>
    <w:rsid w:val="00D91FCC"/>
    <w:rsid w:val="00D94C7F"/>
    <w:rsid w:val="00DA3D2B"/>
    <w:rsid w:val="00DA5451"/>
    <w:rsid w:val="00DA6849"/>
    <w:rsid w:val="00DA6935"/>
    <w:rsid w:val="00DA6B13"/>
    <w:rsid w:val="00DA6D5A"/>
    <w:rsid w:val="00DA77F4"/>
    <w:rsid w:val="00DB3914"/>
    <w:rsid w:val="00DB5811"/>
    <w:rsid w:val="00DB6126"/>
    <w:rsid w:val="00DB62FC"/>
    <w:rsid w:val="00DB67FF"/>
    <w:rsid w:val="00DC0B1B"/>
    <w:rsid w:val="00DC4527"/>
    <w:rsid w:val="00DC5FCF"/>
    <w:rsid w:val="00DD1AFA"/>
    <w:rsid w:val="00DD1F09"/>
    <w:rsid w:val="00DD76FA"/>
    <w:rsid w:val="00DE56B2"/>
    <w:rsid w:val="00DE7308"/>
    <w:rsid w:val="00DF6589"/>
    <w:rsid w:val="00E02F3D"/>
    <w:rsid w:val="00E05E5F"/>
    <w:rsid w:val="00E07E53"/>
    <w:rsid w:val="00E1149A"/>
    <w:rsid w:val="00E12B8C"/>
    <w:rsid w:val="00E14F94"/>
    <w:rsid w:val="00E224CC"/>
    <w:rsid w:val="00E249EE"/>
    <w:rsid w:val="00E27840"/>
    <w:rsid w:val="00E335BD"/>
    <w:rsid w:val="00E3606E"/>
    <w:rsid w:val="00E36434"/>
    <w:rsid w:val="00E42C5A"/>
    <w:rsid w:val="00E45463"/>
    <w:rsid w:val="00E542AA"/>
    <w:rsid w:val="00E57A24"/>
    <w:rsid w:val="00E61D80"/>
    <w:rsid w:val="00E63322"/>
    <w:rsid w:val="00E65257"/>
    <w:rsid w:val="00E83803"/>
    <w:rsid w:val="00E84CD3"/>
    <w:rsid w:val="00E84EE4"/>
    <w:rsid w:val="00E84FF0"/>
    <w:rsid w:val="00E905BA"/>
    <w:rsid w:val="00E90AE2"/>
    <w:rsid w:val="00E922D4"/>
    <w:rsid w:val="00E926A7"/>
    <w:rsid w:val="00E937AD"/>
    <w:rsid w:val="00E952F5"/>
    <w:rsid w:val="00E978EC"/>
    <w:rsid w:val="00EA672E"/>
    <w:rsid w:val="00EB1469"/>
    <w:rsid w:val="00EB689A"/>
    <w:rsid w:val="00EC0722"/>
    <w:rsid w:val="00EC3734"/>
    <w:rsid w:val="00ED1247"/>
    <w:rsid w:val="00EE1E26"/>
    <w:rsid w:val="00EE2B36"/>
    <w:rsid w:val="00EE547D"/>
    <w:rsid w:val="00EF1C19"/>
    <w:rsid w:val="00EF1D16"/>
    <w:rsid w:val="00EF54DD"/>
    <w:rsid w:val="00EF5DCA"/>
    <w:rsid w:val="00F032E9"/>
    <w:rsid w:val="00F1174C"/>
    <w:rsid w:val="00F1691E"/>
    <w:rsid w:val="00F206B3"/>
    <w:rsid w:val="00F24D50"/>
    <w:rsid w:val="00F25D8A"/>
    <w:rsid w:val="00F2671B"/>
    <w:rsid w:val="00F27248"/>
    <w:rsid w:val="00F30A7C"/>
    <w:rsid w:val="00F41204"/>
    <w:rsid w:val="00F475BE"/>
    <w:rsid w:val="00F5536C"/>
    <w:rsid w:val="00F607A7"/>
    <w:rsid w:val="00F7065E"/>
    <w:rsid w:val="00F732A1"/>
    <w:rsid w:val="00F816B1"/>
    <w:rsid w:val="00F8223D"/>
    <w:rsid w:val="00F833E7"/>
    <w:rsid w:val="00F8734B"/>
    <w:rsid w:val="00F92610"/>
    <w:rsid w:val="00F92EAA"/>
    <w:rsid w:val="00FA7EEA"/>
    <w:rsid w:val="00FB0ABC"/>
    <w:rsid w:val="00FB1066"/>
    <w:rsid w:val="00FB429B"/>
    <w:rsid w:val="00FB5F22"/>
    <w:rsid w:val="00FC2EAE"/>
    <w:rsid w:val="00FC4061"/>
    <w:rsid w:val="00FC63E5"/>
    <w:rsid w:val="00FC6DF3"/>
    <w:rsid w:val="00FC7BFB"/>
    <w:rsid w:val="00FD191D"/>
    <w:rsid w:val="00FD7193"/>
    <w:rsid w:val="00FE0471"/>
    <w:rsid w:val="00FE247E"/>
    <w:rsid w:val="00FE312D"/>
    <w:rsid w:val="00FE519B"/>
    <w:rsid w:val="00FE686F"/>
    <w:rsid w:val="00FF487E"/>
    <w:rsid w:val="00FF5F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A0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9"/>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9"/>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19"/>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0"/>
      </w:numPr>
      <w:spacing w:after="180"/>
    </w:pPr>
  </w:style>
  <w:style w:type="paragraph" w:customStyle="1" w:styleId="SSFNummeringKredietovereenkomstA">
    <w:name w:val="SSF Nummering Kredietovereenkomst (A)"/>
    <w:basedOn w:val="SSFPaginanummering"/>
    <w:next w:val="SSFStandaard"/>
    <w:pPr>
      <w:numPr>
        <w:numId w:val="21"/>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2"/>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84DF7"/>
    <w:pPr>
      <w:tabs>
        <w:tab w:val="center" w:pos="4536"/>
        <w:tab w:val="right" w:pos="9072"/>
      </w:tabs>
      <w:spacing w:line="240" w:lineRule="auto"/>
    </w:pPr>
  </w:style>
  <w:style w:type="character" w:customStyle="1" w:styleId="HeaderChar">
    <w:name w:val="Header Char"/>
    <w:basedOn w:val="DefaultParagraphFont"/>
    <w:link w:val="Header"/>
    <w:uiPriority w:val="99"/>
    <w:rsid w:val="00284DF7"/>
    <w:rPr>
      <w:rFonts w:ascii="Verdana" w:hAnsi="Verdana"/>
      <w:color w:val="000000"/>
      <w:sz w:val="18"/>
      <w:szCs w:val="18"/>
    </w:rPr>
  </w:style>
  <w:style w:type="paragraph" w:styleId="Footer">
    <w:name w:val="footer"/>
    <w:basedOn w:val="Normal"/>
    <w:link w:val="FooterChar"/>
    <w:uiPriority w:val="99"/>
    <w:unhideWhenUsed/>
    <w:rsid w:val="00284DF7"/>
    <w:pPr>
      <w:tabs>
        <w:tab w:val="center" w:pos="4536"/>
        <w:tab w:val="right" w:pos="9072"/>
      </w:tabs>
      <w:spacing w:line="240" w:lineRule="auto"/>
    </w:pPr>
  </w:style>
  <w:style w:type="character" w:customStyle="1" w:styleId="FooterChar">
    <w:name w:val="Footer Char"/>
    <w:basedOn w:val="DefaultParagraphFont"/>
    <w:link w:val="Footer"/>
    <w:uiPriority w:val="99"/>
    <w:rsid w:val="00284DF7"/>
    <w:rPr>
      <w:rFonts w:ascii="Verdana" w:hAnsi="Verdana"/>
      <w:color w:val="000000"/>
      <w:sz w:val="18"/>
      <w:szCs w:val="18"/>
    </w:rPr>
  </w:style>
  <w:style w:type="paragraph" w:styleId="ListParagraph">
    <w:name w:val="List Paragraph"/>
    <w:basedOn w:val="Normal"/>
    <w:uiPriority w:val="34"/>
    <w:qFormat/>
    <w:rsid w:val="00284DF7"/>
    <w:pPr>
      <w:ind w:left="720"/>
      <w:contextualSpacing/>
    </w:pPr>
  </w:style>
  <w:style w:type="paragraph" w:styleId="NoSpacing">
    <w:name w:val="No Spacing"/>
    <w:uiPriority w:val="1"/>
    <w:qFormat/>
    <w:rsid w:val="0067695F"/>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Revision">
    <w:name w:val="Revision"/>
    <w:hidden/>
    <w:uiPriority w:val="99"/>
    <w:semiHidden/>
    <w:rsid w:val="00EE547D"/>
    <w:pPr>
      <w:autoSpaceDN/>
      <w:textAlignment w:val="auto"/>
    </w:pPr>
    <w:rPr>
      <w:rFonts w:ascii="Verdana" w:hAnsi="Verdana"/>
      <w:color w:val="000000"/>
      <w:sz w:val="18"/>
      <w:szCs w:val="18"/>
    </w:rPr>
  </w:style>
  <w:style w:type="paragraph" w:styleId="FootnoteText">
    <w:name w:val="footnote text"/>
    <w:basedOn w:val="Normal"/>
    <w:link w:val="FootnoteTextChar"/>
    <w:uiPriority w:val="99"/>
    <w:unhideWhenUsed/>
    <w:rsid w:val="007A6020"/>
    <w:pPr>
      <w:spacing w:line="240" w:lineRule="auto"/>
    </w:pPr>
    <w:rPr>
      <w:sz w:val="20"/>
      <w:szCs w:val="20"/>
    </w:rPr>
  </w:style>
  <w:style w:type="character" w:customStyle="1" w:styleId="FootnoteTextChar">
    <w:name w:val="Footnote Text Char"/>
    <w:basedOn w:val="DefaultParagraphFont"/>
    <w:link w:val="FootnoteText"/>
    <w:uiPriority w:val="99"/>
    <w:rsid w:val="007A6020"/>
    <w:rPr>
      <w:rFonts w:ascii="Verdana" w:hAnsi="Verdana"/>
      <w:color w:val="000000"/>
    </w:rPr>
  </w:style>
  <w:style w:type="character" w:styleId="FootnoteReference">
    <w:name w:val="footnote reference"/>
    <w:basedOn w:val="DefaultParagraphFont"/>
    <w:uiPriority w:val="99"/>
    <w:semiHidden/>
    <w:unhideWhenUsed/>
    <w:rsid w:val="007A6020"/>
    <w:rPr>
      <w:vertAlign w:val="superscript"/>
    </w:rPr>
  </w:style>
  <w:style w:type="character" w:customStyle="1" w:styleId="UnresolvedMention">
    <w:name w:val="Unresolved Mention"/>
    <w:basedOn w:val="DefaultParagraphFont"/>
    <w:uiPriority w:val="99"/>
    <w:semiHidden/>
    <w:unhideWhenUsed/>
    <w:rsid w:val="007A6020"/>
    <w:rPr>
      <w:color w:val="605E5C"/>
      <w:shd w:val="clear" w:color="auto" w:fill="E1DFDD"/>
    </w:rPr>
  </w:style>
  <w:style w:type="character" w:styleId="CommentReference">
    <w:name w:val="annotation reference"/>
    <w:basedOn w:val="DefaultParagraphFont"/>
    <w:uiPriority w:val="99"/>
    <w:semiHidden/>
    <w:unhideWhenUsed/>
    <w:rsid w:val="004E3341"/>
    <w:rPr>
      <w:sz w:val="16"/>
      <w:szCs w:val="16"/>
    </w:rPr>
  </w:style>
  <w:style w:type="paragraph" w:styleId="CommentText">
    <w:name w:val="annotation text"/>
    <w:basedOn w:val="Normal"/>
    <w:link w:val="CommentTextChar"/>
    <w:uiPriority w:val="99"/>
    <w:unhideWhenUsed/>
    <w:rsid w:val="004E3341"/>
    <w:pPr>
      <w:spacing w:line="240" w:lineRule="auto"/>
    </w:pPr>
    <w:rPr>
      <w:sz w:val="20"/>
      <w:szCs w:val="20"/>
    </w:rPr>
  </w:style>
  <w:style w:type="character" w:customStyle="1" w:styleId="CommentTextChar">
    <w:name w:val="Comment Text Char"/>
    <w:basedOn w:val="DefaultParagraphFont"/>
    <w:link w:val="CommentText"/>
    <w:uiPriority w:val="99"/>
    <w:rsid w:val="004E334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E3341"/>
    <w:rPr>
      <w:b/>
      <w:bCs/>
    </w:rPr>
  </w:style>
  <w:style w:type="character" w:customStyle="1" w:styleId="CommentSubjectChar">
    <w:name w:val="Comment Subject Char"/>
    <w:basedOn w:val="CommentTextChar"/>
    <w:link w:val="CommentSubject"/>
    <w:uiPriority w:val="99"/>
    <w:semiHidden/>
    <w:rsid w:val="004E3341"/>
    <w:rPr>
      <w:rFonts w:ascii="Verdana" w:hAnsi="Verdana"/>
      <w:b/>
      <w:bCs/>
      <w:color w:val="000000"/>
    </w:rPr>
  </w:style>
  <w:style w:type="character" w:styleId="FollowedHyperlink">
    <w:name w:val="FollowedHyperlink"/>
    <w:basedOn w:val="DefaultParagraphFont"/>
    <w:uiPriority w:val="99"/>
    <w:semiHidden/>
    <w:unhideWhenUsed/>
    <w:rsid w:val="00E922D4"/>
    <w:rPr>
      <w:color w:val="96607D" w:themeColor="followedHyperlink"/>
      <w:u w:val="single"/>
    </w:rPr>
  </w:style>
  <w:style w:type="paragraph" w:customStyle="1" w:styleId="pf0">
    <w:name w:val="pf0"/>
    <w:basedOn w:val="Normal"/>
    <w:rsid w:val="00F5536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F5536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53727">
      <w:bodyDiv w:val="1"/>
      <w:marLeft w:val="0"/>
      <w:marRight w:val="0"/>
      <w:marTop w:val="0"/>
      <w:marBottom w:val="0"/>
      <w:divBdr>
        <w:top w:val="none" w:sz="0" w:space="0" w:color="auto"/>
        <w:left w:val="none" w:sz="0" w:space="0" w:color="auto"/>
        <w:bottom w:val="none" w:sz="0" w:space="0" w:color="auto"/>
        <w:right w:val="none" w:sz="0" w:space="0" w:color="auto"/>
      </w:divBdr>
      <w:divsChild>
        <w:div w:id="1065182852">
          <w:marLeft w:val="0"/>
          <w:marRight w:val="0"/>
          <w:marTop w:val="0"/>
          <w:marBottom w:val="0"/>
          <w:divBdr>
            <w:top w:val="none" w:sz="0" w:space="0" w:color="auto"/>
            <w:left w:val="none" w:sz="0" w:space="0" w:color="auto"/>
            <w:bottom w:val="none" w:sz="0" w:space="0" w:color="auto"/>
            <w:right w:val="none" w:sz="0" w:space="0" w:color="auto"/>
          </w:divBdr>
        </w:div>
      </w:divsChild>
    </w:div>
    <w:div w:id="210920838">
      <w:bodyDiv w:val="1"/>
      <w:marLeft w:val="0"/>
      <w:marRight w:val="0"/>
      <w:marTop w:val="0"/>
      <w:marBottom w:val="0"/>
      <w:divBdr>
        <w:top w:val="none" w:sz="0" w:space="0" w:color="auto"/>
        <w:left w:val="none" w:sz="0" w:space="0" w:color="auto"/>
        <w:bottom w:val="none" w:sz="0" w:space="0" w:color="auto"/>
        <w:right w:val="none" w:sz="0" w:space="0" w:color="auto"/>
      </w:divBdr>
    </w:div>
    <w:div w:id="266737117">
      <w:bodyDiv w:val="1"/>
      <w:marLeft w:val="0"/>
      <w:marRight w:val="0"/>
      <w:marTop w:val="0"/>
      <w:marBottom w:val="0"/>
      <w:divBdr>
        <w:top w:val="none" w:sz="0" w:space="0" w:color="auto"/>
        <w:left w:val="none" w:sz="0" w:space="0" w:color="auto"/>
        <w:bottom w:val="none" w:sz="0" w:space="0" w:color="auto"/>
        <w:right w:val="none" w:sz="0" w:space="0" w:color="auto"/>
      </w:divBdr>
    </w:div>
    <w:div w:id="353923085">
      <w:bodyDiv w:val="1"/>
      <w:marLeft w:val="0"/>
      <w:marRight w:val="0"/>
      <w:marTop w:val="0"/>
      <w:marBottom w:val="0"/>
      <w:divBdr>
        <w:top w:val="none" w:sz="0" w:space="0" w:color="auto"/>
        <w:left w:val="none" w:sz="0" w:space="0" w:color="auto"/>
        <w:bottom w:val="none" w:sz="0" w:space="0" w:color="auto"/>
        <w:right w:val="none" w:sz="0" w:space="0" w:color="auto"/>
      </w:divBdr>
    </w:div>
    <w:div w:id="407730767">
      <w:bodyDiv w:val="1"/>
      <w:marLeft w:val="0"/>
      <w:marRight w:val="0"/>
      <w:marTop w:val="0"/>
      <w:marBottom w:val="0"/>
      <w:divBdr>
        <w:top w:val="none" w:sz="0" w:space="0" w:color="auto"/>
        <w:left w:val="none" w:sz="0" w:space="0" w:color="auto"/>
        <w:bottom w:val="none" w:sz="0" w:space="0" w:color="auto"/>
        <w:right w:val="none" w:sz="0" w:space="0" w:color="auto"/>
      </w:divBdr>
    </w:div>
    <w:div w:id="634986623">
      <w:bodyDiv w:val="1"/>
      <w:marLeft w:val="0"/>
      <w:marRight w:val="0"/>
      <w:marTop w:val="0"/>
      <w:marBottom w:val="0"/>
      <w:divBdr>
        <w:top w:val="none" w:sz="0" w:space="0" w:color="auto"/>
        <w:left w:val="none" w:sz="0" w:space="0" w:color="auto"/>
        <w:bottom w:val="none" w:sz="0" w:space="0" w:color="auto"/>
        <w:right w:val="none" w:sz="0" w:space="0" w:color="auto"/>
      </w:divBdr>
    </w:div>
    <w:div w:id="836728505">
      <w:bodyDiv w:val="1"/>
      <w:marLeft w:val="0"/>
      <w:marRight w:val="0"/>
      <w:marTop w:val="0"/>
      <w:marBottom w:val="0"/>
      <w:divBdr>
        <w:top w:val="none" w:sz="0" w:space="0" w:color="auto"/>
        <w:left w:val="none" w:sz="0" w:space="0" w:color="auto"/>
        <w:bottom w:val="none" w:sz="0" w:space="0" w:color="auto"/>
        <w:right w:val="none" w:sz="0" w:space="0" w:color="auto"/>
      </w:divBdr>
    </w:div>
    <w:div w:id="953947117">
      <w:bodyDiv w:val="1"/>
      <w:marLeft w:val="0"/>
      <w:marRight w:val="0"/>
      <w:marTop w:val="0"/>
      <w:marBottom w:val="0"/>
      <w:divBdr>
        <w:top w:val="none" w:sz="0" w:space="0" w:color="auto"/>
        <w:left w:val="none" w:sz="0" w:space="0" w:color="auto"/>
        <w:bottom w:val="none" w:sz="0" w:space="0" w:color="auto"/>
        <w:right w:val="none" w:sz="0" w:space="0" w:color="auto"/>
      </w:divBdr>
    </w:div>
    <w:div w:id="1093161299">
      <w:bodyDiv w:val="1"/>
      <w:marLeft w:val="0"/>
      <w:marRight w:val="0"/>
      <w:marTop w:val="0"/>
      <w:marBottom w:val="0"/>
      <w:divBdr>
        <w:top w:val="none" w:sz="0" w:space="0" w:color="auto"/>
        <w:left w:val="none" w:sz="0" w:space="0" w:color="auto"/>
        <w:bottom w:val="none" w:sz="0" w:space="0" w:color="auto"/>
        <w:right w:val="none" w:sz="0" w:space="0" w:color="auto"/>
      </w:divBdr>
    </w:div>
    <w:div w:id="1135442881">
      <w:bodyDiv w:val="1"/>
      <w:marLeft w:val="0"/>
      <w:marRight w:val="0"/>
      <w:marTop w:val="0"/>
      <w:marBottom w:val="0"/>
      <w:divBdr>
        <w:top w:val="none" w:sz="0" w:space="0" w:color="auto"/>
        <w:left w:val="none" w:sz="0" w:space="0" w:color="auto"/>
        <w:bottom w:val="none" w:sz="0" w:space="0" w:color="auto"/>
        <w:right w:val="none" w:sz="0" w:space="0" w:color="auto"/>
      </w:divBdr>
    </w:div>
    <w:div w:id="1191795916">
      <w:bodyDiv w:val="1"/>
      <w:marLeft w:val="0"/>
      <w:marRight w:val="0"/>
      <w:marTop w:val="0"/>
      <w:marBottom w:val="0"/>
      <w:divBdr>
        <w:top w:val="none" w:sz="0" w:space="0" w:color="auto"/>
        <w:left w:val="none" w:sz="0" w:space="0" w:color="auto"/>
        <w:bottom w:val="none" w:sz="0" w:space="0" w:color="auto"/>
        <w:right w:val="none" w:sz="0" w:space="0" w:color="auto"/>
      </w:divBdr>
    </w:div>
    <w:div w:id="1260408187">
      <w:bodyDiv w:val="1"/>
      <w:marLeft w:val="0"/>
      <w:marRight w:val="0"/>
      <w:marTop w:val="0"/>
      <w:marBottom w:val="0"/>
      <w:divBdr>
        <w:top w:val="none" w:sz="0" w:space="0" w:color="auto"/>
        <w:left w:val="none" w:sz="0" w:space="0" w:color="auto"/>
        <w:bottom w:val="none" w:sz="0" w:space="0" w:color="auto"/>
        <w:right w:val="none" w:sz="0" w:space="0" w:color="auto"/>
      </w:divBdr>
    </w:div>
    <w:div w:id="1269391574">
      <w:bodyDiv w:val="1"/>
      <w:marLeft w:val="0"/>
      <w:marRight w:val="0"/>
      <w:marTop w:val="0"/>
      <w:marBottom w:val="0"/>
      <w:divBdr>
        <w:top w:val="none" w:sz="0" w:space="0" w:color="auto"/>
        <w:left w:val="none" w:sz="0" w:space="0" w:color="auto"/>
        <w:bottom w:val="none" w:sz="0" w:space="0" w:color="auto"/>
        <w:right w:val="none" w:sz="0" w:space="0" w:color="auto"/>
      </w:divBdr>
    </w:div>
    <w:div w:id="1383401130">
      <w:bodyDiv w:val="1"/>
      <w:marLeft w:val="0"/>
      <w:marRight w:val="0"/>
      <w:marTop w:val="0"/>
      <w:marBottom w:val="0"/>
      <w:divBdr>
        <w:top w:val="none" w:sz="0" w:space="0" w:color="auto"/>
        <w:left w:val="none" w:sz="0" w:space="0" w:color="auto"/>
        <w:bottom w:val="none" w:sz="0" w:space="0" w:color="auto"/>
        <w:right w:val="none" w:sz="0" w:space="0" w:color="auto"/>
      </w:divBdr>
      <w:divsChild>
        <w:div w:id="279528662">
          <w:marLeft w:val="0"/>
          <w:marRight w:val="0"/>
          <w:marTop w:val="0"/>
          <w:marBottom w:val="0"/>
          <w:divBdr>
            <w:top w:val="none" w:sz="0" w:space="0" w:color="auto"/>
            <w:left w:val="none" w:sz="0" w:space="0" w:color="auto"/>
            <w:bottom w:val="none" w:sz="0" w:space="0" w:color="auto"/>
            <w:right w:val="none" w:sz="0" w:space="0" w:color="auto"/>
          </w:divBdr>
        </w:div>
      </w:divsChild>
    </w:div>
    <w:div w:id="1449935157">
      <w:bodyDiv w:val="1"/>
      <w:marLeft w:val="0"/>
      <w:marRight w:val="0"/>
      <w:marTop w:val="0"/>
      <w:marBottom w:val="0"/>
      <w:divBdr>
        <w:top w:val="none" w:sz="0" w:space="0" w:color="auto"/>
        <w:left w:val="none" w:sz="0" w:space="0" w:color="auto"/>
        <w:bottom w:val="none" w:sz="0" w:space="0" w:color="auto"/>
        <w:right w:val="none" w:sz="0" w:space="0" w:color="auto"/>
      </w:divBdr>
    </w:div>
    <w:div w:id="1452629963">
      <w:bodyDiv w:val="1"/>
      <w:marLeft w:val="0"/>
      <w:marRight w:val="0"/>
      <w:marTop w:val="0"/>
      <w:marBottom w:val="0"/>
      <w:divBdr>
        <w:top w:val="none" w:sz="0" w:space="0" w:color="auto"/>
        <w:left w:val="none" w:sz="0" w:space="0" w:color="auto"/>
        <w:bottom w:val="none" w:sz="0" w:space="0" w:color="auto"/>
        <w:right w:val="none" w:sz="0" w:space="0" w:color="auto"/>
      </w:divBdr>
    </w:div>
    <w:div w:id="1472331842">
      <w:bodyDiv w:val="1"/>
      <w:marLeft w:val="0"/>
      <w:marRight w:val="0"/>
      <w:marTop w:val="0"/>
      <w:marBottom w:val="0"/>
      <w:divBdr>
        <w:top w:val="none" w:sz="0" w:space="0" w:color="auto"/>
        <w:left w:val="none" w:sz="0" w:space="0" w:color="auto"/>
        <w:bottom w:val="none" w:sz="0" w:space="0" w:color="auto"/>
        <w:right w:val="none" w:sz="0" w:space="0" w:color="auto"/>
      </w:divBdr>
    </w:div>
    <w:div w:id="1578513670">
      <w:bodyDiv w:val="1"/>
      <w:marLeft w:val="0"/>
      <w:marRight w:val="0"/>
      <w:marTop w:val="0"/>
      <w:marBottom w:val="0"/>
      <w:divBdr>
        <w:top w:val="none" w:sz="0" w:space="0" w:color="auto"/>
        <w:left w:val="none" w:sz="0" w:space="0" w:color="auto"/>
        <w:bottom w:val="none" w:sz="0" w:space="0" w:color="auto"/>
        <w:right w:val="none" w:sz="0" w:space="0" w:color="auto"/>
      </w:divBdr>
    </w:div>
    <w:div w:id="1744329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3351</ap:Words>
  <ap:Characters>19107</ap:Characters>
  <ap:DocSecurity>0</ap:DocSecurity>
  <ap:Lines>159</ap:Lines>
  <ap:Paragraphs>44</ap:Paragraphs>
  <ap:ScaleCrop>false</ap:ScaleCrop>
  <ap:HeadingPairs>
    <vt:vector baseType="variant" size="2">
      <vt:variant>
        <vt:lpstr>Titel</vt:lpstr>
      </vt:variant>
      <vt:variant>
        <vt:i4>1</vt:i4>
      </vt:variant>
    </vt:vector>
  </ap:HeadingPairs>
  <ap:TitlesOfParts>
    <vt:vector baseType="lpstr" size="1">
      <vt:lpstr>Brief aan Parlement - Uitrol regionale laadinfrastructuur</vt:lpstr>
    </vt:vector>
  </ap:TitlesOfParts>
  <ap:LinksUpToDate>false</ap:LinksUpToDate>
  <ap:CharactersWithSpaces>22414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2026-06-15T10:03:00.0000000Z</lastPrinted>
  <dcterms:created xsi:type="dcterms:W3CDTF">2026-06-22T15:15:00.0000000Z</dcterms:created>
  <dcterms:modified xsi:type="dcterms:W3CDTF">2026-06-22T15:15:00.0000000Z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Uitrol regionale laadinfrastructuur</vt:lpwstr>
  </property>
  <property fmtid="{D5CDD505-2E9C-101B-9397-08002B2CF9AE}" pid="5" name="Publicatiedatum">
    <vt:lpwstr/>
  </property>
  <property fmtid="{D5CDD505-2E9C-101B-9397-08002B2CF9AE}" pid="6" name="Verantwoordelijke organisatie">
    <vt:lpwstr>Dir.Duurzame Mobiliteit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MA T. de Jong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