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4F18" w:rsidR="00B06701" w:rsidP="00674954" w:rsidRDefault="00B06701" w14:paraId="54586521" w14:textId="3042CE09">
      <w:pPr>
        <w:pStyle w:val="Kop1"/>
      </w:pPr>
    </w:p>
    <w:tbl>
      <w:tblPr>
        <w:tblStyle w:val="Rastertabel1licht-Accent1"/>
        <w:tblW w:w="9059" w:type="dxa"/>
        <w:tblLook w:val="04A0" w:firstRow="1" w:lastRow="0" w:firstColumn="1" w:lastColumn="0" w:noHBand="0" w:noVBand="1"/>
      </w:tblPr>
      <w:tblGrid>
        <w:gridCol w:w="3539"/>
        <w:gridCol w:w="5520"/>
      </w:tblGrid>
      <w:tr w:rsidRPr="003E4F18" w:rsidR="00674954" w:rsidTr="00674954" w14:paraId="2774F4FF" w14:textId="77777777">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59" w:type="dxa"/>
            <w:gridSpan w:val="2"/>
            <w:shd w:val="clear" w:color="auto" w:fill="B4C6E7" w:themeFill="accent5" w:themeFillTint="66"/>
          </w:tcPr>
          <w:p w:rsidRPr="003E4F18" w:rsidR="003D5A58" w:rsidP="0043716C" w:rsidRDefault="003D5A58" w14:paraId="02785533" w14:textId="77777777">
            <w:pPr>
              <w:pStyle w:val="Kop2"/>
              <w:rPr>
                <w:b w:val="0"/>
                <w:bCs w:val="0"/>
                <w:color w:val="auto"/>
              </w:rPr>
            </w:pPr>
          </w:p>
          <w:p w:rsidRPr="003E4F18" w:rsidR="00674954" w:rsidP="00AD2E6B" w:rsidRDefault="0043716C" w14:paraId="6F443A14" w14:textId="556F7ABA">
            <w:pPr>
              <w:spacing w:after="160" w:line="259" w:lineRule="auto"/>
            </w:pPr>
            <w:r w:rsidRPr="003E4F18">
              <w:t>O</w:t>
            </w:r>
            <w:r w:rsidRPr="003E4F18" w:rsidR="00674954">
              <w:t>nderbouwing doeltreffendheid, doelmatigheid en evaluatie (CW3.1)</w:t>
            </w:r>
            <w:r w:rsidRPr="003E4F18" w:rsidR="00AD2E6B">
              <w:br/>
            </w:r>
            <w:r w:rsidRPr="003E4F18" w:rsidR="000D36B5">
              <w:t>Entry-Exit System (</w:t>
            </w:r>
            <w:r w:rsidRPr="003E4F18" w:rsidR="00AD2E6B">
              <w:t>EES</w:t>
            </w:r>
            <w:r w:rsidRPr="003E4F18" w:rsidR="000D36B5">
              <w:t>)</w:t>
            </w:r>
            <w:r w:rsidRPr="003E4F18" w:rsidR="00AD2E6B">
              <w:t xml:space="preserve"> op </w:t>
            </w:r>
            <w:r w:rsidRPr="003E4F18" w:rsidR="000D36B5">
              <w:rPr>
                <w:szCs w:val="18"/>
              </w:rPr>
              <w:t>Amsterdam Airport Schiphol</w:t>
            </w:r>
            <w:r w:rsidRPr="003E4F18" w:rsidR="000D36B5">
              <w:t xml:space="preserve"> (</w:t>
            </w:r>
            <w:r w:rsidRPr="003E4F18" w:rsidR="00155A1F">
              <w:t>AAS) Fase</w:t>
            </w:r>
            <w:r w:rsidRPr="003E4F18" w:rsidR="00AD2E6B">
              <w:t xml:space="preserve"> 2</w:t>
            </w:r>
          </w:p>
        </w:tc>
      </w:tr>
      <w:tr w:rsidRPr="003E4F18" w:rsidR="00674954" w:rsidTr="00674954" w14:paraId="2003AFC9" w14:textId="77777777">
        <w:trPr>
          <w:trHeight w:val="91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4CE7AB7C" w14:textId="77777777">
            <w:r w:rsidRPr="003E4F18">
              <w:t>1. Doel(en)</w:t>
            </w:r>
          </w:p>
        </w:tc>
        <w:tc>
          <w:tcPr>
            <w:tcW w:w="5520" w:type="dxa"/>
          </w:tcPr>
          <w:p w:rsidRPr="003E4F18" w:rsidR="00AD2E6B" w:rsidP="00AD2E6B" w:rsidRDefault="0086324F" w14:paraId="129BADDF" w14:textId="344123B2">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 xml:space="preserve">Het voorstel ziet op versterking van de </w:t>
            </w:r>
            <w:r w:rsidRPr="003E4F18" w:rsidR="003543F1">
              <w:rPr>
                <w:szCs w:val="18"/>
              </w:rPr>
              <w:t>grensveiligheid, het</w:t>
            </w:r>
            <w:r w:rsidRPr="003E4F18">
              <w:rPr>
                <w:szCs w:val="18"/>
              </w:rPr>
              <w:t xml:space="preserve"> verbeteren van </w:t>
            </w:r>
            <w:r w:rsidRPr="003E4F18" w:rsidR="00AD2E6B">
              <w:rPr>
                <w:szCs w:val="18"/>
              </w:rPr>
              <w:t>controles tegen irreguliere migratie en mensensmokkel</w:t>
            </w:r>
            <w:r w:rsidRPr="003E4F18">
              <w:rPr>
                <w:szCs w:val="18"/>
              </w:rPr>
              <w:t xml:space="preserve"> en het</w:t>
            </w:r>
            <w:r w:rsidRPr="003E4F18" w:rsidR="00310D4E">
              <w:rPr>
                <w:szCs w:val="18"/>
              </w:rPr>
              <w:t xml:space="preserve"> </w:t>
            </w:r>
            <w:r w:rsidRPr="003E4F18" w:rsidR="00CF71D5">
              <w:rPr>
                <w:szCs w:val="18"/>
              </w:rPr>
              <w:t xml:space="preserve">voorkomen van </w:t>
            </w:r>
            <w:r w:rsidRPr="003E4F18" w:rsidR="007A0FDE">
              <w:rPr>
                <w:szCs w:val="18"/>
              </w:rPr>
              <w:t xml:space="preserve">document- en </w:t>
            </w:r>
            <w:r w:rsidRPr="003E4F18" w:rsidR="00CF71D5">
              <w:rPr>
                <w:szCs w:val="18"/>
              </w:rPr>
              <w:t>identiteitsfraude</w:t>
            </w:r>
            <w:r w:rsidRPr="003E4F18">
              <w:rPr>
                <w:szCs w:val="18"/>
              </w:rPr>
              <w:t xml:space="preserve">. </w:t>
            </w:r>
            <w:r w:rsidRPr="003E4F18" w:rsidR="00AD2E6B">
              <w:rPr>
                <w:szCs w:val="18"/>
              </w:rPr>
              <w:t>Met EES op AAS Fase 2 wordt voldaan aan de Europese verplichtingen om in- en uitreisbewegingen van derdelanders elektronisch te registreren (document</w:t>
            </w:r>
            <w:r w:rsidRPr="003E4F18" w:rsidR="0017413D">
              <w:rPr>
                <w:szCs w:val="18"/>
              </w:rPr>
              <w:t>gegevens</w:t>
            </w:r>
            <w:r w:rsidRPr="003E4F18" w:rsidR="00AD2E6B">
              <w:rPr>
                <w:szCs w:val="18"/>
              </w:rPr>
              <w:t>, vingerafdrukken, gezichtsbio</w:t>
            </w:r>
            <w:r w:rsidRPr="003E4F18" w:rsidR="00517A5E">
              <w:rPr>
                <w:szCs w:val="18"/>
              </w:rPr>
              <w:t>metrie</w:t>
            </w:r>
            <w:r w:rsidRPr="003E4F18" w:rsidR="00AD2E6B">
              <w:rPr>
                <w:szCs w:val="18"/>
              </w:rPr>
              <w:t xml:space="preserve">), en wordt wachtrijvorming op de luchthaven </w:t>
            </w:r>
            <w:r w:rsidRPr="003E4F18" w:rsidR="003543F1">
              <w:rPr>
                <w:szCs w:val="18"/>
              </w:rPr>
              <w:t>beheerst.</w:t>
            </w:r>
            <w:r w:rsidRPr="003E4F18" w:rsidR="000D3985">
              <w:rPr>
                <w:szCs w:val="18"/>
              </w:rPr>
              <w:br/>
            </w:r>
            <w:r w:rsidRPr="003E4F18" w:rsidR="00AD2E6B">
              <w:rPr>
                <w:szCs w:val="18"/>
              </w:rPr>
              <w:t>Dit draagt concreet bij aan:</w:t>
            </w:r>
          </w:p>
          <w:p w:rsidRPr="003E4F18" w:rsidR="00AD2E6B" w:rsidP="00AD2E6B" w:rsidRDefault="00E66F3E" w14:paraId="737E8E9A" w14:textId="79020579">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Vergroten</w:t>
            </w:r>
            <w:r w:rsidRPr="003E4F18" w:rsidR="00310D4E">
              <w:rPr>
                <w:szCs w:val="18"/>
              </w:rPr>
              <w:t xml:space="preserve"> </w:t>
            </w:r>
            <w:r w:rsidRPr="003E4F18" w:rsidR="00AD2E6B">
              <w:rPr>
                <w:szCs w:val="18"/>
              </w:rPr>
              <w:t>veiligheid in Nederland en het Schengengebied</w:t>
            </w:r>
            <w:r w:rsidRPr="003E4F18">
              <w:rPr>
                <w:szCs w:val="18"/>
              </w:rPr>
              <w:t xml:space="preserve"> door </w:t>
            </w:r>
            <w:r w:rsidRPr="003E4F18" w:rsidR="001018BE">
              <w:rPr>
                <w:szCs w:val="18"/>
              </w:rPr>
              <w:t>registratie</w:t>
            </w:r>
            <w:r w:rsidRPr="003E4F18" w:rsidR="00056904">
              <w:rPr>
                <w:szCs w:val="18"/>
              </w:rPr>
              <w:t xml:space="preserve"> volgens EES</w:t>
            </w:r>
            <w:r w:rsidRPr="003E4F18" w:rsidR="001018BE">
              <w:rPr>
                <w:szCs w:val="18"/>
              </w:rPr>
              <w:t xml:space="preserve"> van</w:t>
            </w:r>
            <w:r w:rsidRPr="003E4F18">
              <w:rPr>
                <w:szCs w:val="18"/>
              </w:rPr>
              <w:t xml:space="preserve"> derdelanders;</w:t>
            </w:r>
          </w:p>
          <w:p w:rsidRPr="003E4F18" w:rsidR="00AD2E6B" w:rsidP="00AD2E6B" w:rsidRDefault="00AD2E6B" w14:paraId="605C50EE" w14:textId="501CB8FC">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 xml:space="preserve">het effectiever voorkomen en tegengaan van illegale grensoverschrijding en </w:t>
            </w:r>
            <w:r w:rsidRPr="003E4F18" w:rsidR="0017413D">
              <w:rPr>
                <w:szCs w:val="18"/>
              </w:rPr>
              <w:t>illegaal verblijf</w:t>
            </w:r>
            <w:r w:rsidRPr="003E4F18">
              <w:rPr>
                <w:szCs w:val="18"/>
              </w:rPr>
              <w:t>;</w:t>
            </w:r>
          </w:p>
          <w:p w:rsidRPr="003E4F18" w:rsidR="00AD2E6B" w:rsidP="00AD2E6B" w:rsidRDefault="00AD2E6B" w14:paraId="30DB3C20" w14:textId="78F180FF">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het efficiënt faciliteren van bonafide reizigers, zodat mobiliteit en economische aantrekkingskracht behouden blijven.</w:t>
            </w:r>
          </w:p>
          <w:p w:rsidRPr="003E4F18" w:rsidR="00A90AFF" w:rsidP="00AD2E6B" w:rsidRDefault="00A90AFF" w14:paraId="6EAA8D82" w14:textId="63EEB497">
            <w:pPr>
              <w:cnfStyle w:val="000000000000" w:firstRow="0" w:lastRow="0" w:firstColumn="0" w:lastColumn="0" w:oddVBand="0" w:evenVBand="0" w:oddHBand="0" w:evenHBand="0" w:firstRowFirstColumn="0" w:firstRowLastColumn="0" w:lastRowFirstColumn="0" w:lastRowLastColumn="0"/>
              <w:rPr>
                <w:szCs w:val="18"/>
              </w:rPr>
            </w:pPr>
          </w:p>
        </w:tc>
      </w:tr>
      <w:tr w:rsidRPr="003E4F18" w:rsidR="00674954" w:rsidTr="00674954" w14:paraId="5BAAAF11"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487B79BA" w14:textId="77777777">
            <w:r w:rsidRPr="003E4F18">
              <w:t>2. Beleidsinstrument(en)</w:t>
            </w:r>
          </w:p>
        </w:tc>
        <w:tc>
          <w:tcPr>
            <w:tcW w:w="5520" w:type="dxa"/>
          </w:tcPr>
          <w:p w:rsidRPr="003E4F18" w:rsidR="00AD2E6B" w:rsidP="00AD2E6B" w:rsidRDefault="00AD2E6B" w14:paraId="7369AEE0" w14:textId="0CCBD3E6">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 xml:space="preserve">Het instrument is een gerichte rijksbijdrage (subsidie) aan Schiphol Nederland B.V. voor de realisatie van EES Fase 2 op Amsterdam Airport Schiphol, uitgevoerd binnen de </w:t>
            </w:r>
            <w:r w:rsidRPr="003E4F18" w:rsidR="000D36B5">
              <w:rPr>
                <w:szCs w:val="18"/>
              </w:rPr>
              <w:t>Publiek Private Samenwerking (</w:t>
            </w:r>
            <w:r w:rsidRPr="003E4F18">
              <w:rPr>
                <w:szCs w:val="18"/>
              </w:rPr>
              <w:t>PPS</w:t>
            </w:r>
            <w:r w:rsidRPr="003E4F18" w:rsidR="000D36B5">
              <w:rPr>
                <w:szCs w:val="18"/>
              </w:rPr>
              <w:t>)</w:t>
            </w:r>
            <w:r w:rsidRPr="003E4F18">
              <w:rPr>
                <w:szCs w:val="18"/>
              </w:rPr>
              <w:t xml:space="preserve"> Contactloos Reizen (Schiphol, Asiel en Migratie</w:t>
            </w:r>
            <w:r w:rsidRPr="003E4F18" w:rsidR="000D36B5">
              <w:rPr>
                <w:szCs w:val="18"/>
              </w:rPr>
              <w:t>/ Ministerie Justitie en Veiligheid</w:t>
            </w:r>
            <w:r w:rsidRPr="003E4F18">
              <w:rPr>
                <w:szCs w:val="18"/>
              </w:rPr>
              <w:t xml:space="preserve">, </w:t>
            </w:r>
            <w:proofErr w:type="spellStart"/>
            <w:r w:rsidRPr="003E4F18">
              <w:rPr>
                <w:szCs w:val="18"/>
              </w:rPr>
              <w:t>KMar</w:t>
            </w:r>
            <w:proofErr w:type="spellEnd"/>
            <w:r w:rsidRPr="003E4F18">
              <w:rPr>
                <w:szCs w:val="18"/>
              </w:rPr>
              <w:t>/</w:t>
            </w:r>
            <w:r w:rsidRPr="003E4F18" w:rsidR="000D36B5">
              <w:rPr>
                <w:szCs w:val="18"/>
              </w:rPr>
              <w:t xml:space="preserve">Ministerie van </w:t>
            </w:r>
            <w:r w:rsidRPr="003E4F18">
              <w:rPr>
                <w:szCs w:val="18"/>
              </w:rPr>
              <w:t xml:space="preserve">Defensie, </w:t>
            </w:r>
            <w:proofErr w:type="spellStart"/>
            <w:r w:rsidRPr="003E4F18">
              <w:rPr>
                <w:szCs w:val="18"/>
              </w:rPr>
              <w:t>IenW</w:t>
            </w:r>
            <w:proofErr w:type="spellEnd"/>
            <w:r w:rsidRPr="003E4F18">
              <w:rPr>
                <w:szCs w:val="18"/>
              </w:rPr>
              <w:t xml:space="preserve">). </w:t>
            </w:r>
            <w:r w:rsidRPr="003E4F18">
              <w:rPr>
                <w:szCs w:val="18"/>
              </w:rPr>
              <w:br/>
              <w:t>De scope omvat:</w:t>
            </w:r>
          </w:p>
          <w:p w:rsidRPr="003E4F18" w:rsidR="00AD2E6B" w:rsidP="00AD2E6B" w:rsidRDefault="00AD2E6B" w14:paraId="3866C568" w14:textId="2453C496">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w:t>
            </w:r>
            <w:r w:rsidRPr="003E4F18">
              <w:rPr>
                <w:szCs w:val="18"/>
              </w:rPr>
              <w:tab/>
              <w:t xml:space="preserve">Asset delivery: verplaatsen van 83 ‘no </w:t>
            </w:r>
            <w:proofErr w:type="spellStart"/>
            <w:r w:rsidRPr="003E4F18">
              <w:rPr>
                <w:szCs w:val="18"/>
              </w:rPr>
              <w:t>regret</w:t>
            </w:r>
            <w:proofErr w:type="spellEnd"/>
            <w:r w:rsidRPr="003E4F18">
              <w:rPr>
                <w:szCs w:val="18"/>
              </w:rPr>
              <w:t xml:space="preserve">’ kiosken en plaatsen van extra </w:t>
            </w:r>
            <w:proofErr w:type="spellStart"/>
            <w:r w:rsidRPr="003E4F18">
              <w:rPr>
                <w:szCs w:val="18"/>
              </w:rPr>
              <w:t>enrolment</w:t>
            </w:r>
            <w:proofErr w:type="spellEnd"/>
            <w:r w:rsidRPr="003E4F18">
              <w:rPr>
                <w:szCs w:val="18"/>
              </w:rPr>
              <w:t xml:space="preserve"> kiosken op aankomst-, transfer- en upstream locaties (totaal 161 kiosken verdeeld over AF1 4, NS/S, D1, E2e, GH, PRM-gebieden); aanpassing van balies (incl. extra KMar balie AF3) en terminalinfrastructuur (IT infra, schermen, dynamische bebording, sensoren, camera’s).</w:t>
            </w:r>
          </w:p>
          <w:p w:rsidRPr="003E4F18" w:rsidR="00AD2E6B" w:rsidP="00AD2E6B" w:rsidRDefault="00AD2E6B" w14:paraId="59AFEE56" w14:textId="77777777">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w:t>
            </w:r>
            <w:r w:rsidRPr="003E4F18">
              <w:rPr>
                <w:szCs w:val="18"/>
              </w:rPr>
              <w:tab/>
              <w:t>IT development &amp; delivery: werkende kiosk (hardware/software), integratie met overheidssystemen, doorontwikkeling (</w:t>
            </w:r>
            <w:proofErr w:type="spellStart"/>
            <w:r w:rsidRPr="003E4F18">
              <w:rPr>
                <w:szCs w:val="18"/>
              </w:rPr>
              <w:t>Eagle</w:t>
            </w:r>
            <w:proofErr w:type="spellEnd"/>
            <w:r w:rsidRPr="003E4F18">
              <w:rPr>
                <w:szCs w:val="18"/>
              </w:rPr>
              <w:t xml:space="preserve"> Eye) en </w:t>
            </w:r>
            <w:proofErr w:type="spellStart"/>
            <w:r w:rsidRPr="003E4F18">
              <w:rPr>
                <w:szCs w:val="18"/>
              </w:rPr>
              <w:t>improvements</w:t>
            </w:r>
            <w:proofErr w:type="spellEnd"/>
            <w:r w:rsidRPr="003E4F18">
              <w:rPr>
                <w:szCs w:val="18"/>
              </w:rPr>
              <w:t xml:space="preserve"> (</w:t>
            </w:r>
            <w:proofErr w:type="spellStart"/>
            <w:r w:rsidRPr="003E4F18">
              <w:rPr>
                <w:szCs w:val="18"/>
              </w:rPr>
              <w:t>Morphowave</w:t>
            </w:r>
            <w:proofErr w:type="spellEnd"/>
            <w:r w:rsidRPr="003E4F18">
              <w:rPr>
                <w:szCs w:val="18"/>
              </w:rPr>
              <w:t>), test- en onderhoudsplannen, overdracht naar beheer.</w:t>
            </w:r>
          </w:p>
          <w:p w:rsidRPr="00394166" w:rsidR="00AD2E6B" w:rsidP="00AD2E6B" w:rsidRDefault="00AD2E6B" w14:paraId="4D5744FD" w14:textId="77777777">
            <w:pPr>
              <w:cnfStyle w:val="000000000000" w:firstRow="0" w:lastRow="0" w:firstColumn="0" w:lastColumn="0" w:oddVBand="0" w:evenVBand="0" w:oddHBand="0" w:evenHBand="0" w:firstRowFirstColumn="0" w:firstRowLastColumn="0" w:lastRowFirstColumn="0" w:lastRowLastColumn="0"/>
              <w:rPr>
                <w:lang w:val="en-US"/>
              </w:rPr>
            </w:pPr>
            <w:r w:rsidRPr="00394166">
              <w:rPr>
                <w:lang w:val="en-US"/>
              </w:rPr>
              <w:t>•</w:t>
            </w:r>
            <w:r w:rsidRPr="00394166">
              <w:rPr>
                <w:lang w:val="en-US"/>
              </w:rPr>
              <w:tab/>
              <w:t>Business change: implementatievoorbereiding (ORAT), pilots, go live en after go live begeleiding.</w:t>
            </w:r>
          </w:p>
          <w:p w:rsidRPr="003E4F18" w:rsidR="00AD2E6B" w:rsidP="00AD2E6B" w:rsidRDefault="00AD2E6B" w14:paraId="27FE7F65" w14:textId="77777777">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w:t>
            </w:r>
            <w:r w:rsidRPr="003E4F18">
              <w:rPr>
                <w:szCs w:val="18"/>
              </w:rPr>
              <w:tab/>
              <w:t xml:space="preserve">Flow </w:t>
            </w:r>
            <w:proofErr w:type="spellStart"/>
            <w:r w:rsidRPr="003E4F18">
              <w:rPr>
                <w:szCs w:val="18"/>
              </w:rPr>
              <w:t>balancing</w:t>
            </w:r>
            <w:proofErr w:type="spellEnd"/>
            <w:r w:rsidRPr="003E4F18">
              <w:rPr>
                <w:szCs w:val="18"/>
              </w:rPr>
              <w:t xml:space="preserve"> &amp; </w:t>
            </w:r>
            <w:proofErr w:type="spellStart"/>
            <w:r w:rsidRPr="003E4F18">
              <w:rPr>
                <w:szCs w:val="18"/>
              </w:rPr>
              <w:t>wayfinding</w:t>
            </w:r>
            <w:proofErr w:type="spellEnd"/>
            <w:r w:rsidRPr="003E4F18">
              <w:rPr>
                <w:szCs w:val="18"/>
              </w:rPr>
              <w:t>: MVP doorontwikkeling en uitrol om reizigersstromen te spreiden en wachtrijen binnen norm te houden.</w:t>
            </w:r>
          </w:p>
          <w:p w:rsidRPr="003E4F18" w:rsidR="00AD2E6B" w:rsidP="00AD2E6B" w:rsidRDefault="00AD2E6B" w14:paraId="696A053A" w14:textId="77777777">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w:t>
            </w:r>
            <w:r w:rsidRPr="003E4F18">
              <w:rPr>
                <w:szCs w:val="18"/>
              </w:rPr>
              <w:tab/>
              <w:t xml:space="preserve">Onderhoud: 5 jaar onderhoud voor 168 </w:t>
            </w:r>
            <w:proofErr w:type="spellStart"/>
            <w:r w:rsidRPr="003E4F18">
              <w:rPr>
                <w:szCs w:val="18"/>
              </w:rPr>
              <w:t>enrolment</w:t>
            </w:r>
            <w:proofErr w:type="spellEnd"/>
            <w:r w:rsidRPr="003E4F18">
              <w:rPr>
                <w:szCs w:val="18"/>
              </w:rPr>
              <w:t xml:space="preserve"> kiosken (vanaf 1 november 2025).</w:t>
            </w:r>
          </w:p>
          <w:p w:rsidRPr="003E4F18" w:rsidR="00AD2E6B" w:rsidP="00AD2E6B" w:rsidRDefault="00AD2E6B" w14:paraId="160029A0" w14:textId="6A98359F">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w:t>
            </w:r>
            <w:r w:rsidRPr="003E4F18">
              <w:rPr>
                <w:szCs w:val="18"/>
              </w:rPr>
              <w:tab/>
              <w:t xml:space="preserve">Mitigatie vertragingsschade: dekking van kosten door uitstel Entry in </w:t>
            </w:r>
            <w:proofErr w:type="spellStart"/>
            <w:r w:rsidRPr="003E4F18">
              <w:rPr>
                <w:szCs w:val="18"/>
              </w:rPr>
              <w:t>Operation</w:t>
            </w:r>
            <w:proofErr w:type="spellEnd"/>
            <w:r w:rsidRPr="003E4F18">
              <w:rPr>
                <w:szCs w:val="18"/>
              </w:rPr>
              <w:t xml:space="preserve"> EES (12/11/2024 </w:t>
            </w:r>
            <w:r w:rsidRPr="003E4F18">
              <w:rPr>
                <w:rFonts w:ascii="Arial" w:hAnsi="Arial" w:cs="Arial"/>
                <w:szCs w:val="18"/>
              </w:rPr>
              <w:t>→</w:t>
            </w:r>
            <w:r w:rsidRPr="003E4F18">
              <w:rPr>
                <w:szCs w:val="18"/>
              </w:rPr>
              <w:t xml:space="preserve"> 0</w:t>
            </w:r>
            <w:r w:rsidRPr="003E4F18" w:rsidR="0076443D">
              <w:rPr>
                <w:szCs w:val="18"/>
              </w:rPr>
              <w:t>9</w:t>
            </w:r>
            <w:r w:rsidRPr="003E4F18">
              <w:rPr>
                <w:szCs w:val="18"/>
              </w:rPr>
              <w:t>/</w:t>
            </w:r>
            <w:r w:rsidRPr="003E4F18" w:rsidR="0076443D">
              <w:rPr>
                <w:szCs w:val="18"/>
              </w:rPr>
              <w:t>04</w:t>
            </w:r>
            <w:r w:rsidRPr="003E4F18">
              <w:rPr>
                <w:szCs w:val="18"/>
              </w:rPr>
              <w:t>/202</w:t>
            </w:r>
            <w:r w:rsidRPr="003E4F18" w:rsidR="0076443D">
              <w:rPr>
                <w:szCs w:val="18"/>
              </w:rPr>
              <w:t>6</w:t>
            </w:r>
            <w:r w:rsidRPr="003E4F18">
              <w:rPr>
                <w:szCs w:val="18"/>
              </w:rPr>
              <w:t xml:space="preserve">). </w:t>
            </w:r>
          </w:p>
          <w:p w:rsidRPr="003E4F18" w:rsidR="00AD2E6B" w:rsidP="00AD2E6B" w:rsidRDefault="00AD2E6B" w14:paraId="642DF3C1" w14:textId="77777777">
            <w:pPr>
              <w:cnfStyle w:val="000000000000" w:firstRow="0" w:lastRow="0" w:firstColumn="0" w:lastColumn="0" w:oddVBand="0" w:evenVBand="0" w:oddHBand="0" w:evenHBand="0" w:firstRowFirstColumn="0" w:firstRowLastColumn="0" w:lastRowFirstColumn="0" w:lastRowLastColumn="0"/>
              <w:rPr>
                <w:szCs w:val="18"/>
              </w:rPr>
            </w:pPr>
          </w:p>
          <w:p w:rsidRPr="003E4F18" w:rsidR="00340375" w:rsidP="00AD2E6B" w:rsidRDefault="00AD2E6B" w14:paraId="43F9A7E4" w14:textId="55BB9FD6">
            <w:pPr>
              <w:cnfStyle w:val="000000000000" w:firstRow="0" w:lastRow="0" w:firstColumn="0" w:lastColumn="0" w:oddVBand="0" w:evenVBand="0" w:oddHBand="0" w:evenHBand="0" w:firstRowFirstColumn="0" w:firstRowLastColumn="0" w:lastRowFirstColumn="0" w:lastRowLastColumn="0"/>
              <w:rPr>
                <w:szCs w:val="18"/>
              </w:rPr>
            </w:pPr>
            <w:r w:rsidRPr="003E4F18">
              <w:rPr>
                <w:szCs w:val="18"/>
              </w:rPr>
              <w:t>De rijksbijdrage dekt</w:t>
            </w:r>
            <w:r w:rsidRPr="003E4F18" w:rsidR="004E392B">
              <w:rPr>
                <w:szCs w:val="18"/>
              </w:rPr>
              <w:t xml:space="preserve"> </w:t>
            </w:r>
            <w:r w:rsidRPr="003E4F18">
              <w:rPr>
                <w:szCs w:val="18"/>
              </w:rPr>
              <w:t xml:space="preserve">projectinvesteringen en onderhoud </w:t>
            </w:r>
            <w:r w:rsidRPr="003E4F18" w:rsidR="004E392B">
              <w:rPr>
                <w:szCs w:val="18"/>
              </w:rPr>
              <w:t xml:space="preserve"> (50% van de totale projectbegroting van € 50 </w:t>
            </w:r>
            <w:proofErr w:type="spellStart"/>
            <w:r w:rsidRPr="003E4F18" w:rsidR="004E392B">
              <w:rPr>
                <w:szCs w:val="18"/>
              </w:rPr>
              <w:t>mln</w:t>
            </w:r>
            <w:proofErr w:type="spellEnd"/>
            <w:r w:rsidRPr="003E4F18" w:rsidR="004E392B">
              <w:rPr>
                <w:szCs w:val="18"/>
              </w:rPr>
              <w:t xml:space="preserve">, ex btw; max. € 25 </w:t>
            </w:r>
            <w:proofErr w:type="spellStart"/>
            <w:r w:rsidRPr="003E4F18" w:rsidR="004E392B">
              <w:rPr>
                <w:szCs w:val="18"/>
              </w:rPr>
              <w:t>mln</w:t>
            </w:r>
            <w:proofErr w:type="spellEnd"/>
            <w:r w:rsidRPr="003E4F18" w:rsidR="004E392B">
              <w:rPr>
                <w:szCs w:val="18"/>
              </w:rPr>
              <w:t xml:space="preserve">); de overige 50% wordt door Schiphol </w:t>
            </w:r>
            <w:r w:rsidRPr="003E4F18" w:rsidR="00790721">
              <w:rPr>
                <w:szCs w:val="18"/>
              </w:rPr>
              <w:t>betaald; aanvullende</w:t>
            </w:r>
            <w:r w:rsidRPr="003E4F18">
              <w:rPr>
                <w:szCs w:val="18"/>
              </w:rPr>
              <w:t xml:space="preserve"> beheerlasten buiten de kiosken worden separaat met partijen afgestemd. </w:t>
            </w:r>
          </w:p>
        </w:tc>
      </w:tr>
      <w:tr w:rsidRPr="003E4F18" w:rsidR="00674954" w:rsidTr="00032B00" w14:paraId="2D4EC052" w14:textId="77777777">
        <w:trPr>
          <w:trHeight w:val="699"/>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3E0B05D4" w14:textId="77777777">
            <w:r w:rsidRPr="003E4F18">
              <w:lastRenderedPageBreak/>
              <w:t>3. a. Financiële gevolgen voor het Rijk</w:t>
            </w:r>
          </w:p>
        </w:tc>
        <w:tc>
          <w:tcPr>
            <w:tcW w:w="5520" w:type="dxa"/>
          </w:tcPr>
          <w:p w:rsidRPr="003E4F18" w:rsidR="00FC78F3" w:rsidP="000D36B5" w:rsidRDefault="00AD2E6B" w14:paraId="47EB6A03" w14:textId="105C5198">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rPr>
            </w:pPr>
            <w:r w:rsidRPr="003E4F18">
              <w:t xml:space="preserve">€ 25 </w:t>
            </w:r>
            <w:proofErr w:type="spellStart"/>
            <w:r w:rsidRPr="003E4F18">
              <w:t>mln</w:t>
            </w:r>
            <w:proofErr w:type="spellEnd"/>
            <w:r w:rsidRPr="003E4F18">
              <w:t xml:space="preserve"> (ex btw) </w:t>
            </w:r>
            <w:r w:rsidRPr="003E4F18" w:rsidR="00E66F3E">
              <w:t xml:space="preserve">in 2026 </w:t>
            </w:r>
            <w:r w:rsidRPr="003E4F18" w:rsidR="0086324F">
              <w:t>(</w:t>
            </w:r>
            <w:r w:rsidRPr="003E4F18" w:rsidR="000D36B5">
              <w:t>zie t</w:t>
            </w:r>
            <w:r w:rsidRPr="003E4F18">
              <w:t>abel 1</w:t>
            </w:r>
            <w:r w:rsidRPr="003E4F18" w:rsidR="0086324F">
              <w:t>)</w:t>
            </w:r>
          </w:p>
        </w:tc>
      </w:tr>
      <w:tr w:rsidRPr="003E4F18" w:rsidR="00674954" w:rsidTr="00674954" w14:paraId="7D6A1EB5" w14:textId="77777777">
        <w:trPr>
          <w:trHeight w:val="91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4134CB5A" w14:textId="77777777">
            <w:r w:rsidRPr="003E4F18">
              <w:t>3. b. Financiële gevolgen voor maatschappelijke sectoren</w:t>
            </w:r>
          </w:p>
        </w:tc>
        <w:tc>
          <w:tcPr>
            <w:tcW w:w="5520" w:type="dxa"/>
          </w:tcPr>
          <w:p w:rsidRPr="003E4F18" w:rsidR="00674954" w:rsidP="0086324F" w:rsidRDefault="00AD2E6B" w14:paraId="216A1310" w14:textId="443A93AE">
            <w:pPr>
              <w:cnfStyle w:val="000000000000" w:firstRow="0" w:lastRow="0" w:firstColumn="0" w:lastColumn="0" w:oddVBand="0" w:evenVBand="0" w:oddHBand="0" w:evenHBand="0" w:firstRowFirstColumn="0" w:firstRowLastColumn="0" w:lastRowFirstColumn="0" w:lastRowLastColumn="0"/>
              <w:rPr>
                <w:b/>
                <w:bCs/>
                <w:szCs w:val="18"/>
              </w:rPr>
            </w:pPr>
            <w:r w:rsidRPr="003E4F18">
              <w:t>Niet van toepassing</w:t>
            </w:r>
          </w:p>
        </w:tc>
      </w:tr>
      <w:tr w:rsidRPr="003E4F18" w:rsidR="00674954" w:rsidTr="00674954" w14:paraId="097E3F72"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6B28F40C" w14:textId="77777777">
            <w:r w:rsidRPr="003E4F18">
              <w:t>4. Nagestreefde doeltreffendheid</w:t>
            </w:r>
          </w:p>
        </w:tc>
        <w:tc>
          <w:tcPr>
            <w:tcW w:w="5520" w:type="dxa"/>
          </w:tcPr>
          <w:p w:rsidRPr="003E4F18" w:rsidR="00AD2E6B" w:rsidP="00AD2E6B" w:rsidRDefault="00AD2E6B" w14:paraId="0599291E" w14:textId="4628DA5F">
            <w:pPr>
              <w:numPr>
                <w:ilvl w:val="0"/>
                <w:numId w:val="16"/>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Europese verplichtingen: EES vereist elektronische registratie van in</w:t>
            </w:r>
            <w:r w:rsidRPr="003E4F18">
              <w:noBreakHyphen/>
              <w:t xml:space="preserve"> en uitreis van derdelanders; Fase 2 maakt volledige </w:t>
            </w:r>
            <w:r w:rsidRPr="003E4F18" w:rsidR="003E4F18">
              <w:t>doelgroep afhandeling</w:t>
            </w:r>
            <w:r w:rsidRPr="003E4F18">
              <w:t xml:space="preserve"> mogelijk op AAS</w:t>
            </w:r>
            <w:r w:rsidRPr="003E4F18" w:rsidR="00FE216C">
              <w:t>’, de grootste grensdoorlaatpost van Nederland</w:t>
            </w:r>
            <w:r w:rsidRPr="003E4F18">
              <w:t>.</w:t>
            </w:r>
          </w:p>
          <w:p w:rsidRPr="003E4F18" w:rsidR="00AD2E6B" w:rsidP="00AD2E6B" w:rsidRDefault="00AD2E6B" w14:paraId="5FCB19EC" w14:textId="19EFB255">
            <w:pPr>
              <w:numPr>
                <w:ilvl w:val="0"/>
                <w:numId w:val="16"/>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 xml:space="preserve">Capaciteitsgrenzen: fysieke baliecapaciteit alleen is onvoldoende </w:t>
            </w:r>
            <w:r w:rsidRPr="003E4F18" w:rsidR="00CF71D5">
              <w:t>voor het voldoen aan de verplichtingen voor EES</w:t>
            </w:r>
            <w:r w:rsidRPr="003E4F18">
              <w:t xml:space="preserve">; </w:t>
            </w:r>
            <w:proofErr w:type="spellStart"/>
            <w:r w:rsidRPr="003E4F18">
              <w:t>self</w:t>
            </w:r>
            <w:r w:rsidRPr="003E4F18">
              <w:noBreakHyphen/>
              <w:t>service</w:t>
            </w:r>
            <w:proofErr w:type="spellEnd"/>
            <w:r w:rsidRPr="003E4F18">
              <w:t xml:space="preserve"> </w:t>
            </w:r>
            <w:proofErr w:type="spellStart"/>
            <w:r w:rsidRPr="003E4F18">
              <w:t>enrolment</w:t>
            </w:r>
            <w:proofErr w:type="spellEnd"/>
            <w:r w:rsidRPr="003E4F18">
              <w:t xml:space="preserve"> verplaatst processtappen </w:t>
            </w:r>
            <w:r w:rsidRPr="003E4F18" w:rsidR="00CF71D5">
              <w:t xml:space="preserve">van de balie naar de </w:t>
            </w:r>
            <w:proofErr w:type="spellStart"/>
            <w:r w:rsidRPr="003E4F18" w:rsidR="00CF71D5">
              <w:t>enrolment</w:t>
            </w:r>
            <w:proofErr w:type="spellEnd"/>
            <w:r w:rsidRPr="003E4F18" w:rsidR="00CF71D5">
              <w:t xml:space="preserve"> kiosken </w:t>
            </w:r>
            <w:r w:rsidRPr="003E4F18">
              <w:t>en verlaagt piekbelasting op KMar</w:t>
            </w:r>
            <w:r w:rsidRPr="003E4F18">
              <w:noBreakHyphen/>
              <w:t>balies.</w:t>
            </w:r>
            <w:r w:rsidRPr="003E4F18" w:rsidR="006623D8">
              <w:t xml:space="preserve"> Dit draagt bij aan het efficiënt faciliteren van reizigers.</w:t>
            </w:r>
          </w:p>
          <w:p w:rsidRPr="003E4F18" w:rsidR="00AD2E6B" w:rsidP="00AD2E6B" w:rsidRDefault="00AD2E6B" w14:paraId="0DAE4B27" w14:textId="237C3983">
            <w:pPr>
              <w:numPr>
                <w:ilvl w:val="0"/>
                <w:numId w:val="16"/>
              </w:numPr>
              <w:spacing w:after="160" w:line="259" w:lineRule="auto"/>
              <w:cnfStyle w:val="000000000000" w:firstRow="0" w:lastRow="0" w:firstColumn="0" w:lastColumn="0" w:oddVBand="0" w:evenVBand="0" w:oddHBand="0" w:evenHBand="0" w:firstRowFirstColumn="0" w:firstRowLastColumn="0" w:lastRowFirstColumn="0" w:lastRowLastColumn="0"/>
            </w:pPr>
            <w:proofErr w:type="spellStart"/>
            <w:r w:rsidRPr="003E4F18">
              <w:t>Datagedreven</w:t>
            </w:r>
            <w:proofErr w:type="spellEnd"/>
            <w:r w:rsidRPr="003E4F18">
              <w:t xml:space="preserve"> grensproces: complete en kwalitatieve data </w:t>
            </w:r>
            <w:r w:rsidRPr="003E4F18" w:rsidR="00820715">
              <w:t>geregistreerd onder EES</w:t>
            </w:r>
            <w:r w:rsidRPr="003E4F18">
              <w:t xml:space="preserve"> vergroten detectiekans op identiteits- en documentfraude en verbeteren risicoselectie bij MTV en intra</w:t>
            </w:r>
            <w:r w:rsidRPr="003E4F18">
              <w:noBreakHyphen/>
              <w:t>Schengen vervoersbewegingen.</w:t>
            </w:r>
            <w:r w:rsidRPr="003E4F18" w:rsidR="00820715">
              <w:t xml:space="preserve"> Identiteit</w:t>
            </w:r>
            <w:r w:rsidRPr="003E4F18" w:rsidR="001534E2">
              <w:t>s</w:t>
            </w:r>
            <w:r w:rsidRPr="003E4F18" w:rsidR="00820715">
              <w:t xml:space="preserve">fraude en </w:t>
            </w:r>
            <w:r w:rsidRPr="003E4F18" w:rsidR="0017413D">
              <w:t>overschrijding van termijn van kort verblijf (</w:t>
            </w:r>
            <w:proofErr w:type="spellStart"/>
            <w:r w:rsidRPr="003E4F18" w:rsidR="0017413D">
              <w:t>overstay</w:t>
            </w:r>
            <w:proofErr w:type="spellEnd"/>
            <w:r w:rsidRPr="003E4F18" w:rsidR="0017413D">
              <w:t xml:space="preserve">) worden sneller opgespoord en kan leiden tot toegangsweigering. </w:t>
            </w:r>
            <w:r w:rsidRPr="003E4F18" w:rsidR="001534E2">
              <w:t xml:space="preserve"> </w:t>
            </w:r>
          </w:p>
          <w:p w:rsidRPr="003E4F18" w:rsidR="00AD2E6B" w:rsidP="00AD2E6B" w:rsidRDefault="00AD2E6B" w14:paraId="7285D787" w14:textId="255598C2">
            <w:pPr>
              <w:numPr>
                <w:ilvl w:val="0"/>
                <w:numId w:val="16"/>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 xml:space="preserve">Doorstroming en normenkader: </w:t>
            </w:r>
            <w:proofErr w:type="spellStart"/>
            <w:r w:rsidRPr="003E4F18">
              <w:t>wayfinding</w:t>
            </w:r>
            <w:proofErr w:type="spellEnd"/>
            <w:r w:rsidRPr="003E4F18">
              <w:t xml:space="preserve"> en flow </w:t>
            </w:r>
            <w:proofErr w:type="spellStart"/>
            <w:r w:rsidRPr="003E4F18">
              <w:t>balancing</w:t>
            </w:r>
            <w:proofErr w:type="spellEnd"/>
            <w:r w:rsidRPr="003E4F18">
              <w:t xml:space="preserve"> optimaliseren spreiding, beperken wachtrijvorming en borgen dienstverlening aan bonafide reizigers.</w:t>
            </w:r>
            <w:r w:rsidRPr="003E4F18" w:rsidR="006623D8">
              <w:t xml:space="preserve"> Dit draagt bij aan het efficiënt faciliteren van reizigers.</w:t>
            </w:r>
          </w:p>
          <w:p w:rsidRPr="003E4F18" w:rsidR="00A64F7F" w:rsidP="00AD2E6B" w:rsidRDefault="00A64F7F" w14:paraId="4D6CFCB2" w14:textId="752404CC">
            <w:pPr>
              <w:numPr>
                <w:ilvl w:val="0"/>
                <w:numId w:val="16"/>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Causale keten: investeringen in kiosken en IT-processen leiden tot hogere verwerkingscapaciteit, betere datakwaliteit. Dit leidt tot gerichtere selectie, wat zorgt voor minder irreguliere migratie/</w:t>
            </w:r>
            <w:proofErr w:type="spellStart"/>
            <w:r w:rsidRPr="003E4F18">
              <w:t>overstays</w:t>
            </w:r>
            <w:proofErr w:type="spellEnd"/>
            <w:r w:rsidRPr="003E4F18">
              <w:t xml:space="preserve"> en verbeterde publieke veiligheid, met tegelijk kortere doorlooptijden voor bonafide reizigers.</w:t>
            </w:r>
          </w:p>
          <w:p w:rsidRPr="003E4F18" w:rsidR="00B1362F" w:rsidP="00AD2E6B" w:rsidRDefault="00B1362F" w14:paraId="1D275896" w14:textId="163BCE0F">
            <w:pPr>
              <w:cnfStyle w:val="000000000000" w:firstRow="0" w:lastRow="0" w:firstColumn="0" w:lastColumn="0" w:oddVBand="0" w:evenVBand="0" w:oddHBand="0" w:evenHBand="0" w:firstRowFirstColumn="0" w:firstRowLastColumn="0" w:lastRowFirstColumn="0" w:lastRowLastColumn="0"/>
              <w:rPr>
                <w:szCs w:val="18"/>
              </w:rPr>
            </w:pPr>
          </w:p>
        </w:tc>
      </w:tr>
      <w:tr w:rsidRPr="003E4F18" w:rsidR="00674954" w:rsidTr="00674954" w14:paraId="60103E62"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4B54C0CB" w14:textId="77777777">
            <w:r w:rsidRPr="003E4F18">
              <w:t>5. Nagestreefde doelmatigheid</w:t>
            </w:r>
          </w:p>
        </w:tc>
        <w:tc>
          <w:tcPr>
            <w:tcW w:w="5520" w:type="dxa"/>
          </w:tcPr>
          <w:p w:rsidRPr="003E4F18" w:rsidR="00AD2E6B" w:rsidP="00AD2E6B" w:rsidRDefault="00AD2E6B" w14:paraId="17981CFE" w14:textId="6696D923">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 xml:space="preserve">Substitutie arbeid–techniek: </w:t>
            </w:r>
            <w:proofErr w:type="spellStart"/>
            <w:r w:rsidRPr="003E4F18">
              <w:t>self</w:t>
            </w:r>
            <w:r w:rsidRPr="003E4F18">
              <w:noBreakHyphen/>
              <w:t>service</w:t>
            </w:r>
            <w:proofErr w:type="spellEnd"/>
            <w:r w:rsidRPr="003E4F18">
              <w:t xml:space="preserve"> kiosken reduceren structureel de benodigde inzet aan de </w:t>
            </w:r>
            <w:r w:rsidRPr="003E4F18" w:rsidR="000D36B5">
              <w:t xml:space="preserve">KMar </w:t>
            </w:r>
            <w:r w:rsidRPr="003E4F18">
              <w:t xml:space="preserve">balie; de beperkte personele capaciteit bij KMar wordt doelmatiger ingezet voor </w:t>
            </w:r>
            <w:proofErr w:type="spellStart"/>
            <w:r w:rsidRPr="003E4F18">
              <w:t>exception</w:t>
            </w:r>
            <w:proofErr w:type="spellEnd"/>
            <w:r w:rsidRPr="003E4F18">
              <w:t xml:space="preserve"> handling, handhaving en opsporing.</w:t>
            </w:r>
          </w:p>
          <w:p w:rsidRPr="003E4F18" w:rsidR="00AD2E6B" w:rsidP="00AD2E6B" w:rsidRDefault="00AD2E6B" w14:paraId="419CF5AB" w14:textId="77777777">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proofErr w:type="spellStart"/>
            <w:r w:rsidRPr="003E4F18">
              <w:t>Herinzet</w:t>
            </w:r>
            <w:proofErr w:type="spellEnd"/>
            <w:r w:rsidRPr="003E4F18">
              <w:t xml:space="preserve"> ‘no</w:t>
            </w:r>
            <w:r w:rsidRPr="003E4F18">
              <w:noBreakHyphen/>
            </w:r>
            <w:proofErr w:type="spellStart"/>
            <w:r w:rsidRPr="003E4F18">
              <w:t>regret</w:t>
            </w:r>
            <w:proofErr w:type="spellEnd"/>
            <w:r w:rsidRPr="003E4F18">
              <w:t>’ assets: verplaatsen i.p.v. nieuw aanschaffen beperkt investeringskosten; terminalaanpassingen worden gericht uitgevoerd waar de doorstroomwinst het grootst is.</w:t>
            </w:r>
          </w:p>
          <w:p w:rsidRPr="003E4F18" w:rsidR="00AD2E6B" w:rsidP="00AD2E6B" w:rsidRDefault="00AD2E6B" w14:paraId="3D898035" w14:textId="73440665">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 xml:space="preserve">Gefaseerde implementatie: </w:t>
            </w:r>
            <w:proofErr w:type="spellStart"/>
            <w:r w:rsidRPr="003E4F18">
              <w:t>progressive</w:t>
            </w:r>
            <w:proofErr w:type="spellEnd"/>
            <w:r w:rsidRPr="003E4F18">
              <w:t xml:space="preserve"> approach en </w:t>
            </w:r>
            <w:proofErr w:type="spellStart"/>
            <w:r w:rsidRPr="003E4F18" w:rsidR="004538E4">
              <w:t>Operational</w:t>
            </w:r>
            <w:proofErr w:type="spellEnd"/>
            <w:r w:rsidRPr="003E4F18" w:rsidR="004538E4">
              <w:t xml:space="preserve"> Readiness and Airport Transfer (</w:t>
            </w:r>
            <w:r w:rsidRPr="003E4F18">
              <w:t>ORAT</w:t>
            </w:r>
            <w:r w:rsidRPr="003E4F18" w:rsidR="004538E4">
              <w:t>)</w:t>
            </w:r>
            <w:r w:rsidRPr="003E4F18">
              <w:t xml:space="preserve"> beperken uitval en herwerk; </w:t>
            </w:r>
            <w:proofErr w:type="spellStart"/>
            <w:r w:rsidRPr="003E4F18">
              <w:t>lessons</w:t>
            </w:r>
            <w:proofErr w:type="spellEnd"/>
            <w:r w:rsidRPr="003E4F18">
              <w:t xml:space="preserve"> </w:t>
            </w:r>
            <w:proofErr w:type="spellStart"/>
            <w:r w:rsidRPr="003E4F18">
              <w:t>learned</w:t>
            </w:r>
            <w:proofErr w:type="spellEnd"/>
            <w:r w:rsidRPr="003E4F18">
              <w:t xml:space="preserve"> uit Fase 1 worden toegepast op Fase 2.</w:t>
            </w:r>
          </w:p>
          <w:p w:rsidRPr="003E4F18" w:rsidR="00AD2E6B" w:rsidP="00AD2E6B" w:rsidRDefault="00AD2E6B" w14:paraId="5F0837FC" w14:textId="77777777">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lastRenderedPageBreak/>
              <w:t xml:space="preserve">Flow </w:t>
            </w:r>
            <w:proofErr w:type="spellStart"/>
            <w:r w:rsidRPr="003E4F18">
              <w:t>balancing</w:t>
            </w:r>
            <w:proofErr w:type="spellEnd"/>
            <w:r w:rsidRPr="003E4F18">
              <w:t>: sturen op spreiding in tijd en ruimte vergroot benutting van bestaande infrastructuur en verlaagt piekcapaciteitseisen.</w:t>
            </w:r>
          </w:p>
          <w:p w:rsidRPr="003E4F18" w:rsidR="00BB2E50" w:rsidP="000D36B5" w:rsidRDefault="00BB2E50" w14:paraId="0D75176C" w14:textId="137200DF">
            <w:pPr>
              <w:ind w:left="720"/>
              <w:cnfStyle w:val="000000000000" w:firstRow="0" w:lastRow="0" w:firstColumn="0" w:lastColumn="0" w:oddVBand="0" w:evenVBand="0" w:oddHBand="0" w:evenHBand="0" w:firstRowFirstColumn="0" w:firstRowLastColumn="0" w:lastRowFirstColumn="0" w:lastRowLastColumn="0"/>
              <w:rPr>
                <w:szCs w:val="18"/>
              </w:rPr>
            </w:pPr>
          </w:p>
        </w:tc>
      </w:tr>
      <w:tr w:rsidRPr="003E4F18" w:rsidR="00674954" w:rsidTr="00674954" w14:paraId="696571FA"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Pr="003E4F18" w:rsidR="00674954" w:rsidRDefault="00674954" w14:paraId="6A361F9F" w14:textId="77777777">
            <w:r w:rsidRPr="003E4F18">
              <w:lastRenderedPageBreak/>
              <w:t>6. Evaluatieparagraaf</w:t>
            </w:r>
          </w:p>
        </w:tc>
        <w:tc>
          <w:tcPr>
            <w:tcW w:w="5520" w:type="dxa"/>
          </w:tcPr>
          <w:p w:rsidRPr="003E4F18" w:rsidR="00FF4E5B" w:rsidP="00790721" w:rsidRDefault="006272D7" w14:paraId="065D3D73" w14:textId="420940C9">
            <w:pPr>
              <w:numPr>
                <w:ilvl w:val="0"/>
                <w:numId w:val="20"/>
              </w:numPr>
              <w:cnfStyle w:val="000000000000" w:firstRow="0" w:lastRow="0" w:firstColumn="0" w:lastColumn="0" w:oddVBand="0" w:evenVBand="0" w:oddHBand="0" w:evenHBand="0" w:firstRowFirstColumn="0" w:firstRowLastColumn="0" w:lastRowFirstColumn="0" w:lastRowLastColumn="0"/>
            </w:pPr>
            <w:r w:rsidRPr="003E4F18">
              <w:t xml:space="preserve">Vaststellen of EES fase 2 bijdraagt aan efficiëntere afhandeling, </w:t>
            </w:r>
            <w:r w:rsidRPr="003E4F18" w:rsidR="0017413D">
              <w:t xml:space="preserve">beheersmatige </w:t>
            </w:r>
            <w:r w:rsidRPr="003E4F18">
              <w:t>doorstroming en naleving van EU</w:t>
            </w:r>
            <w:r w:rsidRPr="003E4F18">
              <w:noBreakHyphen/>
              <w:t>verplichtingen, en inzicht verkrijgen in de effecten op veiligheid en handhaving; dit monitoren we gezamenlijk met partners via periodieke rapportages en in de beheerfase, conform de governance</w:t>
            </w:r>
            <w:r w:rsidRPr="003E4F18">
              <w:noBreakHyphen/>
              <w:t>afspraken in de PPS.</w:t>
            </w:r>
            <w:r w:rsidRPr="003E4F18" w:rsidR="001434F5">
              <w:t xml:space="preserve"> </w:t>
            </w:r>
            <w:r w:rsidRPr="003E4F18" w:rsidR="00FF4E5B">
              <w:t>Daarbij worden p</w:t>
            </w:r>
            <w:r w:rsidRPr="003E4F18" w:rsidR="00D60BCC">
              <w:t>rivacy, ethiek en (cyber)security als randvoorwaarde</w:t>
            </w:r>
            <w:r w:rsidRPr="003E4F18" w:rsidR="00466022">
              <w:t xml:space="preserve"> </w:t>
            </w:r>
            <w:r w:rsidRPr="003E4F18" w:rsidR="001434F5">
              <w:t>gemonitord</w:t>
            </w:r>
            <w:r w:rsidRPr="003E4F18" w:rsidR="00FF4E5B">
              <w:t>.</w:t>
            </w:r>
            <w:r w:rsidRPr="003E4F18" w:rsidR="00D60BCC">
              <w:t xml:space="preserve"> </w:t>
            </w:r>
            <w:r w:rsidRPr="003E4F18" w:rsidR="00FF4E5B">
              <w:br/>
            </w:r>
          </w:p>
          <w:p w:rsidRPr="003E4F18" w:rsidR="00D60BCC" w:rsidP="003E4F18" w:rsidRDefault="00D60BCC" w14:paraId="04B249BD" w14:textId="78072A2B">
            <w:pPr>
              <w:numPr>
                <w:ilvl w:val="0"/>
                <w:numId w:val="20"/>
              </w:numPr>
              <w:cnfStyle w:val="000000000000" w:firstRow="0" w:lastRow="0" w:firstColumn="0" w:lastColumn="0" w:oddVBand="0" w:evenVBand="0" w:oddHBand="0" w:evenHBand="0" w:firstRowFirstColumn="0" w:firstRowLastColumn="0" w:lastRowFirstColumn="0" w:lastRowLastColumn="0"/>
            </w:pPr>
            <w:r w:rsidRPr="003E4F18">
              <w:t>Verantwoording en rapportage:</w:t>
            </w:r>
            <w:r w:rsidRPr="003E4F18" w:rsidR="00FF4E5B">
              <w:br/>
            </w:r>
            <w:r w:rsidRPr="003E4F18">
              <w:t>Financiële eindverantwoording met controleverklaring van een onafhankelijke accountant, vastgesteld conform subsidiebesluit.</w:t>
            </w:r>
          </w:p>
          <w:p w:rsidRPr="003E4F18" w:rsidR="00D60BCC" w:rsidP="00D60BCC" w:rsidRDefault="00D60BCC" w14:paraId="46C38345" w14:textId="77777777">
            <w:pPr>
              <w:numPr>
                <w:ilvl w:val="0"/>
                <w:numId w:val="20"/>
              </w:numPr>
              <w:spacing w:after="160" w:line="259" w:lineRule="auto"/>
              <w:cnfStyle w:val="000000000000" w:firstRow="0" w:lastRow="0" w:firstColumn="0" w:lastColumn="0" w:oddVBand="0" w:evenVBand="0" w:oddHBand="0" w:evenHBand="0" w:firstRowFirstColumn="0" w:firstRowLastColumn="0" w:lastRowFirstColumn="0" w:lastRowLastColumn="0"/>
            </w:pPr>
            <w:r w:rsidRPr="003E4F18">
              <w:t>Resultaten worden gedeeld binnen de PPS en – waar passend – via reguliere rapportagelijnen met de Tweede Kamer.</w:t>
            </w:r>
          </w:p>
          <w:p w:rsidRPr="003E4F18" w:rsidR="00D25960" w:rsidP="002149CC" w:rsidRDefault="00D25960" w14:paraId="396817CA" w14:textId="25B467D8">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8"/>
              </w:rPr>
            </w:pPr>
          </w:p>
        </w:tc>
      </w:tr>
    </w:tbl>
    <w:p w:rsidRPr="003E4F18" w:rsidR="0043716C" w:rsidP="003D5A58" w:rsidRDefault="0043716C" w14:paraId="36AF236B" w14:textId="5D791F95"/>
    <w:p w:rsidRPr="003E4F18" w:rsidR="00EC0EAA" w:rsidP="00EC0EAA" w:rsidRDefault="00EC0EAA" w14:paraId="592B3709" w14:textId="0F50C3A9">
      <w:pPr>
        <w:pStyle w:val="Bijschrift"/>
        <w:keepNext/>
      </w:pPr>
      <w:r w:rsidRPr="003E4F18">
        <w:t xml:space="preserve">Tabel </w:t>
      </w:r>
      <w:r w:rsidRPr="003E4F18">
        <w:fldChar w:fldCharType="begin"/>
      </w:r>
      <w:r w:rsidRPr="003E4F18">
        <w:instrText xml:space="preserve"> SEQ Tabel \* ARABIC </w:instrText>
      </w:r>
      <w:r w:rsidRPr="003E4F18">
        <w:fldChar w:fldCharType="separate"/>
      </w:r>
      <w:r w:rsidRPr="003E4F18">
        <w:t>1</w:t>
      </w:r>
      <w:r w:rsidRPr="003E4F18">
        <w:fldChar w:fldCharType="end"/>
      </w:r>
      <w:r w:rsidRPr="003E4F18">
        <w:t xml:space="preserve"> Financiële bestedingsplan (bedragen x €1.000; betreft rijksbijdrage</w:t>
      </w:r>
      <w:r w:rsidRPr="003E4F18" w:rsidR="000D36B5">
        <w:t xml:space="preserve"> voor </w:t>
      </w:r>
      <w:r w:rsidRPr="003E4F18">
        <w:t>subsidie EES op AAS Fase 2, maximaal € 25.000.000; alle bedragen ex btw)</w:t>
      </w:r>
    </w:p>
    <w:tbl>
      <w:tblPr>
        <w:tblW w:w="5000" w:type="pct"/>
        <w:tblCellMar>
          <w:left w:w="70" w:type="dxa"/>
          <w:right w:w="70" w:type="dxa"/>
        </w:tblCellMar>
        <w:tblLook w:val="04A0" w:firstRow="1" w:lastRow="0" w:firstColumn="1" w:lastColumn="0" w:noHBand="0" w:noVBand="1"/>
      </w:tblPr>
      <w:tblGrid>
        <w:gridCol w:w="7774"/>
        <w:gridCol w:w="1253"/>
      </w:tblGrid>
      <w:tr w:rsidRPr="003E4F18" w:rsidR="00EC0EAA" w:rsidTr="00EC0EAA" w14:paraId="70AF2E02" w14:textId="77777777">
        <w:trPr>
          <w:trHeight w:val="264"/>
        </w:trPr>
        <w:tc>
          <w:tcPr>
            <w:tcW w:w="4387" w:type="pct"/>
            <w:tcBorders>
              <w:top w:val="single" w:color="000000" w:sz="8" w:space="0"/>
              <w:left w:val="nil"/>
              <w:bottom w:val="single" w:color="000000" w:sz="8" w:space="0"/>
              <w:right w:val="nil"/>
            </w:tcBorders>
            <w:shd w:val="clear" w:color="156082" w:fill="156082"/>
            <w:noWrap/>
            <w:vAlign w:val="bottom"/>
            <w:hideMark/>
          </w:tcPr>
          <w:p w:rsidRPr="003E4F18" w:rsidR="00EC0EAA" w:rsidP="00EC0EAA" w:rsidRDefault="00EC0EAA" w14:paraId="4528F9A8" w14:textId="77777777">
            <w:pPr>
              <w:spacing w:after="0" w:line="240" w:lineRule="auto"/>
              <w:rPr>
                <w:rFonts w:ascii="Arial" w:hAnsi="Arial" w:eastAsia="Times New Roman" w:cs="Arial"/>
                <w:b/>
                <w:bCs/>
                <w:color w:val="FFFFFF"/>
                <w:sz w:val="20"/>
                <w:szCs w:val="20"/>
                <w:lang w:eastAsia="nl-NL"/>
              </w:rPr>
            </w:pPr>
            <w:r w:rsidRPr="003E4F18">
              <w:rPr>
                <w:rFonts w:ascii="Arial" w:hAnsi="Arial" w:eastAsia="Times New Roman" w:cs="Arial"/>
                <w:b/>
                <w:bCs/>
                <w:color w:val="FFFFFF"/>
                <w:sz w:val="20"/>
                <w:szCs w:val="20"/>
                <w:lang w:eastAsia="nl-NL"/>
              </w:rPr>
              <w:t xml:space="preserve">Onderdeel EES op AAS fase 2 begroting </w:t>
            </w:r>
          </w:p>
        </w:tc>
        <w:tc>
          <w:tcPr>
            <w:tcW w:w="613" w:type="pct"/>
            <w:tcBorders>
              <w:top w:val="single" w:color="000000" w:sz="8" w:space="0"/>
              <w:left w:val="nil"/>
              <w:bottom w:val="single" w:color="000000" w:sz="8" w:space="0"/>
              <w:right w:val="nil"/>
            </w:tcBorders>
            <w:shd w:val="clear" w:color="156082" w:fill="156082"/>
            <w:noWrap/>
            <w:vAlign w:val="bottom"/>
            <w:hideMark/>
          </w:tcPr>
          <w:p w:rsidRPr="003E4F18" w:rsidR="00EC0EAA" w:rsidP="00EC0EAA" w:rsidRDefault="00EC0EAA" w14:paraId="4FFE7A85" w14:textId="77777777">
            <w:pPr>
              <w:spacing w:after="0" w:line="240" w:lineRule="auto"/>
              <w:rPr>
                <w:rFonts w:ascii="Arial" w:hAnsi="Arial" w:eastAsia="Times New Roman" w:cs="Arial"/>
                <w:b/>
                <w:bCs/>
                <w:color w:val="FFFFFF"/>
                <w:sz w:val="20"/>
                <w:szCs w:val="20"/>
                <w:lang w:eastAsia="nl-NL"/>
              </w:rPr>
            </w:pPr>
            <w:r w:rsidRPr="003E4F18">
              <w:rPr>
                <w:rFonts w:ascii="Arial" w:hAnsi="Arial" w:eastAsia="Times New Roman" w:cs="Arial"/>
                <w:b/>
                <w:bCs/>
                <w:color w:val="FFFFFF"/>
                <w:sz w:val="20"/>
                <w:szCs w:val="20"/>
                <w:lang w:eastAsia="nl-NL"/>
              </w:rPr>
              <w:t>Bedrag</w:t>
            </w:r>
          </w:p>
        </w:tc>
      </w:tr>
      <w:tr w:rsidRPr="003E4F18" w:rsidR="00EC0EAA" w:rsidTr="00EC0EAA" w14:paraId="2F01E3FD" w14:textId="77777777">
        <w:trPr>
          <w:trHeight w:val="264"/>
        </w:trPr>
        <w:tc>
          <w:tcPr>
            <w:tcW w:w="4387" w:type="pct"/>
            <w:tcBorders>
              <w:top w:val="nil"/>
              <w:left w:val="nil"/>
              <w:bottom w:val="nil"/>
              <w:right w:val="nil"/>
            </w:tcBorders>
            <w:shd w:val="clear" w:color="D9D9D9" w:fill="D9D9D9"/>
            <w:noWrap/>
            <w:vAlign w:val="bottom"/>
            <w:hideMark/>
          </w:tcPr>
          <w:p w:rsidRPr="00394166" w:rsidR="00EC0EAA" w:rsidP="00EC0EAA" w:rsidRDefault="00EC0EAA" w14:paraId="0B84FFEF" w14:textId="77777777">
            <w:pPr>
              <w:spacing w:after="0" w:line="240" w:lineRule="auto"/>
              <w:rPr>
                <w:rFonts w:ascii="Arial" w:hAnsi="Arial"/>
                <w:color w:val="000000"/>
                <w:sz w:val="20"/>
                <w:lang w:val="en-US"/>
              </w:rPr>
            </w:pPr>
            <w:r w:rsidRPr="00394166">
              <w:rPr>
                <w:rFonts w:ascii="Arial" w:hAnsi="Arial"/>
                <w:color w:val="000000"/>
                <w:sz w:val="20"/>
                <w:lang w:val="en-US"/>
              </w:rPr>
              <w:t>Investeringen incl. IT, business change en flow balancing</w:t>
            </w:r>
          </w:p>
        </w:tc>
        <w:tc>
          <w:tcPr>
            <w:tcW w:w="613" w:type="pct"/>
            <w:tcBorders>
              <w:top w:val="nil"/>
              <w:left w:val="nil"/>
              <w:bottom w:val="nil"/>
              <w:right w:val="nil"/>
            </w:tcBorders>
            <w:shd w:val="clear" w:color="D9D9D9" w:fill="D9D9D9"/>
            <w:noWrap/>
            <w:vAlign w:val="bottom"/>
            <w:hideMark/>
          </w:tcPr>
          <w:p w:rsidRPr="003E4F18" w:rsidR="00EC0EAA" w:rsidP="00EC0EAA" w:rsidRDefault="00EC0EAA" w14:paraId="085B3B62" w14:textId="77777777">
            <w:pPr>
              <w:spacing w:after="0" w:line="240" w:lineRule="auto"/>
              <w:rPr>
                <w:rFonts w:ascii="Arial" w:hAnsi="Arial" w:eastAsia="Times New Roman" w:cs="Arial"/>
                <w:color w:val="000000"/>
                <w:sz w:val="20"/>
                <w:szCs w:val="20"/>
                <w:lang w:eastAsia="nl-NL"/>
              </w:rPr>
            </w:pPr>
            <w:r w:rsidRPr="00394166">
              <w:rPr>
                <w:rFonts w:ascii="Arial" w:hAnsi="Arial"/>
                <w:color w:val="000000"/>
                <w:sz w:val="20"/>
                <w:lang w:val="en-US"/>
              </w:rPr>
              <w:t xml:space="preserve"> </w:t>
            </w:r>
            <w:r w:rsidRPr="003E4F18">
              <w:rPr>
                <w:rFonts w:ascii="Arial" w:hAnsi="Arial" w:eastAsia="Times New Roman" w:cs="Arial"/>
                <w:color w:val="000000"/>
                <w:sz w:val="20"/>
                <w:szCs w:val="20"/>
                <w:lang w:eastAsia="nl-NL"/>
              </w:rPr>
              <w:t xml:space="preserve">€ 21.050,00 </w:t>
            </w:r>
          </w:p>
        </w:tc>
      </w:tr>
      <w:tr w:rsidRPr="003E4F18" w:rsidR="00EC0EAA" w:rsidTr="00EC0EAA" w14:paraId="5810D673" w14:textId="77777777">
        <w:trPr>
          <w:trHeight w:val="264"/>
        </w:trPr>
        <w:tc>
          <w:tcPr>
            <w:tcW w:w="4387" w:type="pct"/>
            <w:tcBorders>
              <w:top w:val="nil"/>
              <w:left w:val="nil"/>
              <w:bottom w:val="nil"/>
              <w:right w:val="nil"/>
            </w:tcBorders>
            <w:noWrap/>
            <w:vAlign w:val="bottom"/>
            <w:hideMark/>
          </w:tcPr>
          <w:p w:rsidRPr="003E4F18" w:rsidR="00EC0EAA" w:rsidP="00EC0EAA" w:rsidRDefault="00EC0EAA" w14:paraId="76941C07" w14:textId="77777777">
            <w:pPr>
              <w:spacing w:after="0" w:line="240" w:lineRule="auto"/>
              <w:rPr>
                <w:rFonts w:ascii="Arial" w:hAnsi="Arial" w:eastAsia="Times New Roman" w:cs="Arial"/>
                <w:color w:val="000000"/>
                <w:sz w:val="20"/>
                <w:szCs w:val="20"/>
                <w:lang w:eastAsia="nl-NL"/>
              </w:rPr>
            </w:pPr>
            <w:r w:rsidRPr="003E4F18">
              <w:rPr>
                <w:rFonts w:ascii="Arial" w:hAnsi="Arial" w:eastAsia="Times New Roman" w:cs="Arial"/>
                <w:color w:val="000000"/>
                <w:sz w:val="20"/>
                <w:szCs w:val="20"/>
                <w:lang w:eastAsia="nl-NL"/>
              </w:rPr>
              <w:t>Vertragingskosten EES (12/11/2024–03/11/2025)</w:t>
            </w:r>
          </w:p>
        </w:tc>
        <w:tc>
          <w:tcPr>
            <w:tcW w:w="613" w:type="pct"/>
            <w:tcBorders>
              <w:top w:val="nil"/>
              <w:left w:val="nil"/>
              <w:bottom w:val="nil"/>
              <w:right w:val="nil"/>
            </w:tcBorders>
            <w:noWrap/>
            <w:vAlign w:val="bottom"/>
            <w:hideMark/>
          </w:tcPr>
          <w:p w:rsidRPr="003E4F18" w:rsidR="00EC0EAA" w:rsidP="00EC0EAA" w:rsidRDefault="00EC0EAA" w14:paraId="2B041E72" w14:textId="77777777">
            <w:pPr>
              <w:spacing w:after="0" w:line="240" w:lineRule="auto"/>
              <w:rPr>
                <w:rFonts w:ascii="Arial" w:hAnsi="Arial" w:eastAsia="Times New Roman" w:cs="Arial"/>
                <w:color w:val="000000"/>
                <w:sz w:val="20"/>
                <w:szCs w:val="20"/>
                <w:lang w:eastAsia="nl-NL"/>
              </w:rPr>
            </w:pPr>
            <w:r w:rsidRPr="003E4F18">
              <w:rPr>
                <w:rFonts w:ascii="Arial" w:hAnsi="Arial" w:eastAsia="Times New Roman" w:cs="Arial"/>
                <w:color w:val="000000"/>
                <w:sz w:val="20"/>
                <w:szCs w:val="20"/>
                <w:lang w:eastAsia="nl-NL"/>
              </w:rPr>
              <w:t xml:space="preserve"> €   2.450,00 </w:t>
            </w:r>
          </w:p>
        </w:tc>
      </w:tr>
      <w:tr w:rsidRPr="003E4F18" w:rsidR="00EC0EAA" w:rsidTr="00EC0EAA" w14:paraId="3A74311D" w14:textId="77777777">
        <w:trPr>
          <w:trHeight w:val="264"/>
        </w:trPr>
        <w:tc>
          <w:tcPr>
            <w:tcW w:w="4387" w:type="pct"/>
            <w:tcBorders>
              <w:top w:val="nil"/>
              <w:left w:val="nil"/>
              <w:bottom w:val="single" w:color="000000" w:sz="8" w:space="0"/>
              <w:right w:val="nil"/>
            </w:tcBorders>
            <w:shd w:val="clear" w:color="D9D9D9" w:fill="D9D9D9"/>
            <w:noWrap/>
            <w:vAlign w:val="bottom"/>
            <w:hideMark/>
          </w:tcPr>
          <w:p w:rsidRPr="003E4F18" w:rsidR="00EC0EAA" w:rsidP="00EC0EAA" w:rsidRDefault="00EC0EAA" w14:paraId="18FFEE38" w14:textId="7D19F281">
            <w:pPr>
              <w:spacing w:after="0" w:line="240" w:lineRule="auto"/>
              <w:rPr>
                <w:rFonts w:ascii="Arial" w:hAnsi="Arial" w:eastAsia="Times New Roman" w:cs="Arial"/>
                <w:color w:val="000000"/>
                <w:sz w:val="20"/>
                <w:szCs w:val="20"/>
                <w:lang w:eastAsia="nl-NL"/>
              </w:rPr>
            </w:pPr>
            <w:r w:rsidRPr="003E4F18">
              <w:rPr>
                <w:rFonts w:ascii="Arial" w:hAnsi="Arial" w:eastAsia="Times New Roman" w:cs="Arial"/>
                <w:color w:val="000000"/>
                <w:sz w:val="20"/>
                <w:szCs w:val="20"/>
                <w:lang w:eastAsia="nl-NL"/>
              </w:rPr>
              <w:t xml:space="preserve">5 jaar onderhoud </w:t>
            </w:r>
            <w:proofErr w:type="spellStart"/>
            <w:r w:rsidRPr="003E4F18">
              <w:rPr>
                <w:rFonts w:ascii="Arial" w:hAnsi="Arial" w:eastAsia="Times New Roman" w:cs="Arial"/>
                <w:color w:val="000000"/>
                <w:sz w:val="20"/>
                <w:szCs w:val="20"/>
                <w:lang w:eastAsia="nl-NL"/>
              </w:rPr>
              <w:t>enrol</w:t>
            </w:r>
            <w:r w:rsidRPr="003E4F18" w:rsidR="003E4F18">
              <w:rPr>
                <w:rFonts w:ascii="Arial" w:hAnsi="Arial" w:eastAsia="Times New Roman" w:cs="Arial"/>
                <w:color w:val="000000"/>
                <w:sz w:val="20"/>
                <w:szCs w:val="20"/>
                <w:lang w:eastAsia="nl-NL"/>
              </w:rPr>
              <w:t>l</w:t>
            </w:r>
            <w:r w:rsidRPr="003E4F18">
              <w:rPr>
                <w:rFonts w:ascii="Arial" w:hAnsi="Arial" w:eastAsia="Times New Roman" w:cs="Arial"/>
                <w:color w:val="000000"/>
                <w:sz w:val="20"/>
                <w:szCs w:val="20"/>
                <w:lang w:eastAsia="nl-NL"/>
              </w:rPr>
              <w:t>ment</w:t>
            </w:r>
            <w:proofErr w:type="spellEnd"/>
            <w:r w:rsidRPr="003E4F18">
              <w:rPr>
                <w:rFonts w:ascii="Arial" w:hAnsi="Arial" w:eastAsia="Times New Roman" w:cs="Arial"/>
                <w:color w:val="000000"/>
                <w:sz w:val="20"/>
                <w:szCs w:val="20"/>
                <w:lang w:eastAsia="nl-NL"/>
              </w:rPr>
              <w:t xml:space="preserve"> kiosken</w:t>
            </w:r>
          </w:p>
        </w:tc>
        <w:tc>
          <w:tcPr>
            <w:tcW w:w="613" w:type="pct"/>
            <w:tcBorders>
              <w:top w:val="nil"/>
              <w:left w:val="nil"/>
              <w:bottom w:val="single" w:color="000000" w:sz="8" w:space="0"/>
              <w:right w:val="nil"/>
            </w:tcBorders>
            <w:shd w:val="clear" w:color="D9D9D9" w:fill="D9D9D9"/>
            <w:noWrap/>
            <w:vAlign w:val="bottom"/>
            <w:hideMark/>
          </w:tcPr>
          <w:p w:rsidRPr="003E4F18" w:rsidR="00EC0EAA" w:rsidP="00EC0EAA" w:rsidRDefault="00EC0EAA" w14:paraId="2D629829" w14:textId="77777777">
            <w:pPr>
              <w:spacing w:after="0" w:line="240" w:lineRule="auto"/>
              <w:rPr>
                <w:rFonts w:ascii="Arial" w:hAnsi="Arial" w:eastAsia="Times New Roman" w:cs="Arial"/>
                <w:color w:val="000000"/>
                <w:sz w:val="20"/>
                <w:szCs w:val="20"/>
                <w:lang w:eastAsia="nl-NL"/>
              </w:rPr>
            </w:pPr>
            <w:r w:rsidRPr="003E4F18">
              <w:rPr>
                <w:rFonts w:ascii="Arial" w:hAnsi="Arial" w:eastAsia="Times New Roman" w:cs="Arial"/>
                <w:color w:val="000000"/>
                <w:sz w:val="20"/>
                <w:szCs w:val="20"/>
                <w:lang w:eastAsia="nl-NL"/>
              </w:rPr>
              <w:t xml:space="preserve"> €   1.500,00 </w:t>
            </w:r>
          </w:p>
        </w:tc>
      </w:tr>
    </w:tbl>
    <w:p w:rsidRPr="003E4F18" w:rsidR="00EC0EAA" w:rsidP="003D5A58" w:rsidRDefault="00EC0EAA" w14:paraId="2A84C980" w14:textId="77777777"/>
    <w:p w:rsidRPr="003E4F18" w:rsidR="00EC0EAA" w:rsidP="003D5A58" w:rsidRDefault="00EC0EAA" w14:paraId="17AC2EB1" w14:textId="77777777"/>
    <w:p w:rsidRPr="0043716C" w:rsidR="0086324F" w:rsidP="00AD2E6B" w:rsidRDefault="00D60BCC" w14:paraId="0C57932E" w14:textId="51E2C2CD">
      <w:r w:rsidRPr="003E4F18">
        <w:t>Noot bij samenloop met bestedingsplan KMar De rijksbijdrage aan EES op AAS Fase 2 vormt de technische ruggengraat van het grensproces waarop KMar zijn bevoegdheden uitoefent. Het sluit rechtstreeks aan op de KMar</w:t>
      </w:r>
      <w:r w:rsidRPr="003E4F18">
        <w:noBreakHyphen/>
        <w:t>doelen “Basis systemen en techniek op orde” en “Doorpakken en veiligheid vergroten”, en levert aantoonbare doelmatigheidswinst op door vermindering van balieafhankelijkheid, betere risicoselectie en hogere verwerkingscapaciteit met behoud van normconforme wachttijden. De evaluatie sluit aan bij de KMar</w:t>
      </w:r>
      <w:r w:rsidRPr="003E4F18">
        <w:noBreakHyphen/>
        <w:t>evaluatiecyclus, zodat effecten op inzet en handhaving integraal kunnen worden bezien.</w:t>
      </w:r>
    </w:p>
    <w:sectPr w:rsidRPr="0043716C" w:rsidR="0086324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F1C1" w14:textId="77777777" w:rsidR="00E8521A" w:rsidRPr="003E4F18" w:rsidRDefault="00E8521A" w:rsidP="00674954">
      <w:pPr>
        <w:spacing w:after="0" w:line="240" w:lineRule="auto"/>
      </w:pPr>
      <w:r w:rsidRPr="003E4F18">
        <w:separator/>
      </w:r>
    </w:p>
  </w:endnote>
  <w:endnote w:type="continuationSeparator" w:id="0">
    <w:p w14:paraId="673EF022" w14:textId="77777777" w:rsidR="00E8521A" w:rsidRPr="003E4F18" w:rsidRDefault="00E8521A" w:rsidP="00674954">
      <w:pPr>
        <w:spacing w:after="0" w:line="240" w:lineRule="auto"/>
      </w:pPr>
      <w:r w:rsidRPr="003E4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0B18" w14:textId="77777777" w:rsidR="00E8521A" w:rsidRPr="003E4F18" w:rsidRDefault="00E8521A" w:rsidP="00674954">
      <w:pPr>
        <w:spacing w:after="0" w:line="240" w:lineRule="auto"/>
      </w:pPr>
      <w:r w:rsidRPr="003E4F18">
        <w:separator/>
      </w:r>
    </w:p>
  </w:footnote>
  <w:footnote w:type="continuationSeparator" w:id="0">
    <w:p w14:paraId="0768B001" w14:textId="77777777" w:rsidR="00E8521A" w:rsidRPr="003E4F18" w:rsidRDefault="00E8521A" w:rsidP="00674954">
      <w:pPr>
        <w:spacing w:after="0" w:line="240" w:lineRule="auto"/>
      </w:pPr>
      <w:r w:rsidRPr="003E4F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C99"/>
    <w:multiLevelType w:val="multilevel"/>
    <w:tmpl w:val="9FD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636C"/>
    <w:multiLevelType w:val="multilevel"/>
    <w:tmpl w:val="F8F0A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731CB"/>
    <w:multiLevelType w:val="multilevel"/>
    <w:tmpl w:val="0A581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83F45"/>
    <w:multiLevelType w:val="multilevel"/>
    <w:tmpl w:val="D0700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F7ED6"/>
    <w:multiLevelType w:val="multilevel"/>
    <w:tmpl w:val="6776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C3BEA"/>
    <w:multiLevelType w:val="multilevel"/>
    <w:tmpl w:val="72E89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E4145"/>
    <w:multiLevelType w:val="multilevel"/>
    <w:tmpl w:val="4F5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61107"/>
    <w:multiLevelType w:val="hybridMultilevel"/>
    <w:tmpl w:val="B49EBA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8562EBE"/>
    <w:multiLevelType w:val="multilevel"/>
    <w:tmpl w:val="FA1E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01F8E"/>
    <w:multiLevelType w:val="hybridMultilevel"/>
    <w:tmpl w:val="621644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1D202D4"/>
    <w:multiLevelType w:val="hybridMultilevel"/>
    <w:tmpl w:val="99803C60"/>
    <w:lvl w:ilvl="0" w:tplc="91F86BB6">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BD1316"/>
    <w:multiLevelType w:val="multilevel"/>
    <w:tmpl w:val="CC98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41E53"/>
    <w:multiLevelType w:val="multilevel"/>
    <w:tmpl w:val="2E002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D0283"/>
    <w:multiLevelType w:val="multilevel"/>
    <w:tmpl w:val="13ACFD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BE1BBE"/>
    <w:multiLevelType w:val="multilevel"/>
    <w:tmpl w:val="1484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201CD"/>
    <w:multiLevelType w:val="multilevel"/>
    <w:tmpl w:val="999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94CA9"/>
    <w:multiLevelType w:val="hybridMultilevel"/>
    <w:tmpl w:val="74B60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71162A"/>
    <w:multiLevelType w:val="hybridMultilevel"/>
    <w:tmpl w:val="D548C6EA"/>
    <w:lvl w:ilvl="0" w:tplc="D85610E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091E3E"/>
    <w:multiLevelType w:val="hybridMultilevel"/>
    <w:tmpl w:val="7C9CD89A"/>
    <w:lvl w:ilvl="0" w:tplc="ADA2BB2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A30F7D"/>
    <w:multiLevelType w:val="multilevel"/>
    <w:tmpl w:val="D2B2A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4686B"/>
    <w:multiLevelType w:val="multilevel"/>
    <w:tmpl w:val="524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66845"/>
    <w:multiLevelType w:val="multilevel"/>
    <w:tmpl w:val="DCFEA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93114"/>
    <w:multiLevelType w:val="multilevel"/>
    <w:tmpl w:val="FEB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786817">
    <w:abstractNumId w:val="17"/>
  </w:num>
  <w:num w:numId="2" w16cid:durableId="1473138044">
    <w:abstractNumId w:val="10"/>
  </w:num>
  <w:num w:numId="3" w16cid:durableId="388458493">
    <w:abstractNumId w:val="6"/>
  </w:num>
  <w:num w:numId="4" w16cid:durableId="1076125696">
    <w:abstractNumId w:val="5"/>
  </w:num>
  <w:num w:numId="5" w16cid:durableId="2031174025">
    <w:abstractNumId w:val="8"/>
  </w:num>
  <w:num w:numId="6" w16cid:durableId="1603301226">
    <w:abstractNumId w:val="21"/>
  </w:num>
  <w:num w:numId="7" w16cid:durableId="224680644">
    <w:abstractNumId w:val="21"/>
    <w:lvlOverride w:ilvl="1">
      <w:startOverride w:val="2"/>
    </w:lvlOverride>
  </w:num>
  <w:num w:numId="8" w16cid:durableId="932401631">
    <w:abstractNumId w:val="21"/>
    <w:lvlOverride w:ilvl="1">
      <w:startOverride w:val="3"/>
    </w:lvlOverride>
  </w:num>
  <w:num w:numId="9" w16cid:durableId="994263535">
    <w:abstractNumId w:val="12"/>
  </w:num>
  <w:num w:numId="10" w16cid:durableId="582105034">
    <w:abstractNumId w:val="4"/>
  </w:num>
  <w:num w:numId="11" w16cid:durableId="1419518716">
    <w:abstractNumId w:val="19"/>
  </w:num>
  <w:num w:numId="12" w16cid:durableId="310866124">
    <w:abstractNumId w:val="15"/>
  </w:num>
  <w:num w:numId="13" w16cid:durableId="1676304107">
    <w:abstractNumId w:val="2"/>
  </w:num>
  <w:num w:numId="14" w16cid:durableId="1628470467">
    <w:abstractNumId w:val="11"/>
  </w:num>
  <w:num w:numId="15" w16cid:durableId="592320038">
    <w:abstractNumId w:val="1"/>
  </w:num>
  <w:num w:numId="16" w16cid:durableId="755201225">
    <w:abstractNumId w:val="20"/>
  </w:num>
  <w:num w:numId="17" w16cid:durableId="1516916768">
    <w:abstractNumId w:val="3"/>
  </w:num>
  <w:num w:numId="18" w16cid:durableId="2077244037">
    <w:abstractNumId w:val="0"/>
  </w:num>
  <w:num w:numId="19" w16cid:durableId="2001495408">
    <w:abstractNumId w:val="13"/>
  </w:num>
  <w:num w:numId="20" w16cid:durableId="1592543566">
    <w:abstractNumId w:val="14"/>
  </w:num>
  <w:num w:numId="21" w16cid:durableId="872696026">
    <w:abstractNumId w:val="22"/>
  </w:num>
  <w:num w:numId="22" w16cid:durableId="1985622795">
    <w:abstractNumId w:val="16"/>
  </w:num>
  <w:num w:numId="23" w16cid:durableId="1158613481">
    <w:abstractNumId w:val="18"/>
  </w:num>
  <w:num w:numId="24" w16cid:durableId="1867789709">
    <w:abstractNumId w:val="7"/>
  </w:num>
  <w:num w:numId="25" w16cid:durableId="1597329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54"/>
    <w:rsid w:val="00014B75"/>
    <w:rsid w:val="00015AD0"/>
    <w:rsid w:val="0003217B"/>
    <w:rsid w:val="000321F2"/>
    <w:rsid w:val="00032B00"/>
    <w:rsid w:val="00042486"/>
    <w:rsid w:val="00047701"/>
    <w:rsid w:val="000532D6"/>
    <w:rsid w:val="00055D51"/>
    <w:rsid w:val="00056904"/>
    <w:rsid w:val="000A0BBB"/>
    <w:rsid w:val="000D06C7"/>
    <w:rsid w:val="000D36B5"/>
    <w:rsid w:val="000D3985"/>
    <w:rsid w:val="000E6540"/>
    <w:rsid w:val="000F29FB"/>
    <w:rsid w:val="000F7678"/>
    <w:rsid w:val="001018BE"/>
    <w:rsid w:val="001434F5"/>
    <w:rsid w:val="001534E2"/>
    <w:rsid w:val="00155A1F"/>
    <w:rsid w:val="0017413D"/>
    <w:rsid w:val="00182E4C"/>
    <w:rsid w:val="00197AAA"/>
    <w:rsid w:val="001C2222"/>
    <w:rsid w:val="001D65D9"/>
    <w:rsid w:val="001E6A24"/>
    <w:rsid w:val="002149CC"/>
    <w:rsid w:val="002554DA"/>
    <w:rsid w:val="00263705"/>
    <w:rsid w:val="002666C5"/>
    <w:rsid w:val="00297397"/>
    <w:rsid w:val="002D570D"/>
    <w:rsid w:val="00310D4E"/>
    <w:rsid w:val="00316848"/>
    <w:rsid w:val="00340375"/>
    <w:rsid w:val="003543F1"/>
    <w:rsid w:val="003612AF"/>
    <w:rsid w:val="00367F4C"/>
    <w:rsid w:val="00384DD0"/>
    <w:rsid w:val="003931F6"/>
    <w:rsid w:val="00394166"/>
    <w:rsid w:val="00396258"/>
    <w:rsid w:val="003D5A58"/>
    <w:rsid w:val="003D5B54"/>
    <w:rsid w:val="003E4F18"/>
    <w:rsid w:val="003F4071"/>
    <w:rsid w:val="004002C7"/>
    <w:rsid w:val="004064F2"/>
    <w:rsid w:val="00411D23"/>
    <w:rsid w:val="0043716C"/>
    <w:rsid w:val="00442F09"/>
    <w:rsid w:val="004538E4"/>
    <w:rsid w:val="00466022"/>
    <w:rsid w:val="004A0B18"/>
    <w:rsid w:val="004A65EC"/>
    <w:rsid w:val="004A7D74"/>
    <w:rsid w:val="004B4572"/>
    <w:rsid w:val="004E10CE"/>
    <w:rsid w:val="004E392B"/>
    <w:rsid w:val="00517A5E"/>
    <w:rsid w:val="005375A2"/>
    <w:rsid w:val="00543D3D"/>
    <w:rsid w:val="00546125"/>
    <w:rsid w:val="00584048"/>
    <w:rsid w:val="0059088F"/>
    <w:rsid w:val="00591126"/>
    <w:rsid w:val="006272D7"/>
    <w:rsid w:val="00657B7B"/>
    <w:rsid w:val="006623D8"/>
    <w:rsid w:val="00674954"/>
    <w:rsid w:val="00676F83"/>
    <w:rsid w:val="00690487"/>
    <w:rsid w:val="00690BEA"/>
    <w:rsid w:val="006B21B0"/>
    <w:rsid w:val="006C5A63"/>
    <w:rsid w:val="006E3D23"/>
    <w:rsid w:val="006E4676"/>
    <w:rsid w:val="00704515"/>
    <w:rsid w:val="00711C19"/>
    <w:rsid w:val="007323BF"/>
    <w:rsid w:val="00744690"/>
    <w:rsid w:val="007604C7"/>
    <w:rsid w:val="0076443D"/>
    <w:rsid w:val="00790721"/>
    <w:rsid w:val="007A0FDE"/>
    <w:rsid w:val="007B455B"/>
    <w:rsid w:val="007C512E"/>
    <w:rsid w:val="007D7D83"/>
    <w:rsid w:val="00820715"/>
    <w:rsid w:val="0086324F"/>
    <w:rsid w:val="00891373"/>
    <w:rsid w:val="008D3718"/>
    <w:rsid w:val="008F0F98"/>
    <w:rsid w:val="00916DCB"/>
    <w:rsid w:val="00972D72"/>
    <w:rsid w:val="009B00C1"/>
    <w:rsid w:val="009B0CA9"/>
    <w:rsid w:val="009B1F8B"/>
    <w:rsid w:val="009C4494"/>
    <w:rsid w:val="009E4007"/>
    <w:rsid w:val="009F330B"/>
    <w:rsid w:val="00A01ABB"/>
    <w:rsid w:val="00A23BF5"/>
    <w:rsid w:val="00A64F7F"/>
    <w:rsid w:val="00A90AFF"/>
    <w:rsid w:val="00AB3EAA"/>
    <w:rsid w:val="00AD2E6B"/>
    <w:rsid w:val="00AD3FDD"/>
    <w:rsid w:val="00B06701"/>
    <w:rsid w:val="00B1362F"/>
    <w:rsid w:val="00B21176"/>
    <w:rsid w:val="00B32145"/>
    <w:rsid w:val="00B4322F"/>
    <w:rsid w:val="00B870E4"/>
    <w:rsid w:val="00BA3312"/>
    <w:rsid w:val="00BB1639"/>
    <w:rsid w:val="00BB2E50"/>
    <w:rsid w:val="00BC2543"/>
    <w:rsid w:val="00BC7D09"/>
    <w:rsid w:val="00BD00FD"/>
    <w:rsid w:val="00BD2E41"/>
    <w:rsid w:val="00BD3BE5"/>
    <w:rsid w:val="00BE330F"/>
    <w:rsid w:val="00BE41A7"/>
    <w:rsid w:val="00C1596E"/>
    <w:rsid w:val="00C17583"/>
    <w:rsid w:val="00C228F5"/>
    <w:rsid w:val="00C54D0C"/>
    <w:rsid w:val="00C562A1"/>
    <w:rsid w:val="00C56E4C"/>
    <w:rsid w:val="00C94A1D"/>
    <w:rsid w:val="00CF71D5"/>
    <w:rsid w:val="00D25960"/>
    <w:rsid w:val="00D4039B"/>
    <w:rsid w:val="00D60BCC"/>
    <w:rsid w:val="00D64E80"/>
    <w:rsid w:val="00D93C2B"/>
    <w:rsid w:val="00DC4DA2"/>
    <w:rsid w:val="00E27624"/>
    <w:rsid w:val="00E66F3E"/>
    <w:rsid w:val="00E75528"/>
    <w:rsid w:val="00E8521A"/>
    <w:rsid w:val="00EA2A40"/>
    <w:rsid w:val="00EB5636"/>
    <w:rsid w:val="00EC0CC3"/>
    <w:rsid w:val="00EC0EAA"/>
    <w:rsid w:val="00EE52C4"/>
    <w:rsid w:val="00EE62EF"/>
    <w:rsid w:val="00F123FD"/>
    <w:rsid w:val="00F20094"/>
    <w:rsid w:val="00F43115"/>
    <w:rsid w:val="00F462AA"/>
    <w:rsid w:val="00F62752"/>
    <w:rsid w:val="00F76B20"/>
    <w:rsid w:val="00FA5187"/>
    <w:rsid w:val="00FC78F3"/>
    <w:rsid w:val="00FE216C"/>
    <w:rsid w:val="00FF4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7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674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749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67495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6749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954"/>
    <w:rPr>
      <w:lang w:val="nl-NL"/>
    </w:rPr>
  </w:style>
  <w:style w:type="paragraph" w:styleId="Voettekst">
    <w:name w:val="footer"/>
    <w:basedOn w:val="Standaard"/>
    <w:link w:val="VoettekstChar"/>
    <w:uiPriority w:val="99"/>
    <w:unhideWhenUsed/>
    <w:rsid w:val="006749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954"/>
    <w:rPr>
      <w:lang w:val="nl-NL"/>
    </w:rPr>
  </w:style>
  <w:style w:type="character" w:customStyle="1" w:styleId="Kop1Char">
    <w:name w:val="Kop 1 Char"/>
    <w:basedOn w:val="Standaardalinea-lettertype"/>
    <w:link w:val="Kop1"/>
    <w:uiPriority w:val="9"/>
    <w:rsid w:val="00674954"/>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674954"/>
    <w:rPr>
      <w:rFonts w:asciiTheme="majorHAnsi" w:eastAsiaTheme="majorEastAsia" w:hAnsiTheme="majorHAnsi" w:cstheme="majorBidi"/>
      <w:color w:val="2E74B5" w:themeColor="accent1" w:themeShade="BF"/>
      <w:sz w:val="26"/>
      <w:szCs w:val="26"/>
      <w:lang w:val="nl-NL"/>
    </w:rPr>
  </w:style>
  <w:style w:type="paragraph" w:styleId="Lijstalinea">
    <w:name w:val="List Paragraph"/>
    <w:basedOn w:val="Standaard"/>
    <w:uiPriority w:val="34"/>
    <w:qFormat/>
    <w:rsid w:val="00C17583"/>
    <w:pPr>
      <w:ind w:left="720"/>
      <w:contextualSpacing/>
    </w:pPr>
  </w:style>
  <w:style w:type="paragraph" w:customStyle="1" w:styleId="Default">
    <w:name w:val="Default"/>
    <w:rsid w:val="000F7678"/>
    <w:pPr>
      <w:autoSpaceDE w:val="0"/>
      <w:autoSpaceDN w:val="0"/>
      <w:adjustRightInd w:val="0"/>
      <w:spacing w:after="0" w:line="240" w:lineRule="auto"/>
    </w:pPr>
    <w:rPr>
      <w:rFonts w:ascii="Calibri" w:hAnsi="Calibri" w:cs="Calibri"/>
      <w:color w:val="000000"/>
      <w:sz w:val="24"/>
      <w:szCs w:val="24"/>
      <w:lang w:val="nl-NL"/>
    </w:rPr>
  </w:style>
  <w:style w:type="paragraph" w:styleId="Voetnoottekst">
    <w:name w:val="footnote text"/>
    <w:basedOn w:val="Standaard"/>
    <w:link w:val="VoetnoottekstChar"/>
    <w:uiPriority w:val="99"/>
    <w:unhideWhenUsed/>
    <w:rsid w:val="00340375"/>
    <w:pPr>
      <w:spacing w:after="0" w:line="240" w:lineRule="auto"/>
    </w:pPr>
    <w:rPr>
      <w:sz w:val="20"/>
      <w:szCs w:val="20"/>
    </w:rPr>
  </w:style>
  <w:style w:type="character" w:customStyle="1" w:styleId="VoetnoottekstChar">
    <w:name w:val="Voetnoottekst Char"/>
    <w:basedOn w:val="Standaardalinea-lettertype"/>
    <w:link w:val="Voetnoottekst"/>
    <w:uiPriority w:val="99"/>
    <w:rsid w:val="00340375"/>
    <w:rPr>
      <w:sz w:val="20"/>
      <w:szCs w:val="20"/>
      <w:lang w:val="nl-NL"/>
    </w:rPr>
  </w:style>
  <w:style w:type="character" w:styleId="Voetnootmarkering">
    <w:name w:val="footnote reference"/>
    <w:basedOn w:val="Standaardalinea-lettertype"/>
    <w:rsid w:val="00340375"/>
    <w:rPr>
      <w:vertAlign w:val="superscript"/>
    </w:rPr>
  </w:style>
  <w:style w:type="paragraph" w:styleId="Revisie">
    <w:name w:val="Revision"/>
    <w:hidden/>
    <w:uiPriority w:val="99"/>
    <w:semiHidden/>
    <w:rsid w:val="00F43115"/>
    <w:pPr>
      <w:spacing w:after="0" w:line="240" w:lineRule="auto"/>
    </w:pPr>
    <w:rPr>
      <w:lang w:val="nl-NL"/>
    </w:rPr>
  </w:style>
  <w:style w:type="character" w:styleId="Verwijzingopmerking">
    <w:name w:val="annotation reference"/>
    <w:basedOn w:val="Standaardalinea-lettertype"/>
    <w:uiPriority w:val="99"/>
    <w:semiHidden/>
    <w:unhideWhenUsed/>
    <w:rsid w:val="00F43115"/>
    <w:rPr>
      <w:sz w:val="16"/>
      <w:szCs w:val="16"/>
    </w:rPr>
  </w:style>
  <w:style w:type="paragraph" w:styleId="Tekstopmerking">
    <w:name w:val="annotation text"/>
    <w:basedOn w:val="Standaard"/>
    <w:link w:val="TekstopmerkingChar"/>
    <w:uiPriority w:val="99"/>
    <w:unhideWhenUsed/>
    <w:rsid w:val="00F43115"/>
    <w:pPr>
      <w:spacing w:line="240" w:lineRule="auto"/>
    </w:pPr>
    <w:rPr>
      <w:sz w:val="20"/>
      <w:szCs w:val="20"/>
    </w:rPr>
  </w:style>
  <w:style w:type="character" w:customStyle="1" w:styleId="TekstopmerkingChar">
    <w:name w:val="Tekst opmerking Char"/>
    <w:basedOn w:val="Standaardalinea-lettertype"/>
    <w:link w:val="Tekstopmerking"/>
    <w:uiPriority w:val="99"/>
    <w:rsid w:val="00F4311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43115"/>
    <w:rPr>
      <w:b/>
      <w:bCs/>
    </w:rPr>
  </w:style>
  <w:style w:type="character" w:customStyle="1" w:styleId="OnderwerpvanopmerkingChar">
    <w:name w:val="Onderwerp van opmerking Char"/>
    <w:basedOn w:val="TekstopmerkingChar"/>
    <w:link w:val="Onderwerpvanopmerking"/>
    <w:uiPriority w:val="99"/>
    <w:semiHidden/>
    <w:rsid w:val="00F43115"/>
    <w:rPr>
      <w:b/>
      <w:bCs/>
      <w:sz w:val="20"/>
      <w:szCs w:val="20"/>
      <w:lang w:val="nl-NL"/>
    </w:rPr>
  </w:style>
  <w:style w:type="character" w:styleId="Hyperlink">
    <w:name w:val="Hyperlink"/>
    <w:basedOn w:val="Standaardalinea-lettertype"/>
    <w:uiPriority w:val="99"/>
    <w:semiHidden/>
    <w:unhideWhenUsed/>
    <w:rsid w:val="00FC78F3"/>
    <w:rPr>
      <w:color w:val="0000FF"/>
      <w:u w:val="single"/>
    </w:rPr>
  </w:style>
  <w:style w:type="character" w:styleId="GevolgdeHyperlink">
    <w:name w:val="FollowedHyperlink"/>
    <w:basedOn w:val="Standaardalinea-lettertype"/>
    <w:uiPriority w:val="99"/>
    <w:semiHidden/>
    <w:unhideWhenUsed/>
    <w:rsid w:val="00FC78F3"/>
    <w:rPr>
      <w:color w:val="954F72" w:themeColor="followedHyperlink"/>
      <w:u w:val="single"/>
    </w:rPr>
  </w:style>
  <w:style w:type="paragraph" w:styleId="Bijschrift">
    <w:name w:val="caption"/>
    <w:basedOn w:val="Standaard"/>
    <w:next w:val="Standaard"/>
    <w:uiPriority w:val="35"/>
    <w:unhideWhenUsed/>
    <w:qFormat/>
    <w:rsid w:val="00EC0EAA"/>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920">
      <w:bodyDiv w:val="1"/>
      <w:marLeft w:val="0"/>
      <w:marRight w:val="0"/>
      <w:marTop w:val="0"/>
      <w:marBottom w:val="0"/>
      <w:divBdr>
        <w:top w:val="none" w:sz="0" w:space="0" w:color="auto"/>
        <w:left w:val="none" w:sz="0" w:space="0" w:color="auto"/>
        <w:bottom w:val="none" w:sz="0" w:space="0" w:color="auto"/>
        <w:right w:val="none" w:sz="0" w:space="0" w:color="auto"/>
      </w:divBdr>
    </w:div>
    <w:div w:id="98380650">
      <w:bodyDiv w:val="1"/>
      <w:marLeft w:val="0"/>
      <w:marRight w:val="0"/>
      <w:marTop w:val="0"/>
      <w:marBottom w:val="0"/>
      <w:divBdr>
        <w:top w:val="none" w:sz="0" w:space="0" w:color="auto"/>
        <w:left w:val="none" w:sz="0" w:space="0" w:color="auto"/>
        <w:bottom w:val="none" w:sz="0" w:space="0" w:color="auto"/>
        <w:right w:val="none" w:sz="0" w:space="0" w:color="auto"/>
      </w:divBdr>
    </w:div>
    <w:div w:id="156577541">
      <w:bodyDiv w:val="1"/>
      <w:marLeft w:val="0"/>
      <w:marRight w:val="0"/>
      <w:marTop w:val="0"/>
      <w:marBottom w:val="0"/>
      <w:divBdr>
        <w:top w:val="none" w:sz="0" w:space="0" w:color="auto"/>
        <w:left w:val="none" w:sz="0" w:space="0" w:color="auto"/>
        <w:bottom w:val="none" w:sz="0" w:space="0" w:color="auto"/>
        <w:right w:val="none" w:sz="0" w:space="0" w:color="auto"/>
      </w:divBdr>
    </w:div>
    <w:div w:id="393701284">
      <w:bodyDiv w:val="1"/>
      <w:marLeft w:val="0"/>
      <w:marRight w:val="0"/>
      <w:marTop w:val="0"/>
      <w:marBottom w:val="0"/>
      <w:divBdr>
        <w:top w:val="none" w:sz="0" w:space="0" w:color="auto"/>
        <w:left w:val="none" w:sz="0" w:space="0" w:color="auto"/>
        <w:bottom w:val="none" w:sz="0" w:space="0" w:color="auto"/>
        <w:right w:val="none" w:sz="0" w:space="0" w:color="auto"/>
      </w:divBdr>
    </w:div>
    <w:div w:id="1157652986">
      <w:bodyDiv w:val="1"/>
      <w:marLeft w:val="0"/>
      <w:marRight w:val="0"/>
      <w:marTop w:val="0"/>
      <w:marBottom w:val="0"/>
      <w:divBdr>
        <w:top w:val="none" w:sz="0" w:space="0" w:color="auto"/>
        <w:left w:val="none" w:sz="0" w:space="0" w:color="auto"/>
        <w:bottom w:val="none" w:sz="0" w:space="0" w:color="auto"/>
        <w:right w:val="none" w:sz="0" w:space="0" w:color="auto"/>
      </w:divBdr>
    </w:div>
    <w:div w:id="1207723014">
      <w:bodyDiv w:val="1"/>
      <w:marLeft w:val="0"/>
      <w:marRight w:val="0"/>
      <w:marTop w:val="0"/>
      <w:marBottom w:val="0"/>
      <w:divBdr>
        <w:top w:val="none" w:sz="0" w:space="0" w:color="auto"/>
        <w:left w:val="none" w:sz="0" w:space="0" w:color="auto"/>
        <w:bottom w:val="none" w:sz="0" w:space="0" w:color="auto"/>
        <w:right w:val="none" w:sz="0" w:space="0" w:color="auto"/>
      </w:divBdr>
    </w:div>
    <w:div w:id="1477599782">
      <w:bodyDiv w:val="1"/>
      <w:marLeft w:val="0"/>
      <w:marRight w:val="0"/>
      <w:marTop w:val="0"/>
      <w:marBottom w:val="0"/>
      <w:divBdr>
        <w:top w:val="none" w:sz="0" w:space="0" w:color="auto"/>
        <w:left w:val="none" w:sz="0" w:space="0" w:color="auto"/>
        <w:bottom w:val="none" w:sz="0" w:space="0" w:color="auto"/>
        <w:right w:val="none" w:sz="0" w:space="0" w:color="auto"/>
      </w:divBdr>
    </w:div>
    <w:div w:id="15277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1017</ap:Words>
  <ap:Characters>5594</ap:Characters>
  <ap:DocSecurity>0</ap:DocSecurity>
  <ap:Lines>46</ap:Lines>
  <ap:Paragraphs>13</ap:Paragraphs>
  <ap:ScaleCrop>false</ap:ScaleCrop>
  <ap:LinksUpToDate>false</ap:LinksUpToDate>
  <ap:CharactersWithSpaces>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2026-06-22T13:14:00.0000000Z</dcterms:created>
  <dcterms:modified xsi:type="dcterms:W3CDTF">2026-06-22T13:14:00.0000000Z</dcterms:modified>
  <version/>
  <category/>
</coreProperties>
</file>