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2E47" w:rsidR="003C60DB" w:rsidP="00E32E47" w:rsidRDefault="003C60DB" w14:paraId="4FC8BD95" w14:textId="77777777">
      <w:pPr>
        <w:spacing w:line="276" w:lineRule="auto"/>
      </w:pPr>
    </w:p>
    <w:p w:rsidR="007D0381" w:rsidP="00E32E47" w:rsidRDefault="003C60DB" w14:paraId="2083463F" w14:textId="77777777">
      <w:pPr>
        <w:spacing w:line="276" w:lineRule="auto"/>
      </w:pPr>
      <w:r w:rsidRPr="00E32E47">
        <w:t xml:space="preserve">Hierbij bieden wij, mede namens de minister van Binnenlandse Zaken en Koninkrijksrelaties, uw Kamer het verslag aan van de Raad Justitie en Binnenlandse Zaken (JBZ-Raad) van 4-5 juni 2026 in Luxemburg. </w:t>
      </w:r>
    </w:p>
    <w:p w:rsidR="007D0381" w:rsidP="00E32E47" w:rsidRDefault="007D0381" w14:paraId="58D7A7DF" w14:textId="77777777">
      <w:pPr>
        <w:spacing w:line="276" w:lineRule="auto"/>
      </w:pPr>
    </w:p>
    <w:p w:rsidR="007D0381" w:rsidP="007D0381" w:rsidRDefault="007D0381" w14:paraId="59768CE3" w14:textId="66611519">
      <w:pPr>
        <w:rPr>
          <w:rFonts w:eastAsia="Aptos" w:cs="Times New Roman"/>
          <w:u w:val="single"/>
        </w:rPr>
      </w:pPr>
      <w:r>
        <w:t xml:space="preserve">Daarnaast ontvangt uw Kamer een appreciatie van het Staat van Schengenrapport 2026 alsmede een reactie op de Opinie van de Commissie </w:t>
      </w:r>
      <w:r w:rsidRPr="007D0381">
        <w:rPr>
          <w:rFonts w:eastAsia="Aptos" w:cs="Times New Roman"/>
        </w:rPr>
        <w:t>over de noodzakelijkheid en proportionaliteit van de herinvoering van de binnengrenscontroles.</w:t>
      </w:r>
    </w:p>
    <w:p w:rsidR="007D0381" w:rsidP="007D0381" w:rsidRDefault="007D0381" w14:paraId="3D421732" w14:textId="77777777">
      <w:pPr>
        <w:rPr>
          <w:rFonts w:eastAsia="Aptos" w:cs="Times New Roman"/>
          <w:u w:val="single"/>
        </w:rPr>
      </w:pPr>
    </w:p>
    <w:p w:rsidR="003C60DB" w:rsidP="00E32E47" w:rsidRDefault="003C60DB" w14:paraId="0E089486" w14:textId="65EB1843">
      <w:pPr>
        <w:spacing w:line="276" w:lineRule="auto"/>
      </w:pPr>
      <w:r w:rsidRPr="00E32E47">
        <w:t>Ook informeren wij uw Kamer</w:t>
      </w:r>
      <w:r w:rsidR="007D0381">
        <w:t xml:space="preserve"> hieronder</w:t>
      </w:r>
      <w:r w:rsidRPr="00E32E47">
        <w:t xml:space="preserve"> over </w:t>
      </w:r>
      <w:r w:rsidR="00A45C6B">
        <w:t>een aantal aanvullende onderwerpen op het terrein van JBZ- en internationale samenwerking.</w:t>
      </w:r>
    </w:p>
    <w:p w:rsidR="00A45C6B" w:rsidP="00E32E47" w:rsidRDefault="00A45C6B" w14:paraId="2B5C46B9" w14:textId="77777777">
      <w:pPr>
        <w:spacing w:line="276" w:lineRule="auto"/>
      </w:pPr>
    </w:p>
    <w:p w:rsidRPr="00A45C6B" w:rsidR="00A45C6B" w:rsidP="00E32E47" w:rsidRDefault="00A45C6B" w14:paraId="009F17C0" w14:textId="1C52A9E9">
      <w:pPr>
        <w:spacing w:line="276" w:lineRule="auto"/>
        <w:rPr>
          <w:b/>
          <w:bCs/>
          <w:i/>
          <w:iCs/>
        </w:rPr>
      </w:pPr>
      <w:r>
        <w:rPr>
          <w:b/>
          <w:bCs/>
        </w:rPr>
        <w:t>Bijeenkomsten en marge van de JBZ-Raad</w:t>
      </w:r>
    </w:p>
    <w:p w:rsidRPr="00295C50" w:rsidR="00A45C6B" w:rsidP="00A45C6B" w:rsidRDefault="00A45C6B" w14:paraId="517672D3" w14:textId="558A6874">
      <w:pPr>
        <w:spacing w:line="276" w:lineRule="auto"/>
        <w:rPr>
          <w:u w:val="single"/>
        </w:rPr>
      </w:pPr>
      <w:r w:rsidRPr="00295C50">
        <w:rPr>
          <w:u w:val="single"/>
        </w:rPr>
        <w:t>28ste regime (EU Inc.)</w:t>
      </w:r>
    </w:p>
    <w:p w:rsidRPr="00E32E47" w:rsidR="00A45C6B" w:rsidP="00A45C6B" w:rsidRDefault="00A45C6B" w14:paraId="481FE364" w14:textId="69E547FD">
      <w:pPr>
        <w:spacing w:line="276" w:lineRule="auto"/>
        <w:rPr>
          <w:i/>
          <w:iCs/>
        </w:rPr>
      </w:pPr>
      <w:r w:rsidRPr="00E32E47">
        <w:t>En marge van de JBZ-Raad v</w:t>
      </w:r>
      <w:r>
        <w:t>ond op</w:t>
      </w:r>
      <w:r w:rsidRPr="00E32E47">
        <w:t xml:space="preserve"> 5 juni jl. een werkontbijt plaats met tien lidstaten, georganiseerd door Duitsland, ter bespreking van het recent gepubliceerde Commissievoorstel voor een 28</w:t>
      </w:r>
      <w:r w:rsidRPr="00E32E47">
        <w:rPr>
          <w:vertAlign w:val="superscript"/>
        </w:rPr>
        <w:t>ste</w:t>
      </w:r>
      <w:r w:rsidRPr="00E32E47">
        <w:t xml:space="preserve"> regime (EU Inc.).</w:t>
      </w:r>
    </w:p>
    <w:p w:rsidRPr="00E32E47" w:rsidR="00A45C6B" w:rsidP="00A45C6B" w:rsidRDefault="00A45C6B" w14:paraId="0A634BE6" w14:textId="77777777">
      <w:pPr>
        <w:spacing w:line="276" w:lineRule="auto"/>
        <w:rPr>
          <w:i/>
          <w:iCs/>
        </w:rPr>
      </w:pPr>
    </w:p>
    <w:p w:rsidRPr="00E32E47" w:rsidR="00A45C6B" w:rsidP="00A45C6B" w:rsidRDefault="00A45C6B" w14:paraId="652CDA7E" w14:textId="5150F829">
      <w:pPr>
        <w:spacing w:line="276" w:lineRule="auto"/>
      </w:pPr>
      <w:r w:rsidRPr="00E32E47">
        <w:t>De deelnemende lidstaten waren het eens dat het voorstel voor een 28</w:t>
      </w:r>
      <w:r w:rsidRPr="00E32E47">
        <w:rPr>
          <w:vertAlign w:val="superscript"/>
        </w:rPr>
        <w:t>ste</w:t>
      </w:r>
      <w:r w:rsidRPr="00E32E47">
        <w:t xml:space="preserve"> regime een belangrijke bijdrage levert aan het versterken van het concurrentievermogen en de innovatiekracht van de Europese Unie. Er werd benadrukt dat het belangrijk is dat de doelstellingen van het voorstel in balans worden gebracht met sociale rechten en in dat verband wees een enkele lidstaat op het belang van medezeggenschap en het waarborgen van respect voor nationale stelsels.</w:t>
      </w:r>
    </w:p>
    <w:p w:rsidRPr="00E32E47" w:rsidR="00A45C6B" w:rsidP="00A45C6B" w:rsidRDefault="00A45C6B" w14:paraId="04C701FF" w14:textId="10923845">
      <w:pPr>
        <w:spacing w:line="276" w:lineRule="auto"/>
      </w:pPr>
      <w:r w:rsidRPr="00E32E47">
        <w:t>Nederland bracht het standpunt naar voren zoals opgenomen in het BNC-fiche dat op 24 april jl. met uw Kamer is gedeeld</w:t>
      </w:r>
      <w:r w:rsidRPr="00E32E47">
        <w:rPr>
          <w:rStyle w:val="Voetnootmarkering"/>
        </w:rPr>
        <w:footnoteReference w:id="1"/>
      </w:r>
      <w:r w:rsidRPr="00E32E47">
        <w:t xml:space="preserve"> en heeft aandacht gevraagd voor het Benelux non-paper.</w:t>
      </w:r>
      <w:r w:rsidRPr="00E32E47">
        <w:rPr>
          <w:rStyle w:val="Voetnootmarkering"/>
        </w:rPr>
        <w:footnoteReference w:id="2"/>
      </w:r>
    </w:p>
    <w:p w:rsidRPr="00295C50" w:rsidR="00A45C6B" w:rsidP="00A45C6B" w:rsidRDefault="00A45C6B" w14:paraId="61A44E87" w14:textId="77777777">
      <w:pPr>
        <w:spacing w:line="276" w:lineRule="auto"/>
        <w:rPr>
          <w:u w:val="single"/>
        </w:rPr>
      </w:pPr>
    </w:p>
    <w:p w:rsidRPr="00295C50" w:rsidR="00A45C6B" w:rsidP="00A45C6B" w:rsidRDefault="00A45C6B" w14:paraId="2829C321" w14:textId="77777777">
      <w:pPr>
        <w:rPr>
          <w:rFonts w:eastAsia="Aptos" w:cs="Times New Roman"/>
          <w:u w:val="single"/>
        </w:rPr>
      </w:pPr>
      <w:r w:rsidRPr="00295C50">
        <w:rPr>
          <w:rFonts w:eastAsia="Aptos" w:cs="Times New Roman"/>
          <w:u w:val="single"/>
        </w:rPr>
        <w:t xml:space="preserve">Kopgroep operationaliseren terugkeerhubs </w:t>
      </w:r>
    </w:p>
    <w:p w:rsidR="00A45C6B" w:rsidP="00A45C6B" w:rsidRDefault="00A45C6B" w14:paraId="652FA021" w14:textId="5184A75E">
      <w:pPr>
        <w:rPr>
          <w:rFonts w:eastAsia="Aptos" w:cs="Times New Roman"/>
        </w:rPr>
      </w:pPr>
      <w:r w:rsidRPr="000B4BEF">
        <w:rPr>
          <w:rFonts w:eastAsia="Aptos" w:cs="Times New Roman"/>
        </w:rPr>
        <w:t xml:space="preserve">En marge van de JBZ-raad kwam een kopgroep, bestaande uit Denenmarken, Duitsland, Griekenland, Oostenrijk en Nederland en de Europese Commissie, voor een derde keer bijeen om concrete afspraken te maken over de verkenning naar </w:t>
      </w:r>
      <w:r>
        <w:rPr>
          <w:rFonts w:eastAsia="Aptos" w:cs="Times New Roman"/>
        </w:rPr>
        <w:t>de</w:t>
      </w:r>
      <w:r w:rsidRPr="000B4BEF">
        <w:rPr>
          <w:rFonts w:eastAsia="Aptos" w:cs="Times New Roman"/>
        </w:rPr>
        <w:t xml:space="preserve"> gezamenlijk ontwikkeling van een </w:t>
      </w:r>
      <w:proofErr w:type="spellStart"/>
      <w:r w:rsidRPr="000B4BEF">
        <w:rPr>
          <w:rFonts w:eastAsia="Aptos" w:cs="Times New Roman"/>
        </w:rPr>
        <w:t>terugkeerhub</w:t>
      </w:r>
      <w:proofErr w:type="spellEnd"/>
      <w:r w:rsidRPr="000B4BEF">
        <w:rPr>
          <w:rFonts w:eastAsia="Aptos" w:cs="Times New Roman"/>
        </w:rPr>
        <w:t xml:space="preserve">. In dit kader sprak de </w:t>
      </w:r>
      <w:r>
        <w:rPr>
          <w:rFonts w:eastAsia="Aptos" w:cs="Times New Roman"/>
        </w:rPr>
        <w:t>m</w:t>
      </w:r>
      <w:r w:rsidRPr="000B4BEF">
        <w:rPr>
          <w:rFonts w:eastAsia="Aptos" w:cs="Times New Roman"/>
        </w:rPr>
        <w:t>inister van Asiel en Migratie name</w:t>
      </w:r>
      <w:r>
        <w:rPr>
          <w:rFonts w:eastAsia="Aptos" w:cs="Times New Roman"/>
        </w:rPr>
        <w:t>n</w:t>
      </w:r>
      <w:r w:rsidRPr="000B4BEF">
        <w:rPr>
          <w:rFonts w:eastAsia="Aptos" w:cs="Times New Roman"/>
        </w:rPr>
        <w:t>s Nederland en de andere aanwezig</w:t>
      </w:r>
      <w:r>
        <w:rPr>
          <w:rFonts w:eastAsia="Aptos" w:cs="Times New Roman"/>
        </w:rPr>
        <w:t>en</w:t>
      </w:r>
      <w:r w:rsidRPr="000B4BEF">
        <w:rPr>
          <w:rFonts w:eastAsia="Aptos" w:cs="Times New Roman"/>
        </w:rPr>
        <w:t xml:space="preserve"> waardering uit </w:t>
      </w:r>
      <w:r w:rsidRPr="000B4BEF">
        <w:rPr>
          <w:rFonts w:eastAsia="Aptos" w:cs="Times New Roman"/>
        </w:rPr>
        <w:lastRenderedPageBreak/>
        <w:t xml:space="preserve">voor het politiek akkoord wat is bereikt op de terugkeerverordening op </w:t>
      </w:r>
      <w:r>
        <w:rPr>
          <w:rFonts w:eastAsia="Aptos" w:cs="Times New Roman"/>
        </w:rPr>
        <w:t>1 juni jl</w:t>
      </w:r>
      <w:r w:rsidR="0010473B">
        <w:rPr>
          <w:rFonts w:eastAsia="Aptos" w:cs="Times New Roman"/>
        </w:rPr>
        <w:t>.</w:t>
      </w:r>
      <w:r>
        <w:rPr>
          <w:rStyle w:val="Voetnootmarkering"/>
          <w:rFonts w:eastAsia="Aptos" w:cs="Times New Roman"/>
        </w:rPr>
        <w:footnoteReference w:id="3"/>
      </w:r>
      <w:r w:rsidRPr="000B4BEF">
        <w:rPr>
          <w:rFonts w:eastAsia="Aptos" w:cs="Times New Roman"/>
        </w:rPr>
        <w:t xml:space="preserve"> Dit politiek akkoord creëert bij implementatie een explicietere grond voor de </w:t>
      </w:r>
      <w:proofErr w:type="spellStart"/>
      <w:r w:rsidRPr="000B4BEF">
        <w:rPr>
          <w:rFonts w:eastAsia="Aptos" w:cs="Times New Roman"/>
        </w:rPr>
        <w:t>terugkeerhub</w:t>
      </w:r>
      <w:proofErr w:type="spellEnd"/>
      <w:r w:rsidRPr="000B4BEF">
        <w:rPr>
          <w:rFonts w:eastAsia="Aptos" w:cs="Times New Roman"/>
        </w:rPr>
        <w:t xml:space="preserve">. Ten aanzien van de gezamenlijke verkenning van een </w:t>
      </w:r>
      <w:proofErr w:type="spellStart"/>
      <w:r w:rsidRPr="000B4BEF">
        <w:rPr>
          <w:rFonts w:eastAsia="Aptos" w:cs="Times New Roman"/>
        </w:rPr>
        <w:t>terugkeerhub</w:t>
      </w:r>
      <w:proofErr w:type="spellEnd"/>
      <w:r w:rsidRPr="000B4BEF">
        <w:rPr>
          <w:rFonts w:eastAsia="Aptos" w:cs="Times New Roman"/>
        </w:rPr>
        <w:t xml:space="preserve"> benadrukte de lidstaten dat zij de gecoördineerde dialogen met mogelijke partnerlanden continueren</w:t>
      </w:r>
      <w:r>
        <w:rPr>
          <w:rFonts w:eastAsia="Aptos" w:cs="Times New Roman"/>
        </w:rPr>
        <w:t>, met als doel voor het einde van het jaar concrete voortgang te kunnen laten zien</w:t>
      </w:r>
      <w:r w:rsidRPr="000B4BEF">
        <w:rPr>
          <w:rFonts w:eastAsia="Aptos" w:cs="Times New Roman"/>
        </w:rPr>
        <w:t xml:space="preserve">. Ook herhaalde de aanwezigen nogmaals het belang van het vroeg betrekken van internationale organisaties waaronder IOM en UNHCR. </w:t>
      </w:r>
      <w:r>
        <w:rPr>
          <w:rFonts w:eastAsia="Aptos" w:cs="Times New Roman"/>
        </w:rPr>
        <w:t>Uw Kamer wordt doorlopend geïnformeerd over de voortgang van de gesprekken met de landen in deze kopgroep. Daarmee geeft het kabinet invulling aan de toezegging van de minister van Asiel en Migratie</w:t>
      </w:r>
      <w:r>
        <w:rPr>
          <w:rStyle w:val="Voetnootmarkering"/>
          <w:rFonts w:eastAsia="Aptos" w:cs="Times New Roman"/>
        </w:rPr>
        <w:footnoteReference w:id="4"/>
      </w:r>
      <w:r>
        <w:rPr>
          <w:rFonts w:eastAsia="Aptos" w:cs="Times New Roman"/>
        </w:rPr>
        <w:t xml:space="preserve"> om de Kamer te informeren over de gesprekken met de landen uit de kopgroep over terugkeerhubs.</w:t>
      </w:r>
      <w:r>
        <w:rPr>
          <w:rFonts w:eastAsia="Aptos" w:cs="Times New Roman"/>
        </w:rPr>
        <w:br/>
      </w:r>
    </w:p>
    <w:p w:rsidR="00A45C6B" w:rsidP="00A45C6B" w:rsidRDefault="00A45C6B" w14:paraId="6F1EF557" w14:textId="77777777">
      <w:pPr>
        <w:rPr>
          <w:rFonts w:eastAsia="Aptos" w:cs="Times New Roman"/>
        </w:rPr>
      </w:pPr>
      <w:r>
        <w:rPr>
          <w:rFonts w:eastAsia="Aptos" w:cs="Times New Roman"/>
        </w:rPr>
        <w:t xml:space="preserve">Naar aanleiding van de toezeggingen van de </w:t>
      </w:r>
      <w:r w:rsidRPr="00EE5491">
        <w:rPr>
          <w:rFonts w:eastAsia="Aptos" w:cs="Times New Roman"/>
        </w:rPr>
        <w:t>minister van Asiel en Migratie</w:t>
      </w:r>
      <w:r w:rsidRPr="00EE5491">
        <w:rPr>
          <w:rStyle w:val="Voetnootmarkering"/>
          <w:rFonts w:eastAsia="Aptos" w:cs="Times New Roman"/>
        </w:rPr>
        <w:footnoteReference w:id="5"/>
      </w:r>
      <w:r w:rsidRPr="00EE5491">
        <w:rPr>
          <w:rFonts w:eastAsia="Aptos" w:cs="Times New Roman"/>
        </w:rPr>
        <w:t xml:space="preserve"> om de Kamer(s) te informeren over welke landen vanuit Europees perspectief kansrijk zijn om mee samen te werken ten aanzien van terugkeerhubs het volgende: de verkenning naar mogelijke partnerlanden betreft een sensitief en diplomatiek vertrouwelijk proces. Om dit diplomatieke proces te bewaken en voortgang te kunnen waarborgen, is het van belang dat in dit stadium niet in het openbaar benoemd wordt om welke landen het gaat. De minister heeft eveneens een vertrouwelijke technische briefing toegezegd</w:t>
      </w:r>
      <w:r>
        <w:rPr>
          <w:rFonts w:eastAsia="Aptos" w:cs="Times New Roman"/>
        </w:rPr>
        <w:t xml:space="preserve"> over de voortgang rondom terugkeerhubs en migratiepartnerschappen. Deze wordt momenteel gepland – daarmee zullen de toezeggingen gestand worden gedaan, net als de motie Eerdmans over een concreet plan voor het operationaliseren van terugkeerhubs.</w:t>
      </w:r>
      <w:r>
        <w:rPr>
          <w:rStyle w:val="Voetnootmarkering"/>
          <w:rFonts w:eastAsia="Aptos" w:cs="Times New Roman"/>
        </w:rPr>
        <w:footnoteReference w:id="6"/>
      </w:r>
    </w:p>
    <w:p w:rsidRPr="00E32E47" w:rsidR="00A45C6B" w:rsidP="00A45C6B" w:rsidRDefault="00A45C6B" w14:paraId="5A6603DF" w14:textId="77777777">
      <w:pPr>
        <w:spacing w:line="276" w:lineRule="auto"/>
      </w:pPr>
    </w:p>
    <w:p w:rsidRPr="00E32E47" w:rsidR="00E32E47" w:rsidP="00E32E47" w:rsidRDefault="00A45C6B" w14:paraId="5C73DF5E" w14:textId="2277414A">
      <w:pPr>
        <w:spacing w:line="276" w:lineRule="auto"/>
      </w:pPr>
      <w:r w:rsidRPr="00A45C6B">
        <w:rPr>
          <w:b/>
          <w:bCs/>
        </w:rPr>
        <w:t>Moties en toezeggingen</w:t>
      </w:r>
    </w:p>
    <w:p w:rsidRPr="00506C4A" w:rsidR="00506C4A" w:rsidP="00506C4A" w:rsidRDefault="00506C4A" w14:paraId="4C51D018" w14:textId="77777777">
      <w:pPr>
        <w:rPr>
          <w:rFonts w:eastAsia="Aptos" w:cs="Times New Roman"/>
          <w:u w:val="single"/>
        </w:rPr>
      </w:pPr>
      <w:r w:rsidRPr="00506C4A">
        <w:rPr>
          <w:rFonts w:eastAsia="Aptos" w:cs="Times New Roman"/>
          <w:u w:val="single"/>
        </w:rPr>
        <w:t>Motie van Nispen over handhaving op het vertrek na het verstrijken van de termijn van visumvrije reizen</w:t>
      </w:r>
      <w:r w:rsidRPr="00506C4A">
        <w:rPr>
          <w:rStyle w:val="Voetnootmarkering"/>
          <w:rFonts w:eastAsia="Aptos" w:cs="Times New Roman"/>
        </w:rPr>
        <w:footnoteReference w:id="7"/>
      </w:r>
    </w:p>
    <w:p w:rsidRPr="00506C4A" w:rsidR="00506C4A" w:rsidP="00506C4A" w:rsidRDefault="00506C4A" w14:paraId="79A9063A" w14:textId="77777777">
      <w:pPr>
        <w:rPr>
          <w:rFonts w:eastAsia="Verdana" w:cs="Verdana"/>
        </w:rPr>
      </w:pPr>
      <w:r w:rsidRPr="00506C4A">
        <w:rPr>
          <w:rFonts w:eastAsia="Verdana" w:cs="Verdana"/>
        </w:rPr>
        <w:t xml:space="preserve">Bij effectief grensbeheer en bestrijding van onrechtmatig verblijf zijn goedwerkende Europese (grens)informatiesystemen en interoperabiliteit essentieel. Hierbij is zowel de informatie-uitwisseling tussen nationale en Europese informatiesystemen, als tussen verschillende Europese informatiesystemen van belang. Lidstaten, waaronder Nederland werken hard aan de implementatie van grootschalige EU-informatiesystemen. In het bijzonder zullen het European Entry </w:t>
      </w:r>
      <w:proofErr w:type="spellStart"/>
      <w:r w:rsidRPr="00506C4A">
        <w:rPr>
          <w:rFonts w:eastAsia="Verdana" w:cs="Verdana"/>
        </w:rPr>
        <w:t>and</w:t>
      </w:r>
      <w:proofErr w:type="spellEnd"/>
      <w:r w:rsidRPr="00506C4A">
        <w:rPr>
          <w:rFonts w:eastAsia="Verdana" w:cs="Verdana"/>
        </w:rPr>
        <w:t xml:space="preserve"> Exit System (EES) en het European Travel Information </w:t>
      </w:r>
      <w:proofErr w:type="spellStart"/>
      <w:r w:rsidRPr="00506C4A">
        <w:rPr>
          <w:rFonts w:eastAsia="Verdana" w:cs="Verdana"/>
        </w:rPr>
        <w:t>and</w:t>
      </w:r>
      <w:proofErr w:type="spellEnd"/>
      <w:r w:rsidRPr="00506C4A">
        <w:rPr>
          <w:rFonts w:eastAsia="Verdana" w:cs="Verdana"/>
        </w:rPr>
        <w:t xml:space="preserve"> </w:t>
      </w:r>
      <w:proofErr w:type="spellStart"/>
      <w:r w:rsidRPr="00506C4A">
        <w:rPr>
          <w:rFonts w:eastAsia="Verdana" w:cs="Verdana"/>
        </w:rPr>
        <w:t>Authorisation</w:t>
      </w:r>
      <w:proofErr w:type="spellEnd"/>
      <w:r w:rsidRPr="00506C4A">
        <w:rPr>
          <w:rFonts w:eastAsia="Verdana" w:cs="Verdana"/>
        </w:rPr>
        <w:t xml:space="preserve"> System (ETIAS) eraan bijdragen dat Nederland en de EU in den brede haar grip op wie de EU in- en </w:t>
      </w:r>
      <w:proofErr w:type="spellStart"/>
      <w:r w:rsidRPr="00506C4A">
        <w:rPr>
          <w:rFonts w:eastAsia="Verdana" w:cs="Verdana"/>
        </w:rPr>
        <w:t>uitreist</w:t>
      </w:r>
      <w:proofErr w:type="spellEnd"/>
      <w:r w:rsidRPr="00506C4A">
        <w:rPr>
          <w:rFonts w:eastAsia="Verdana" w:cs="Verdana"/>
        </w:rPr>
        <w:t xml:space="preserve"> vergroten. In het EES wordt de in- en uitreis van derdelanders geregistreerd wat bijdraagt aan betere controle van hun identiteit en eventuele </w:t>
      </w:r>
      <w:proofErr w:type="spellStart"/>
      <w:r w:rsidRPr="00506C4A">
        <w:rPr>
          <w:rFonts w:eastAsia="Verdana" w:cs="Verdana"/>
        </w:rPr>
        <w:t>overstay</w:t>
      </w:r>
      <w:proofErr w:type="spellEnd"/>
      <w:r w:rsidRPr="00506C4A">
        <w:rPr>
          <w:rFonts w:eastAsia="Verdana" w:cs="Verdana"/>
        </w:rPr>
        <w:t xml:space="preserve">. ETIAS maakt mogelijk om visumvrije derdelanders die niet aan de toegangsvoorwaarden voldoen, bijvoorbeeld omdat zij een risico vormen op illegaal verblijf of een gevaar zijn voor de openbare orde of nationale veiligheid, te weren om naar het Schengengebied te reizen. Het EES wordt sinds 10 april aan alle doorlaatposten op de buitengrenzen toegepast. Volgens de reeds geldende Europese planning is de implementatie van ETIAS voorzien in Q4 2026. Hiermee beschouwt het kabinet de motie Van Nispen als afgedaan. </w:t>
      </w:r>
    </w:p>
    <w:p w:rsidRPr="00506C4A" w:rsidR="00E32E47" w:rsidP="00E32E47" w:rsidRDefault="00E32E47" w14:paraId="7AF818B4" w14:textId="77777777">
      <w:pPr>
        <w:spacing w:line="276" w:lineRule="auto"/>
        <w:rPr>
          <w:sz w:val="16"/>
          <w:szCs w:val="16"/>
        </w:rPr>
      </w:pPr>
    </w:p>
    <w:p w:rsidRPr="002F2B05" w:rsidR="002D3775" w:rsidP="002D3775" w:rsidRDefault="002D3775" w14:paraId="3FF21C76" w14:textId="5CC0D1DD">
      <w:pPr>
        <w:rPr>
          <w:rFonts w:eastAsia="Aptos" w:cs="Times New Roman"/>
          <w:u w:val="single"/>
        </w:rPr>
      </w:pPr>
      <w:r w:rsidRPr="002F2B05">
        <w:rPr>
          <w:rFonts w:eastAsia="Aptos" w:cs="Times New Roman"/>
          <w:u w:val="single"/>
        </w:rPr>
        <w:lastRenderedPageBreak/>
        <w:t xml:space="preserve">Motie Boomsma </w:t>
      </w:r>
      <w:r>
        <w:rPr>
          <w:rFonts w:eastAsia="Aptos" w:cs="Times New Roman"/>
          <w:u w:val="single"/>
        </w:rPr>
        <w:t xml:space="preserve">en </w:t>
      </w:r>
      <w:proofErr w:type="spellStart"/>
      <w:r>
        <w:rPr>
          <w:rFonts w:eastAsia="Aptos" w:cs="Times New Roman"/>
          <w:u w:val="single"/>
        </w:rPr>
        <w:t>Ellian</w:t>
      </w:r>
      <w:proofErr w:type="spellEnd"/>
      <w:r>
        <w:rPr>
          <w:rFonts w:eastAsia="Aptos" w:cs="Times New Roman"/>
          <w:u w:val="single"/>
        </w:rPr>
        <w:t xml:space="preserve"> </w:t>
      </w:r>
      <w:r w:rsidRPr="002F2B05">
        <w:rPr>
          <w:rFonts w:eastAsia="Aptos" w:cs="Times New Roman"/>
          <w:u w:val="single"/>
        </w:rPr>
        <w:t>aangaande overleg met andere EU-lidstaten</w:t>
      </w:r>
      <w:r>
        <w:rPr>
          <w:rFonts w:eastAsia="Aptos" w:cs="Times New Roman"/>
          <w:u w:val="single"/>
        </w:rPr>
        <w:t xml:space="preserve"> over terugkeer van Syriërs</w:t>
      </w:r>
      <w:r w:rsidR="00652FF9">
        <w:rPr>
          <w:rStyle w:val="Voetnootmarkering"/>
          <w:rFonts w:eastAsia="Aptos" w:cs="Times New Roman"/>
          <w:u w:val="single"/>
        </w:rPr>
        <w:footnoteReference w:id="8"/>
      </w:r>
    </w:p>
    <w:p w:rsidR="002D3775" w:rsidP="002D3775" w:rsidRDefault="002D3775" w14:paraId="463AAA11" w14:textId="0361D92C">
      <w:pPr>
        <w:rPr>
          <w:rFonts w:eastAsia="Aptos" w:cs="Times New Roman"/>
        </w:rPr>
      </w:pPr>
      <w:r w:rsidRPr="002F2B05">
        <w:rPr>
          <w:rFonts w:eastAsia="Aptos" w:cs="Times New Roman"/>
        </w:rPr>
        <w:t xml:space="preserve">Nederland </w:t>
      </w:r>
      <w:r>
        <w:rPr>
          <w:rFonts w:eastAsia="Aptos" w:cs="Times New Roman"/>
        </w:rPr>
        <w:t xml:space="preserve">onderhoudt </w:t>
      </w:r>
      <w:r w:rsidRPr="002F2B05">
        <w:rPr>
          <w:rFonts w:eastAsia="Aptos" w:cs="Times New Roman"/>
        </w:rPr>
        <w:t xml:space="preserve">in Europa een actief netwerk op verschillende asiel en migratie thema’s, zo ook </w:t>
      </w:r>
      <w:r>
        <w:rPr>
          <w:rFonts w:eastAsia="Aptos" w:cs="Times New Roman"/>
        </w:rPr>
        <w:t xml:space="preserve">ten aan zien van de vraagstukken op migratie rondom </w:t>
      </w:r>
      <w:r w:rsidRPr="002F2B05">
        <w:rPr>
          <w:rFonts w:eastAsia="Aptos" w:cs="Times New Roman"/>
        </w:rPr>
        <w:t>Syrië. Op dit thema vindt op verschillende niveaus overleg plaats met landen die een vergelijkbare opgave hebben als Nederland</w:t>
      </w:r>
      <w:r>
        <w:rPr>
          <w:rFonts w:eastAsia="Aptos" w:cs="Times New Roman"/>
        </w:rPr>
        <w:t xml:space="preserve"> waaronder ook</w:t>
      </w:r>
      <w:r w:rsidRPr="002F2B05">
        <w:rPr>
          <w:rFonts w:eastAsia="Aptos" w:cs="Times New Roman"/>
        </w:rPr>
        <w:t xml:space="preserve"> Duitsland. Nederland zal </w:t>
      </w:r>
      <w:r>
        <w:rPr>
          <w:rFonts w:eastAsia="Aptos" w:cs="Times New Roman"/>
        </w:rPr>
        <w:t>hierover, inclusief herbeoordelingen en de terugkeer van Syriërs</w:t>
      </w:r>
      <w:r w:rsidR="00EE1B8E">
        <w:rPr>
          <w:rFonts w:eastAsia="Aptos" w:cs="Times New Roman"/>
        </w:rPr>
        <w:t>,</w:t>
      </w:r>
      <w:r w:rsidRPr="002F2B05">
        <w:rPr>
          <w:rFonts w:eastAsia="Aptos" w:cs="Times New Roman"/>
        </w:rPr>
        <w:t xml:space="preserve"> de komende periode </w:t>
      </w:r>
      <w:r>
        <w:rPr>
          <w:rFonts w:eastAsia="Aptos" w:cs="Times New Roman"/>
        </w:rPr>
        <w:t xml:space="preserve">actief </w:t>
      </w:r>
      <w:r w:rsidRPr="002F2B05">
        <w:rPr>
          <w:rFonts w:eastAsia="Aptos" w:cs="Times New Roman"/>
        </w:rPr>
        <w:t>in nauw overleg blijven met</w:t>
      </w:r>
      <w:r>
        <w:rPr>
          <w:rFonts w:eastAsia="Aptos" w:cs="Times New Roman"/>
        </w:rPr>
        <w:t xml:space="preserve"> andere EU-lidstaten</w:t>
      </w:r>
      <w:r w:rsidRPr="002F2B05">
        <w:rPr>
          <w:rFonts w:eastAsia="Aptos" w:cs="Times New Roman"/>
        </w:rPr>
        <w:t xml:space="preserve">. </w:t>
      </w:r>
      <w:r>
        <w:rPr>
          <w:rFonts w:eastAsia="Aptos" w:cs="Times New Roman"/>
        </w:rPr>
        <w:t xml:space="preserve">Daarnaast </w:t>
      </w:r>
      <w:r w:rsidR="006065C0">
        <w:rPr>
          <w:rFonts w:eastAsia="Aptos" w:cs="Times New Roman"/>
        </w:rPr>
        <w:t xml:space="preserve">streeft de Europese Commissie, </w:t>
      </w:r>
      <w:r>
        <w:rPr>
          <w:rFonts w:eastAsia="Aptos" w:cs="Times New Roman"/>
        </w:rPr>
        <w:t>op</w:t>
      </w:r>
      <w:r w:rsidR="006065C0">
        <w:rPr>
          <w:rFonts w:eastAsia="Aptos" w:cs="Times New Roman"/>
        </w:rPr>
        <w:t xml:space="preserve"> aandringen van</w:t>
      </w:r>
      <w:r>
        <w:rPr>
          <w:rFonts w:eastAsia="Aptos" w:cs="Times New Roman"/>
        </w:rPr>
        <w:t xml:space="preserve"> </w:t>
      </w:r>
      <w:r w:rsidRPr="002F2B05">
        <w:rPr>
          <w:rFonts w:eastAsia="Aptos" w:cs="Times New Roman"/>
        </w:rPr>
        <w:t>Nederland</w:t>
      </w:r>
      <w:r w:rsidR="006065C0">
        <w:rPr>
          <w:rFonts w:eastAsia="Aptos" w:cs="Times New Roman"/>
        </w:rPr>
        <w:t xml:space="preserve">, </w:t>
      </w:r>
      <w:r>
        <w:rPr>
          <w:rFonts w:eastAsia="Aptos" w:cs="Times New Roman"/>
        </w:rPr>
        <w:t xml:space="preserve">een meer </w:t>
      </w:r>
      <w:r w:rsidRPr="002F2B05">
        <w:rPr>
          <w:rFonts w:eastAsia="Aptos" w:cs="Times New Roman"/>
        </w:rPr>
        <w:t xml:space="preserve">gecoördineerde </w:t>
      </w:r>
      <w:r w:rsidR="006065C0">
        <w:rPr>
          <w:rFonts w:eastAsia="Aptos" w:cs="Times New Roman"/>
        </w:rPr>
        <w:t xml:space="preserve">en integrale </w:t>
      </w:r>
      <w:r w:rsidRPr="002F2B05">
        <w:rPr>
          <w:rFonts w:eastAsia="Aptos" w:cs="Times New Roman"/>
        </w:rPr>
        <w:t xml:space="preserve">EU-aanpak </w:t>
      </w:r>
      <w:r>
        <w:rPr>
          <w:rFonts w:eastAsia="Aptos" w:cs="Times New Roman"/>
        </w:rPr>
        <w:t xml:space="preserve">ten aanzien van </w:t>
      </w:r>
      <w:r w:rsidRPr="002F2B05">
        <w:rPr>
          <w:rFonts w:eastAsia="Aptos" w:cs="Times New Roman"/>
        </w:rPr>
        <w:t>Syrië</w:t>
      </w:r>
      <w:r>
        <w:rPr>
          <w:rFonts w:eastAsia="Aptos" w:cs="Times New Roman"/>
        </w:rPr>
        <w:t xml:space="preserve"> </w:t>
      </w:r>
      <w:r w:rsidR="006065C0">
        <w:rPr>
          <w:rFonts w:eastAsia="Aptos" w:cs="Times New Roman"/>
        </w:rPr>
        <w:t>na,</w:t>
      </w:r>
      <w:r>
        <w:rPr>
          <w:rFonts w:eastAsia="Aptos" w:cs="Times New Roman"/>
        </w:rPr>
        <w:t xml:space="preserve"> waar migratiesamenwerking inclusief terugkeersamenwerking onderdeel van uitmaakt</w:t>
      </w:r>
      <w:r w:rsidRPr="002F2B05">
        <w:rPr>
          <w:rFonts w:eastAsia="Aptos" w:cs="Times New Roman"/>
        </w:rPr>
        <w:t xml:space="preserve">. </w:t>
      </w:r>
      <w:r>
        <w:rPr>
          <w:rFonts w:eastAsia="Aptos" w:cs="Times New Roman"/>
        </w:rPr>
        <w:t xml:space="preserve">Het kabinet beschouwt de motie Boomsma en </w:t>
      </w:r>
      <w:proofErr w:type="spellStart"/>
      <w:r>
        <w:rPr>
          <w:rFonts w:eastAsia="Aptos" w:cs="Times New Roman"/>
        </w:rPr>
        <w:t>El</w:t>
      </w:r>
      <w:r w:rsidR="00FC0C69">
        <w:rPr>
          <w:rFonts w:eastAsia="Aptos" w:cs="Times New Roman"/>
        </w:rPr>
        <w:t>l</w:t>
      </w:r>
      <w:r>
        <w:rPr>
          <w:rFonts w:eastAsia="Aptos" w:cs="Times New Roman"/>
        </w:rPr>
        <w:t>ian</w:t>
      </w:r>
      <w:proofErr w:type="spellEnd"/>
      <w:r>
        <w:rPr>
          <w:rFonts w:eastAsia="Aptos" w:cs="Times New Roman"/>
        </w:rPr>
        <w:t xml:space="preserve"> hiermee afgedaan. </w:t>
      </w:r>
    </w:p>
    <w:p w:rsidR="003C60DB" w:rsidP="00E32E47" w:rsidRDefault="003C60DB" w14:paraId="565BE19A" w14:textId="77777777">
      <w:pPr>
        <w:spacing w:line="276" w:lineRule="auto"/>
      </w:pPr>
    </w:p>
    <w:p w:rsidRPr="002D3775" w:rsidR="002D3775" w:rsidP="002D3775" w:rsidRDefault="002D3775" w14:paraId="071EDA77" w14:textId="585E638D">
      <w:pPr>
        <w:autoSpaceDN/>
        <w:spacing w:after="160" w:line="278" w:lineRule="auto"/>
        <w:textAlignment w:val="auto"/>
        <w:rPr>
          <w:rFonts w:eastAsia="Aptos" w:cs="Times New Roman"/>
          <w:color w:val="auto"/>
          <w:kern w:val="2"/>
          <w:lang w:eastAsia="en-US"/>
          <w14:ligatures w14:val="standardContextual"/>
        </w:rPr>
      </w:pPr>
      <w:bookmarkStart w:name="_Hlk229757966" w:id="0"/>
      <w:r w:rsidRPr="002D3775">
        <w:rPr>
          <w:rFonts w:eastAsia="Aptos" w:cs="Times New Roman"/>
          <w:color w:val="auto"/>
          <w:kern w:val="2"/>
          <w:u w:val="single"/>
          <w:lang w:eastAsia="en-US"/>
          <w14:ligatures w14:val="standardContextual"/>
        </w:rPr>
        <w:t>Reactie op het bericht</w:t>
      </w:r>
      <w:r w:rsidRPr="002D3775">
        <w:rPr>
          <w:rFonts w:eastAsia="Aptos" w:cs="Times New Roman"/>
          <w:i/>
          <w:iCs/>
          <w:color w:val="auto"/>
          <w:kern w:val="2"/>
          <w:u w:val="single"/>
          <w:lang w:eastAsia="en-US"/>
          <w14:ligatures w14:val="standardContextual"/>
        </w:rPr>
        <w:t xml:space="preserve"> </w:t>
      </w:r>
      <w:r w:rsidRPr="002D3775">
        <w:rPr>
          <w:rFonts w:eastAsia="Aptos" w:cs="Times New Roman"/>
          <w:color w:val="auto"/>
          <w:kern w:val="2"/>
          <w:u w:val="single"/>
          <w:lang w:eastAsia="en-US"/>
          <w14:ligatures w14:val="standardContextual"/>
        </w:rPr>
        <w:t>“</w:t>
      </w:r>
      <w:r w:rsidRPr="002D3775">
        <w:rPr>
          <w:rFonts w:eastAsia="Aptos" w:cs="Times New Roman"/>
          <w:i/>
          <w:iCs/>
          <w:color w:val="auto"/>
          <w:kern w:val="2"/>
          <w:u w:val="single"/>
          <w:lang w:eastAsia="en-US"/>
          <w14:ligatures w14:val="standardContextual"/>
        </w:rPr>
        <w:t>Mensensmokkel naar Ter Apel ontrafeld, één mobieltje legde enorm netwerk bloot</w:t>
      </w:r>
      <w:r w:rsidRPr="002D3775">
        <w:rPr>
          <w:rFonts w:eastAsia="Aptos" w:cs="Times New Roman"/>
          <w:color w:val="auto"/>
          <w:kern w:val="2"/>
          <w:u w:val="single"/>
          <w:lang w:eastAsia="en-US"/>
          <w14:ligatures w14:val="standardContextual"/>
        </w:rPr>
        <w:t>”</w:t>
      </w:r>
      <w:r w:rsidR="00E46309">
        <w:rPr>
          <w:rFonts w:eastAsia="Aptos" w:cs="Times New Roman"/>
          <w:color w:val="auto"/>
          <w:kern w:val="2"/>
          <w:u w:val="single"/>
          <w:lang w:eastAsia="en-US"/>
          <w14:ligatures w14:val="standardContextual"/>
        </w:rPr>
        <w:br/>
      </w:r>
      <w:r w:rsidRPr="002D3775">
        <w:rPr>
          <w:rFonts w:eastAsia="Aptos" w:cs="Times New Roman"/>
          <w:color w:val="auto"/>
          <w:kern w:val="2"/>
          <w:lang w:eastAsia="en-US"/>
          <w14:ligatures w14:val="standardContextual"/>
        </w:rPr>
        <w:t>Tijdens het ordedebat van 12 mei 2026 werd door het lid Keijzer om een reactie gevraagd op het artikel “Mensensmokkel naar Ter Apel ontrafeld: één mobieltje legde enorm netwerk bloot”</w:t>
      </w:r>
      <w:r w:rsidRPr="002D3775">
        <w:rPr>
          <w:rFonts w:eastAsia="Aptos" w:cs="Times New Roman"/>
          <w:color w:val="auto"/>
          <w:kern w:val="2"/>
          <w:vertAlign w:val="superscript"/>
          <w:lang w:eastAsia="en-US"/>
          <w14:ligatures w14:val="standardContextual"/>
        </w:rPr>
        <w:footnoteReference w:id="9"/>
      </w:r>
      <w:r w:rsidRPr="002D3775">
        <w:rPr>
          <w:rFonts w:eastAsia="Aptos" w:cs="Times New Roman"/>
          <w:color w:val="auto"/>
          <w:kern w:val="2"/>
          <w:lang w:eastAsia="en-US"/>
          <w14:ligatures w14:val="standardContextual"/>
        </w:rPr>
        <w:t xml:space="preserve"> en om daarbij in te gaan op de verschillende feiten in het artikel en of die kloppen. Mensensmokkel is een vorm van grensoverschrijdende criminaliteit waarbij mensensmokkelaars en de criminele netwerken daarachter vaak vanuit winstbejag opereren en daarbij geregeld misbruik maken van de kwetsbare situatie van de mensen die op hen een beroep doen. Volgens Europol maakt 90% van de irreguliere migranten op enig moment in hun reis gebruik van mensensmokkelaars.</w:t>
      </w:r>
      <w:r w:rsidRPr="002D3775">
        <w:rPr>
          <w:rFonts w:eastAsia="Aptos" w:cs="Times New Roman"/>
          <w:color w:val="auto"/>
          <w:kern w:val="2"/>
          <w:vertAlign w:val="superscript"/>
          <w:lang w:eastAsia="en-US"/>
          <w14:ligatures w14:val="standardContextual"/>
        </w:rPr>
        <w:footnoteReference w:id="10"/>
      </w:r>
      <w:r w:rsidRPr="002D3775">
        <w:rPr>
          <w:rFonts w:eastAsia="Aptos" w:cs="Times New Roman"/>
          <w:color w:val="auto"/>
          <w:kern w:val="2"/>
          <w:lang w:eastAsia="en-US"/>
          <w14:ligatures w14:val="standardContextual"/>
        </w:rPr>
        <w:t xml:space="preserve"> Dit wijst op een wijdverspreid verschijnsel en onderstreept de realiteit dat mensensmokkel ook in Nederland voorkomt. Zo komen verbanden met Nederland bijvoorbeeld naar voren in strafrechtelijke onderzoeken naar mensensmokkelnetwerken, wordt Nederland soms gebruikt als plaats voor voorbereidingshandelingen voor mensensmokkel</w:t>
      </w:r>
      <w:r w:rsidRPr="002D3775">
        <w:rPr>
          <w:rFonts w:eastAsia="Aptos" w:cs="Times New Roman"/>
          <w:color w:val="auto"/>
          <w:kern w:val="2"/>
          <w:vertAlign w:val="superscript"/>
          <w:lang w:eastAsia="en-US"/>
          <w14:ligatures w14:val="standardContextual"/>
        </w:rPr>
        <w:footnoteReference w:id="11"/>
      </w:r>
      <w:r w:rsidRPr="002D3775">
        <w:rPr>
          <w:rFonts w:eastAsia="Aptos" w:cs="Times New Roman"/>
          <w:color w:val="auto"/>
          <w:kern w:val="2"/>
          <w:lang w:eastAsia="en-US"/>
          <w14:ligatures w14:val="standardContextual"/>
        </w:rPr>
        <w:t xml:space="preserve"> en vonden er volgens de Koninklijke Marechaussee in 2025 220 geregistreerde incidenten en 140 aanhoudingen aan de buitengrenzen en bij MTV controles plaats in verband met mensensmokkel. </w:t>
      </w:r>
    </w:p>
    <w:p w:rsidR="002D3775" w:rsidP="002D3775" w:rsidRDefault="002D3775" w14:paraId="45AFCD4A" w14:textId="33B82E53">
      <w:pPr>
        <w:autoSpaceDN/>
        <w:spacing w:after="160" w:line="278" w:lineRule="auto"/>
        <w:textAlignment w:val="auto"/>
        <w:rPr>
          <w:rFonts w:eastAsia="Aptos" w:cs="Times New Roman"/>
          <w:color w:val="auto"/>
          <w:kern w:val="2"/>
          <w:lang w:eastAsia="en-US"/>
          <w14:ligatures w14:val="standardContextual"/>
        </w:rPr>
      </w:pPr>
      <w:r w:rsidRPr="002D3775">
        <w:rPr>
          <w:rFonts w:eastAsia="Aptos" w:cs="Times New Roman"/>
          <w:color w:val="auto"/>
          <w:kern w:val="2"/>
          <w:lang w:eastAsia="en-US"/>
          <w14:ligatures w14:val="standardContextual"/>
        </w:rPr>
        <w:t>Hoewel hier niet in detail op de in het artikel aangehaalde strafrechtelijke zaken kan worden ingegaan onderstreept het artikel volgens het kabinet het belang van de aanpak mensensmokkel, zoals ook uiteengezet in het Beleidskader aanpak mensensmokkel 2023-2026 en de verschillende facetten daarvan.</w:t>
      </w:r>
      <w:r w:rsidRPr="002D3775">
        <w:rPr>
          <w:rFonts w:eastAsia="Aptos" w:cs="Times New Roman"/>
          <w:color w:val="auto"/>
          <w:kern w:val="2"/>
          <w:vertAlign w:val="superscript"/>
          <w:lang w:eastAsia="en-US"/>
          <w14:ligatures w14:val="standardContextual"/>
        </w:rPr>
        <w:footnoteReference w:id="12"/>
      </w:r>
      <w:r w:rsidRPr="002D3775">
        <w:rPr>
          <w:rFonts w:eastAsia="Aptos" w:cs="Times New Roman"/>
          <w:color w:val="auto"/>
          <w:kern w:val="2"/>
          <w:lang w:eastAsia="en-US"/>
          <w14:ligatures w14:val="standardContextual"/>
        </w:rPr>
        <w:t xml:space="preserve"> Zo zijn financieel onderzoek en de ‘</w:t>
      </w:r>
      <w:r w:rsidRPr="002D3775">
        <w:rPr>
          <w:rFonts w:eastAsia="Aptos" w:cs="Times New Roman"/>
          <w:i/>
          <w:iCs/>
          <w:color w:val="auto"/>
          <w:kern w:val="2"/>
          <w:lang w:eastAsia="en-US"/>
          <w14:ligatures w14:val="standardContextual"/>
        </w:rPr>
        <w:t xml:space="preserve">follow </w:t>
      </w:r>
      <w:proofErr w:type="spellStart"/>
      <w:r w:rsidRPr="002D3775">
        <w:rPr>
          <w:rFonts w:eastAsia="Aptos" w:cs="Times New Roman"/>
          <w:i/>
          <w:iCs/>
          <w:color w:val="auto"/>
          <w:kern w:val="2"/>
          <w:lang w:eastAsia="en-US"/>
          <w14:ligatures w14:val="standardContextual"/>
        </w:rPr>
        <w:t>the</w:t>
      </w:r>
      <w:proofErr w:type="spellEnd"/>
      <w:r w:rsidRPr="002D3775">
        <w:rPr>
          <w:rFonts w:eastAsia="Aptos" w:cs="Times New Roman"/>
          <w:i/>
          <w:iCs/>
          <w:color w:val="auto"/>
          <w:kern w:val="2"/>
          <w:lang w:eastAsia="en-US"/>
          <w14:ligatures w14:val="standardContextual"/>
        </w:rPr>
        <w:t xml:space="preserve"> money’</w:t>
      </w:r>
      <w:r w:rsidRPr="002D3775">
        <w:rPr>
          <w:rFonts w:eastAsia="Aptos" w:cs="Times New Roman"/>
          <w:color w:val="auto"/>
          <w:kern w:val="2"/>
          <w:lang w:eastAsia="en-US"/>
          <w14:ligatures w14:val="standardContextual"/>
        </w:rPr>
        <w:t xml:space="preserve"> benadering door actief in te zetten op het volgen van geldstromen en de winsten van de smokkelaars af te nemen, het belang van de samenwerking met vervoerdersmaatschappijen, en de samenhang van mensensmokkeldynamieken met zaken als het terugkeer- en visumbeleid zoals ook uiteengezet in het barrièremodel mensensmokkel van groot belang.</w:t>
      </w:r>
      <w:r w:rsidRPr="002D3775">
        <w:rPr>
          <w:rFonts w:eastAsia="Aptos" w:cs="Times New Roman"/>
          <w:color w:val="auto"/>
          <w:kern w:val="2"/>
          <w:vertAlign w:val="superscript"/>
          <w:lang w:eastAsia="en-US"/>
          <w14:ligatures w14:val="standardContextual"/>
        </w:rPr>
        <w:footnoteReference w:id="13"/>
      </w:r>
      <w:r w:rsidRPr="002D3775">
        <w:rPr>
          <w:rFonts w:eastAsia="Aptos" w:cs="Times New Roman"/>
          <w:color w:val="auto"/>
          <w:kern w:val="2"/>
          <w:lang w:eastAsia="en-US"/>
          <w14:ligatures w14:val="standardContextual"/>
        </w:rPr>
        <w:t xml:space="preserve"> Ook het potentieel van de telefoons van irreguliere migranten heeft de aandacht van de opsporingsdiensten, en derhalve wordt momenteel verkend of de </w:t>
      </w:r>
      <w:r w:rsidRPr="002D3775">
        <w:rPr>
          <w:rFonts w:eastAsia="Aptos" w:cs="Times New Roman"/>
          <w:color w:val="auto"/>
          <w:kern w:val="2"/>
          <w:lang w:eastAsia="en-US"/>
          <w14:ligatures w14:val="standardContextual"/>
        </w:rPr>
        <w:lastRenderedPageBreak/>
        <w:t xml:space="preserve">mogelijkheden tot het uitlezen van gegevensdragers in het kader van mensensmokkel verruimd kunnen worden. Daarnaast kunnen sancties bij de aanpak van internationale mensensmokkelnetwerken, die soms buiten het bereik van het strafrecht vallen, van toegevoegde waarde zijn. Hoewel er continu moet blijven worden gekeken hoe de laatste modi operandi en gebruikte routes van mensensmokkelnetwerken kunnen worden tegengegaan, en er bij het ontmantelen van netwerken weer nieuwe structuren kunnen opstaan, wordt binnen de aanpak van mensensmokkel op operationeel niveau niet zonder successen ingezet om mensensmokkel aan te pakken en daders verantwoordelijk te houden. De aanpak van mensensmokkel wordt daarnaast op Europees en nationaal niveau verder versterkt. </w:t>
      </w:r>
      <w:r w:rsidRPr="005F0602">
        <w:rPr>
          <w:rFonts w:eastAsia="Aptos" w:cs="Times New Roman"/>
          <w:color w:val="auto"/>
          <w:kern w:val="2"/>
          <w:lang w:eastAsia="en-US"/>
          <w14:ligatures w14:val="standardContextual"/>
        </w:rPr>
        <w:t xml:space="preserve">Het kabinet kijkt uit naar de voorstellen voor </w:t>
      </w:r>
      <w:r w:rsidRPr="005F0602" w:rsidR="00E46309">
        <w:rPr>
          <w:rFonts w:eastAsia="Aptos" w:cs="Times New Roman"/>
          <w:color w:val="auto"/>
          <w:kern w:val="2"/>
          <w:lang w:eastAsia="en-US"/>
          <w14:ligatures w14:val="standardContextual"/>
        </w:rPr>
        <w:t xml:space="preserve">mensensmokkelsancties als onderdeel van </w:t>
      </w:r>
      <w:r w:rsidRPr="005F0602">
        <w:rPr>
          <w:rFonts w:eastAsia="Aptos" w:cs="Times New Roman"/>
          <w:color w:val="auto"/>
          <w:kern w:val="2"/>
          <w:lang w:eastAsia="en-US"/>
          <w14:ligatures w14:val="standardContextual"/>
        </w:rPr>
        <w:t>het aangekondigde Europese sanctieregime inzake georganiseerde misdaad. Nederland steunt het idee voor een sanctieregime op mensensmokkel, zoals ook benoemd in de daarmee verband houdende motie van de leden Brekelmans en Veldkamp</w:t>
      </w:r>
      <w:r w:rsidRPr="005F0602">
        <w:rPr>
          <w:rFonts w:eastAsia="Aptos" w:cs="Times New Roman"/>
          <w:color w:val="auto"/>
          <w:kern w:val="2"/>
          <w:vertAlign w:val="superscript"/>
          <w:lang w:eastAsia="en-US"/>
          <w14:ligatures w14:val="standardContextual"/>
        </w:rPr>
        <w:footnoteReference w:id="14"/>
      </w:r>
      <w:r w:rsidRPr="005F0602">
        <w:rPr>
          <w:rFonts w:eastAsia="Aptos" w:cs="Times New Roman"/>
          <w:color w:val="auto"/>
          <w:kern w:val="2"/>
          <w:lang w:eastAsia="en-US"/>
          <w14:ligatures w14:val="standardContextual"/>
        </w:rPr>
        <w:t>, al langer en riep hiertoe in 2024 op in een non-paper aan de Europese Commissie.</w:t>
      </w:r>
      <w:r w:rsidRPr="005F0602">
        <w:rPr>
          <w:rFonts w:eastAsia="Aptos" w:cs="Times New Roman"/>
          <w:color w:val="auto"/>
          <w:kern w:val="2"/>
          <w:vertAlign w:val="superscript"/>
          <w:lang w:eastAsia="en-US"/>
          <w14:ligatures w14:val="standardContextual"/>
        </w:rPr>
        <w:footnoteReference w:id="15"/>
      </w:r>
      <w:r w:rsidRPr="005F0602">
        <w:rPr>
          <w:rFonts w:eastAsia="Aptos" w:cs="Times New Roman"/>
          <w:color w:val="auto"/>
          <w:kern w:val="2"/>
          <w:lang w:eastAsia="en-US"/>
          <w14:ligatures w14:val="standardContextual"/>
        </w:rPr>
        <w:t xml:space="preserve"> Ook</w:t>
      </w:r>
      <w:r w:rsidRPr="002D3775">
        <w:rPr>
          <w:rFonts w:eastAsia="Aptos" w:cs="Times New Roman"/>
          <w:color w:val="auto"/>
          <w:kern w:val="2"/>
          <w:lang w:eastAsia="en-US"/>
          <w14:ligatures w14:val="standardContextual"/>
        </w:rPr>
        <w:t xml:space="preserve"> zal de nota naar aanleiding van het verslag bij het wetsvoorstel</w:t>
      </w:r>
      <w:r w:rsidRPr="002D3775">
        <w:rPr>
          <w:rFonts w:eastAsia="Aptos" w:cs="Times New Roman"/>
          <w:color w:val="auto"/>
          <w:kern w:val="2"/>
          <w:vertAlign w:val="superscript"/>
          <w:lang w:eastAsia="en-US"/>
          <w14:ligatures w14:val="standardContextual"/>
        </w:rPr>
        <w:footnoteReference w:id="16"/>
      </w:r>
      <w:r w:rsidRPr="002D3775">
        <w:rPr>
          <w:rFonts w:eastAsia="Aptos" w:cs="Times New Roman"/>
          <w:color w:val="auto"/>
          <w:kern w:val="2"/>
          <w:lang w:eastAsia="en-US"/>
          <w14:ligatures w14:val="standardContextual"/>
        </w:rPr>
        <w:t xml:space="preserve"> dat de extraterritoriale rechtsmacht voor mensensmokkel beoogt uit te breiden en de strafmaxima beoogt te verhogen - maar tijdelijk stillag gezien de parallelle bespreking van de nieuwe EU richtlijn over mensensmokkel - dit najaar aan uw Kamer worden verzonden. Tevens wordt er de komende jaren meer geld uitgetrokken voor de bestrijding van mensensmokkel,</w:t>
      </w:r>
      <w:r w:rsidRPr="002D3775">
        <w:rPr>
          <w:rFonts w:eastAsia="Aptos" w:cs="Times New Roman"/>
          <w:color w:val="auto"/>
          <w:kern w:val="2"/>
          <w:vertAlign w:val="superscript"/>
          <w:lang w:eastAsia="en-US"/>
          <w14:ligatures w14:val="standardContextual"/>
        </w:rPr>
        <w:footnoteReference w:id="17"/>
      </w:r>
      <w:r w:rsidRPr="002D3775">
        <w:rPr>
          <w:rFonts w:eastAsia="Aptos" w:cs="Times New Roman"/>
          <w:color w:val="auto"/>
          <w:kern w:val="2"/>
          <w:lang w:eastAsia="en-US"/>
          <w14:ligatures w14:val="standardContextual"/>
        </w:rPr>
        <w:t xml:space="preserve"> en zal dit jaar worden aangevangen met het opstellen van het nieuwe Beleidskader aanpak mensensmokkel dat de laatste ontwikkelingen in het mensensmokkellandschap zal meenemen.</w:t>
      </w:r>
      <w:bookmarkEnd w:id="0"/>
    </w:p>
    <w:p w:rsidR="00875DD8" w:rsidP="00875DD8" w:rsidRDefault="00875DD8" w14:paraId="1C900F48" w14:textId="77777777">
      <w:pPr>
        <w:rPr>
          <w:rFonts w:eastAsia="Aptos" w:cs="Times New Roman"/>
          <w:u w:val="single"/>
        </w:rPr>
      </w:pPr>
      <w:r>
        <w:rPr>
          <w:rFonts w:eastAsia="Aptos" w:cs="Times New Roman"/>
          <w:u w:val="single"/>
        </w:rPr>
        <w:t>Aanpak afgifte Russische visa in het Schengengebied</w:t>
      </w:r>
    </w:p>
    <w:p w:rsidRPr="002C6CCD" w:rsidR="00875DD8" w:rsidP="00875DD8" w:rsidRDefault="00875DD8" w14:paraId="5DA6EE88" w14:textId="77777777">
      <w:pPr>
        <w:rPr>
          <w:rFonts w:eastAsia="Aptos" w:cs="Times New Roman"/>
        </w:rPr>
      </w:pPr>
      <w:r w:rsidRPr="002C6CCD">
        <w:rPr>
          <w:rFonts w:eastAsia="Aptos" w:cs="Times New Roman"/>
        </w:rPr>
        <w:t xml:space="preserve">De Minister van Buitenlandse Zaken heeft een gezamenlijke brief </w:t>
      </w:r>
      <w:r>
        <w:rPr>
          <w:rFonts w:eastAsia="Aptos" w:cs="Times New Roman"/>
        </w:rPr>
        <w:t>op initiatief van Zweden</w:t>
      </w:r>
      <w:r w:rsidRPr="002C6CCD">
        <w:rPr>
          <w:rFonts w:eastAsia="Aptos" w:cs="Times New Roman"/>
        </w:rPr>
        <w:t xml:space="preserve">, over restrictieve en uniforme toepassing van het EU-visumbeleid ten aanzien van Russische burgers, medeondertekend. </w:t>
      </w:r>
      <w:r>
        <w:rPr>
          <w:rFonts w:eastAsia="Aptos" w:cs="Times New Roman"/>
        </w:rPr>
        <w:t xml:space="preserve">Andere landen, die de brief hebben medeondertekend, zijn Denemarken, Estland, Finland, IJsland, Letland, Litouwen, Noorwegen, Polen en Tsjechië. In 2025 werden er 477.878 Schengenvisa verleend aan Russische staatsburgers voor toerismedoeleinden. Dit staat in scherp contrast met de richtsnoeren van de Commissie van 30 september 2022 voor de algemene afgifte van visa aan Russische aanvragers, waar lidstaten worden opgeroepen om een restrictieve aanpak te hanteren bij de beoordeling van de redenen voor de reis. </w:t>
      </w:r>
      <w:r w:rsidRPr="002C6CCD">
        <w:rPr>
          <w:rFonts w:eastAsia="Aptos" w:cs="Times New Roman"/>
        </w:rPr>
        <w:t>De huidige, uiteenlopende toepassing van de Commissie</w:t>
      </w:r>
      <w:r>
        <w:rPr>
          <w:rFonts w:eastAsia="Aptos" w:cs="Times New Roman"/>
        </w:rPr>
        <w:t>-</w:t>
      </w:r>
      <w:r w:rsidRPr="002C6CCD">
        <w:rPr>
          <w:rFonts w:eastAsia="Aptos" w:cs="Times New Roman"/>
        </w:rPr>
        <w:t>richtsnoeren door lidstaten leidt tot fragmentatie, “visa</w:t>
      </w:r>
      <w:r w:rsidRPr="00D0352C">
        <w:rPr>
          <w:rFonts w:eastAsia="Aptos" w:cs="Times New Roman"/>
          <w:i/>
          <w:iCs/>
        </w:rPr>
        <w:t xml:space="preserve"> shopping</w:t>
      </w:r>
      <w:r>
        <w:rPr>
          <w:rFonts w:eastAsia="Aptos" w:cs="Times New Roman"/>
          <w:i/>
          <w:iCs/>
        </w:rPr>
        <w:t xml:space="preserve"> door Russische staatsburgers</w:t>
      </w:r>
      <w:r w:rsidRPr="002C6CCD">
        <w:rPr>
          <w:rFonts w:eastAsia="Aptos" w:cs="Times New Roman"/>
        </w:rPr>
        <w:t>”, ongelijke economische posities en verhoogde veiligheidsrisico’s. Ook roept de brief de Commissie op om passende maatregelen voor te stellen om (voormalige en huidige) Russische strijders te identificeren en hun toegang tot het Schengengebied te verhinderen</w:t>
      </w:r>
      <w:r>
        <w:rPr>
          <w:rFonts w:eastAsia="Aptos" w:cs="Times New Roman"/>
        </w:rPr>
        <w:t xml:space="preserve">. </w:t>
      </w:r>
    </w:p>
    <w:p w:rsidRPr="002C6CCD" w:rsidR="00875DD8" w:rsidP="00875DD8" w:rsidRDefault="00875DD8" w14:paraId="6819CC24" w14:textId="77777777">
      <w:pPr>
        <w:rPr>
          <w:rFonts w:eastAsia="Aptos" w:cs="Times New Roman"/>
        </w:rPr>
      </w:pPr>
      <w:r>
        <w:rPr>
          <w:rFonts w:eastAsia="Aptos" w:cs="Times New Roman"/>
        </w:rPr>
        <w:t>De o</w:t>
      </w:r>
      <w:r w:rsidRPr="002C6CCD">
        <w:rPr>
          <w:rFonts w:eastAsia="Aptos" w:cs="Times New Roman"/>
        </w:rPr>
        <w:t xml:space="preserve">ndersteuning van de gezamenlijke brief </w:t>
      </w:r>
      <w:r>
        <w:rPr>
          <w:rFonts w:eastAsia="Aptos" w:cs="Times New Roman"/>
        </w:rPr>
        <w:t>sluit aan bij het Nederlandse beleid en de inzet van het kabinet</w:t>
      </w:r>
      <w:r w:rsidRPr="002C6CCD">
        <w:rPr>
          <w:rFonts w:eastAsia="Aptos" w:cs="Times New Roman"/>
        </w:rPr>
        <w:t xml:space="preserve">. De Nederlandse visumafgifte aan Russische burgers is in aantal, geldigheidsduur en reisdoelen beperkt, en in lijn met de EU-richtsnoeren inzake de afgifte van visa met betrekking tot Russische aanvragers. Ondersteuning van de gezamenlijke brief is tevens in lijn met de Motie van </w:t>
      </w:r>
      <w:r w:rsidRPr="002C6CCD">
        <w:rPr>
          <w:rFonts w:eastAsia="Aptos" w:cs="Times New Roman"/>
        </w:rPr>
        <w:lastRenderedPageBreak/>
        <w:t xml:space="preserve">Campen en </w:t>
      </w:r>
      <w:proofErr w:type="spellStart"/>
      <w:r w:rsidRPr="002C6CCD">
        <w:rPr>
          <w:rFonts w:eastAsia="Aptos" w:cs="Times New Roman"/>
        </w:rPr>
        <w:t>Boswij</w:t>
      </w:r>
      <w:r>
        <w:rPr>
          <w:rFonts w:eastAsia="Aptos" w:cs="Times New Roman"/>
        </w:rPr>
        <w:t>k</w:t>
      </w:r>
      <w:proofErr w:type="spellEnd"/>
      <w:r>
        <w:rPr>
          <w:rStyle w:val="Voetnootmarkering"/>
          <w:rFonts w:eastAsia="Aptos" w:cs="Times New Roman"/>
        </w:rPr>
        <w:footnoteReference w:id="18"/>
      </w:r>
      <w:r>
        <w:rPr>
          <w:rFonts w:eastAsia="Aptos" w:cs="Times New Roman"/>
        </w:rPr>
        <w:t xml:space="preserve"> </w:t>
      </w:r>
      <w:r w:rsidRPr="002C6CCD">
        <w:rPr>
          <w:rFonts w:eastAsia="Aptos" w:cs="Times New Roman"/>
        </w:rPr>
        <w:t>waarin wordt verzocht de toegang van Russen tot EU-landen verder te beperken en de Motie van de leden Dassen en Brekelmans</w:t>
      </w:r>
      <w:r>
        <w:rPr>
          <w:rStyle w:val="Voetnootmarkering"/>
          <w:rFonts w:eastAsia="Aptos" w:cs="Times New Roman"/>
        </w:rPr>
        <w:footnoteReference w:id="19"/>
      </w:r>
      <w:r w:rsidRPr="002C6CCD">
        <w:rPr>
          <w:rFonts w:eastAsia="Aptos" w:cs="Times New Roman"/>
        </w:rPr>
        <w:t xml:space="preserve"> over zich aansluiten bij de oproep om te onderzoeken hoe Russische militairen en veteranen een Schengenverbod opgelegd kunnen krijgen.</w:t>
      </w:r>
    </w:p>
    <w:p w:rsidR="00875DD8" w:rsidP="00295C50" w:rsidRDefault="00875DD8" w14:paraId="7C3F1EDD" w14:textId="77777777">
      <w:pPr>
        <w:spacing w:line="276" w:lineRule="auto"/>
        <w:rPr>
          <w:u w:val="single"/>
        </w:rPr>
      </w:pPr>
    </w:p>
    <w:p w:rsidRPr="00295C50" w:rsidR="00295C50" w:rsidP="00295C50" w:rsidRDefault="00295C50" w14:paraId="4EDBBD53" w14:textId="782345F1">
      <w:pPr>
        <w:spacing w:line="276" w:lineRule="auto"/>
        <w:rPr>
          <w:u w:val="single"/>
        </w:rPr>
      </w:pPr>
      <w:r w:rsidRPr="00295C50">
        <w:rPr>
          <w:u w:val="single"/>
        </w:rPr>
        <w:t>Entry-Exit System (EES) op Amsterdam Airport Schiphol - Fase 2</w:t>
      </w:r>
    </w:p>
    <w:p w:rsidR="00875DD8" w:rsidP="00875DD8" w:rsidRDefault="00295C50" w14:paraId="6D79E3C1" w14:textId="1A8923BE">
      <w:pPr>
        <w:rPr>
          <w:b/>
          <w:bCs/>
        </w:rPr>
      </w:pPr>
      <w:r>
        <w:rPr>
          <w:rFonts w:eastAsia="Aptos" w:cs="Times New Roman"/>
        </w:rPr>
        <w:t>Voor fase twee van de invoering van het Entry Exit Systeem op Amsterdam Airport Schiphol wordt een rijksbijdrage ingezet. Middels deze brief informeert het kabinet uw Kamer over dit besluit.</w:t>
      </w:r>
      <w:r>
        <w:rPr>
          <w:rStyle w:val="Voetnootmarkering"/>
          <w:rFonts w:eastAsia="Aptos" w:cs="Times New Roman"/>
        </w:rPr>
        <w:footnoteReference w:id="20"/>
      </w:r>
      <w:r w:rsidRPr="001A0CF4">
        <w:rPr>
          <w:rFonts w:eastAsia="Aptos" w:cs="Times New Roman"/>
        </w:rPr>
        <w:t xml:space="preserve"> Het besluit </w:t>
      </w:r>
      <w:r>
        <w:rPr>
          <w:rFonts w:eastAsia="Aptos" w:cs="Times New Roman"/>
        </w:rPr>
        <w:t xml:space="preserve">is bijgevoegd (bijlage </w:t>
      </w:r>
      <w:r w:rsidR="00875DD8">
        <w:rPr>
          <w:rFonts w:eastAsia="Aptos" w:cs="Times New Roman"/>
        </w:rPr>
        <w:t>A</w:t>
      </w:r>
      <w:r>
        <w:rPr>
          <w:rFonts w:eastAsia="Aptos" w:cs="Times New Roman"/>
        </w:rPr>
        <w:t xml:space="preserve">). </w:t>
      </w:r>
      <w:r>
        <w:rPr>
          <w:b/>
          <w:bCs/>
        </w:rPr>
        <w:br/>
      </w:r>
    </w:p>
    <w:p w:rsidRPr="00295C50" w:rsidR="00295C50" w:rsidP="00E32E47" w:rsidRDefault="00295C50" w14:paraId="7F138ABF" w14:textId="117E4366">
      <w:pPr>
        <w:spacing w:line="276" w:lineRule="auto"/>
        <w:rPr>
          <w:b/>
          <w:bCs/>
        </w:rPr>
      </w:pPr>
      <w:r w:rsidRPr="00295C50">
        <w:rPr>
          <w:b/>
          <w:bCs/>
        </w:rPr>
        <w:t>Overige onderwerpen</w:t>
      </w:r>
    </w:p>
    <w:p w:rsidRPr="00295C50" w:rsidR="00295C50" w:rsidP="00295C50" w:rsidRDefault="00295C50" w14:paraId="35534167" w14:textId="77777777">
      <w:pPr>
        <w:spacing w:line="240" w:lineRule="auto"/>
        <w:rPr>
          <w:rFonts w:eastAsia="Calibri" w:cs="Calibri"/>
          <w:u w:val="single"/>
        </w:rPr>
      </w:pPr>
      <w:proofErr w:type="spellStart"/>
      <w:r w:rsidRPr="00295C50">
        <w:rPr>
          <w:rFonts w:eastAsia="Calibri" w:cs="Calibri"/>
          <w:u w:val="single"/>
        </w:rPr>
        <w:t>Declaration</w:t>
      </w:r>
      <w:proofErr w:type="spellEnd"/>
      <w:r w:rsidRPr="00295C50">
        <w:rPr>
          <w:rFonts w:eastAsia="Calibri" w:cs="Calibri"/>
          <w:u w:val="single"/>
        </w:rPr>
        <w:t xml:space="preserve"> of </w:t>
      </w:r>
      <w:proofErr w:type="spellStart"/>
      <w:r w:rsidRPr="00295C50">
        <w:rPr>
          <w:rFonts w:eastAsia="Calibri" w:cs="Calibri"/>
          <w:u w:val="single"/>
        </w:rPr>
        <w:t>Intent</w:t>
      </w:r>
      <w:proofErr w:type="spellEnd"/>
      <w:r w:rsidRPr="00295C50">
        <w:rPr>
          <w:rFonts w:eastAsia="Calibri" w:cs="Calibri"/>
          <w:u w:val="single"/>
        </w:rPr>
        <w:t xml:space="preserve"> Nederland en Italië</w:t>
      </w:r>
    </w:p>
    <w:p w:rsidRPr="00295C50" w:rsidR="00295C50" w:rsidP="00295C50" w:rsidRDefault="00295C50" w14:paraId="5600D9D1" w14:textId="6C34105B">
      <w:pPr>
        <w:spacing w:line="240" w:lineRule="auto"/>
        <w:rPr>
          <w:rFonts w:eastAsia="Calibri" w:cs="Calibri"/>
        </w:rPr>
      </w:pPr>
      <w:r w:rsidRPr="00295C50">
        <w:rPr>
          <w:rFonts w:eastAsia="Calibri" w:cs="Calibri"/>
        </w:rPr>
        <w:t xml:space="preserve">Als onderdeel van een werkbezoek aan Italië ondertekende de Minister van Asiel en Migratie en de Italiaanse Minister van Binnenlandse Zaken op 3 juni jl. een </w:t>
      </w:r>
      <w:proofErr w:type="spellStart"/>
      <w:r w:rsidRPr="00295C50">
        <w:rPr>
          <w:rFonts w:eastAsia="Calibri" w:cs="Calibri"/>
          <w:i/>
          <w:iCs/>
        </w:rPr>
        <w:t>Declaration</w:t>
      </w:r>
      <w:proofErr w:type="spellEnd"/>
      <w:r w:rsidRPr="00295C50">
        <w:rPr>
          <w:rFonts w:eastAsia="Calibri" w:cs="Calibri"/>
          <w:i/>
          <w:iCs/>
        </w:rPr>
        <w:t xml:space="preserve"> of </w:t>
      </w:r>
      <w:proofErr w:type="spellStart"/>
      <w:r w:rsidRPr="00295C50">
        <w:rPr>
          <w:rFonts w:eastAsia="Calibri" w:cs="Calibri"/>
          <w:i/>
          <w:iCs/>
        </w:rPr>
        <w:t>Intent</w:t>
      </w:r>
      <w:proofErr w:type="spellEnd"/>
      <w:r w:rsidRPr="00295C50">
        <w:rPr>
          <w:rFonts w:eastAsia="Calibri" w:cs="Calibri"/>
          <w:i/>
          <w:iCs/>
        </w:rPr>
        <w:t xml:space="preserve"> </w:t>
      </w:r>
      <w:r w:rsidRPr="00CE56FD">
        <w:rPr>
          <w:rFonts w:eastAsia="Calibri" w:cs="Calibri"/>
        </w:rPr>
        <w:t>(</w:t>
      </w:r>
      <w:r w:rsidRPr="00295C50">
        <w:rPr>
          <w:rFonts w:eastAsia="Calibri" w:cs="Calibri"/>
        </w:rPr>
        <w:t xml:space="preserve">zie bijlage </w:t>
      </w:r>
      <w:r w:rsidR="00875DD8">
        <w:rPr>
          <w:rFonts w:eastAsia="Calibri" w:cs="Calibri"/>
        </w:rPr>
        <w:t>B</w:t>
      </w:r>
      <w:r w:rsidRPr="00295C50">
        <w:rPr>
          <w:rFonts w:eastAsia="Calibri" w:cs="Calibri"/>
          <w:i/>
          <w:iCs/>
        </w:rPr>
        <w:t>)</w:t>
      </w:r>
      <w:r w:rsidRPr="00295C50">
        <w:rPr>
          <w:rFonts w:eastAsia="Calibri" w:cs="Calibri"/>
        </w:rPr>
        <w:t xml:space="preserve">. Middels deze verklaring spraken Nederland en Italië de intentie uit om de samenwerking op het gebied van migratie verder te versterken. Onderdeel hiervan is het samenwerken op de volledige en goede implementatie van het Europese asiel en migratiepact, inclusief de uitvoering van de asielgrensprocedure en het bieden van adequate opvang aan asielzoekers. Daarnaast zijn de landen ook gecommitteerd aan nauwer samenwerken op het bevorderen van de samenwerking met landen buiten de Europese Unie. Hierbij wordt het tegengaan van mensensmokkel, het bevorderen van terugkeer, het verminderen van de instroom richting de EU en de bescherming van vluchtelingen en migranten nagestreefd. Italië en Nederland gaan verkennen hoe zij meer kunnen samenwerken om vrijwillig vertrek vanuit Noord-Afrika naar landen van herkomst te ondersteunen en om de operationalisering van innovatieve oplossingen te bevorderen. </w:t>
      </w:r>
    </w:p>
    <w:p w:rsidRPr="00295C50" w:rsidR="00295C50" w:rsidP="00295C50" w:rsidRDefault="00295C50" w14:paraId="79B1191D" w14:textId="77777777">
      <w:pPr>
        <w:spacing w:line="240" w:lineRule="auto"/>
        <w:rPr>
          <w:rFonts w:eastAsia="Calibri" w:cs="Calibri"/>
          <w:b/>
          <w:bCs/>
        </w:rPr>
      </w:pPr>
    </w:p>
    <w:p w:rsidRPr="00295C50" w:rsidR="00295C50" w:rsidP="00295C50" w:rsidRDefault="00295C50" w14:paraId="1A1D66D9" w14:textId="77777777">
      <w:pPr>
        <w:spacing w:line="240" w:lineRule="auto"/>
        <w:rPr>
          <w:rFonts w:eastAsia="Calibri" w:cs="Calibri"/>
          <w:u w:val="single"/>
        </w:rPr>
      </w:pPr>
      <w:r w:rsidRPr="00295C50">
        <w:rPr>
          <w:rFonts w:eastAsia="Calibri" w:cs="Calibri"/>
          <w:u w:val="single"/>
        </w:rPr>
        <w:t>Overdrachten onder de Asiel- en Migratiebeheerverordening (</w:t>
      </w:r>
      <w:proofErr w:type="spellStart"/>
      <w:r w:rsidRPr="00295C50">
        <w:rPr>
          <w:rFonts w:eastAsia="Calibri" w:cs="Calibri"/>
          <w:u w:val="single"/>
        </w:rPr>
        <w:t>AMbV</w:t>
      </w:r>
      <w:proofErr w:type="spellEnd"/>
      <w:r w:rsidRPr="00295C50">
        <w:rPr>
          <w:rFonts w:eastAsia="Calibri" w:cs="Calibri"/>
          <w:u w:val="single"/>
        </w:rPr>
        <w:t xml:space="preserve">) naar Italië </w:t>
      </w:r>
    </w:p>
    <w:p w:rsidRPr="00295C50" w:rsidR="00295C50" w:rsidP="00295C50" w:rsidRDefault="00295C50" w14:paraId="74FF494D" w14:textId="77777777">
      <w:pPr>
        <w:spacing w:line="240" w:lineRule="auto"/>
        <w:rPr>
          <w:rFonts w:eastAsia="Calibri" w:cs="Calibri"/>
        </w:rPr>
      </w:pPr>
      <w:r w:rsidRPr="00295C50">
        <w:rPr>
          <w:rFonts w:eastAsia="Calibri" w:cs="Calibri"/>
        </w:rPr>
        <w:t xml:space="preserve">Sinds december 2022 zijn er geen asielzoekers naar Italië teruggestuurd op grond van de Dublinverordening. Aanleiding hiervan was een unilaterale opschorting door Italië wegens plotseling gebleken technische redenen die verband houden met opvangfaciliteiten. Hieruit concludeerde de Afdeling bestuursrechtspraak van de Raad van State, in een uitspraak van april 2023, dat asielzoekers die op grond van de Dublinverordening worden teruggestuurd naar Italië, niet worden opgevangen door de Italiaanse autoriteiten. Daarmee komen asielzoekers in een situatie terecht waarin zij niet beschikken over hun belangrijkste basisbehoeften, zoals onderdak, eten en stromend water. </w:t>
      </w:r>
    </w:p>
    <w:p w:rsidRPr="00295C50" w:rsidR="00295C50" w:rsidP="00295C50" w:rsidRDefault="00295C50" w14:paraId="00AC1134" w14:textId="77777777">
      <w:pPr>
        <w:spacing w:line="240" w:lineRule="auto"/>
        <w:rPr>
          <w:rFonts w:eastAsia="Calibri" w:cs="Calibri"/>
        </w:rPr>
      </w:pPr>
      <w:r w:rsidRPr="00295C50">
        <w:rPr>
          <w:rFonts w:eastAsia="Calibri" w:cs="Calibri"/>
        </w:rPr>
        <w:t> </w:t>
      </w:r>
    </w:p>
    <w:p w:rsidRPr="00295C50" w:rsidR="00295C50" w:rsidP="00295C50" w:rsidRDefault="00295C50" w14:paraId="641C9FAD" w14:textId="77777777">
      <w:pPr>
        <w:spacing w:line="240" w:lineRule="auto"/>
        <w:rPr>
          <w:rFonts w:eastAsia="Calibri" w:cs="Calibri"/>
        </w:rPr>
      </w:pPr>
      <w:r w:rsidRPr="00295C50">
        <w:rPr>
          <w:rFonts w:eastAsia="Calibri" w:cs="Calibri"/>
        </w:rPr>
        <w:t>Vanaf 12 juni is de Dublinverordening overgaan op de Asiel- en Migratiebeheerverordening (</w:t>
      </w:r>
      <w:proofErr w:type="spellStart"/>
      <w:r w:rsidRPr="00295C50">
        <w:rPr>
          <w:rFonts w:eastAsia="Calibri" w:cs="Calibri"/>
        </w:rPr>
        <w:t>AMbV</w:t>
      </w:r>
      <w:proofErr w:type="spellEnd"/>
      <w:r w:rsidRPr="00295C50">
        <w:rPr>
          <w:rFonts w:eastAsia="Calibri" w:cs="Calibri"/>
        </w:rPr>
        <w:t xml:space="preserve">) als onderdeel van het Europese Asiel en migratiepact. In de </w:t>
      </w:r>
      <w:proofErr w:type="spellStart"/>
      <w:r w:rsidRPr="00295C50">
        <w:rPr>
          <w:rFonts w:eastAsia="Calibri" w:cs="Calibri"/>
        </w:rPr>
        <w:t>AMbV</w:t>
      </w:r>
      <w:proofErr w:type="spellEnd"/>
      <w:r w:rsidRPr="00295C50">
        <w:rPr>
          <w:rFonts w:eastAsia="Calibri" w:cs="Calibri"/>
        </w:rPr>
        <w:t xml:space="preserve"> is er een gelijksoortig systeem voor de verplichte terugkeer van asielzoekers naar de verantwoordelijke lidstaat. Tijdens het gesprek tussen de Minister van Asiel en Migratie van Nederland en de Minister van Binnenlandse Zaken van Italië op 3 juni jl., heeft de Italiaanse minister bevestigd richting Nederland dat Italië het pact per ingang van 12 juni jl., waaronder ook de </w:t>
      </w:r>
      <w:proofErr w:type="spellStart"/>
      <w:r w:rsidRPr="00295C50">
        <w:rPr>
          <w:rFonts w:eastAsia="Calibri" w:cs="Calibri"/>
        </w:rPr>
        <w:t>AMbV</w:t>
      </w:r>
      <w:proofErr w:type="spellEnd"/>
      <w:r w:rsidRPr="00295C50">
        <w:rPr>
          <w:rFonts w:eastAsia="Calibri" w:cs="Calibri"/>
        </w:rPr>
        <w:t xml:space="preserve">, volledig zal implementeren. De Italiaanse inzet is net zoals de Nederlandse inzet gericht op het goed laten werken van het pact. In dat kader benoemde de Italiaanse minister expliciet dat Italië asielzoekers adequate opvang zal bieden. </w:t>
      </w:r>
      <w:r w:rsidRPr="00295C50">
        <w:rPr>
          <w:rFonts w:eastAsia="Calibri" w:cs="Calibri"/>
        </w:rPr>
        <w:lastRenderedPageBreak/>
        <w:t xml:space="preserve">Deze informatie van de verantwoordelijke Italiaanse minister is voor het kabinet aanleiding om overdrachten van asielzoekers op grond van de </w:t>
      </w:r>
      <w:proofErr w:type="spellStart"/>
      <w:r w:rsidRPr="00295C50">
        <w:rPr>
          <w:rFonts w:eastAsia="Calibri" w:cs="Calibri"/>
        </w:rPr>
        <w:t>AMbV</w:t>
      </w:r>
      <w:proofErr w:type="spellEnd"/>
      <w:r w:rsidRPr="00295C50">
        <w:rPr>
          <w:rFonts w:eastAsia="Calibri" w:cs="Calibri"/>
        </w:rPr>
        <w:t xml:space="preserve"> per direct weer te hervatten, omdat deze informatie voldoende verzekert dat Italië de eenzijdige blokkade vanaf 12 juni heeft opgeheven en adequate opvang zal bieden aan deze doelgroep en hiermee wordt voorzien in de meest elementaire behoeften van de terugkerende asielzoeker. </w:t>
      </w:r>
    </w:p>
    <w:p w:rsidRPr="00DC50DA" w:rsidR="00295C50" w:rsidP="00295C50" w:rsidRDefault="00295C50" w14:paraId="39269AFF" w14:textId="77777777">
      <w:pPr>
        <w:spacing w:line="240" w:lineRule="auto"/>
        <w:rPr>
          <w:rFonts w:eastAsia="Calibri" w:cs="Calibri"/>
          <w:sz w:val="20"/>
          <w:szCs w:val="20"/>
        </w:rPr>
      </w:pPr>
    </w:p>
    <w:p w:rsidRPr="007D0381" w:rsidR="007D0381" w:rsidP="007D0381" w:rsidRDefault="007D0381" w14:paraId="7A1BAD33" w14:textId="77777777">
      <w:pPr>
        <w:rPr>
          <w:rFonts w:eastAsia="Verdana" w:cs="Verdana"/>
          <w:u w:val="single"/>
        </w:rPr>
      </w:pPr>
      <w:bookmarkStart w:name="_Hlk232416003" w:id="1"/>
      <w:r w:rsidRPr="007D0381">
        <w:rPr>
          <w:rFonts w:eastAsia="Aptos" w:cs="Times New Roman"/>
          <w:u w:val="single"/>
        </w:rPr>
        <w:t>Verslag International Migration Review Forum</w:t>
      </w:r>
    </w:p>
    <w:bookmarkEnd w:id="1"/>
    <w:p w:rsidRPr="007D0381" w:rsidR="007D0381" w:rsidP="007D0381" w:rsidRDefault="007D0381" w14:paraId="12D08560" w14:textId="77777777">
      <w:pPr>
        <w:rPr>
          <w:rFonts w:eastAsia="Verdana" w:cs="Verdana"/>
        </w:rPr>
      </w:pPr>
      <w:r w:rsidRPr="007D0381">
        <w:rPr>
          <w:rFonts w:eastAsia="Verdana" w:cs="Verdana"/>
        </w:rPr>
        <w:t xml:space="preserve">Mede namens de Minister van Buitenlandse Zaken en de Minister voor Buitenlandse Handel en Ontwikkelingssamenwerking, wordt uw Kamer via deze weg geïnformeerd over de uitkomsten van het vierjaarlijkse </w:t>
      </w:r>
      <w:r w:rsidRPr="007D0381">
        <w:rPr>
          <w:rFonts w:eastAsia="Verdana" w:cs="Verdana"/>
          <w:i/>
          <w:iCs/>
        </w:rPr>
        <w:t>International Migration Review Forum (IMRF)</w:t>
      </w:r>
      <w:r w:rsidRPr="007D0381">
        <w:rPr>
          <w:rFonts w:eastAsia="Verdana" w:cs="Verdana"/>
        </w:rPr>
        <w:t xml:space="preserve"> dat heeft plaatsgevonden van 5 tot en met 8 mei bij de Verenigde Naties in New York. De Minister van Asiel en Migratie heeft namens Nederland deelgenomen aan het IMRF.</w:t>
      </w:r>
    </w:p>
    <w:p w:rsidRPr="007D0381" w:rsidR="007D0381" w:rsidP="007D0381" w:rsidRDefault="007D0381" w14:paraId="6499737D" w14:textId="77777777">
      <w:pPr>
        <w:rPr>
          <w:rFonts w:eastAsia="Verdana" w:cs="Verdana"/>
        </w:rPr>
      </w:pPr>
      <w:r w:rsidRPr="007D0381">
        <w:rPr>
          <w:rFonts w:eastAsia="Verdana" w:cs="Verdana"/>
        </w:rPr>
        <w:t xml:space="preserve"> </w:t>
      </w:r>
    </w:p>
    <w:p w:rsidRPr="007D0381" w:rsidR="007D0381" w:rsidP="007D0381" w:rsidRDefault="007D0381" w14:paraId="6DF0646A" w14:textId="51F62DE6">
      <w:pPr>
        <w:rPr>
          <w:rFonts w:eastAsia="Verdana" w:cs="Verdana"/>
        </w:rPr>
      </w:pPr>
      <w:r w:rsidRPr="007D0381">
        <w:rPr>
          <w:rFonts w:eastAsia="Verdana" w:cs="Verdana"/>
        </w:rPr>
        <w:t xml:space="preserve">Tijdens het IMRF is er gesproken over de gemaakte voortgang in de wereldwijde samenwerking op het gebied van migratie in het kader van het Global Compact </w:t>
      </w:r>
      <w:proofErr w:type="spellStart"/>
      <w:r w:rsidRPr="007D0381">
        <w:rPr>
          <w:rFonts w:eastAsia="Verdana" w:cs="Verdana"/>
        </w:rPr>
        <w:t>for</w:t>
      </w:r>
      <w:proofErr w:type="spellEnd"/>
      <w:r w:rsidRPr="007D0381">
        <w:rPr>
          <w:rFonts w:eastAsia="Verdana" w:cs="Verdana"/>
        </w:rPr>
        <w:t xml:space="preserve"> Safe, </w:t>
      </w:r>
      <w:proofErr w:type="spellStart"/>
      <w:r w:rsidRPr="007D0381">
        <w:rPr>
          <w:rFonts w:eastAsia="Verdana" w:cs="Verdana"/>
        </w:rPr>
        <w:t>Orderly</w:t>
      </w:r>
      <w:proofErr w:type="spellEnd"/>
      <w:r w:rsidRPr="007D0381">
        <w:rPr>
          <w:rFonts w:eastAsia="Verdana" w:cs="Verdana"/>
        </w:rPr>
        <w:t xml:space="preserve"> </w:t>
      </w:r>
      <w:proofErr w:type="spellStart"/>
      <w:r w:rsidRPr="007D0381">
        <w:rPr>
          <w:rFonts w:eastAsia="Verdana" w:cs="Verdana"/>
        </w:rPr>
        <w:t>and</w:t>
      </w:r>
      <w:proofErr w:type="spellEnd"/>
      <w:r w:rsidRPr="007D0381">
        <w:rPr>
          <w:rFonts w:eastAsia="Verdana" w:cs="Verdana"/>
        </w:rPr>
        <w:t xml:space="preserve"> </w:t>
      </w:r>
      <w:proofErr w:type="spellStart"/>
      <w:r w:rsidRPr="007D0381">
        <w:rPr>
          <w:rFonts w:eastAsia="Verdana" w:cs="Verdana"/>
        </w:rPr>
        <w:t>Regular</w:t>
      </w:r>
      <w:proofErr w:type="spellEnd"/>
      <w:r w:rsidRPr="007D0381">
        <w:rPr>
          <w:rFonts w:eastAsia="Verdana" w:cs="Verdana"/>
        </w:rPr>
        <w:t xml:space="preserve"> Migration (GCM), wat in 2018 is aangenomen. Deze voortgang is vastgelegd in een </w:t>
      </w:r>
      <w:proofErr w:type="spellStart"/>
      <w:r w:rsidRPr="007D0381">
        <w:rPr>
          <w:rFonts w:eastAsia="Verdana" w:cs="Verdana"/>
          <w:i/>
          <w:iCs/>
        </w:rPr>
        <w:t>Progress</w:t>
      </w:r>
      <w:proofErr w:type="spellEnd"/>
      <w:r w:rsidRPr="007D0381">
        <w:rPr>
          <w:rFonts w:eastAsia="Verdana" w:cs="Verdana"/>
          <w:i/>
          <w:iCs/>
        </w:rPr>
        <w:t xml:space="preserve"> </w:t>
      </w:r>
      <w:proofErr w:type="spellStart"/>
      <w:r w:rsidRPr="007D0381">
        <w:rPr>
          <w:rFonts w:eastAsia="Verdana" w:cs="Verdana"/>
          <w:i/>
          <w:iCs/>
        </w:rPr>
        <w:t>Declaration</w:t>
      </w:r>
      <w:proofErr w:type="spellEnd"/>
      <w:r w:rsidRPr="007D0381">
        <w:rPr>
          <w:rFonts w:eastAsia="Verdana" w:cs="Verdana"/>
          <w:i/>
          <w:iCs/>
        </w:rPr>
        <w:t>,</w:t>
      </w:r>
      <w:r w:rsidRPr="007D0381">
        <w:rPr>
          <w:rFonts w:eastAsia="Verdana" w:cs="Verdana"/>
        </w:rPr>
        <w:t xml:space="preserve"> die op 20 mei jl. met een meerderheid van stemmen door de Algemene Vergadering van de Verenigde Naties aangenomen Net zoals het GCM is de </w:t>
      </w:r>
      <w:proofErr w:type="spellStart"/>
      <w:r w:rsidRPr="007D0381">
        <w:rPr>
          <w:rFonts w:eastAsia="Verdana" w:cs="Verdana"/>
          <w:i/>
          <w:iCs/>
        </w:rPr>
        <w:t>Progress</w:t>
      </w:r>
      <w:proofErr w:type="spellEnd"/>
      <w:r w:rsidRPr="007D0381">
        <w:rPr>
          <w:rFonts w:eastAsia="Verdana" w:cs="Verdana"/>
          <w:i/>
          <w:iCs/>
        </w:rPr>
        <w:t xml:space="preserve"> </w:t>
      </w:r>
      <w:proofErr w:type="spellStart"/>
      <w:r w:rsidRPr="007D0381">
        <w:rPr>
          <w:rFonts w:eastAsia="Verdana" w:cs="Verdana"/>
          <w:i/>
          <w:iCs/>
        </w:rPr>
        <w:t>Declaration</w:t>
      </w:r>
      <w:proofErr w:type="spellEnd"/>
      <w:r w:rsidRPr="007D0381">
        <w:rPr>
          <w:rFonts w:eastAsia="Verdana" w:cs="Verdana"/>
          <w:i/>
          <w:iCs/>
        </w:rPr>
        <w:t xml:space="preserve"> </w:t>
      </w:r>
      <w:r w:rsidRPr="007D0381">
        <w:rPr>
          <w:rFonts w:eastAsia="Verdana" w:cs="Verdana"/>
        </w:rPr>
        <w:t>niet-juridische bindend. De Verenigde Staten heeft om stemming verzocht, waardoor landen zich individueel uit moesten spreken in plaats van de declaratie met consensus aan te nemen</w:t>
      </w:r>
      <w:r w:rsidRPr="007D0381">
        <w:rPr>
          <w:rStyle w:val="Voetnootmarkering"/>
          <w:rFonts w:eastAsia="Verdana" w:cs="Verdana"/>
        </w:rPr>
        <w:footnoteReference w:id="21"/>
      </w:r>
      <w:r w:rsidRPr="007D0381">
        <w:rPr>
          <w:rFonts w:eastAsia="Verdana" w:cs="Verdana"/>
        </w:rPr>
        <w:t>. Omdat de </w:t>
      </w:r>
      <w:proofErr w:type="spellStart"/>
      <w:r w:rsidRPr="007D0381">
        <w:rPr>
          <w:rFonts w:eastAsia="Verdana" w:cs="Verdana"/>
          <w:i/>
          <w:iCs/>
        </w:rPr>
        <w:t>Progress</w:t>
      </w:r>
      <w:proofErr w:type="spellEnd"/>
      <w:r w:rsidRPr="007D0381">
        <w:rPr>
          <w:rFonts w:eastAsia="Verdana" w:cs="Verdana"/>
          <w:i/>
          <w:iCs/>
        </w:rPr>
        <w:t> </w:t>
      </w:r>
      <w:proofErr w:type="spellStart"/>
      <w:r w:rsidRPr="007D0381">
        <w:rPr>
          <w:rFonts w:eastAsia="Verdana" w:cs="Verdana"/>
          <w:i/>
          <w:iCs/>
        </w:rPr>
        <w:t>Declaration</w:t>
      </w:r>
      <w:proofErr w:type="spellEnd"/>
      <w:r w:rsidRPr="007D0381">
        <w:rPr>
          <w:rFonts w:eastAsia="Verdana" w:cs="Verdana"/>
        </w:rPr>
        <w:t xml:space="preserve"> daarmee de Nederlandse beleidsprioriteiten reflecteert heeft Nederland voor aanname gestemd met een stemverklaring.  In deze gezamenlijke stemverklaring, namens Cyprus, Estland, IJsland, Malta, Nederland, Noorwegen, het Verenigd Koninkrijk en Zweden, wordt benadrukt dat de </w:t>
      </w:r>
      <w:proofErr w:type="spellStart"/>
      <w:r w:rsidRPr="007D0381">
        <w:rPr>
          <w:rFonts w:eastAsia="Verdana" w:cs="Verdana"/>
          <w:i/>
          <w:iCs/>
        </w:rPr>
        <w:t>Progress</w:t>
      </w:r>
      <w:proofErr w:type="spellEnd"/>
      <w:r w:rsidRPr="007D0381">
        <w:rPr>
          <w:rFonts w:eastAsia="Verdana" w:cs="Verdana"/>
          <w:i/>
          <w:iCs/>
        </w:rPr>
        <w:t xml:space="preserve"> </w:t>
      </w:r>
      <w:proofErr w:type="spellStart"/>
      <w:r w:rsidRPr="007D0381">
        <w:rPr>
          <w:rFonts w:eastAsia="Verdana" w:cs="Verdana"/>
          <w:i/>
          <w:iCs/>
        </w:rPr>
        <w:t>Declaration</w:t>
      </w:r>
      <w:proofErr w:type="spellEnd"/>
      <w:r w:rsidRPr="007D0381">
        <w:rPr>
          <w:rFonts w:eastAsia="Verdana" w:cs="Verdana"/>
        </w:rPr>
        <w:t xml:space="preserve"> in lijn is met bestaand EU en Nederlands beleid. Ook benadrukte de stemverklaring nogmaals de prioriteiten van op het gebied van migratiesamenwerking. </w:t>
      </w:r>
    </w:p>
    <w:p w:rsidRPr="007D0381" w:rsidR="007D0381" w:rsidP="007D0381" w:rsidRDefault="007D0381" w14:paraId="3A4926D3" w14:textId="77777777">
      <w:pPr>
        <w:rPr>
          <w:rFonts w:eastAsia="Verdana" w:cs="Verdana"/>
        </w:rPr>
      </w:pPr>
    </w:p>
    <w:p w:rsidR="007D0381" w:rsidP="007D0381" w:rsidRDefault="007D0381" w14:paraId="23635148" w14:textId="77777777">
      <w:pPr>
        <w:rPr>
          <w:rFonts w:eastAsia="Verdana" w:cs="Verdana"/>
        </w:rPr>
      </w:pPr>
      <w:r w:rsidRPr="007D0381">
        <w:rPr>
          <w:rFonts w:eastAsia="Verdana" w:cs="Verdana"/>
        </w:rPr>
        <w:t xml:space="preserve">Het kabinet zet zich in voor meer grip op migratie onder meer via internationale samenwerking. Nederland is een voorvechter van het multilaterale systeem en gelooft dat de samenwerking met derde landen noodzakelijk is voor het verbeteren van migratiemanagement. Nederland heeft daarom het IMRF gebruikt om samen met derde landen te werken aan onder andere het tegengaan van irreguliere migratie, het bevorderen van terugkeer bij onrechtmatig verblijf, het tegengaan van mensenhandel en – smokkel en aandacht voor mensenrechten en de bescherming van migranten. In de </w:t>
      </w:r>
      <w:proofErr w:type="spellStart"/>
      <w:r w:rsidRPr="007D0381">
        <w:rPr>
          <w:rFonts w:eastAsia="Verdana" w:cs="Verdana"/>
          <w:i/>
          <w:iCs/>
        </w:rPr>
        <w:t>Progress</w:t>
      </w:r>
      <w:proofErr w:type="spellEnd"/>
      <w:r w:rsidRPr="007D0381">
        <w:rPr>
          <w:rFonts w:eastAsia="Verdana" w:cs="Verdana"/>
          <w:i/>
          <w:iCs/>
        </w:rPr>
        <w:t xml:space="preserve"> </w:t>
      </w:r>
      <w:proofErr w:type="spellStart"/>
      <w:r w:rsidRPr="007D0381">
        <w:rPr>
          <w:rFonts w:eastAsia="Verdana" w:cs="Verdana"/>
          <w:i/>
          <w:iCs/>
        </w:rPr>
        <w:t>Declaration</w:t>
      </w:r>
      <w:proofErr w:type="spellEnd"/>
      <w:r w:rsidRPr="007D0381">
        <w:rPr>
          <w:rFonts w:eastAsia="Verdana" w:cs="Verdana"/>
        </w:rPr>
        <w:t xml:space="preserve"> is daarom, door de inzet van Nederland en gelijkgezinden landen, de verantwoordelijkheid van staten herbevestigd om hun burgers in derde landen te helpen identificeren en van documentatie te voorzien, en om mee te werken aan terugkeer. Ook is er in de </w:t>
      </w:r>
      <w:proofErr w:type="spellStart"/>
      <w:r w:rsidRPr="007D0381">
        <w:rPr>
          <w:rFonts w:eastAsia="Verdana" w:cs="Verdana"/>
          <w:i/>
        </w:rPr>
        <w:t>Progress</w:t>
      </w:r>
      <w:proofErr w:type="spellEnd"/>
      <w:r w:rsidRPr="007D0381">
        <w:rPr>
          <w:rFonts w:eastAsia="Verdana" w:cs="Verdana"/>
          <w:i/>
        </w:rPr>
        <w:t xml:space="preserve"> </w:t>
      </w:r>
      <w:proofErr w:type="spellStart"/>
      <w:r w:rsidRPr="007D0381">
        <w:rPr>
          <w:rFonts w:eastAsia="Verdana" w:cs="Verdana"/>
          <w:i/>
        </w:rPr>
        <w:t>Declaration</w:t>
      </w:r>
      <w:proofErr w:type="spellEnd"/>
      <w:r w:rsidRPr="007D0381">
        <w:rPr>
          <w:rFonts w:eastAsia="Verdana" w:cs="Verdana"/>
        </w:rPr>
        <w:t xml:space="preserve"> erkenning gegeven van het belang van nauwere internationale samenwerking op het gebied van migratiemanagement, inclusief innovatieve oplossingen, zoals terugkeerhubs. Ook nam Nederland een actieve rol aan tijdens het IMRF, zo leidde de Minister van Asiel en Migratie de ronde tafel over terugkeer, grensmanagement en mensenhandel- en smokkel voor en organiseerde Nederland samen met Syrië en marge van het IMRF samen een besloten gesprek over wederopbouw in Syrië en terugkeer naar Syrië. Hierbij sloten lidstaten uit de regio en diverse VN-organisaties aan. Daarnaast heeft Nederland en marge van het IMRF gesproken met een aantal belangrijke landen </w:t>
      </w:r>
      <w:r w:rsidRPr="007D0381">
        <w:rPr>
          <w:rFonts w:eastAsia="Verdana" w:cs="Verdana"/>
        </w:rPr>
        <w:lastRenderedPageBreak/>
        <w:t xml:space="preserve">van herkomst-, transit- en bestemming, waaronder Algerije, Turkije, Ierland, Denemarken, Marokko, Moldavië, evenals IOM en ICMPD en de VN speciaal rapporteur voor mensenrechten van migranten, over migratiesamenwerking. </w:t>
      </w:r>
    </w:p>
    <w:p w:rsidR="00FC1914" w:rsidP="007D0381" w:rsidRDefault="00FC1914" w14:paraId="381773E3" w14:textId="77777777">
      <w:pPr>
        <w:rPr>
          <w:rFonts w:eastAsia="Verdana" w:cs="Verdana"/>
        </w:rPr>
      </w:pPr>
    </w:p>
    <w:p w:rsidRPr="00FC1914" w:rsidR="00FC1914" w:rsidP="00FC1914" w:rsidRDefault="00FC1914" w14:paraId="7C5DFBE3" w14:textId="77777777">
      <w:pPr>
        <w:spacing w:line="276" w:lineRule="auto"/>
        <w:rPr>
          <w:rFonts w:eastAsia="Verdana" w:cs="Verdana"/>
          <w:u w:val="single"/>
        </w:rPr>
      </w:pPr>
      <w:r w:rsidRPr="00FC1914">
        <w:rPr>
          <w:rFonts w:eastAsia="Verdana" w:cs="Verdana"/>
          <w:u w:val="single"/>
        </w:rPr>
        <w:t xml:space="preserve">Non-paper nieuwe EU-wetgeving georganiseerde criminaliteit </w:t>
      </w:r>
    </w:p>
    <w:p w:rsidR="003C60DB" w:rsidP="00FC1914" w:rsidRDefault="00FC1914" w14:paraId="42DF56F2" w14:textId="7286F962">
      <w:pPr>
        <w:spacing w:line="276" w:lineRule="auto"/>
        <w:rPr>
          <w:rFonts w:eastAsia="Verdana" w:cs="Verdana"/>
        </w:rPr>
      </w:pPr>
      <w:r w:rsidRPr="00FC1914">
        <w:rPr>
          <w:rFonts w:eastAsia="Verdana" w:cs="Verdana"/>
        </w:rPr>
        <w:t xml:space="preserve">Tevens treft uw Kamer </w:t>
      </w:r>
      <w:r w:rsidR="00B5677D">
        <w:rPr>
          <w:rFonts w:eastAsia="Verdana" w:cs="Verdana"/>
        </w:rPr>
        <w:t xml:space="preserve">in de bijlage </w:t>
      </w:r>
      <w:r w:rsidRPr="00FC1914">
        <w:rPr>
          <w:rFonts w:eastAsia="Verdana" w:cs="Verdana"/>
        </w:rPr>
        <w:t>een non-paper van Frankrijk aan inzake nieuwe EU-wetgeving omtrent de bestrijding tegen georganiseerde criminaliteit (bijlage C), dat Nederland steunt. Eind 2026 wordt een richtlijn verwacht van de Commissie over georganiseerde criminaliteit. Het wetgevingsvoorstel betreft in ieder geval de herziening van het Kaderbesluit georganiseerde criminaliteit. Dit Kaderbesluit bevat een definitie van het begrip criminele organisatie en schrijft voor welke gedragingen die verband houden met een criminele organisatie strafbaar moeten worden gesteld. Ook bevat het minimumvoorschriften inzake de strafmaxima voor deze gedragingen. Het voorstel zal daarnaast mogelijk ook andere onderwerpen betreffen die raken aan de strafrechtelijke aanpak van georganiseerde criminaliteit.</w:t>
      </w:r>
    </w:p>
    <w:p w:rsidR="00FC1914" w:rsidP="00FC1914" w:rsidRDefault="00FC1914" w14:paraId="67CFBF9A" w14:textId="77777777">
      <w:pPr>
        <w:rPr>
          <w:rFonts w:eastAsia="Verdana" w:cs="Verdana"/>
        </w:rPr>
      </w:pPr>
    </w:p>
    <w:p w:rsidRPr="00FC1914" w:rsidR="00FC1914" w:rsidP="00FC1914" w:rsidRDefault="00FC1914" w14:paraId="34CA240A" w14:textId="77777777">
      <w:pPr>
        <w:rPr>
          <w:rFonts w:eastAsia="Verdana" w:cs="Verdana"/>
        </w:rPr>
      </w:pPr>
    </w:p>
    <w:p w:rsidRPr="00E32E47" w:rsidR="003C60DB" w:rsidP="00E32E47" w:rsidRDefault="003C60DB" w14:paraId="0D175623" w14:textId="77777777">
      <w:pPr>
        <w:spacing w:line="276" w:lineRule="auto"/>
      </w:pPr>
      <w:r w:rsidRPr="00E32E47">
        <w:t>De Minister van Justitie en Veiligheid,</w:t>
      </w:r>
    </w:p>
    <w:p w:rsidRPr="00E32E47" w:rsidR="003C60DB" w:rsidP="00E32E47" w:rsidRDefault="003C60DB" w14:paraId="5350367C" w14:textId="77777777">
      <w:pPr>
        <w:spacing w:line="276" w:lineRule="auto"/>
      </w:pPr>
    </w:p>
    <w:p w:rsidRPr="00E32E47" w:rsidR="003C60DB" w:rsidP="00E32E47" w:rsidRDefault="003C60DB" w14:paraId="47470E9C" w14:textId="77777777">
      <w:pPr>
        <w:spacing w:line="276" w:lineRule="auto"/>
      </w:pPr>
    </w:p>
    <w:p w:rsidRPr="00E32E47" w:rsidR="003C60DB" w:rsidP="00E32E47" w:rsidRDefault="003C60DB" w14:paraId="0C084F2A" w14:textId="77777777">
      <w:pPr>
        <w:spacing w:line="276" w:lineRule="auto"/>
      </w:pPr>
    </w:p>
    <w:p w:rsidRPr="00E32E47" w:rsidR="003C60DB" w:rsidP="00E32E47" w:rsidRDefault="003C60DB" w14:paraId="35D1C597" w14:textId="77777777">
      <w:pPr>
        <w:spacing w:line="276" w:lineRule="auto"/>
      </w:pPr>
    </w:p>
    <w:p w:rsidRPr="00E32E47" w:rsidR="003C60DB" w:rsidP="00E32E47" w:rsidRDefault="003C60DB" w14:paraId="4B9608B2" w14:textId="77777777">
      <w:pPr>
        <w:spacing w:line="276" w:lineRule="auto"/>
      </w:pPr>
      <w:r w:rsidRPr="00E32E47">
        <w:t>D.M. van Weel</w:t>
      </w:r>
    </w:p>
    <w:p w:rsidRPr="00E32E47" w:rsidR="003C60DB" w:rsidP="00E32E47" w:rsidRDefault="003C60DB" w14:paraId="55D88282" w14:textId="77777777">
      <w:pPr>
        <w:spacing w:line="276" w:lineRule="auto"/>
      </w:pPr>
    </w:p>
    <w:p w:rsidRPr="00E32E47" w:rsidR="003C60DB" w:rsidP="00E32E47" w:rsidRDefault="003C60DB" w14:paraId="6E139A01" w14:textId="77777777">
      <w:pPr>
        <w:spacing w:line="276" w:lineRule="auto"/>
      </w:pPr>
    </w:p>
    <w:p w:rsidRPr="00E32E47" w:rsidR="003C60DB" w:rsidP="00E32E47" w:rsidRDefault="003C60DB" w14:paraId="0107FDF8" w14:textId="77777777">
      <w:pPr>
        <w:spacing w:line="276" w:lineRule="auto"/>
      </w:pPr>
      <w:r w:rsidRPr="00E32E47">
        <w:t>De Minister voor Asiel en Migratie,</w:t>
      </w:r>
    </w:p>
    <w:p w:rsidRPr="00E32E47" w:rsidR="003C60DB" w:rsidP="00E32E47" w:rsidRDefault="003C60DB" w14:paraId="2AA6D243" w14:textId="77777777">
      <w:pPr>
        <w:spacing w:line="276" w:lineRule="auto"/>
      </w:pPr>
    </w:p>
    <w:p w:rsidRPr="00E32E47" w:rsidR="003C60DB" w:rsidP="00E32E47" w:rsidRDefault="003C60DB" w14:paraId="5CDD0C89" w14:textId="77777777">
      <w:pPr>
        <w:spacing w:line="276" w:lineRule="auto"/>
      </w:pPr>
    </w:p>
    <w:p w:rsidRPr="00E32E47" w:rsidR="003C60DB" w:rsidP="00E32E47" w:rsidRDefault="003C60DB" w14:paraId="2736D1F4" w14:textId="77777777">
      <w:pPr>
        <w:spacing w:line="276" w:lineRule="auto"/>
      </w:pPr>
    </w:p>
    <w:p w:rsidRPr="00E32E47" w:rsidR="003C60DB" w:rsidP="00E32E47" w:rsidRDefault="003C60DB" w14:paraId="7D214844" w14:textId="77777777">
      <w:pPr>
        <w:spacing w:line="276" w:lineRule="auto"/>
      </w:pPr>
    </w:p>
    <w:p w:rsidRPr="00E32E47" w:rsidR="003C60DB" w:rsidP="00E32E47" w:rsidRDefault="003C60DB" w14:paraId="00DE559D" w14:textId="77777777">
      <w:pPr>
        <w:spacing w:line="276" w:lineRule="auto"/>
      </w:pPr>
      <w:r w:rsidRPr="00E32E47">
        <w:t>Bart van den Brink</w:t>
      </w:r>
    </w:p>
    <w:p w:rsidRPr="00E32E47" w:rsidR="003C60DB" w:rsidP="00E32E47" w:rsidRDefault="003C60DB" w14:paraId="6C8713B7" w14:textId="77777777">
      <w:pPr>
        <w:spacing w:line="276" w:lineRule="auto"/>
      </w:pPr>
    </w:p>
    <w:p w:rsidRPr="00E32E47" w:rsidR="003C60DB" w:rsidP="00E32E47" w:rsidRDefault="003C60DB" w14:paraId="150C4FB7" w14:textId="77777777">
      <w:pPr>
        <w:spacing w:line="276" w:lineRule="auto"/>
      </w:pPr>
    </w:p>
    <w:p w:rsidRPr="00E32E47" w:rsidR="003C60DB" w:rsidP="00E32E47" w:rsidRDefault="003C60DB" w14:paraId="145AE4A4" w14:textId="77777777">
      <w:pPr>
        <w:spacing w:line="276" w:lineRule="auto"/>
      </w:pPr>
      <w:r w:rsidRPr="00E32E47">
        <w:t>De Staatssecretaris van Justitie en Veiligheid,</w:t>
      </w:r>
    </w:p>
    <w:p w:rsidRPr="00E32E47" w:rsidR="003C60DB" w:rsidP="00E32E47" w:rsidRDefault="003C60DB" w14:paraId="7E023427" w14:textId="77777777">
      <w:pPr>
        <w:spacing w:line="276" w:lineRule="auto"/>
      </w:pPr>
    </w:p>
    <w:p w:rsidRPr="00E32E47" w:rsidR="003C60DB" w:rsidP="00E32E47" w:rsidRDefault="003C60DB" w14:paraId="3597AE6F" w14:textId="77777777">
      <w:pPr>
        <w:spacing w:line="276" w:lineRule="auto"/>
      </w:pPr>
    </w:p>
    <w:p w:rsidRPr="00E32E47" w:rsidR="003C60DB" w:rsidP="00E32E47" w:rsidRDefault="003C60DB" w14:paraId="170BB251" w14:textId="77777777">
      <w:pPr>
        <w:spacing w:line="276" w:lineRule="auto"/>
      </w:pPr>
    </w:p>
    <w:p w:rsidRPr="00E32E47" w:rsidR="003C60DB" w:rsidP="00E32E47" w:rsidRDefault="003C60DB" w14:paraId="36C486AC" w14:textId="77777777">
      <w:pPr>
        <w:spacing w:line="276" w:lineRule="auto"/>
      </w:pPr>
    </w:p>
    <w:p w:rsidRPr="00E32E47" w:rsidR="003C60DB" w:rsidP="00E32E47" w:rsidRDefault="003C60DB" w14:paraId="2C6F45A2" w14:textId="77777777">
      <w:pPr>
        <w:spacing w:line="276" w:lineRule="auto"/>
      </w:pPr>
    </w:p>
    <w:p w:rsidRPr="00E32E47" w:rsidR="003C60DB" w:rsidP="00E32E47" w:rsidRDefault="003C60DB" w14:paraId="43CF26D3" w14:textId="77777777">
      <w:pPr>
        <w:spacing w:line="276" w:lineRule="auto"/>
      </w:pPr>
      <w:r w:rsidRPr="00E32E47">
        <w:t>Claudia van Bruggen</w:t>
      </w:r>
    </w:p>
    <w:p w:rsidRPr="00E32E47" w:rsidR="003C60DB" w:rsidP="00E32E47" w:rsidRDefault="003C60DB" w14:paraId="7D1157B9" w14:textId="77777777">
      <w:pPr>
        <w:spacing w:line="276" w:lineRule="auto"/>
      </w:pPr>
    </w:p>
    <w:p w:rsidRPr="00E32E47" w:rsidR="003C60DB" w:rsidP="00E32E47" w:rsidRDefault="003C60DB" w14:paraId="1D5F43B4" w14:textId="77777777">
      <w:pPr>
        <w:spacing w:line="276" w:lineRule="auto"/>
      </w:pPr>
    </w:p>
    <w:p w:rsidRPr="00E32E47" w:rsidR="003C60DB" w:rsidP="00A45C6B" w:rsidRDefault="003C60DB" w14:paraId="6AB50EA7" w14:textId="77777777">
      <w:pPr>
        <w:spacing w:line="276" w:lineRule="auto"/>
      </w:pPr>
    </w:p>
    <w:p w:rsidRPr="00E32E47" w:rsidR="003C60DB" w:rsidP="00E32E47" w:rsidRDefault="003C60DB" w14:paraId="3F001AB3" w14:textId="77777777">
      <w:pPr>
        <w:spacing w:line="276" w:lineRule="auto"/>
      </w:pPr>
    </w:p>
    <w:p w:rsidRPr="00E32E47" w:rsidR="006D1EB8" w:rsidP="00E32E47" w:rsidRDefault="006D1EB8" w14:paraId="270955FB" w14:textId="77777777">
      <w:pPr>
        <w:spacing w:line="276" w:lineRule="auto"/>
      </w:pPr>
    </w:p>
    <w:p w:rsidRPr="00E32E47" w:rsidR="0032132B" w:rsidP="00E32E47" w:rsidRDefault="0032132B" w14:paraId="6C2395AD" w14:textId="77777777">
      <w:pPr>
        <w:spacing w:line="276" w:lineRule="auto"/>
      </w:pPr>
    </w:p>
    <w:p w:rsidRPr="00E32E47" w:rsidR="00061F54" w:rsidP="00A45C6B" w:rsidRDefault="00061F54" w14:paraId="38BD8882" w14:textId="1EEE96B1">
      <w:pPr>
        <w:spacing w:line="276" w:lineRule="auto"/>
      </w:pPr>
    </w:p>
    <w:sectPr w:rsidRPr="00E32E47" w:rsidR="00061F5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4869" w14:textId="77777777" w:rsidR="004528F3" w:rsidRDefault="004528F3">
      <w:pPr>
        <w:spacing w:line="240" w:lineRule="auto"/>
      </w:pPr>
      <w:r>
        <w:separator/>
      </w:r>
    </w:p>
  </w:endnote>
  <w:endnote w:type="continuationSeparator" w:id="0">
    <w:p w14:paraId="7A0A9D83" w14:textId="77777777" w:rsidR="004528F3" w:rsidRDefault="00452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028C" w14:textId="77777777" w:rsidR="00061F54" w:rsidRDefault="00061F5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F5D6" w14:textId="77777777" w:rsidR="004528F3" w:rsidRDefault="004528F3">
      <w:pPr>
        <w:spacing w:line="240" w:lineRule="auto"/>
      </w:pPr>
      <w:r>
        <w:separator/>
      </w:r>
    </w:p>
  </w:footnote>
  <w:footnote w:type="continuationSeparator" w:id="0">
    <w:p w14:paraId="1D21DC93" w14:textId="77777777" w:rsidR="004528F3" w:rsidRDefault="004528F3">
      <w:pPr>
        <w:spacing w:line="240" w:lineRule="auto"/>
      </w:pPr>
      <w:r>
        <w:continuationSeparator/>
      </w:r>
    </w:p>
  </w:footnote>
  <w:footnote w:id="1">
    <w:p w14:paraId="77658867" w14:textId="77777777" w:rsidR="00A45C6B" w:rsidRPr="00494A18" w:rsidRDefault="00A45C6B" w:rsidP="00A45C6B">
      <w:pPr>
        <w:pStyle w:val="Voetnoottekst"/>
        <w:rPr>
          <w:sz w:val="16"/>
          <w:szCs w:val="16"/>
        </w:rPr>
      </w:pPr>
      <w:r w:rsidRPr="00494A18">
        <w:rPr>
          <w:rStyle w:val="Voetnootmarkering"/>
          <w:sz w:val="16"/>
          <w:szCs w:val="16"/>
        </w:rPr>
        <w:footnoteRef/>
      </w:r>
      <w:r w:rsidRPr="00494A18">
        <w:rPr>
          <w:sz w:val="16"/>
          <w:szCs w:val="16"/>
        </w:rPr>
        <w:t xml:space="preserve"> BNC-fiche, </w:t>
      </w:r>
      <w:r w:rsidRPr="00F53E9B">
        <w:rPr>
          <w:i/>
          <w:iCs/>
          <w:sz w:val="16"/>
          <w:szCs w:val="16"/>
        </w:rPr>
        <w:t>Kamerstukken II</w:t>
      </w:r>
      <w:r>
        <w:rPr>
          <w:sz w:val="16"/>
          <w:szCs w:val="16"/>
        </w:rPr>
        <w:t xml:space="preserve"> 2025/26,</w:t>
      </w:r>
      <w:r w:rsidRPr="00494A18">
        <w:rPr>
          <w:sz w:val="16"/>
          <w:szCs w:val="16"/>
        </w:rPr>
        <w:t xml:space="preserve"> 22112</w:t>
      </w:r>
      <w:r>
        <w:rPr>
          <w:sz w:val="16"/>
          <w:szCs w:val="16"/>
        </w:rPr>
        <w:t xml:space="preserve">, nr. </w:t>
      </w:r>
      <w:r w:rsidRPr="00494A18">
        <w:rPr>
          <w:sz w:val="16"/>
          <w:szCs w:val="16"/>
        </w:rPr>
        <w:t>4320</w:t>
      </w:r>
      <w:r>
        <w:rPr>
          <w:sz w:val="16"/>
          <w:szCs w:val="16"/>
        </w:rPr>
        <w:t>.</w:t>
      </w:r>
    </w:p>
  </w:footnote>
  <w:footnote w:id="2">
    <w:p w14:paraId="0D2EBED3" w14:textId="77777777" w:rsidR="00A45C6B" w:rsidRPr="00D66DB2" w:rsidRDefault="00A45C6B" w:rsidP="00A45C6B">
      <w:pPr>
        <w:pStyle w:val="Voetnoottekst"/>
      </w:pPr>
      <w:r>
        <w:rPr>
          <w:rStyle w:val="Voetnootmarkering"/>
        </w:rPr>
        <w:footnoteRef/>
      </w:r>
      <w:r>
        <w:t xml:space="preserve"> </w:t>
      </w:r>
      <w:r>
        <w:rPr>
          <w:sz w:val="16"/>
          <w:szCs w:val="16"/>
        </w:rPr>
        <w:t xml:space="preserve">Benelux non-paper, </w:t>
      </w:r>
      <w:r>
        <w:rPr>
          <w:i/>
          <w:iCs/>
          <w:sz w:val="16"/>
          <w:szCs w:val="16"/>
        </w:rPr>
        <w:t>Kamerstukken II</w:t>
      </w:r>
      <w:r>
        <w:rPr>
          <w:sz w:val="16"/>
          <w:szCs w:val="16"/>
        </w:rPr>
        <w:t xml:space="preserve"> 2025/26, 22112, nr. 4360.</w:t>
      </w:r>
    </w:p>
  </w:footnote>
  <w:footnote w:id="3">
    <w:p w14:paraId="11B70544" w14:textId="1B11D2FE" w:rsidR="00A45C6B" w:rsidRDefault="00A45C6B" w:rsidP="00A45C6B">
      <w:pPr>
        <w:pStyle w:val="Voetnoottekst"/>
      </w:pPr>
      <w:r>
        <w:rPr>
          <w:rStyle w:val="Voetnootmarkering"/>
        </w:rPr>
        <w:footnoteRef/>
      </w:r>
      <w:r>
        <w:t xml:space="preserve"> </w:t>
      </w:r>
      <w:r w:rsidRPr="00295C50">
        <w:rPr>
          <w:sz w:val="16"/>
          <w:szCs w:val="16"/>
        </w:rPr>
        <w:t>Kamerstukken II, 2025-2026, 22122, nr. 4363</w:t>
      </w:r>
      <w:r w:rsidR="00295C50">
        <w:rPr>
          <w:sz w:val="16"/>
          <w:szCs w:val="16"/>
        </w:rPr>
        <w:t>.</w:t>
      </w:r>
    </w:p>
  </w:footnote>
  <w:footnote w:id="4">
    <w:p w14:paraId="3551C284" w14:textId="593BBB91" w:rsidR="00A45C6B" w:rsidRPr="002F2B05" w:rsidRDefault="00A45C6B" w:rsidP="00A45C6B">
      <w:pPr>
        <w:rPr>
          <w:sz w:val="14"/>
          <w:szCs w:val="14"/>
        </w:rPr>
      </w:pPr>
      <w:r w:rsidRPr="00544F41">
        <w:rPr>
          <w:rStyle w:val="Voetnootmarkering"/>
          <w:sz w:val="20"/>
          <w:szCs w:val="20"/>
        </w:rPr>
        <w:footnoteRef/>
      </w:r>
      <w:r w:rsidRPr="00544F41">
        <w:rPr>
          <w:sz w:val="20"/>
          <w:szCs w:val="20"/>
        </w:rPr>
        <w:t xml:space="preserve"> </w:t>
      </w:r>
      <w:r w:rsidRPr="00506C4A">
        <w:rPr>
          <w:sz w:val="16"/>
          <w:szCs w:val="16"/>
        </w:rPr>
        <w:t>Kamerstukken II, 2025-2026</w:t>
      </w:r>
      <w:r>
        <w:rPr>
          <w:sz w:val="20"/>
          <w:szCs w:val="20"/>
        </w:rPr>
        <w:t xml:space="preserve">, </w:t>
      </w:r>
      <w:r w:rsidRPr="00506C4A">
        <w:rPr>
          <w:rFonts w:eastAsia="Aptos" w:cs="Times New Roman"/>
          <w:sz w:val="16"/>
          <w:szCs w:val="16"/>
        </w:rPr>
        <w:t>TZ202604-207</w:t>
      </w:r>
      <w:r w:rsidR="00506C4A">
        <w:rPr>
          <w:rFonts w:eastAsia="Aptos" w:cs="Times New Roman"/>
          <w:sz w:val="16"/>
          <w:szCs w:val="16"/>
        </w:rPr>
        <w:t>.</w:t>
      </w:r>
    </w:p>
  </w:footnote>
  <w:footnote w:id="5">
    <w:p w14:paraId="1CA0205E" w14:textId="77777777" w:rsidR="00A45C6B" w:rsidRDefault="00A45C6B" w:rsidP="00A45C6B">
      <w:pPr>
        <w:pStyle w:val="Voetnoottekst"/>
      </w:pPr>
      <w:r>
        <w:rPr>
          <w:rStyle w:val="Voetnootmarkering"/>
        </w:rPr>
        <w:footnoteRef/>
      </w:r>
      <w:r>
        <w:t xml:space="preserve"> </w:t>
      </w:r>
      <w:hyperlink r:id="rId1" w:anchor="p10" w:history="1">
        <w:r w:rsidRPr="00506C4A">
          <w:rPr>
            <w:rStyle w:val="Hyperlink"/>
            <w:sz w:val="16"/>
            <w:szCs w:val="16"/>
          </w:rPr>
          <w:t>Verslag van de plenaire vergadering van dinsdag 7 april 2026 - Eerste Kamer der Staten-Generaal</w:t>
        </w:r>
      </w:hyperlink>
    </w:p>
  </w:footnote>
  <w:footnote w:id="6">
    <w:p w14:paraId="46066487" w14:textId="77777777" w:rsidR="00A45C6B" w:rsidRDefault="00A45C6B" w:rsidP="00A45C6B">
      <w:pPr>
        <w:pStyle w:val="Voetnoottekst"/>
      </w:pPr>
      <w:r>
        <w:rPr>
          <w:rStyle w:val="Voetnootmarkering"/>
        </w:rPr>
        <w:footnoteRef/>
      </w:r>
      <w:r>
        <w:t xml:space="preserve"> </w:t>
      </w:r>
      <w:r w:rsidRPr="00506C4A">
        <w:rPr>
          <w:sz w:val="16"/>
          <w:szCs w:val="16"/>
        </w:rPr>
        <w:t>Kamerstukken II, 2025-2026, 36 848, nr. 63 </w:t>
      </w:r>
    </w:p>
  </w:footnote>
  <w:footnote w:id="7">
    <w:p w14:paraId="6460D348" w14:textId="10F687B4" w:rsidR="00506C4A" w:rsidRDefault="00506C4A" w:rsidP="00506C4A">
      <w:pPr>
        <w:pStyle w:val="Voetnoottekst"/>
      </w:pPr>
      <w:r>
        <w:rPr>
          <w:rStyle w:val="Voetnootmarkering"/>
        </w:rPr>
        <w:footnoteRef/>
      </w:r>
      <w:r>
        <w:t xml:space="preserve"> </w:t>
      </w:r>
      <w:r w:rsidRPr="00506C4A">
        <w:rPr>
          <w:sz w:val="16"/>
          <w:szCs w:val="16"/>
        </w:rPr>
        <w:t>Kamerstukken II, 2024–2025, 30 573, nr. 232</w:t>
      </w:r>
      <w:r>
        <w:rPr>
          <w:sz w:val="16"/>
          <w:szCs w:val="16"/>
        </w:rPr>
        <w:t>.</w:t>
      </w:r>
    </w:p>
  </w:footnote>
  <w:footnote w:id="8">
    <w:p w14:paraId="6C400471" w14:textId="58561606" w:rsidR="00652FF9" w:rsidRDefault="00652FF9">
      <w:pPr>
        <w:pStyle w:val="Voetnoottekst"/>
      </w:pPr>
      <w:r>
        <w:rPr>
          <w:rStyle w:val="Voetnootmarkering"/>
        </w:rPr>
        <w:footnoteRef/>
      </w:r>
      <w:r>
        <w:t xml:space="preserve"> </w:t>
      </w:r>
      <w:r w:rsidRPr="00652FF9">
        <w:rPr>
          <w:sz w:val="16"/>
          <w:szCs w:val="16"/>
        </w:rPr>
        <w:t>Kamerstukken II, 2025-2026, 32317, nr. 1007</w:t>
      </w:r>
      <w:r>
        <w:rPr>
          <w:sz w:val="16"/>
          <w:szCs w:val="16"/>
        </w:rPr>
        <w:t>.</w:t>
      </w:r>
    </w:p>
  </w:footnote>
  <w:footnote w:id="9">
    <w:p w14:paraId="0463635B" w14:textId="77777777" w:rsidR="002D3775" w:rsidRPr="00FC1914" w:rsidRDefault="002D3775" w:rsidP="002D3775">
      <w:pPr>
        <w:pStyle w:val="Voetnoottekst"/>
        <w:rPr>
          <w:lang w:val="en-US"/>
        </w:rPr>
      </w:pPr>
      <w:r w:rsidRPr="00913F45">
        <w:rPr>
          <w:rStyle w:val="Voetnootmarkering"/>
        </w:rPr>
        <w:footnoteRef/>
      </w:r>
      <w:r w:rsidRPr="00913F45">
        <w:t xml:space="preserve"> </w:t>
      </w:r>
      <w:proofErr w:type="spellStart"/>
      <w:r w:rsidRPr="002D3775">
        <w:rPr>
          <w:sz w:val="16"/>
          <w:szCs w:val="16"/>
        </w:rPr>
        <w:t>NieuwRechts</w:t>
      </w:r>
      <w:proofErr w:type="spellEnd"/>
      <w:r w:rsidRPr="002D3775">
        <w:rPr>
          <w:sz w:val="16"/>
          <w:szCs w:val="16"/>
        </w:rPr>
        <w:t xml:space="preserve">, 9 mei 2026, “Mensensmokkel naar Ter Apel ontrafeld: één mobieltje legde enorm netwerk bloot”. </w:t>
      </w:r>
      <w:proofErr w:type="spellStart"/>
      <w:r w:rsidRPr="00FC1914">
        <w:rPr>
          <w:sz w:val="16"/>
          <w:szCs w:val="16"/>
          <w:lang w:val="en-US"/>
        </w:rPr>
        <w:t>NieuwRechts</w:t>
      </w:r>
      <w:proofErr w:type="spellEnd"/>
      <w:r w:rsidRPr="00FC1914">
        <w:rPr>
          <w:sz w:val="16"/>
          <w:szCs w:val="16"/>
          <w:lang w:val="en-US"/>
        </w:rPr>
        <w:t xml:space="preserve"> (Nieuwrechts.nl). </w:t>
      </w:r>
    </w:p>
  </w:footnote>
  <w:footnote w:id="10">
    <w:p w14:paraId="73E75ADE" w14:textId="77777777" w:rsidR="002D3775" w:rsidRPr="00FC1914" w:rsidRDefault="002D3775" w:rsidP="002D3775">
      <w:pPr>
        <w:pStyle w:val="Voetnoottekst"/>
        <w:rPr>
          <w:lang w:val="en-US"/>
        </w:rPr>
      </w:pPr>
      <w:r w:rsidRPr="00913F45">
        <w:rPr>
          <w:rStyle w:val="Voetnootmarkering"/>
        </w:rPr>
        <w:footnoteRef/>
      </w:r>
      <w:r w:rsidRPr="00FC1914">
        <w:rPr>
          <w:lang w:val="en-US"/>
        </w:rPr>
        <w:t xml:space="preserve"> </w:t>
      </w:r>
      <w:r w:rsidRPr="00FC1914">
        <w:rPr>
          <w:sz w:val="16"/>
          <w:szCs w:val="16"/>
          <w:lang w:val="en-US"/>
        </w:rPr>
        <w:t>A renewed EU action plan against migrant smuggling (2021-2025), COM(2021) 591 final.</w:t>
      </w:r>
    </w:p>
  </w:footnote>
  <w:footnote w:id="11">
    <w:p w14:paraId="0D95FB6D" w14:textId="77777777" w:rsidR="002D3775" w:rsidRPr="00913F45" w:rsidRDefault="002D3775" w:rsidP="002D3775">
      <w:pPr>
        <w:pStyle w:val="Voetnoottekst"/>
      </w:pPr>
      <w:r w:rsidRPr="00913F45">
        <w:rPr>
          <w:rStyle w:val="Voetnootmarkering"/>
        </w:rPr>
        <w:footnoteRef/>
      </w:r>
      <w:r w:rsidRPr="00913F45">
        <w:t xml:space="preserve"> </w:t>
      </w:r>
      <w:r w:rsidRPr="002D3775">
        <w:rPr>
          <w:sz w:val="16"/>
          <w:szCs w:val="16"/>
        </w:rPr>
        <w:t>Kamerstukken II, 2024–2025, nr. 1474.</w:t>
      </w:r>
    </w:p>
  </w:footnote>
  <w:footnote w:id="12">
    <w:p w14:paraId="4DDB32FA" w14:textId="77777777" w:rsidR="002D3775" w:rsidRPr="00544F41" w:rsidRDefault="002D3775" w:rsidP="002D3775">
      <w:pPr>
        <w:pStyle w:val="Voetnoottekst"/>
      </w:pPr>
      <w:r w:rsidRPr="00913F45">
        <w:rPr>
          <w:rStyle w:val="Voetnootmarkering"/>
        </w:rPr>
        <w:footnoteRef/>
      </w:r>
      <w:r w:rsidRPr="00913F45">
        <w:t xml:space="preserve"> </w:t>
      </w:r>
      <w:r w:rsidRPr="002D3775">
        <w:rPr>
          <w:sz w:val="16"/>
          <w:szCs w:val="16"/>
        </w:rPr>
        <w:t>Kamerstukken II, 2023–2024, 28 638, nr. 235.</w:t>
      </w:r>
    </w:p>
  </w:footnote>
  <w:footnote w:id="13">
    <w:p w14:paraId="6D3F8B5E" w14:textId="77777777" w:rsidR="002D3775" w:rsidRPr="00913F45" w:rsidRDefault="002D3775" w:rsidP="002D3775">
      <w:pPr>
        <w:pStyle w:val="Voetnoottekst"/>
      </w:pPr>
      <w:r w:rsidRPr="00913F45">
        <w:rPr>
          <w:rStyle w:val="Voetnootmarkering"/>
        </w:rPr>
        <w:footnoteRef/>
      </w:r>
      <w:r w:rsidRPr="00913F45">
        <w:t xml:space="preserve"> </w:t>
      </w:r>
      <w:r w:rsidRPr="007D0381">
        <w:rPr>
          <w:sz w:val="16"/>
          <w:szCs w:val="16"/>
        </w:rPr>
        <w:t>https://www.rijksoverheid.nl/documenten/2020/01/27/barrieremodel-mensensmokkel.</w:t>
      </w:r>
    </w:p>
  </w:footnote>
  <w:footnote w:id="14">
    <w:p w14:paraId="39D27A3A" w14:textId="77777777" w:rsidR="002D3775" w:rsidRPr="00295C50" w:rsidRDefault="002D3775" w:rsidP="002D3775">
      <w:pPr>
        <w:pStyle w:val="Voetnoottekst"/>
        <w:rPr>
          <w:sz w:val="16"/>
          <w:szCs w:val="16"/>
          <w:lang w:val="da-DK"/>
        </w:rPr>
      </w:pPr>
      <w:r w:rsidRPr="00913F45">
        <w:rPr>
          <w:rStyle w:val="Voetnootmarkering"/>
        </w:rPr>
        <w:footnoteRef/>
      </w:r>
      <w:r w:rsidRPr="00544F41">
        <w:rPr>
          <w:lang w:val="da-DK"/>
        </w:rPr>
        <w:t xml:space="preserve"> </w:t>
      </w:r>
      <w:r w:rsidRPr="00295C50">
        <w:rPr>
          <w:sz w:val="16"/>
          <w:szCs w:val="16"/>
          <w:lang w:val="da-DK"/>
        </w:rPr>
        <w:t>Kamerstukken II, 2023–2024, 36410-VI, nr. 79.</w:t>
      </w:r>
    </w:p>
  </w:footnote>
  <w:footnote w:id="15">
    <w:p w14:paraId="5AA7DE42" w14:textId="77777777" w:rsidR="002D3775" w:rsidRPr="00544F41" w:rsidRDefault="002D3775" w:rsidP="002D3775">
      <w:pPr>
        <w:pStyle w:val="Voetnoottekst"/>
        <w:rPr>
          <w:lang w:val="da-DK"/>
        </w:rPr>
      </w:pPr>
      <w:r w:rsidRPr="00913F45">
        <w:rPr>
          <w:rStyle w:val="Voetnootmarkering"/>
        </w:rPr>
        <w:footnoteRef/>
      </w:r>
      <w:r w:rsidRPr="00544F41">
        <w:rPr>
          <w:lang w:val="da-DK"/>
        </w:rPr>
        <w:t xml:space="preserve"> </w:t>
      </w:r>
      <w:r w:rsidRPr="00295C50">
        <w:rPr>
          <w:sz w:val="16"/>
          <w:szCs w:val="16"/>
          <w:lang w:val="da-DK"/>
        </w:rPr>
        <w:t>https://open.overheid.nl/documenten/dpc-153798a92713acbe8677331ae4495b0d6fb7c67c/pdf</w:t>
      </w:r>
    </w:p>
  </w:footnote>
  <w:footnote w:id="16">
    <w:p w14:paraId="750665FC" w14:textId="77777777" w:rsidR="002D3775" w:rsidRDefault="002D3775" w:rsidP="002D3775">
      <w:pPr>
        <w:pStyle w:val="Voetnoottekst"/>
      </w:pPr>
      <w:r>
        <w:rPr>
          <w:rStyle w:val="Voetnootmarkering"/>
        </w:rPr>
        <w:footnoteRef/>
      </w:r>
      <w:r>
        <w:t xml:space="preserve"> </w:t>
      </w:r>
      <w:r w:rsidRPr="00295C50">
        <w:rPr>
          <w:sz w:val="16"/>
          <w:szCs w:val="16"/>
        </w:rPr>
        <w:t>Kamerstukken II, 2022-2023, 36414, nr. 1-4.</w:t>
      </w:r>
    </w:p>
  </w:footnote>
  <w:footnote w:id="17">
    <w:p w14:paraId="118376DA" w14:textId="77777777" w:rsidR="002D3775" w:rsidRDefault="002D3775" w:rsidP="002D3775">
      <w:pPr>
        <w:pStyle w:val="Voetnoottekst"/>
      </w:pPr>
      <w:r w:rsidRPr="00913F45">
        <w:rPr>
          <w:rStyle w:val="Voetnootmarkering"/>
        </w:rPr>
        <w:footnoteRef/>
      </w:r>
      <w:r w:rsidRPr="00913F45">
        <w:t xml:space="preserve"> </w:t>
      </w:r>
      <w:r w:rsidRPr="00295C50">
        <w:rPr>
          <w:sz w:val="16"/>
          <w:szCs w:val="16"/>
        </w:rPr>
        <w:t>Kamerstukken II, 2024–2025, 30176 nr. 39.</w:t>
      </w:r>
    </w:p>
  </w:footnote>
  <w:footnote w:id="18">
    <w:p w14:paraId="40B98121" w14:textId="77777777" w:rsidR="00875DD8" w:rsidRPr="00AD3C0E" w:rsidRDefault="00875DD8" w:rsidP="00875DD8">
      <w:pPr>
        <w:pStyle w:val="Voetnoottekst"/>
        <w:rPr>
          <w:sz w:val="18"/>
          <w:szCs w:val="18"/>
        </w:rPr>
      </w:pPr>
      <w:r>
        <w:rPr>
          <w:rStyle w:val="Voetnootmarkering"/>
        </w:rPr>
        <w:footnoteRef/>
      </w:r>
      <w:r>
        <w:t xml:space="preserve"> </w:t>
      </w:r>
      <w:r w:rsidRPr="007D0381">
        <w:rPr>
          <w:sz w:val="16"/>
          <w:szCs w:val="16"/>
        </w:rPr>
        <w:t>Kamerstukken II, vergaderjaar 2025-2026, Motie TK</w:t>
      </w:r>
      <w:r w:rsidRPr="007D0381">
        <w:rPr>
          <w:sz w:val="18"/>
          <w:szCs w:val="18"/>
        </w:rPr>
        <w:t xml:space="preserve">, </w:t>
      </w:r>
      <w:r w:rsidRPr="007D0381">
        <w:rPr>
          <w:sz w:val="16"/>
          <w:szCs w:val="16"/>
        </w:rPr>
        <w:t>21 501, nr. 2185</w:t>
      </w:r>
    </w:p>
  </w:footnote>
  <w:footnote w:id="19">
    <w:p w14:paraId="279BB917" w14:textId="77777777" w:rsidR="00875DD8" w:rsidRPr="007D0381" w:rsidRDefault="00875DD8" w:rsidP="00875DD8">
      <w:pPr>
        <w:pStyle w:val="Voetnoottekst"/>
        <w:rPr>
          <w:sz w:val="18"/>
          <w:szCs w:val="18"/>
        </w:rPr>
      </w:pPr>
      <w:r>
        <w:rPr>
          <w:rStyle w:val="Voetnootmarkering"/>
        </w:rPr>
        <w:footnoteRef/>
      </w:r>
      <w:r>
        <w:t xml:space="preserve"> </w:t>
      </w:r>
      <w:r w:rsidRPr="007D0381">
        <w:rPr>
          <w:sz w:val="16"/>
          <w:szCs w:val="16"/>
        </w:rPr>
        <w:t>Kamerstukken II, vergaderjaar 2025-2026, Motie TK, 36 045, nr. 271</w:t>
      </w:r>
    </w:p>
  </w:footnote>
  <w:footnote w:id="20">
    <w:p w14:paraId="5C6B4A64" w14:textId="77777777" w:rsidR="00295C50" w:rsidRDefault="00295C50" w:rsidP="00295C50">
      <w:pPr>
        <w:pStyle w:val="Voetnoottekst"/>
      </w:pPr>
      <w:r>
        <w:rPr>
          <w:rStyle w:val="Voetnootmarkering"/>
        </w:rPr>
        <w:footnoteRef/>
      </w:r>
      <w:r>
        <w:t xml:space="preserve"> </w:t>
      </w:r>
      <w:r w:rsidRPr="00A45C6B">
        <w:rPr>
          <w:sz w:val="16"/>
          <w:szCs w:val="16"/>
        </w:rPr>
        <w:t>Sinds eind 2021 geldt de werkwijze ‘Beleidskeuzes uitgelegd’ op grond van artikel 3.1 van de Comptabiliteitswet 2016 voor voorstellen met significante financiële gevolgen. Ter uitvoering hiervan wordt het bijgevoegde CW3.1-formulier ‘Entry-Exit System (EES) op Amsterdam Airport Schiphol (AAS) – Fase 2’ aan uw Kamer toegezonden</w:t>
      </w:r>
      <w:r>
        <w:rPr>
          <w:sz w:val="16"/>
          <w:szCs w:val="16"/>
        </w:rPr>
        <w:t>.</w:t>
      </w:r>
    </w:p>
  </w:footnote>
  <w:footnote w:id="21">
    <w:p w14:paraId="7F6F7C0E" w14:textId="77777777" w:rsidR="007D0381" w:rsidRDefault="007D0381" w:rsidP="007D0381">
      <w:pPr>
        <w:pStyle w:val="Voetnoottekst"/>
      </w:pPr>
      <w:r>
        <w:rPr>
          <w:rStyle w:val="Voetnootmarkering"/>
        </w:rPr>
        <w:footnoteRef/>
      </w:r>
      <w:r>
        <w:t xml:space="preserve"> </w:t>
      </w:r>
      <w:r w:rsidRPr="007D0381">
        <w:rPr>
          <w:rFonts w:eastAsia="Verdana" w:cs="Verdana"/>
          <w:sz w:val="16"/>
          <w:szCs w:val="16"/>
        </w:rPr>
        <w:t>147 lidstaten stemden voor, 6 lidstaten tegen en 23 onthielden zich van stemming.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6931" w14:textId="77777777" w:rsidR="00061F54" w:rsidRDefault="00286AD1">
    <w:r>
      <w:rPr>
        <w:noProof/>
      </w:rPr>
      <mc:AlternateContent>
        <mc:Choice Requires="wps">
          <w:drawing>
            <wp:anchor distT="0" distB="0" distL="0" distR="0" simplePos="0" relativeHeight="251652608" behindDoc="0" locked="1" layoutInCell="1" allowOverlap="1" wp14:anchorId="52F511A9" wp14:editId="1EB36BC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56BD2" w14:textId="77777777" w:rsidR="00061F54" w:rsidRDefault="00286AD1">
                          <w:pPr>
                            <w:pStyle w:val="Referentiegegevensbold"/>
                          </w:pPr>
                          <w:r>
                            <w:t>Cluster secretaris-generaal</w:t>
                          </w:r>
                        </w:p>
                        <w:p w14:paraId="3C866308" w14:textId="77777777" w:rsidR="00061F54" w:rsidRDefault="00286AD1">
                          <w:pPr>
                            <w:pStyle w:val="Referentiegegevens"/>
                          </w:pPr>
                          <w:r>
                            <w:t>Directie Europese en Internationale Aangelegenheden</w:t>
                          </w:r>
                        </w:p>
                        <w:p w14:paraId="0A91FA9C" w14:textId="77777777" w:rsidR="00061F54" w:rsidRDefault="00286AD1">
                          <w:pPr>
                            <w:pStyle w:val="Referentiegegevens"/>
                          </w:pPr>
                          <w:r>
                            <w:t>Europese Unie</w:t>
                          </w:r>
                        </w:p>
                        <w:p w14:paraId="1D47D7D7" w14:textId="77777777" w:rsidR="00061F54" w:rsidRDefault="00061F54">
                          <w:pPr>
                            <w:pStyle w:val="WitregelW2"/>
                          </w:pPr>
                        </w:p>
                        <w:p w14:paraId="68300A2D" w14:textId="77777777" w:rsidR="00061F54" w:rsidRDefault="00286AD1">
                          <w:pPr>
                            <w:pStyle w:val="Referentiegegevensbold"/>
                          </w:pPr>
                          <w:r>
                            <w:t>Datum</w:t>
                          </w:r>
                        </w:p>
                        <w:p w14:paraId="16034D99" w14:textId="08919859" w:rsidR="00061F54" w:rsidRDefault="00C00191">
                          <w:pPr>
                            <w:pStyle w:val="Referentiegegevens"/>
                          </w:pPr>
                          <w:r>
                            <w:t>22 juni 2026</w:t>
                          </w:r>
                        </w:p>
                        <w:p w14:paraId="17C4939E" w14:textId="77777777" w:rsidR="00061F54" w:rsidRDefault="00061F54">
                          <w:pPr>
                            <w:pStyle w:val="WitregelW1"/>
                          </w:pPr>
                        </w:p>
                        <w:p w14:paraId="6B5FCE3E" w14:textId="77777777" w:rsidR="00061F54" w:rsidRDefault="00286AD1">
                          <w:pPr>
                            <w:pStyle w:val="Referentiegegevensbold"/>
                          </w:pPr>
                          <w:r>
                            <w:t>Onze referentie</w:t>
                          </w:r>
                        </w:p>
                        <w:p w14:paraId="5578030E" w14:textId="77777777" w:rsidR="00061F54" w:rsidRDefault="00286AD1">
                          <w:pPr>
                            <w:pStyle w:val="Referentiegegevens"/>
                          </w:pPr>
                          <w:r>
                            <w:t>7696176</w:t>
                          </w:r>
                        </w:p>
                      </w:txbxContent>
                    </wps:txbx>
                    <wps:bodyPr vert="horz" wrap="square" lIns="0" tIns="0" rIns="0" bIns="0" anchor="t" anchorCtr="0"/>
                  </wps:wsp>
                </a:graphicData>
              </a:graphic>
            </wp:anchor>
          </w:drawing>
        </mc:Choice>
        <mc:Fallback>
          <w:pict>
            <v:shapetype w14:anchorId="52F511A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856BD2" w14:textId="77777777" w:rsidR="00061F54" w:rsidRDefault="00286AD1">
                    <w:pPr>
                      <w:pStyle w:val="Referentiegegevensbold"/>
                    </w:pPr>
                    <w:r>
                      <w:t>Cluster secretaris-generaal</w:t>
                    </w:r>
                  </w:p>
                  <w:p w14:paraId="3C866308" w14:textId="77777777" w:rsidR="00061F54" w:rsidRDefault="00286AD1">
                    <w:pPr>
                      <w:pStyle w:val="Referentiegegevens"/>
                    </w:pPr>
                    <w:r>
                      <w:t>Directie Europese en Internationale Aangelegenheden</w:t>
                    </w:r>
                  </w:p>
                  <w:p w14:paraId="0A91FA9C" w14:textId="77777777" w:rsidR="00061F54" w:rsidRDefault="00286AD1">
                    <w:pPr>
                      <w:pStyle w:val="Referentiegegevens"/>
                    </w:pPr>
                    <w:r>
                      <w:t>Europese Unie</w:t>
                    </w:r>
                  </w:p>
                  <w:p w14:paraId="1D47D7D7" w14:textId="77777777" w:rsidR="00061F54" w:rsidRDefault="00061F54">
                    <w:pPr>
                      <w:pStyle w:val="WitregelW2"/>
                    </w:pPr>
                  </w:p>
                  <w:p w14:paraId="68300A2D" w14:textId="77777777" w:rsidR="00061F54" w:rsidRDefault="00286AD1">
                    <w:pPr>
                      <w:pStyle w:val="Referentiegegevensbold"/>
                    </w:pPr>
                    <w:r>
                      <w:t>Datum</w:t>
                    </w:r>
                  </w:p>
                  <w:p w14:paraId="16034D99" w14:textId="08919859" w:rsidR="00061F54" w:rsidRDefault="00C00191">
                    <w:pPr>
                      <w:pStyle w:val="Referentiegegevens"/>
                    </w:pPr>
                    <w:r>
                      <w:t>22 juni 2026</w:t>
                    </w:r>
                  </w:p>
                  <w:p w14:paraId="17C4939E" w14:textId="77777777" w:rsidR="00061F54" w:rsidRDefault="00061F54">
                    <w:pPr>
                      <w:pStyle w:val="WitregelW1"/>
                    </w:pPr>
                  </w:p>
                  <w:p w14:paraId="6B5FCE3E" w14:textId="77777777" w:rsidR="00061F54" w:rsidRDefault="00286AD1">
                    <w:pPr>
                      <w:pStyle w:val="Referentiegegevensbold"/>
                    </w:pPr>
                    <w:r>
                      <w:t>Onze referentie</w:t>
                    </w:r>
                  </w:p>
                  <w:p w14:paraId="5578030E" w14:textId="77777777" w:rsidR="00061F54" w:rsidRDefault="00286AD1">
                    <w:pPr>
                      <w:pStyle w:val="Referentiegegevens"/>
                    </w:pPr>
                    <w:r>
                      <w:t>7696176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3A2334" wp14:editId="25657C6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2CA415" w14:textId="77777777" w:rsidR="00286AD1" w:rsidRDefault="00286AD1"/>
                      </w:txbxContent>
                    </wps:txbx>
                    <wps:bodyPr vert="horz" wrap="square" lIns="0" tIns="0" rIns="0" bIns="0" anchor="t" anchorCtr="0"/>
                  </wps:wsp>
                </a:graphicData>
              </a:graphic>
            </wp:anchor>
          </w:drawing>
        </mc:Choice>
        <mc:Fallback>
          <w:pict>
            <v:shape w14:anchorId="643A233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2CA415" w14:textId="77777777" w:rsidR="00286AD1" w:rsidRDefault="00286AD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622E38" wp14:editId="6E93FA0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56C65F" w14:textId="1A31FDB6" w:rsidR="00061F54" w:rsidRDefault="00286AD1">
                          <w:pPr>
                            <w:pStyle w:val="Referentiegegevens"/>
                          </w:pPr>
                          <w:r>
                            <w:t xml:space="preserve">Pagina </w:t>
                          </w:r>
                          <w:r>
                            <w:fldChar w:fldCharType="begin"/>
                          </w:r>
                          <w:r>
                            <w:instrText>PAGE</w:instrText>
                          </w:r>
                          <w:r>
                            <w:fldChar w:fldCharType="separate"/>
                          </w:r>
                          <w:r w:rsidR="0016113E">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1622E3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56C65F" w14:textId="1A31FDB6" w:rsidR="00061F54" w:rsidRDefault="00286AD1">
                    <w:pPr>
                      <w:pStyle w:val="Referentiegegevens"/>
                    </w:pPr>
                    <w:r>
                      <w:t xml:space="preserve">Pagina </w:t>
                    </w:r>
                    <w:r>
                      <w:fldChar w:fldCharType="begin"/>
                    </w:r>
                    <w:r>
                      <w:instrText>PAGE</w:instrText>
                    </w:r>
                    <w:r>
                      <w:fldChar w:fldCharType="separate"/>
                    </w:r>
                    <w:r w:rsidR="0016113E">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3BBD" w14:textId="77777777" w:rsidR="00061F54" w:rsidRDefault="00286AD1">
    <w:pPr>
      <w:spacing w:after="6377" w:line="14" w:lineRule="exact"/>
    </w:pPr>
    <w:r>
      <w:rPr>
        <w:noProof/>
      </w:rPr>
      <mc:AlternateContent>
        <mc:Choice Requires="wps">
          <w:drawing>
            <wp:anchor distT="0" distB="0" distL="0" distR="0" simplePos="0" relativeHeight="251655680" behindDoc="0" locked="1" layoutInCell="1" allowOverlap="1" wp14:anchorId="3DEBB6A9" wp14:editId="16CB3C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AD008F" w14:textId="1F38A0B8" w:rsidR="00061F54" w:rsidRDefault="00286AD1">
                          <w:r>
                            <w:t xml:space="preserve">Aan de Voorzitter van de Tweede Kamer </w:t>
                          </w:r>
                          <w:r w:rsidR="00C00191">
                            <w:br/>
                          </w:r>
                          <w:r>
                            <w:t>der Staten-Generaal</w:t>
                          </w:r>
                        </w:p>
                        <w:p w14:paraId="01FB3403" w14:textId="77777777" w:rsidR="00061F54" w:rsidRDefault="00286AD1">
                          <w:r>
                            <w:t xml:space="preserve">Postbus 20018 </w:t>
                          </w:r>
                        </w:p>
                        <w:p w14:paraId="1D070433" w14:textId="77777777" w:rsidR="00061F54" w:rsidRDefault="00286AD1">
                          <w:r>
                            <w:t>2500 EA  DEN HAAG</w:t>
                          </w:r>
                        </w:p>
                      </w:txbxContent>
                    </wps:txbx>
                    <wps:bodyPr vert="horz" wrap="square" lIns="0" tIns="0" rIns="0" bIns="0" anchor="t" anchorCtr="0"/>
                  </wps:wsp>
                </a:graphicData>
              </a:graphic>
            </wp:anchor>
          </w:drawing>
        </mc:Choice>
        <mc:Fallback>
          <w:pict>
            <v:shapetype w14:anchorId="3DEBB6A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AD008F" w14:textId="1F38A0B8" w:rsidR="00061F54" w:rsidRDefault="00286AD1">
                    <w:r>
                      <w:t xml:space="preserve">Aan de Voorzitter van de Tweede Kamer </w:t>
                    </w:r>
                    <w:r w:rsidR="00C00191">
                      <w:br/>
                    </w:r>
                    <w:r>
                      <w:t>der Staten-Generaal</w:t>
                    </w:r>
                  </w:p>
                  <w:p w14:paraId="01FB3403" w14:textId="77777777" w:rsidR="00061F54" w:rsidRDefault="00286AD1">
                    <w:r>
                      <w:t xml:space="preserve">Postbus 20018 </w:t>
                    </w:r>
                  </w:p>
                  <w:p w14:paraId="1D070433" w14:textId="77777777" w:rsidR="00061F54" w:rsidRDefault="00286AD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D32856" wp14:editId="3D789B1F">
              <wp:simplePos x="0" y="0"/>
              <wp:positionH relativeFrom="margin">
                <wp:align>left</wp:align>
              </wp:positionH>
              <wp:positionV relativeFrom="page">
                <wp:posOffset>3352165</wp:posOffset>
              </wp:positionV>
              <wp:extent cx="4775200" cy="5924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5200" cy="5924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61F54" w14:paraId="65FDC04B" w14:textId="77777777">
                            <w:trPr>
                              <w:trHeight w:val="240"/>
                            </w:trPr>
                            <w:tc>
                              <w:tcPr>
                                <w:tcW w:w="1140" w:type="dxa"/>
                              </w:tcPr>
                              <w:p w14:paraId="6CF6D404" w14:textId="77777777" w:rsidR="00061F54" w:rsidRDefault="00286AD1">
                                <w:r>
                                  <w:t>Datum</w:t>
                                </w:r>
                              </w:p>
                            </w:tc>
                            <w:tc>
                              <w:tcPr>
                                <w:tcW w:w="5918" w:type="dxa"/>
                              </w:tcPr>
                              <w:p w14:paraId="54308F7E" w14:textId="28BEFAE8" w:rsidR="00061F54" w:rsidRDefault="007535A8">
                                <w:sdt>
                                  <w:sdtPr>
                                    <w:id w:val="869342141"/>
                                    <w:date w:fullDate="2026-06-22T00:00:00Z">
                                      <w:dateFormat w:val="d MMMM yyyy"/>
                                      <w:lid w:val="nl"/>
                                      <w:storeMappedDataAs w:val="dateTime"/>
                                      <w:calendar w:val="gregorian"/>
                                    </w:date>
                                  </w:sdtPr>
                                  <w:sdtEndPr/>
                                  <w:sdtContent>
                                    <w:r w:rsidR="00C00191">
                                      <w:rPr>
                                        <w:lang w:val="nl"/>
                                      </w:rPr>
                                      <w:t>22 juni 2026</w:t>
                                    </w:r>
                                  </w:sdtContent>
                                </w:sdt>
                              </w:p>
                            </w:tc>
                          </w:tr>
                          <w:tr w:rsidR="00061F54" w14:paraId="564D3C85" w14:textId="77777777" w:rsidTr="007535A8">
                            <w:trPr>
                              <w:trHeight w:val="329"/>
                            </w:trPr>
                            <w:tc>
                              <w:tcPr>
                                <w:tcW w:w="1140" w:type="dxa"/>
                              </w:tcPr>
                              <w:p w14:paraId="52C6F02F" w14:textId="77777777" w:rsidR="00061F54" w:rsidRDefault="00286AD1">
                                <w:r>
                                  <w:t>Betreft</w:t>
                                </w:r>
                              </w:p>
                            </w:tc>
                            <w:tc>
                              <w:tcPr>
                                <w:tcW w:w="5918" w:type="dxa"/>
                              </w:tcPr>
                              <w:p w14:paraId="34F92D57" w14:textId="641DDE0F" w:rsidR="00061F54" w:rsidRDefault="00286AD1">
                                <w:r>
                                  <w:t>Verslag JBZ</w:t>
                                </w:r>
                                <w:r w:rsidR="00B673EF">
                                  <w:t>-</w:t>
                                </w:r>
                                <w:r>
                                  <w:t xml:space="preserve">Raad </w:t>
                                </w:r>
                                <w:r w:rsidR="00527EA7">
                                  <w:t xml:space="preserve">4 en 5 juni </w:t>
                                </w:r>
                                <w:r>
                                  <w:t>202</w:t>
                                </w:r>
                                <w:r w:rsidR="00772FEC">
                                  <w:t>6</w:t>
                                </w:r>
                                <w:r w:rsidR="00FA6AAF">
                                  <w:t xml:space="preserve"> en </w:t>
                                </w:r>
                                <w:r w:rsidR="002D0D35">
                                  <w:t xml:space="preserve">overige </w:t>
                                </w:r>
                                <w:r w:rsidR="00FA6AAF">
                                  <w:t>JBZ-ontwikkelingen</w:t>
                                </w:r>
                              </w:p>
                            </w:tc>
                          </w:tr>
                        </w:tbl>
                        <w:p w14:paraId="6C1792F4" w14:textId="77777777" w:rsidR="00286AD1" w:rsidRDefault="00286AD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32856" id="46feebd0-aa3c-11ea-a756-beb5f67e67be" o:spid="_x0000_s1030" type="#_x0000_t202" style="position:absolute;margin-left:0;margin-top:263.95pt;width:376pt;height:46.6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61F54" w14:paraId="65FDC04B" w14:textId="77777777">
                      <w:trPr>
                        <w:trHeight w:val="240"/>
                      </w:trPr>
                      <w:tc>
                        <w:tcPr>
                          <w:tcW w:w="1140" w:type="dxa"/>
                        </w:tcPr>
                        <w:p w14:paraId="6CF6D404" w14:textId="77777777" w:rsidR="00061F54" w:rsidRDefault="00286AD1">
                          <w:r>
                            <w:t>Datum</w:t>
                          </w:r>
                        </w:p>
                      </w:tc>
                      <w:tc>
                        <w:tcPr>
                          <w:tcW w:w="5918" w:type="dxa"/>
                        </w:tcPr>
                        <w:p w14:paraId="54308F7E" w14:textId="28BEFAE8" w:rsidR="00061F54" w:rsidRDefault="007535A8">
                          <w:sdt>
                            <w:sdtPr>
                              <w:id w:val="869342141"/>
                              <w:date w:fullDate="2026-06-22T00:00:00Z">
                                <w:dateFormat w:val="d MMMM yyyy"/>
                                <w:lid w:val="nl"/>
                                <w:storeMappedDataAs w:val="dateTime"/>
                                <w:calendar w:val="gregorian"/>
                              </w:date>
                            </w:sdtPr>
                            <w:sdtEndPr/>
                            <w:sdtContent>
                              <w:r w:rsidR="00C00191">
                                <w:rPr>
                                  <w:lang w:val="nl"/>
                                </w:rPr>
                                <w:t>22 juni 2026</w:t>
                              </w:r>
                            </w:sdtContent>
                          </w:sdt>
                        </w:p>
                      </w:tc>
                    </w:tr>
                    <w:tr w:rsidR="00061F54" w14:paraId="564D3C85" w14:textId="77777777" w:rsidTr="007535A8">
                      <w:trPr>
                        <w:trHeight w:val="329"/>
                      </w:trPr>
                      <w:tc>
                        <w:tcPr>
                          <w:tcW w:w="1140" w:type="dxa"/>
                        </w:tcPr>
                        <w:p w14:paraId="52C6F02F" w14:textId="77777777" w:rsidR="00061F54" w:rsidRDefault="00286AD1">
                          <w:r>
                            <w:t>Betreft</w:t>
                          </w:r>
                        </w:p>
                      </w:tc>
                      <w:tc>
                        <w:tcPr>
                          <w:tcW w:w="5918" w:type="dxa"/>
                        </w:tcPr>
                        <w:p w14:paraId="34F92D57" w14:textId="641DDE0F" w:rsidR="00061F54" w:rsidRDefault="00286AD1">
                          <w:r>
                            <w:t>Verslag JBZ</w:t>
                          </w:r>
                          <w:r w:rsidR="00B673EF">
                            <w:t>-</w:t>
                          </w:r>
                          <w:r>
                            <w:t xml:space="preserve">Raad </w:t>
                          </w:r>
                          <w:r w:rsidR="00527EA7">
                            <w:t xml:space="preserve">4 en 5 juni </w:t>
                          </w:r>
                          <w:r>
                            <w:t>202</w:t>
                          </w:r>
                          <w:r w:rsidR="00772FEC">
                            <w:t>6</w:t>
                          </w:r>
                          <w:r w:rsidR="00FA6AAF">
                            <w:t xml:space="preserve"> en </w:t>
                          </w:r>
                          <w:r w:rsidR="002D0D35">
                            <w:t xml:space="preserve">overige </w:t>
                          </w:r>
                          <w:r w:rsidR="00FA6AAF">
                            <w:t>JBZ-ontwikkelingen</w:t>
                          </w:r>
                        </w:p>
                      </w:tc>
                    </w:tr>
                  </w:tbl>
                  <w:p w14:paraId="6C1792F4" w14:textId="77777777" w:rsidR="00286AD1" w:rsidRDefault="00286AD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9C1EB38" wp14:editId="7F699CE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2ACA2F" w14:textId="77777777" w:rsidR="00061F54" w:rsidRDefault="00286AD1">
                          <w:pPr>
                            <w:pStyle w:val="Referentiegegevensbold"/>
                          </w:pPr>
                          <w:r>
                            <w:t>Cluster secretaris-generaal</w:t>
                          </w:r>
                        </w:p>
                        <w:p w14:paraId="269B1CE1" w14:textId="77777777" w:rsidR="00061F54" w:rsidRDefault="00286AD1">
                          <w:pPr>
                            <w:pStyle w:val="Referentiegegevens"/>
                          </w:pPr>
                          <w:r>
                            <w:t>Directie Europese en Internationale Aangelegenheden</w:t>
                          </w:r>
                        </w:p>
                        <w:p w14:paraId="27AFB93C" w14:textId="77777777" w:rsidR="00061F54" w:rsidRPr="00AC070A" w:rsidRDefault="00286AD1">
                          <w:pPr>
                            <w:pStyle w:val="Referentiegegevens"/>
                            <w:rPr>
                              <w:lang w:val="de-DE"/>
                            </w:rPr>
                          </w:pPr>
                          <w:proofErr w:type="spellStart"/>
                          <w:r w:rsidRPr="00AC070A">
                            <w:rPr>
                              <w:lang w:val="de-DE"/>
                            </w:rPr>
                            <w:t>Europese</w:t>
                          </w:r>
                          <w:proofErr w:type="spellEnd"/>
                          <w:r w:rsidRPr="00AC070A">
                            <w:rPr>
                              <w:lang w:val="de-DE"/>
                            </w:rPr>
                            <w:t xml:space="preserve"> Unie</w:t>
                          </w:r>
                        </w:p>
                        <w:p w14:paraId="1B61EFF1" w14:textId="77777777" w:rsidR="00061F54" w:rsidRPr="00AC070A" w:rsidRDefault="00061F54">
                          <w:pPr>
                            <w:pStyle w:val="WitregelW1"/>
                            <w:rPr>
                              <w:lang w:val="de-DE"/>
                            </w:rPr>
                          </w:pPr>
                        </w:p>
                        <w:p w14:paraId="173EAC6C" w14:textId="77777777" w:rsidR="00061F54" w:rsidRPr="00AC070A" w:rsidRDefault="00286AD1">
                          <w:pPr>
                            <w:pStyle w:val="Referentiegegevens"/>
                            <w:rPr>
                              <w:lang w:val="de-DE"/>
                            </w:rPr>
                          </w:pPr>
                          <w:proofErr w:type="spellStart"/>
                          <w:r w:rsidRPr="00AC070A">
                            <w:rPr>
                              <w:lang w:val="de-DE"/>
                            </w:rPr>
                            <w:t>Turfmarkt</w:t>
                          </w:r>
                          <w:proofErr w:type="spellEnd"/>
                          <w:r w:rsidRPr="00AC070A">
                            <w:rPr>
                              <w:lang w:val="de-DE"/>
                            </w:rPr>
                            <w:t xml:space="preserve"> 147</w:t>
                          </w:r>
                        </w:p>
                        <w:p w14:paraId="5A6963BB" w14:textId="77777777" w:rsidR="00061F54" w:rsidRPr="00AC070A" w:rsidRDefault="00286AD1">
                          <w:pPr>
                            <w:pStyle w:val="Referentiegegevens"/>
                            <w:rPr>
                              <w:lang w:val="de-DE"/>
                            </w:rPr>
                          </w:pPr>
                          <w:r w:rsidRPr="00AC070A">
                            <w:rPr>
                              <w:lang w:val="de-DE"/>
                            </w:rPr>
                            <w:t>2511 DP  Den Haag</w:t>
                          </w:r>
                        </w:p>
                        <w:p w14:paraId="1823D520" w14:textId="77777777" w:rsidR="00061F54" w:rsidRPr="00AC070A" w:rsidRDefault="00286AD1">
                          <w:pPr>
                            <w:pStyle w:val="Referentiegegevens"/>
                            <w:rPr>
                              <w:lang w:val="de-DE"/>
                            </w:rPr>
                          </w:pPr>
                          <w:r w:rsidRPr="00AC070A">
                            <w:rPr>
                              <w:lang w:val="de-DE"/>
                            </w:rPr>
                            <w:t>Postbus 20301</w:t>
                          </w:r>
                        </w:p>
                        <w:p w14:paraId="31B3FE73" w14:textId="77777777" w:rsidR="00061F54" w:rsidRPr="00AC070A" w:rsidRDefault="00286AD1">
                          <w:pPr>
                            <w:pStyle w:val="Referentiegegevens"/>
                            <w:rPr>
                              <w:lang w:val="de-DE"/>
                            </w:rPr>
                          </w:pPr>
                          <w:r w:rsidRPr="00AC070A">
                            <w:rPr>
                              <w:lang w:val="de-DE"/>
                            </w:rPr>
                            <w:t>2500 EH  Den Haag</w:t>
                          </w:r>
                        </w:p>
                        <w:p w14:paraId="613542BD" w14:textId="77777777" w:rsidR="00061F54" w:rsidRPr="00AC070A" w:rsidRDefault="00286AD1">
                          <w:pPr>
                            <w:pStyle w:val="Referentiegegevens"/>
                            <w:rPr>
                              <w:lang w:val="de-DE"/>
                            </w:rPr>
                          </w:pPr>
                          <w:r w:rsidRPr="00AC070A">
                            <w:rPr>
                              <w:lang w:val="de-DE"/>
                            </w:rPr>
                            <w:t>www.rijksoverheid.nl/jenv</w:t>
                          </w:r>
                        </w:p>
                        <w:p w14:paraId="534E3901" w14:textId="77777777" w:rsidR="00061F54" w:rsidRPr="00AC070A" w:rsidRDefault="00061F54">
                          <w:pPr>
                            <w:pStyle w:val="WitregelW2"/>
                            <w:rPr>
                              <w:lang w:val="de-DE"/>
                            </w:rPr>
                          </w:pPr>
                        </w:p>
                        <w:p w14:paraId="7AEDCE3A" w14:textId="77777777" w:rsidR="00061F54" w:rsidRDefault="00286AD1">
                          <w:pPr>
                            <w:pStyle w:val="Referentiegegevensbold"/>
                          </w:pPr>
                          <w:r>
                            <w:t>Onze referentie</w:t>
                          </w:r>
                        </w:p>
                        <w:p w14:paraId="100D725F" w14:textId="77777777" w:rsidR="00061F54" w:rsidRDefault="00286AD1">
                          <w:pPr>
                            <w:pStyle w:val="Referentiegegevens"/>
                          </w:pPr>
                          <w:r>
                            <w:t>7696176</w:t>
                          </w:r>
                        </w:p>
                        <w:p w14:paraId="6AF6ED6B" w14:textId="77777777" w:rsidR="00C00191" w:rsidRDefault="00C00191" w:rsidP="00C00191"/>
                        <w:p w14:paraId="5B58B7DC" w14:textId="64EFADD5" w:rsidR="00C00191" w:rsidRPr="00C00191" w:rsidRDefault="00C00191" w:rsidP="00C00191">
                          <w:pPr>
                            <w:rPr>
                              <w:sz w:val="13"/>
                              <w:szCs w:val="13"/>
                            </w:rPr>
                          </w:pPr>
                          <w:r w:rsidRPr="00C00191">
                            <w:rPr>
                              <w:b/>
                              <w:bCs/>
                              <w:sz w:val="13"/>
                              <w:szCs w:val="13"/>
                            </w:rPr>
                            <w:t>Bijlagen</w:t>
                          </w:r>
                          <w:r w:rsidRPr="00C00191">
                            <w:rPr>
                              <w:b/>
                              <w:bCs/>
                              <w:sz w:val="13"/>
                              <w:szCs w:val="13"/>
                            </w:rPr>
                            <w:br/>
                          </w:r>
                          <w:r w:rsidRPr="00C00191">
                            <w:rPr>
                              <w:sz w:val="13"/>
                              <w:szCs w:val="13"/>
                            </w:rPr>
                            <w:t>4</w:t>
                          </w:r>
                        </w:p>
                      </w:txbxContent>
                    </wps:txbx>
                    <wps:bodyPr vert="horz" wrap="square" lIns="0" tIns="0" rIns="0" bIns="0" anchor="t" anchorCtr="0"/>
                  </wps:wsp>
                </a:graphicData>
              </a:graphic>
            </wp:anchor>
          </w:drawing>
        </mc:Choice>
        <mc:Fallback>
          <w:pict>
            <v:shape w14:anchorId="59C1EB3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A2ACA2F" w14:textId="77777777" w:rsidR="00061F54" w:rsidRDefault="00286AD1">
                    <w:pPr>
                      <w:pStyle w:val="Referentiegegevensbold"/>
                    </w:pPr>
                    <w:r>
                      <w:t>Cluster secretaris-generaal</w:t>
                    </w:r>
                  </w:p>
                  <w:p w14:paraId="269B1CE1" w14:textId="77777777" w:rsidR="00061F54" w:rsidRDefault="00286AD1">
                    <w:pPr>
                      <w:pStyle w:val="Referentiegegevens"/>
                    </w:pPr>
                    <w:r>
                      <w:t>Directie Europese en Internationale Aangelegenheden</w:t>
                    </w:r>
                  </w:p>
                  <w:p w14:paraId="27AFB93C" w14:textId="77777777" w:rsidR="00061F54" w:rsidRPr="00AC070A" w:rsidRDefault="00286AD1">
                    <w:pPr>
                      <w:pStyle w:val="Referentiegegevens"/>
                      <w:rPr>
                        <w:lang w:val="de-DE"/>
                      </w:rPr>
                    </w:pPr>
                    <w:proofErr w:type="spellStart"/>
                    <w:r w:rsidRPr="00AC070A">
                      <w:rPr>
                        <w:lang w:val="de-DE"/>
                      </w:rPr>
                      <w:t>Europese</w:t>
                    </w:r>
                    <w:proofErr w:type="spellEnd"/>
                    <w:r w:rsidRPr="00AC070A">
                      <w:rPr>
                        <w:lang w:val="de-DE"/>
                      </w:rPr>
                      <w:t xml:space="preserve"> Unie</w:t>
                    </w:r>
                  </w:p>
                  <w:p w14:paraId="1B61EFF1" w14:textId="77777777" w:rsidR="00061F54" w:rsidRPr="00AC070A" w:rsidRDefault="00061F54">
                    <w:pPr>
                      <w:pStyle w:val="WitregelW1"/>
                      <w:rPr>
                        <w:lang w:val="de-DE"/>
                      </w:rPr>
                    </w:pPr>
                  </w:p>
                  <w:p w14:paraId="173EAC6C" w14:textId="77777777" w:rsidR="00061F54" w:rsidRPr="00AC070A" w:rsidRDefault="00286AD1">
                    <w:pPr>
                      <w:pStyle w:val="Referentiegegevens"/>
                      <w:rPr>
                        <w:lang w:val="de-DE"/>
                      </w:rPr>
                    </w:pPr>
                    <w:proofErr w:type="spellStart"/>
                    <w:r w:rsidRPr="00AC070A">
                      <w:rPr>
                        <w:lang w:val="de-DE"/>
                      </w:rPr>
                      <w:t>Turfmarkt</w:t>
                    </w:r>
                    <w:proofErr w:type="spellEnd"/>
                    <w:r w:rsidRPr="00AC070A">
                      <w:rPr>
                        <w:lang w:val="de-DE"/>
                      </w:rPr>
                      <w:t xml:space="preserve"> 147</w:t>
                    </w:r>
                  </w:p>
                  <w:p w14:paraId="5A6963BB" w14:textId="77777777" w:rsidR="00061F54" w:rsidRPr="00AC070A" w:rsidRDefault="00286AD1">
                    <w:pPr>
                      <w:pStyle w:val="Referentiegegevens"/>
                      <w:rPr>
                        <w:lang w:val="de-DE"/>
                      </w:rPr>
                    </w:pPr>
                    <w:r w:rsidRPr="00AC070A">
                      <w:rPr>
                        <w:lang w:val="de-DE"/>
                      </w:rPr>
                      <w:t>2511 DP  Den Haag</w:t>
                    </w:r>
                  </w:p>
                  <w:p w14:paraId="1823D520" w14:textId="77777777" w:rsidR="00061F54" w:rsidRPr="00AC070A" w:rsidRDefault="00286AD1">
                    <w:pPr>
                      <w:pStyle w:val="Referentiegegevens"/>
                      <w:rPr>
                        <w:lang w:val="de-DE"/>
                      </w:rPr>
                    </w:pPr>
                    <w:r w:rsidRPr="00AC070A">
                      <w:rPr>
                        <w:lang w:val="de-DE"/>
                      </w:rPr>
                      <w:t>Postbus 20301</w:t>
                    </w:r>
                  </w:p>
                  <w:p w14:paraId="31B3FE73" w14:textId="77777777" w:rsidR="00061F54" w:rsidRPr="00AC070A" w:rsidRDefault="00286AD1">
                    <w:pPr>
                      <w:pStyle w:val="Referentiegegevens"/>
                      <w:rPr>
                        <w:lang w:val="de-DE"/>
                      </w:rPr>
                    </w:pPr>
                    <w:r w:rsidRPr="00AC070A">
                      <w:rPr>
                        <w:lang w:val="de-DE"/>
                      </w:rPr>
                      <w:t>2500 EH  Den Haag</w:t>
                    </w:r>
                  </w:p>
                  <w:p w14:paraId="613542BD" w14:textId="77777777" w:rsidR="00061F54" w:rsidRPr="00AC070A" w:rsidRDefault="00286AD1">
                    <w:pPr>
                      <w:pStyle w:val="Referentiegegevens"/>
                      <w:rPr>
                        <w:lang w:val="de-DE"/>
                      </w:rPr>
                    </w:pPr>
                    <w:r w:rsidRPr="00AC070A">
                      <w:rPr>
                        <w:lang w:val="de-DE"/>
                      </w:rPr>
                      <w:t>www.rijksoverheid.nl/jenv</w:t>
                    </w:r>
                  </w:p>
                  <w:p w14:paraId="534E3901" w14:textId="77777777" w:rsidR="00061F54" w:rsidRPr="00AC070A" w:rsidRDefault="00061F54">
                    <w:pPr>
                      <w:pStyle w:val="WitregelW2"/>
                      <w:rPr>
                        <w:lang w:val="de-DE"/>
                      </w:rPr>
                    </w:pPr>
                  </w:p>
                  <w:p w14:paraId="7AEDCE3A" w14:textId="77777777" w:rsidR="00061F54" w:rsidRDefault="00286AD1">
                    <w:pPr>
                      <w:pStyle w:val="Referentiegegevensbold"/>
                    </w:pPr>
                    <w:r>
                      <w:t>Onze referentie</w:t>
                    </w:r>
                  </w:p>
                  <w:p w14:paraId="100D725F" w14:textId="77777777" w:rsidR="00061F54" w:rsidRDefault="00286AD1">
                    <w:pPr>
                      <w:pStyle w:val="Referentiegegevens"/>
                    </w:pPr>
                    <w:r>
                      <w:t>7696176</w:t>
                    </w:r>
                  </w:p>
                  <w:p w14:paraId="6AF6ED6B" w14:textId="77777777" w:rsidR="00C00191" w:rsidRDefault="00C00191" w:rsidP="00C00191"/>
                  <w:p w14:paraId="5B58B7DC" w14:textId="64EFADD5" w:rsidR="00C00191" w:rsidRPr="00C00191" w:rsidRDefault="00C00191" w:rsidP="00C00191">
                    <w:pPr>
                      <w:rPr>
                        <w:sz w:val="13"/>
                        <w:szCs w:val="13"/>
                      </w:rPr>
                    </w:pPr>
                    <w:r w:rsidRPr="00C00191">
                      <w:rPr>
                        <w:b/>
                        <w:bCs/>
                        <w:sz w:val="13"/>
                        <w:szCs w:val="13"/>
                      </w:rPr>
                      <w:t>Bijlagen</w:t>
                    </w:r>
                    <w:r w:rsidRPr="00C00191">
                      <w:rPr>
                        <w:b/>
                        <w:bCs/>
                        <w:sz w:val="13"/>
                        <w:szCs w:val="13"/>
                      </w:rPr>
                      <w:br/>
                    </w:r>
                    <w:r w:rsidRPr="00C00191">
                      <w:rPr>
                        <w:sz w:val="13"/>
                        <w:szCs w:val="13"/>
                      </w:rPr>
                      <w:t>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B46644" wp14:editId="50C4025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CF0958" w14:textId="77777777" w:rsidR="00286AD1" w:rsidRDefault="00286AD1"/>
                      </w:txbxContent>
                    </wps:txbx>
                    <wps:bodyPr vert="horz" wrap="square" lIns="0" tIns="0" rIns="0" bIns="0" anchor="t" anchorCtr="0"/>
                  </wps:wsp>
                </a:graphicData>
              </a:graphic>
            </wp:anchor>
          </w:drawing>
        </mc:Choice>
        <mc:Fallback>
          <w:pict>
            <v:shape w14:anchorId="11B4664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9CF0958" w14:textId="77777777" w:rsidR="00286AD1" w:rsidRDefault="00286AD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A9B8474" wp14:editId="0B35016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47F0A4" w14:textId="77777777" w:rsidR="00061F54" w:rsidRDefault="00286AD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A9B847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F47F0A4" w14:textId="77777777" w:rsidR="00061F54" w:rsidRDefault="00286AD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82924D" wp14:editId="2B333F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675365" w14:textId="77777777" w:rsidR="00061F54" w:rsidRDefault="00286AD1">
                          <w:pPr>
                            <w:spacing w:line="240" w:lineRule="auto"/>
                          </w:pPr>
                          <w:r>
                            <w:rPr>
                              <w:noProof/>
                            </w:rPr>
                            <w:drawing>
                              <wp:inline distT="0" distB="0" distL="0" distR="0" wp14:anchorId="6B040176" wp14:editId="13B9078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82924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D675365" w14:textId="77777777" w:rsidR="00061F54" w:rsidRDefault="00286AD1">
                    <w:pPr>
                      <w:spacing w:line="240" w:lineRule="auto"/>
                    </w:pPr>
                    <w:r>
                      <w:rPr>
                        <w:noProof/>
                      </w:rPr>
                      <w:drawing>
                        <wp:inline distT="0" distB="0" distL="0" distR="0" wp14:anchorId="6B040176" wp14:editId="13B9078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8296561" wp14:editId="1723301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93FBAA" w14:textId="77777777" w:rsidR="00061F54" w:rsidRDefault="00286AD1">
                          <w:pPr>
                            <w:spacing w:line="240" w:lineRule="auto"/>
                          </w:pPr>
                          <w:r>
                            <w:rPr>
                              <w:noProof/>
                            </w:rPr>
                            <w:drawing>
                              <wp:inline distT="0" distB="0" distL="0" distR="0" wp14:anchorId="3C618840" wp14:editId="04B4D56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29656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93FBAA" w14:textId="77777777" w:rsidR="00061F54" w:rsidRDefault="00286AD1">
                    <w:pPr>
                      <w:spacing w:line="240" w:lineRule="auto"/>
                    </w:pPr>
                    <w:r>
                      <w:rPr>
                        <w:noProof/>
                      </w:rPr>
                      <w:drawing>
                        <wp:inline distT="0" distB="0" distL="0" distR="0" wp14:anchorId="3C618840" wp14:editId="04B4D56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F92492" wp14:editId="5FFCC7A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565180" w14:textId="77777777" w:rsidR="00061F54" w:rsidRDefault="00286AD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BF9249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2565180" w14:textId="77777777" w:rsidR="00061F54" w:rsidRDefault="00286AD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43CED5"/>
    <w:multiLevelType w:val="multilevel"/>
    <w:tmpl w:val="A332DFD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4769FC"/>
    <w:multiLevelType w:val="multilevel"/>
    <w:tmpl w:val="638C27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E7E1583"/>
    <w:multiLevelType w:val="multilevel"/>
    <w:tmpl w:val="CC1EA9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F7F1FA8"/>
    <w:multiLevelType w:val="multilevel"/>
    <w:tmpl w:val="60DC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EE1F7"/>
    <w:multiLevelType w:val="multilevel"/>
    <w:tmpl w:val="91C393A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69D5F78"/>
    <w:multiLevelType w:val="hybridMultilevel"/>
    <w:tmpl w:val="135E6A7C"/>
    <w:lvl w:ilvl="0" w:tplc="ADB69A8C">
      <w:start w:val="1"/>
      <w:numFmt w:val="decimal"/>
      <w:lvlText w:val="%1."/>
      <w:lvlJc w:val="left"/>
      <w:pPr>
        <w:ind w:left="720" w:hanging="360"/>
      </w:pPr>
      <w:rPr>
        <w:b/>
        <w:bCs/>
        <w:i w:val="0"/>
        <w:iCs w:val="0"/>
      </w:rPr>
    </w:lvl>
    <w:lvl w:ilvl="1" w:tplc="04130019">
      <w:start w:val="1"/>
      <w:numFmt w:val="lowerLetter"/>
      <w:lvlText w:val="%2."/>
      <w:lvlJc w:val="left"/>
      <w:pPr>
        <w:ind w:left="1353"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6EFCFF2"/>
    <w:multiLevelType w:val="multilevel"/>
    <w:tmpl w:val="2E367CD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DD2148E"/>
    <w:multiLevelType w:val="multilevel"/>
    <w:tmpl w:val="30FA1C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88491475">
    <w:abstractNumId w:val="6"/>
  </w:num>
  <w:num w:numId="2" w16cid:durableId="897281676">
    <w:abstractNumId w:val="0"/>
  </w:num>
  <w:num w:numId="3" w16cid:durableId="170340664">
    <w:abstractNumId w:val="1"/>
  </w:num>
  <w:num w:numId="4" w16cid:durableId="961807061">
    <w:abstractNumId w:val="2"/>
  </w:num>
  <w:num w:numId="5" w16cid:durableId="1679576273">
    <w:abstractNumId w:val="4"/>
  </w:num>
  <w:num w:numId="6" w16cid:durableId="31075601">
    <w:abstractNumId w:val="7"/>
  </w:num>
  <w:num w:numId="7" w16cid:durableId="78795461">
    <w:abstractNumId w:val="3"/>
  </w:num>
  <w:num w:numId="8" w16cid:durableId="251741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D1"/>
    <w:rsid w:val="00031125"/>
    <w:rsid w:val="0003386C"/>
    <w:rsid w:val="00061F54"/>
    <w:rsid w:val="000C4615"/>
    <w:rsid w:val="000D39D3"/>
    <w:rsid w:val="0010473B"/>
    <w:rsid w:val="00121B04"/>
    <w:rsid w:val="0013301E"/>
    <w:rsid w:val="0016113E"/>
    <w:rsid w:val="00167827"/>
    <w:rsid w:val="00187CBD"/>
    <w:rsid w:val="001A6E12"/>
    <w:rsid w:val="001B1961"/>
    <w:rsid w:val="001C3585"/>
    <w:rsid w:val="001F0219"/>
    <w:rsid w:val="00203EF0"/>
    <w:rsid w:val="00216008"/>
    <w:rsid w:val="00236499"/>
    <w:rsid w:val="002375C0"/>
    <w:rsid w:val="00286AD1"/>
    <w:rsid w:val="00295C50"/>
    <w:rsid w:val="002B07D4"/>
    <w:rsid w:val="002C5937"/>
    <w:rsid w:val="002D0D35"/>
    <w:rsid w:val="002D3775"/>
    <w:rsid w:val="002E69D1"/>
    <w:rsid w:val="003118EB"/>
    <w:rsid w:val="0032132B"/>
    <w:rsid w:val="003249E5"/>
    <w:rsid w:val="00357B85"/>
    <w:rsid w:val="003A46F3"/>
    <w:rsid w:val="003C60DB"/>
    <w:rsid w:val="003D50F1"/>
    <w:rsid w:val="00427A0D"/>
    <w:rsid w:val="004528F3"/>
    <w:rsid w:val="00491406"/>
    <w:rsid w:val="00506C4A"/>
    <w:rsid w:val="00527EA7"/>
    <w:rsid w:val="00543AD5"/>
    <w:rsid w:val="00543AED"/>
    <w:rsid w:val="0055178D"/>
    <w:rsid w:val="00553481"/>
    <w:rsid w:val="00557263"/>
    <w:rsid w:val="005F0602"/>
    <w:rsid w:val="005F6726"/>
    <w:rsid w:val="006065C0"/>
    <w:rsid w:val="00642B45"/>
    <w:rsid w:val="00652FF9"/>
    <w:rsid w:val="006A440C"/>
    <w:rsid w:val="006B17E2"/>
    <w:rsid w:val="006B2E30"/>
    <w:rsid w:val="006D1EB8"/>
    <w:rsid w:val="006E1B61"/>
    <w:rsid w:val="007465BD"/>
    <w:rsid w:val="007535A8"/>
    <w:rsid w:val="00772FEC"/>
    <w:rsid w:val="007B73AC"/>
    <w:rsid w:val="007D0381"/>
    <w:rsid w:val="00875DD8"/>
    <w:rsid w:val="008E5A9D"/>
    <w:rsid w:val="0090302B"/>
    <w:rsid w:val="00933174"/>
    <w:rsid w:val="0097260C"/>
    <w:rsid w:val="009A2994"/>
    <w:rsid w:val="009A4B83"/>
    <w:rsid w:val="009A7CC6"/>
    <w:rsid w:val="009B3646"/>
    <w:rsid w:val="009D0793"/>
    <w:rsid w:val="009E495B"/>
    <w:rsid w:val="009F5BF9"/>
    <w:rsid w:val="009F7707"/>
    <w:rsid w:val="00A121EC"/>
    <w:rsid w:val="00A23BF5"/>
    <w:rsid w:val="00A33B42"/>
    <w:rsid w:val="00A400F7"/>
    <w:rsid w:val="00A45C6B"/>
    <w:rsid w:val="00A475F7"/>
    <w:rsid w:val="00A71583"/>
    <w:rsid w:val="00AA6775"/>
    <w:rsid w:val="00AC070A"/>
    <w:rsid w:val="00B3676A"/>
    <w:rsid w:val="00B42ABF"/>
    <w:rsid w:val="00B5677D"/>
    <w:rsid w:val="00B673EF"/>
    <w:rsid w:val="00B72BA7"/>
    <w:rsid w:val="00C00191"/>
    <w:rsid w:val="00C140BF"/>
    <w:rsid w:val="00C6758A"/>
    <w:rsid w:val="00CB706C"/>
    <w:rsid w:val="00CE3C0F"/>
    <w:rsid w:val="00CE56FD"/>
    <w:rsid w:val="00CE7A0A"/>
    <w:rsid w:val="00D12475"/>
    <w:rsid w:val="00D70313"/>
    <w:rsid w:val="00D70A8C"/>
    <w:rsid w:val="00DB317E"/>
    <w:rsid w:val="00DF622C"/>
    <w:rsid w:val="00E32E47"/>
    <w:rsid w:val="00E3544D"/>
    <w:rsid w:val="00E46309"/>
    <w:rsid w:val="00E57A82"/>
    <w:rsid w:val="00E84420"/>
    <w:rsid w:val="00E9311E"/>
    <w:rsid w:val="00EB12B8"/>
    <w:rsid w:val="00EB5414"/>
    <w:rsid w:val="00EE0494"/>
    <w:rsid w:val="00EE1B8E"/>
    <w:rsid w:val="00EE5491"/>
    <w:rsid w:val="00F31DCC"/>
    <w:rsid w:val="00FA6AAF"/>
    <w:rsid w:val="00FC0C69"/>
    <w:rsid w:val="00FC1860"/>
    <w:rsid w:val="00FC1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3EF"/>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673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73EF"/>
    <w:rPr>
      <w:rFonts w:ascii="Verdana" w:hAnsi="Verdana"/>
      <w:color w:val="000000"/>
      <w:sz w:val="18"/>
      <w:szCs w:val="18"/>
    </w:rPr>
  </w:style>
  <w:style w:type="paragraph" w:customStyle="1" w:styleId="Voetnoottekst1">
    <w:name w:val="Voetnoottekst1"/>
    <w:basedOn w:val="Standaard"/>
    <w:next w:val="Voetnoottekst"/>
    <w:link w:val="VoetnoottekstChar"/>
    <w:uiPriority w:val="99"/>
    <w:semiHidden/>
    <w:unhideWhenUsed/>
    <w:rsid w:val="00DF622C"/>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DF622C"/>
  </w:style>
  <w:style w:type="character" w:styleId="Voetnootmarkering">
    <w:name w:val="footnote reference"/>
    <w:basedOn w:val="Standaardalinea-lettertype"/>
    <w:uiPriority w:val="99"/>
    <w:semiHidden/>
    <w:unhideWhenUsed/>
    <w:rsid w:val="00DF622C"/>
    <w:rPr>
      <w:vertAlign w:val="superscript"/>
    </w:rPr>
  </w:style>
  <w:style w:type="paragraph" w:styleId="Voetnoottekst">
    <w:name w:val="footnote text"/>
    <w:basedOn w:val="Standaard"/>
    <w:link w:val="VoetnoottekstChar1"/>
    <w:uiPriority w:val="99"/>
    <w:semiHidden/>
    <w:unhideWhenUsed/>
    <w:rsid w:val="00DF622C"/>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DF622C"/>
    <w:rPr>
      <w:rFonts w:ascii="Verdana" w:hAnsi="Verdana"/>
      <w:color w:val="000000"/>
    </w:rPr>
  </w:style>
  <w:style w:type="character" w:styleId="Verwijzingopmerking">
    <w:name w:val="annotation reference"/>
    <w:basedOn w:val="Standaardalinea-lettertype"/>
    <w:uiPriority w:val="99"/>
    <w:semiHidden/>
    <w:unhideWhenUsed/>
    <w:rsid w:val="00DF622C"/>
    <w:rPr>
      <w:sz w:val="16"/>
      <w:szCs w:val="16"/>
    </w:rPr>
  </w:style>
  <w:style w:type="paragraph" w:styleId="Tekstopmerking">
    <w:name w:val="annotation text"/>
    <w:basedOn w:val="Standaard"/>
    <w:link w:val="TekstopmerkingChar"/>
    <w:uiPriority w:val="99"/>
    <w:unhideWhenUsed/>
    <w:rsid w:val="00DF622C"/>
    <w:pPr>
      <w:spacing w:line="240" w:lineRule="auto"/>
    </w:pPr>
    <w:rPr>
      <w:sz w:val="20"/>
      <w:szCs w:val="20"/>
    </w:rPr>
  </w:style>
  <w:style w:type="character" w:customStyle="1" w:styleId="TekstopmerkingChar">
    <w:name w:val="Tekst opmerking Char"/>
    <w:basedOn w:val="Standaardalinea-lettertype"/>
    <w:link w:val="Tekstopmerking"/>
    <w:uiPriority w:val="99"/>
    <w:rsid w:val="00DF62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622C"/>
    <w:rPr>
      <w:b/>
      <w:bCs/>
    </w:rPr>
  </w:style>
  <w:style w:type="character" w:customStyle="1" w:styleId="OnderwerpvanopmerkingChar">
    <w:name w:val="Onderwerp van opmerking Char"/>
    <w:basedOn w:val="TekstopmerkingChar"/>
    <w:link w:val="Onderwerpvanopmerking"/>
    <w:uiPriority w:val="99"/>
    <w:semiHidden/>
    <w:rsid w:val="00DF622C"/>
    <w:rPr>
      <w:rFonts w:ascii="Verdana" w:hAnsi="Verdana"/>
      <w:b/>
      <w:bCs/>
      <w:color w:val="000000"/>
    </w:rPr>
  </w:style>
  <w:style w:type="paragraph" w:styleId="Revisie">
    <w:name w:val="Revision"/>
    <w:hidden/>
    <w:uiPriority w:val="99"/>
    <w:semiHidden/>
    <w:rsid w:val="009F770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0222">
      <w:bodyDiv w:val="1"/>
      <w:marLeft w:val="0"/>
      <w:marRight w:val="0"/>
      <w:marTop w:val="0"/>
      <w:marBottom w:val="0"/>
      <w:divBdr>
        <w:top w:val="none" w:sz="0" w:space="0" w:color="auto"/>
        <w:left w:val="none" w:sz="0" w:space="0" w:color="auto"/>
        <w:bottom w:val="none" w:sz="0" w:space="0" w:color="auto"/>
        <w:right w:val="none" w:sz="0" w:space="0" w:color="auto"/>
      </w:divBdr>
    </w:div>
    <w:div w:id="151142990">
      <w:bodyDiv w:val="1"/>
      <w:marLeft w:val="0"/>
      <w:marRight w:val="0"/>
      <w:marTop w:val="0"/>
      <w:marBottom w:val="0"/>
      <w:divBdr>
        <w:top w:val="none" w:sz="0" w:space="0" w:color="auto"/>
        <w:left w:val="none" w:sz="0" w:space="0" w:color="auto"/>
        <w:bottom w:val="none" w:sz="0" w:space="0" w:color="auto"/>
        <w:right w:val="none" w:sz="0" w:space="0" w:color="auto"/>
      </w:divBdr>
    </w:div>
    <w:div w:id="348917794">
      <w:bodyDiv w:val="1"/>
      <w:marLeft w:val="0"/>
      <w:marRight w:val="0"/>
      <w:marTop w:val="0"/>
      <w:marBottom w:val="0"/>
      <w:divBdr>
        <w:top w:val="none" w:sz="0" w:space="0" w:color="auto"/>
        <w:left w:val="none" w:sz="0" w:space="0" w:color="auto"/>
        <w:bottom w:val="none" w:sz="0" w:space="0" w:color="auto"/>
        <w:right w:val="none" w:sz="0" w:space="0" w:color="auto"/>
      </w:divBdr>
      <w:divsChild>
        <w:div w:id="339308582">
          <w:marLeft w:val="0"/>
          <w:marRight w:val="0"/>
          <w:marTop w:val="0"/>
          <w:marBottom w:val="0"/>
          <w:divBdr>
            <w:top w:val="none" w:sz="0" w:space="0" w:color="auto"/>
            <w:left w:val="none" w:sz="0" w:space="0" w:color="auto"/>
            <w:bottom w:val="none" w:sz="0" w:space="0" w:color="auto"/>
            <w:right w:val="none" w:sz="0" w:space="0" w:color="auto"/>
          </w:divBdr>
        </w:div>
      </w:divsChild>
    </w:div>
    <w:div w:id="371393254">
      <w:bodyDiv w:val="1"/>
      <w:marLeft w:val="0"/>
      <w:marRight w:val="0"/>
      <w:marTop w:val="0"/>
      <w:marBottom w:val="0"/>
      <w:divBdr>
        <w:top w:val="none" w:sz="0" w:space="0" w:color="auto"/>
        <w:left w:val="none" w:sz="0" w:space="0" w:color="auto"/>
        <w:bottom w:val="none" w:sz="0" w:space="0" w:color="auto"/>
        <w:right w:val="none" w:sz="0" w:space="0" w:color="auto"/>
      </w:divBdr>
    </w:div>
    <w:div w:id="629091708">
      <w:bodyDiv w:val="1"/>
      <w:marLeft w:val="0"/>
      <w:marRight w:val="0"/>
      <w:marTop w:val="0"/>
      <w:marBottom w:val="0"/>
      <w:divBdr>
        <w:top w:val="none" w:sz="0" w:space="0" w:color="auto"/>
        <w:left w:val="none" w:sz="0" w:space="0" w:color="auto"/>
        <w:bottom w:val="none" w:sz="0" w:space="0" w:color="auto"/>
        <w:right w:val="none" w:sz="0" w:space="0" w:color="auto"/>
      </w:divBdr>
    </w:div>
    <w:div w:id="741221270">
      <w:bodyDiv w:val="1"/>
      <w:marLeft w:val="0"/>
      <w:marRight w:val="0"/>
      <w:marTop w:val="0"/>
      <w:marBottom w:val="0"/>
      <w:divBdr>
        <w:top w:val="none" w:sz="0" w:space="0" w:color="auto"/>
        <w:left w:val="none" w:sz="0" w:space="0" w:color="auto"/>
        <w:bottom w:val="none" w:sz="0" w:space="0" w:color="auto"/>
        <w:right w:val="none" w:sz="0" w:space="0" w:color="auto"/>
      </w:divBdr>
    </w:div>
    <w:div w:id="804348206">
      <w:bodyDiv w:val="1"/>
      <w:marLeft w:val="0"/>
      <w:marRight w:val="0"/>
      <w:marTop w:val="0"/>
      <w:marBottom w:val="0"/>
      <w:divBdr>
        <w:top w:val="none" w:sz="0" w:space="0" w:color="auto"/>
        <w:left w:val="none" w:sz="0" w:space="0" w:color="auto"/>
        <w:bottom w:val="none" w:sz="0" w:space="0" w:color="auto"/>
        <w:right w:val="none" w:sz="0" w:space="0" w:color="auto"/>
      </w:divBdr>
    </w:div>
    <w:div w:id="822282978">
      <w:bodyDiv w:val="1"/>
      <w:marLeft w:val="0"/>
      <w:marRight w:val="0"/>
      <w:marTop w:val="0"/>
      <w:marBottom w:val="0"/>
      <w:divBdr>
        <w:top w:val="none" w:sz="0" w:space="0" w:color="auto"/>
        <w:left w:val="none" w:sz="0" w:space="0" w:color="auto"/>
        <w:bottom w:val="none" w:sz="0" w:space="0" w:color="auto"/>
        <w:right w:val="none" w:sz="0" w:space="0" w:color="auto"/>
      </w:divBdr>
    </w:div>
    <w:div w:id="907114956">
      <w:bodyDiv w:val="1"/>
      <w:marLeft w:val="0"/>
      <w:marRight w:val="0"/>
      <w:marTop w:val="0"/>
      <w:marBottom w:val="0"/>
      <w:divBdr>
        <w:top w:val="none" w:sz="0" w:space="0" w:color="auto"/>
        <w:left w:val="none" w:sz="0" w:space="0" w:color="auto"/>
        <w:bottom w:val="none" w:sz="0" w:space="0" w:color="auto"/>
        <w:right w:val="none" w:sz="0" w:space="0" w:color="auto"/>
      </w:divBdr>
    </w:div>
    <w:div w:id="1215582082">
      <w:bodyDiv w:val="1"/>
      <w:marLeft w:val="0"/>
      <w:marRight w:val="0"/>
      <w:marTop w:val="0"/>
      <w:marBottom w:val="0"/>
      <w:divBdr>
        <w:top w:val="none" w:sz="0" w:space="0" w:color="auto"/>
        <w:left w:val="none" w:sz="0" w:space="0" w:color="auto"/>
        <w:bottom w:val="none" w:sz="0" w:space="0" w:color="auto"/>
        <w:right w:val="none" w:sz="0" w:space="0" w:color="auto"/>
      </w:divBdr>
    </w:div>
    <w:div w:id="1358510357">
      <w:bodyDiv w:val="1"/>
      <w:marLeft w:val="0"/>
      <w:marRight w:val="0"/>
      <w:marTop w:val="0"/>
      <w:marBottom w:val="0"/>
      <w:divBdr>
        <w:top w:val="none" w:sz="0" w:space="0" w:color="auto"/>
        <w:left w:val="none" w:sz="0" w:space="0" w:color="auto"/>
        <w:bottom w:val="none" w:sz="0" w:space="0" w:color="auto"/>
        <w:right w:val="none" w:sz="0" w:space="0" w:color="auto"/>
      </w:divBdr>
      <w:divsChild>
        <w:div w:id="1413814676">
          <w:marLeft w:val="0"/>
          <w:marRight w:val="0"/>
          <w:marTop w:val="0"/>
          <w:marBottom w:val="0"/>
          <w:divBdr>
            <w:top w:val="none" w:sz="0" w:space="0" w:color="auto"/>
            <w:left w:val="none" w:sz="0" w:space="0" w:color="auto"/>
            <w:bottom w:val="none" w:sz="0" w:space="0" w:color="auto"/>
            <w:right w:val="none" w:sz="0" w:space="0" w:color="auto"/>
          </w:divBdr>
        </w:div>
      </w:divsChild>
    </w:div>
    <w:div w:id="1452936309">
      <w:bodyDiv w:val="1"/>
      <w:marLeft w:val="0"/>
      <w:marRight w:val="0"/>
      <w:marTop w:val="0"/>
      <w:marBottom w:val="0"/>
      <w:divBdr>
        <w:top w:val="none" w:sz="0" w:space="0" w:color="auto"/>
        <w:left w:val="none" w:sz="0" w:space="0" w:color="auto"/>
        <w:bottom w:val="none" w:sz="0" w:space="0" w:color="auto"/>
        <w:right w:val="none" w:sz="0" w:space="0" w:color="auto"/>
      </w:divBdr>
    </w:div>
    <w:div w:id="194033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verslag/20260407/versla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2979</ap:Words>
  <ap:Characters>16388</ap:Characters>
  <ap:DocSecurity>0</ap:DocSecurity>
  <ap:Lines>136</ap:Lines>
  <ap:Paragraphs>38</ap:Paragraphs>
  <ap:ScaleCrop>false</ap:ScaleCrop>
  <ap:LinksUpToDate>false</ap:LinksUpToDate>
  <ap:CharactersWithSpaces>19329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2026-06-22T13:10:00.0000000Z</dcterms:created>
  <dcterms:modified xsi:type="dcterms:W3CDTF">2026-06-22T13:10:00.0000000Z</dcterms:modified>
  <dc:description>------------------------</dc:description>
  <version/>
  <category/>
</coreProperties>
</file>