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558" w:rsidRDefault="003C5A36" w14:paraId="75C84CEA" w14:textId="77777777">
      <w:r>
        <w:t>Geachte voorzitter,</w:t>
      </w:r>
    </w:p>
    <w:p w:rsidR="009A3558" w:rsidRDefault="009A3558" w14:paraId="203BB5AE" w14:textId="77777777"/>
    <w:p w:rsidR="003C5A36" w:rsidP="003C5A36" w:rsidRDefault="003C5A36" w14:paraId="2DB593AD" w14:textId="77777777">
      <w:r>
        <w:t xml:space="preserve">Hierbij bied </w:t>
      </w:r>
      <w:r w:rsidR="00EA68B1">
        <w:t xml:space="preserve">ik uw Kamer in de bijlage bij deze brief </w:t>
      </w:r>
      <w:r>
        <w:t>de beantwoording aan van de op 2 juni 2026 ingezonden Kamervragen door het lid Vermeer (BBB) over de fiscale behandeling van kampeervoertuigen.</w:t>
      </w:r>
      <w:r w:rsidR="00EA68B1">
        <w:rPr>
          <w:rStyle w:val="Voetnootmarkering"/>
        </w:rPr>
        <w:footnoteReference w:id="1"/>
      </w:r>
    </w:p>
    <w:p w:rsidR="00A830CE" w:rsidP="003C5A36" w:rsidRDefault="00A830CE" w14:paraId="29EF27EB" w14:textId="77777777"/>
    <w:p w:rsidR="00BB79F5" w:rsidP="003C5A36" w:rsidRDefault="00BB79F5" w14:paraId="56DB3491" w14:textId="77777777">
      <w:r>
        <w:t xml:space="preserve">Daarnaast </w:t>
      </w:r>
      <w:r w:rsidRPr="00BB79F5">
        <w:t xml:space="preserve">voldoe ik met deze brief </w:t>
      </w:r>
      <w:r>
        <w:t xml:space="preserve">graag </w:t>
      </w:r>
      <w:r w:rsidRPr="00BB79F5">
        <w:t>aan het verzoek van de vaste commissie voor Financiën van 22 mei 2026 om voorafgaand aan het commissiedebat Fiscaliteit van 24 juni 2026 een overzicht te verstrekken van het aantal schorsingen van kampeerauto’s in het eerste kwartaal van 2026, afgezet tegen voorgaande jaren, en uw Kamer te informeren over de stand van zaken van de uitvoering van de motie inzake de motorrijtuigenbelasting voor kampeerauto’s.</w:t>
      </w:r>
      <w:r w:rsidR="00EA68B1">
        <w:rPr>
          <w:rStyle w:val="Voetnootmarkering"/>
        </w:rPr>
        <w:footnoteReference w:id="2"/>
      </w:r>
    </w:p>
    <w:p w:rsidR="00BB79F5" w:rsidP="003C5A36" w:rsidRDefault="00BB79F5" w14:paraId="327C827B" w14:textId="77777777"/>
    <w:p w:rsidRPr="00BB79F5" w:rsidR="00BB79F5" w:rsidP="003C5A36" w:rsidRDefault="00BB79F5" w14:paraId="6DA6806C" w14:textId="77777777">
      <w:pPr>
        <w:rPr>
          <w:b/>
          <w:bCs/>
        </w:rPr>
      </w:pPr>
      <w:r>
        <w:rPr>
          <w:b/>
          <w:bCs/>
        </w:rPr>
        <w:t>Het aantal schorsingen van kampeerauto’s</w:t>
      </w:r>
    </w:p>
    <w:p w:rsidR="00BB79F5" w:rsidP="003C5A36" w:rsidRDefault="00BB79F5" w14:paraId="2799A3F9" w14:textId="77777777">
      <w:r w:rsidRPr="00BB79F5">
        <w:t xml:space="preserve">De RDW </w:t>
      </w:r>
      <w:r w:rsidR="005E037C">
        <w:t xml:space="preserve">en Belastingdienst </w:t>
      </w:r>
      <w:r w:rsidR="00117158">
        <w:t xml:space="preserve">hebben de volgende informatie </w:t>
      </w:r>
      <w:r w:rsidRPr="00BB79F5">
        <w:t>verstrekt over het aantal kampeerauto</w:t>
      </w:r>
      <w:r w:rsidR="00117158">
        <w:t>’</w:t>
      </w:r>
      <w:r w:rsidRPr="00BB79F5">
        <w:t xml:space="preserve">s </w:t>
      </w:r>
      <w:r w:rsidR="00117158">
        <w:t>en de schorsingen daarvan.</w:t>
      </w:r>
    </w:p>
    <w:p w:rsidRPr="00BB79F5" w:rsidR="00BB79F5" w:rsidP="00BB79F5" w:rsidRDefault="00BB79F5" w14:paraId="4C34614C" w14:textId="77777777"/>
    <w:p w:rsidRPr="00BB79F5" w:rsidR="00BB79F5" w:rsidP="00BB79F5" w:rsidRDefault="00117158" w14:paraId="10857249" w14:textId="77777777">
      <w:pPr>
        <w:rPr>
          <w:i/>
          <w:iCs/>
        </w:rPr>
      </w:pPr>
      <w:r w:rsidRPr="00117158">
        <w:rPr>
          <w:i/>
          <w:iCs/>
        </w:rPr>
        <w:t>Kampeerwagens waarvoor minimaal één schorsing is aangevraagd – data RDW</w:t>
      </w:r>
    </w:p>
    <w:tbl>
      <w:tblPr>
        <w:tblStyle w:val="Tabelraster"/>
        <w:tblW w:w="8784" w:type="dxa"/>
        <w:tblInd w:w="0" w:type="dxa"/>
        <w:tblLayout w:type="fixed"/>
        <w:tblLook w:val="04A0" w:firstRow="1" w:lastRow="0" w:firstColumn="1" w:lastColumn="0" w:noHBand="0" w:noVBand="1"/>
      </w:tblPr>
      <w:tblGrid>
        <w:gridCol w:w="2122"/>
        <w:gridCol w:w="850"/>
        <w:gridCol w:w="851"/>
        <w:gridCol w:w="992"/>
        <w:gridCol w:w="992"/>
        <w:gridCol w:w="992"/>
        <w:gridCol w:w="993"/>
        <w:gridCol w:w="992"/>
      </w:tblGrid>
      <w:tr w:rsidRPr="00025332" w:rsidR="0074459B" w:rsidTr="00117158" w14:paraId="65BB0E8A" w14:textId="77777777">
        <w:trPr>
          <w:trHeight w:val="300"/>
        </w:trPr>
        <w:tc>
          <w:tcPr>
            <w:tcW w:w="2122" w:type="dxa"/>
            <w:tcBorders>
              <w:top w:val="single" w:color="auto" w:sz="4" w:space="0"/>
              <w:left w:val="single" w:color="auto" w:sz="4" w:space="0"/>
              <w:bottom w:val="single" w:color="auto" w:sz="4" w:space="0"/>
              <w:right w:val="double" w:color="auto" w:sz="18" w:space="0"/>
            </w:tcBorders>
            <w:shd w:val="clear" w:color="auto" w:fill="F2F2F2" w:themeFill="background1" w:themeFillShade="F2"/>
            <w:hideMark/>
          </w:tcPr>
          <w:p w:rsidRPr="009801F5" w:rsidR="009801F5" w:rsidP="009801F5" w:rsidRDefault="009801F5" w14:paraId="6A7E0D8B" w14:textId="77777777">
            <w:pPr>
              <w:rPr>
                <w:b/>
                <w:bCs/>
              </w:rPr>
            </w:pPr>
          </w:p>
        </w:tc>
        <w:tc>
          <w:tcPr>
            <w:tcW w:w="850" w:type="dxa"/>
            <w:tcBorders>
              <w:top w:val="single" w:color="auto" w:sz="4" w:space="0"/>
              <w:left w:val="double" w:color="auto" w:sz="18" w:space="0"/>
              <w:bottom w:val="single" w:color="auto" w:sz="4" w:space="0"/>
              <w:right w:val="single" w:color="auto" w:sz="4" w:space="0"/>
            </w:tcBorders>
            <w:shd w:val="clear" w:color="auto" w:fill="F2F2F2" w:themeFill="background1" w:themeFillShade="F2"/>
          </w:tcPr>
          <w:p w:rsidRPr="009801F5" w:rsidR="009801F5" w:rsidDel="009801F5" w:rsidP="009801F5" w:rsidRDefault="009801F5" w14:paraId="00DA8217" w14:textId="77777777">
            <w:pPr>
              <w:jc w:val="center"/>
              <w:rPr>
                <w:b/>
                <w:bCs/>
              </w:rPr>
            </w:pPr>
            <w:r w:rsidRPr="009801F5">
              <w:rPr>
                <w:b/>
                <w:bCs/>
              </w:rPr>
              <w:t>2023</w:t>
            </w:r>
          </w:p>
        </w:tc>
        <w:tc>
          <w:tcPr>
            <w:tcW w:w="85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801F5" w:rsidR="009801F5" w:rsidDel="009801F5" w:rsidP="009801F5" w:rsidRDefault="009801F5" w14:paraId="59BD51BE" w14:textId="77777777">
            <w:pPr>
              <w:jc w:val="center"/>
              <w:rPr>
                <w:b/>
                <w:bCs/>
              </w:rPr>
            </w:pPr>
            <w:r w:rsidRPr="009801F5">
              <w:rPr>
                <w:b/>
                <w:bCs/>
              </w:rPr>
              <w:t>2024</w:t>
            </w:r>
          </w:p>
        </w:tc>
        <w:tc>
          <w:tcPr>
            <w:tcW w:w="992" w:type="dxa"/>
            <w:tcBorders>
              <w:top w:val="single" w:color="auto" w:sz="4" w:space="0"/>
              <w:left w:val="single" w:color="auto" w:sz="4" w:space="0"/>
              <w:bottom w:val="single" w:color="auto" w:sz="4" w:space="0"/>
              <w:right w:val="double" w:color="auto" w:sz="18" w:space="0"/>
            </w:tcBorders>
            <w:shd w:val="clear" w:color="auto" w:fill="F2F2F2" w:themeFill="background1" w:themeFillShade="F2"/>
            <w:hideMark/>
          </w:tcPr>
          <w:p w:rsidRPr="009801F5" w:rsidR="009801F5" w:rsidP="009801F5" w:rsidRDefault="009801F5" w14:paraId="4EF5D85D" w14:textId="77777777">
            <w:pPr>
              <w:jc w:val="center"/>
              <w:rPr>
                <w:b/>
                <w:bCs/>
              </w:rPr>
            </w:pPr>
            <w:r w:rsidRPr="009801F5">
              <w:rPr>
                <w:b/>
                <w:bCs/>
              </w:rPr>
              <w:t>2025</w:t>
            </w:r>
          </w:p>
        </w:tc>
        <w:tc>
          <w:tcPr>
            <w:tcW w:w="992" w:type="dxa"/>
            <w:tcBorders>
              <w:top w:val="single" w:color="auto" w:sz="4" w:space="0"/>
              <w:left w:val="double" w:color="auto" w:sz="18" w:space="0"/>
              <w:bottom w:val="single" w:color="auto" w:sz="4" w:space="0"/>
              <w:right w:val="single" w:color="auto" w:sz="4" w:space="0"/>
            </w:tcBorders>
            <w:shd w:val="clear" w:color="auto" w:fill="F2F2F2" w:themeFill="background1" w:themeFillShade="F2"/>
            <w:hideMark/>
          </w:tcPr>
          <w:p w:rsidRPr="009801F5" w:rsidR="009801F5" w:rsidP="009801F5" w:rsidRDefault="009801F5" w14:paraId="487A5422" w14:textId="77777777">
            <w:pPr>
              <w:jc w:val="center"/>
              <w:rPr>
                <w:b/>
                <w:bCs/>
              </w:rPr>
            </w:pPr>
            <w:r w:rsidRPr="009801F5">
              <w:rPr>
                <w:b/>
                <w:bCs/>
              </w:rPr>
              <w:t>Q1 2023</w:t>
            </w:r>
          </w:p>
        </w:tc>
        <w:tc>
          <w:tcPr>
            <w:tcW w:w="99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801F5" w:rsidR="009801F5" w:rsidP="009801F5" w:rsidRDefault="009801F5" w14:paraId="17FA68DB" w14:textId="77777777">
            <w:pPr>
              <w:jc w:val="center"/>
              <w:rPr>
                <w:b/>
                <w:bCs/>
              </w:rPr>
            </w:pPr>
            <w:r w:rsidRPr="009801F5">
              <w:rPr>
                <w:b/>
                <w:bCs/>
              </w:rPr>
              <w:t>Q1 2024</w:t>
            </w:r>
          </w:p>
        </w:tc>
        <w:tc>
          <w:tcPr>
            <w:tcW w:w="99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801F5" w:rsidR="009801F5" w:rsidP="009801F5" w:rsidRDefault="009801F5" w14:paraId="7C955E7D" w14:textId="77777777">
            <w:pPr>
              <w:jc w:val="center"/>
              <w:rPr>
                <w:b/>
                <w:bCs/>
              </w:rPr>
            </w:pPr>
            <w:r w:rsidRPr="009801F5">
              <w:rPr>
                <w:b/>
                <w:bCs/>
              </w:rPr>
              <w:t>Q1 2025</w:t>
            </w:r>
          </w:p>
        </w:tc>
        <w:tc>
          <w:tcPr>
            <w:tcW w:w="99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801F5" w:rsidR="009801F5" w:rsidP="009801F5" w:rsidRDefault="009801F5" w14:paraId="0956E5D0" w14:textId="77777777">
            <w:pPr>
              <w:jc w:val="center"/>
              <w:rPr>
                <w:b/>
                <w:bCs/>
              </w:rPr>
            </w:pPr>
            <w:r w:rsidRPr="009801F5">
              <w:rPr>
                <w:b/>
                <w:bCs/>
              </w:rPr>
              <w:t>Q1 2026</w:t>
            </w:r>
          </w:p>
        </w:tc>
      </w:tr>
      <w:tr w:rsidRPr="00025332" w:rsidR="00123B08" w:rsidTr="00123B08" w14:paraId="10BD200E" w14:textId="77777777">
        <w:trPr>
          <w:trHeight w:val="300"/>
        </w:trPr>
        <w:tc>
          <w:tcPr>
            <w:tcW w:w="2122" w:type="dxa"/>
            <w:tcBorders>
              <w:top w:val="single" w:color="auto" w:sz="4" w:space="0"/>
              <w:left w:val="single" w:color="auto" w:sz="4" w:space="0"/>
              <w:bottom w:val="single" w:color="auto" w:sz="4" w:space="0"/>
              <w:right w:val="double" w:color="auto" w:sz="18" w:space="0"/>
            </w:tcBorders>
            <w:shd w:val="clear" w:color="auto" w:fill="FFFFFF" w:themeFill="background1"/>
            <w:hideMark/>
          </w:tcPr>
          <w:p w:rsidRPr="00025332" w:rsidR="009801F5" w:rsidP="009801F5" w:rsidRDefault="009801F5" w14:paraId="5429A3E4" w14:textId="77777777">
            <w:r>
              <w:t>Jonger dan 15 jaar</w:t>
            </w:r>
            <w:r w:rsidRPr="00025332">
              <w:t xml:space="preserve"> </w:t>
            </w:r>
            <w:r>
              <w:t xml:space="preserve">– hoog schorsingstarief </w:t>
            </w:r>
          </w:p>
        </w:tc>
        <w:tc>
          <w:tcPr>
            <w:tcW w:w="850" w:type="dxa"/>
            <w:tcBorders>
              <w:top w:val="single" w:color="auto" w:sz="4" w:space="0"/>
              <w:left w:val="double" w:color="auto" w:sz="18" w:space="0"/>
              <w:bottom w:val="single" w:color="auto" w:sz="4" w:space="0"/>
              <w:right w:val="single" w:color="auto" w:sz="4" w:space="0"/>
            </w:tcBorders>
          </w:tcPr>
          <w:p w:rsidRPr="00025332" w:rsidR="009801F5" w:rsidP="009801F5" w:rsidRDefault="009801F5" w14:paraId="5C8140E9" w14:textId="77777777">
            <w:pPr>
              <w:jc w:val="center"/>
            </w:pPr>
            <w:r>
              <w:t>32.008</w:t>
            </w:r>
          </w:p>
        </w:tc>
        <w:tc>
          <w:tcPr>
            <w:tcW w:w="851" w:type="dxa"/>
            <w:tcBorders>
              <w:top w:val="single" w:color="auto" w:sz="4" w:space="0"/>
              <w:left w:val="single" w:color="auto" w:sz="4" w:space="0"/>
              <w:bottom w:val="single" w:color="auto" w:sz="4" w:space="0"/>
              <w:right w:val="single" w:color="auto" w:sz="4" w:space="0"/>
            </w:tcBorders>
          </w:tcPr>
          <w:p w:rsidRPr="00025332" w:rsidR="009801F5" w:rsidP="009801F5" w:rsidRDefault="009801F5" w14:paraId="65A417BD" w14:textId="77777777">
            <w:pPr>
              <w:jc w:val="center"/>
            </w:pPr>
            <w:r>
              <w:t>35.198</w:t>
            </w:r>
          </w:p>
        </w:tc>
        <w:tc>
          <w:tcPr>
            <w:tcW w:w="992" w:type="dxa"/>
            <w:tcBorders>
              <w:top w:val="single" w:color="auto" w:sz="4" w:space="0"/>
              <w:left w:val="single" w:color="auto" w:sz="4" w:space="0"/>
              <w:bottom w:val="single" w:color="auto" w:sz="4" w:space="0"/>
              <w:right w:val="double" w:color="auto" w:sz="18" w:space="0"/>
            </w:tcBorders>
            <w:hideMark/>
          </w:tcPr>
          <w:p w:rsidRPr="00025332" w:rsidR="009801F5" w:rsidP="009801F5" w:rsidRDefault="009801F5" w14:paraId="632F997B" w14:textId="77777777">
            <w:pPr>
              <w:jc w:val="center"/>
            </w:pPr>
            <w:r w:rsidRPr="00025332">
              <w:t>46.103</w:t>
            </w:r>
          </w:p>
        </w:tc>
        <w:tc>
          <w:tcPr>
            <w:tcW w:w="992" w:type="dxa"/>
            <w:tcBorders>
              <w:top w:val="single" w:color="auto" w:sz="4" w:space="0"/>
              <w:left w:val="double" w:color="auto" w:sz="18" w:space="0"/>
              <w:bottom w:val="single" w:color="auto" w:sz="4" w:space="0"/>
              <w:right w:val="single" w:color="auto" w:sz="4" w:space="0"/>
            </w:tcBorders>
          </w:tcPr>
          <w:p w:rsidRPr="00025332" w:rsidR="009801F5" w:rsidP="009801F5" w:rsidRDefault="009801F5" w14:paraId="341FEC22" w14:textId="77777777">
            <w:pPr>
              <w:jc w:val="center"/>
            </w:pPr>
            <w:r>
              <w:t>1.222</w:t>
            </w:r>
          </w:p>
        </w:tc>
        <w:tc>
          <w:tcPr>
            <w:tcW w:w="992" w:type="dxa"/>
            <w:tcBorders>
              <w:top w:val="single" w:color="auto" w:sz="4" w:space="0"/>
              <w:left w:val="single" w:color="auto" w:sz="4" w:space="0"/>
              <w:bottom w:val="single" w:color="auto" w:sz="4" w:space="0"/>
              <w:right w:val="single" w:color="auto" w:sz="4" w:space="0"/>
            </w:tcBorders>
          </w:tcPr>
          <w:p w:rsidRPr="00025332" w:rsidR="009801F5" w:rsidP="009801F5" w:rsidRDefault="009801F5" w14:paraId="47B2B622" w14:textId="77777777">
            <w:pPr>
              <w:jc w:val="center"/>
            </w:pPr>
            <w:r>
              <w:t>1.641</w:t>
            </w:r>
          </w:p>
        </w:tc>
        <w:tc>
          <w:tcPr>
            <w:tcW w:w="993" w:type="dxa"/>
            <w:tcBorders>
              <w:top w:val="single" w:color="auto" w:sz="4" w:space="0"/>
              <w:left w:val="single" w:color="auto" w:sz="4" w:space="0"/>
              <w:bottom w:val="single" w:color="auto" w:sz="4" w:space="0"/>
              <w:right w:val="single" w:color="auto" w:sz="4" w:space="0"/>
            </w:tcBorders>
          </w:tcPr>
          <w:p w:rsidRPr="00025332" w:rsidR="009801F5" w:rsidP="009801F5" w:rsidRDefault="009801F5" w14:paraId="2E0211C4" w14:textId="77777777">
            <w:pPr>
              <w:jc w:val="center"/>
            </w:pPr>
            <w:r w:rsidRPr="00025332">
              <w:t>2.086</w:t>
            </w:r>
          </w:p>
        </w:tc>
        <w:tc>
          <w:tcPr>
            <w:tcW w:w="992" w:type="dxa"/>
            <w:tcBorders>
              <w:top w:val="single" w:color="auto" w:sz="4" w:space="0"/>
              <w:left w:val="single" w:color="auto" w:sz="4" w:space="0"/>
              <w:bottom w:val="single" w:color="auto" w:sz="4" w:space="0"/>
              <w:right w:val="single" w:color="auto" w:sz="4" w:space="0"/>
            </w:tcBorders>
            <w:hideMark/>
          </w:tcPr>
          <w:p w:rsidRPr="00025332" w:rsidR="009801F5" w:rsidP="009801F5" w:rsidRDefault="009801F5" w14:paraId="207056C2" w14:textId="77777777">
            <w:pPr>
              <w:jc w:val="center"/>
            </w:pPr>
            <w:r w:rsidRPr="00025332">
              <w:t>6.924</w:t>
            </w:r>
          </w:p>
        </w:tc>
      </w:tr>
      <w:tr w:rsidRPr="00025332" w:rsidR="00123B08" w:rsidTr="00123B08" w14:paraId="1236A919" w14:textId="77777777">
        <w:trPr>
          <w:trHeight w:val="300"/>
        </w:trPr>
        <w:tc>
          <w:tcPr>
            <w:tcW w:w="2122" w:type="dxa"/>
            <w:tcBorders>
              <w:top w:val="single" w:color="auto" w:sz="4" w:space="0"/>
              <w:left w:val="single" w:color="auto" w:sz="4" w:space="0"/>
              <w:bottom w:val="single" w:color="auto" w:sz="4" w:space="0"/>
              <w:right w:val="double" w:color="auto" w:sz="18" w:space="0"/>
            </w:tcBorders>
            <w:shd w:val="clear" w:color="auto" w:fill="FFFFFF" w:themeFill="background1"/>
            <w:hideMark/>
          </w:tcPr>
          <w:p w:rsidRPr="00025332" w:rsidR="009801F5" w:rsidP="009801F5" w:rsidRDefault="009801F5" w14:paraId="428368D1" w14:textId="77777777">
            <w:r>
              <w:t xml:space="preserve">Ouder dan 15 jaar – laag schorsingstarief </w:t>
            </w:r>
          </w:p>
        </w:tc>
        <w:tc>
          <w:tcPr>
            <w:tcW w:w="850" w:type="dxa"/>
            <w:tcBorders>
              <w:top w:val="single" w:color="auto" w:sz="4" w:space="0"/>
              <w:left w:val="double" w:color="auto" w:sz="18" w:space="0"/>
              <w:bottom w:val="single" w:color="auto" w:sz="4" w:space="0"/>
              <w:right w:val="single" w:color="auto" w:sz="4" w:space="0"/>
            </w:tcBorders>
          </w:tcPr>
          <w:p w:rsidRPr="00025332" w:rsidR="009801F5" w:rsidP="009801F5" w:rsidRDefault="009801F5" w14:paraId="4658E873" w14:textId="77777777">
            <w:pPr>
              <w:jc w:val="center"/>
            </w:pPr>
            <w:r>
              <w:t>45.997</w:t>
            </w:r>
          </w:p>
        </w:tc>
        <w:tc>
          <w:tcPr>
            <w:tcW w:w="851" w:type="dxa"/>
            <w:tcBorders>
              <w:top w:val="single" w:color="auto" w:sz="4" w:space="0"/>
              <w:left w:val="single" w:color="auto" w:sz="4" w:space="0"/>
              <w:bottom w:val="single" w:color="auto" w:sz="4" w:space="0"/>
              <w:right w:val="single" w:color="auto" w:sz="4" w:space="0"/>
            </w:tcBorders>
          </w:tcPr>
          <w:p w:rsidRPr="00025332" w:rsidR="009801F5" w:rsidP="009801F5" w:rsidRDefault="009801F5" w14:paraId="5BDA6B67" w14:textId="77777777">
            <w:pPr>
              <w:jc w:val="center"/>
            </w:pPr>
            <w:r>
              <w:t>49.481</w:t>
            </w:r>
          </w:p>
        </w:tc>
        <w:tc>
          <w:tcPr>
            <w:tcW w:w="992" w:type="dxa"/>
            <w:tcBorders>
              <w:top w:val="single" w:color="auto" w:sz="4" w:space="0"/>
              <w:left w:val="single" w:color="auto" w:sz="4" w:space="0"/>
              <w:bottom w:val="single" w:color="auto" w:sz="4" w:space="0"/>
              <w:right w:val="double" w:color="auto" w:sz="18" w:space="0"/>
            </w:tcBorders>
            <w:hideMark/>
          </w:tcPr>
          <w:p w:rsidRPr="00025332" w:rsidR="009801F5" w:rsidP="009801F5" w:rsidRDefault="009801F5" w14:paraId="65573046" w14:textId="77777777">
            <w:pPr>
              <w:jc w:val="center"/>
            </w:pPr>
            <w:r w:rsidRPr="00025332">
              <w:t>58.540</w:t>
            </w:r>
          </w:p>
        </w:tc>
        <w:tc>
          <w:tcPr>
            <w:tcW w:w="992" w:type="dxa"/>
            <w:tcBorders>
              <w:top w:val="single" w:color="auto" w:sz="4" w:space="0"/>
              <w:left w:val="double" w:color="auto" w:sz="18" w:space="0"/>
              <w:bottom w:val="single" w:color="auto" w:sz="4" w:space="0"/>
              <w:right w:val="single" w:color="auto" w:sz="4" w:space="0"/>
            </w:tcBorders>
          </w:tcPr>
          <w:p w:rsidRPr="00025332" w:rsidR="009801F5" w:rsidP="009801F5" w:rsidRDefault="009801F5" w14:paraId="5CE3CFCF" w14:textId="77777777">
            <w:pPr>
              <w:jc w:val="center"/>
            </w:pPr>
            <w:r>
              <w:t>3.925</w:t>
            </w:r>
          </w:p>
        </w:tc>
        <w:tc>
          <w:tcPr>
            <w:tcW w:w="992" w:type="dxa"/>
            <w:tcBorders>
              <w:top w:val="single" w:color="auto" w:sz="4" w:space="0"/>
              <w:left w:val="single" w:color="auto" w:sz="4" w:space="0"/>
              <w:bottom w:val="single" w:color="auto" w:sz="4" w:space="0"/>
              <w:right w:val="single" w:color="auto" w:sz="4" w:space="0"/>
            </w:tcBorders>
          </w:tcPr>
          <w:p w:rsidRPr="00025332" w:rsidR="009801F5" w:rsidP="009801F5" w:rsidRDefault="009801F5" w14:paraId="2AA824FF" w14:textId="77777777">
            <w:pPr>
              <w:jc w:val="center"/>
            </w:pPr>
            <w:r>
              <w:t>4.619</w:t>
            </w:r>
          </w:p>
        </w:tc>
        <w:tc>
          <w:tcPr>
            <w:tcW w:w="993" w:type="dxa"/>
            <w:tcBorders>
              <w:top w:val="single" w:color="auto" w:sz="4" w:space="0"/>
              <w:left w:val="single" w:color="auto" w:sz="4" w:space="0"/>
              <w:bottom w:val="single" w:color="auto" w:sz="4" w:space="0"/>
              <w:right w:val="single" w:color="auto" w:sz="4" w:space="0"/>
            </w:tcBorders>
          </w:tcPr>
          <w:p w:rsidRPr="00025332" w:rsidR="009801F5" w:rsidP="009801F5" w:rsidRDefault="009801F5" w14:paraId="0FA01A97" w14:textId="77777777">
            <w:pPr>
              <w:jc w:val="center"/>
            </w:pPr>
            <w:r w:rsidRPr="00025332">
              <w:t>5.507</w:t>
            </w:r>
          </w:p>
        </w:tc>
        <w:tc>
          <w:tcPr>
            <w:tcW w:w="992" w:type="dxa"/>
            <w:tcBorders>
              <w:top w:val="single" w:color="auto" w:sz="4" w:space="0"/>
              <w:left w:val="single" w:color="auto" w:sz="4" w:space="0"/>
              <w:bottom w:val="single" w:color="auto" w:sz="4" w:space="0"/>
              <w:right w:val="single" w:color="auto" w:sz="4" w:space="0"/>
            </w:tcBorders>
            <w:hideMark/>
          </w:tcPr>
          <w:p w:rsidRPr="00025332" w:rsidR="009801F5" w:rsidP="009801F5" w:rsidRDefault="009801F5" w14:paraId="0C28BF11" w14:textId="77777777">
            <w:pPr>
              <w:jc w:val="center"/>
            </w:pPr>
            <w:r w:rsidRPr="00025332">
              <w:t>10.394</w:t>
            </w:r>
          </w:p>
        </w:tc>
      </w:tr>
      <w:tr w:rsidRPr="00025332" w:rsidR="0074459B" w:rsidTr="00117158" w14:paraId="38A2992E" w14:textId="77777777">
        <w:trPr>
          <w:trHeight w:val="300"/>
        </w:trPr>
        <w:tc>
          <w:tcPr>
            <w:tcW w:w="2122" w:type="dxa"/>
            <w:tcBorders>
              <w:top w:val="single" w:color="auto" w:sz="4" w:space="0"/>
              <w:left w:val="single" w:color="auto" w:sz="4" w:space="0"/>
              <w:bottom w:val="single" w:color="auto" w:sz="4" w:space="0"/>
              <w:right w:val="double" w:color="auto" w:sz="18" w:space="0"/>
            </w:tcBorders>
            <w:shd w:val="clear" w:color="auto" w:fill="F2F2F2" w:themeFill="background1" w:themeFillShade="F2"/>
            <w:hideMark/>
          </w:tcPr>
          <w:p w:rsidRPr="00025332" w:rsidR="009801F5" w:rsidP="009801F5" w:rsidRDefault="009801F5" w14:paraId="5601E737" w14:textId="77777777">
            <w:pPr>
              <w:rPr>
                <w:b/>
                <w:bCs/>
              </w:rPr>
            </w:pPr>
            <w:r w:rsidRPr="00025332">
              <w:rPr>
                <w:b/>
                <w:bCs/>
              </w:rPr>
              <w:t>Totaal</w:t>
            </w:r>
          </w:p>
        </w:tc>
        <w:tc>
          <w:tcPr>
            <w:tcW w:w="850" w:type="dxa"/>
            <w:tcBorders>
              <w:top w:val="single" w:color="auto" w:sz="4" w:space="0"/>
              <w:left w:val="double" w:color="auto" w:sz="18" w:space="0"/>
              <w:bottom w:val="single" w:color="auto" w:sz="4" w:space="0"/>
              <w:right w:val="single" w:color="auto" w:sz="4" w:space="0"/>
            </w:tcBorders>
            <w:shd w:val="clear" w:color="auto" w:fill="F2F2F2" w:themeFill="background1" w:themeFillShade="F2"/>
          </w:tcPr>
          <w:p w:rsidRPr="009801F5" w:rsidR="009801F5" w:rsidP="009801F5" w:rsidRDefault="009801F5" w14:paraId="22101F98" w14:textId="77777777">
            <w:pPr>
              <w:jc w:val="center"/>
              <w:rPr>
                <w:b/>
                <w:bCs/>
              </w:rPr>
            </w:pPr>
            <w:r w:rsidRPr="009801F5">
              <w:rPr>
                <w:b/>
                <w:bCs/>
              </w:rPr>
              <w:t>78.005</w:t>
            </w:r>
          </w:p>
        </w:tc>
        <w:tc>
          <w:tcPr>
            <w:tcW w:w="85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801F5" w:rsidR="009801F5" w:rsidP="009801F5" w:rsidRDefault="009801F5" w14:paraId="5F98D24C" w14:textId="77777777">
            <w:pPr>
              <w:jc w:val="center"/>
              <w:rPr>
                <w:b/>
                <w:bCs/>
              </w:rPr>
            </w:pPr>
            <w:r w:rsidRPr="009801F5">
              <w:rPr>
                <w:b/>
                <w:bCs/>
              </w:rPr>
              <w:t>84.679</w:t>
            </w:r>
          </w:p>
        </w:tc>
        <w:tc>
          <w:tcPr>
            <w:tcW w:w="992" w:type="dxa"/>
            <w:tcBorders>
              <w:top w:val="single" w:color="auto" w:sz="4" w:space="0"/>
              <w:left w:val="single" w:color="auto" w:sz="4" w:space="0"/>
              <w:bottom w:val="single" w:color="auto" w:sz="4" w:space="0"/>
              <w:right w:val="double" w:color="auto" w:sz="18" w:space="0"/>
            </w:tcBorders>
            <w:shd w:val="clear" w:color="auto" w:fill="F2F2F2" w:themeFill="background1" w:themeFillShade="F2"/>
            <w:hideMark/>
          </w:tcPr>
          <w:p w:rsidRPr="00025332" w:rsidR="009801F5" w:rsidP="009801F5" w:rsidRDefault="009801F5" w14:paraId="04C8A3C6" w14:textId="77777777">
            <w:pPr>
              <w:jc w:val="center"/>
              <w:rPr>
                <w:b/>
                <w:bCs/>
              </w:rPr>
            </w:pPr>
            <w:r w:rsidRPr="00025332">
              <w:rPr>
                <w:b/>
                <w:bCs/>
              </w:rPr>
              <w:t>104.643</w:t>
            </w:r>
          </w:p>
        </w:tc>
        <w:tc>
          <w:tcPr>
            <w:tcW w:w="992" w:type="dxa"/>
            <w:tcBorders>
              <w:top w:val="single" w:color="auto" w:sz="4" w:space="0"/>
              <w:left w:val="double" w:color="auto" w:sz="18" w:space="0"/>
              <w:bottom w:val="single" w:color="auto" w:sz="4" w:space="0"/>
              <w:right w:val="single" w:color="auto" w:sz="4" w:space="0"/>
            </w:tcBorders>
            <w:shd w:val="clear" w:color="auto" w:fill="F2F2F2" w:themeFill="background1" w:themeFillShade="F2"/>
          </w:tcPr>
          <w:p w:rsidRPr="00025332" w:rsidR="009801F5" w:rsidP="009801F5" w:rsidRDefault="009801F5" w14:paraId="203FA791" w14:textId="77777777">
            <w:pPr>
              <w:jc w:val="center"/>
              <w:rPr>
                <w:b/>
                <w:bCs/>
              </w:rPr>
            </w:pPr>
            <w:r>
              <w:rPr>
                <w:b/>
                <w:bCs/>
              </w:rPr>
              <w:t>5.147</w:t>
            </w:r>
          </w:p>
        </w:tc>
        <w:tc>
          <w:tcPr>
            <w:tcW w:w="99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25332" w:rsidR="009801F5" w:rsidP="009801F5" w:rsidRDefault="009801F5" w14:paraId="450C27D6" w14:textId="77777777">
            <w:pPr>
              <w:jc w:val="center"/>
              <w:rPr>
                <w:b/>
                <w:bCs/>
              </w:rPr>
            </w:pPr>
            <w:r>
              <w:rPr>
                <w:b/>
                <w:bCs/>
              </w:rPr>
              <w:t>6.260</w:t>
            </w:r>
          </w:p>
        </w:tc>
        <w:tc>
          <w:tcPr>
            <w:tcW w:w="99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25332" w:rsidR="009801F5" w:rsidP="009801F5" w:rsidRDefault="009801F5" w14:paraId="7E61257D" w14:textId="77777777">
            <w:pPr>
              <w:jc w:val="center"/>
              <w:rPr>
                <w:b/>
                <w:bCs/>
              </w:rPr>
            </w:pPr>
            <w:r w:rsidRPr="00025332">
              <w:rPr>
                <w:b/>
                <w:bCs/>
              </w:rPr>
              <w:t>7.593</w:t>
            </w:r>
          </w:p>
        </w:tc>
        <w:tc>
          <w:tcPr>
            <w:tcW w:w="99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025332" w:rsidR="009801F5" w:rsidP="009801F5" w:rsidRDefault="009801F5" w14:paraId="6FE82A10" w14:textId="77777777">
            <w:pPr>
              <w:jc w:val="center"/>
              <w:rPr>
                <w:b/>
                <w:bCs/>
              </w:rPr>
            </w:pPr>
            <w:r w:rsidRPr="00025332">
              <w:rPr>
                <w:b/>
                <w:bCs/>
              </w:rPr>
              <w:t>17.318</w:t>
            </w:r>
          </w:p>
        </w:tc>
      </w:tr>
    </w:tbl>
    <w:p w:rsidR="00117158" w:rsidRDefault="00117158" w14:paraId="50DB4CCE" w14:textId="77777777">
      <w:pPr>
        <w:spacing w:line="240" w:lineRule="auto"/>
        <w:rPr>
          <w:i/>
          <w:iCs/>
        </w:rPr>
      </w:pPr>
    </w:p>
    <w:p w:rsidR="00117158" w:rsidP="0074459B" w:rsidRDefault="00117158" w14:paraId="081E658A" w14:textId="77777777">
      <w:pPr>
        <w:rPr>
          <w:i/>
          <w:iCs/>
        </w:rPr>
      </w:pPr>
      <w:r w:rsidRPr="00117158">
        <w:rPr>
          <w:i/>
          <w:iCs/>
        </w:rPr>
        <w:t>Kampeerwagens: totaal</w:t>
      </w:r>
      <w:r w:rsidR="00A830CE">
        <w:rPr>
          <w:i/>
          <w:iCs/>
        </w:rPr>
        <w:t xml:space="preserve"> </w:t>
      </w:r>
      <w:r w:rsidR="005E037C">
        <w:rPr>
          <w:i/>
          <w:iCs/>
        </w:rPr>
        <w:t xml:space="preserve">en </w:t>
      </w:r>
      <w:r w:rsidRPr="00117158">
        <w:rPr>
          <w:i/>
          <w:iCs/>
        </w:rPr>
        <w:t>geschorst – data Belastingdienst</w:t>
      </w:r>
    </w:p>
    <w:tbl>
      <w:tblPr>
        <w:tblStyle w:val="Tabelraster"/>
        <w:tblW w:w="8784" w:type="dxa"/>
        <w:tblInd w:w="0" w:type="dxa"/>
        <w:tblLook w:val="04A0" w:firstRow="1" w:lastRow="0" w:firstColumn="1" w:lastColumn="0" w:noHBand="0" w:noVBand="1"/>
      </w:tblPr>
      <w:tblGrid>
        <w:gridCol w:w="1756"/>
        <w:gridCol w:w="1757"/>
        <w:gridCol w:w="1757"/>
        <w:gridCol w:w="1757"/>
        <w:gridCol w:w="1757"/>
      </w:tblGrid>
      <w:tr w:rsidR="00A94DEF" w:rsidTr="00A94DEF" w14:paraId="64D85E2A" w14:textId="77777777">
        <w:trPr>
          <w:trHeight w:val="194"/>
        </w:trPr>
        <w:tc>
          <w:tcPr>
            <w:tcW w:w="1756" w:type="dxa"/>
            <w:shd w:val="clear" w:color="auto" w:fill="F2F2F2" w:themeFill="background1" w:themeFillShade="F2"/>
          </w:tcPr>
          <w:p w:rsidRPr="00117158" w:rsidR="00A94DEF" w:rsidP="00117158" w:rsidRDefault="00A94DEF" w14:paraId="112A056D" w14:textId="77777777">
            <w:pPr>
              <w:jc w:val="center"/>
              <w:rPr>
                <w:b/>
                <w:bCs/>
              </w:rPr>
            </w:pPr>
            <w:r>
              <w:rPr>
                <w:b/>
                <w:bCs/>
              </w:rPr>
              <w:t xml:space="preserve">Kwartaal </w:t>
            </w:r>
            <w:r>
              <w:rPr>
                <w:rStyle w:val="Voetnootmarkering"/>
                <w:i/>
                <w:iCs/>
              </w:rPr>
              <w:footnoteReference w:id="3"/>
            </w:r>
          </w:p>
        </w:tc>
        <w:tc>
          <w:tcPr>
            <w:tcW w:w="1757" w:type="dxa"/>
            <w:shd w:val="clear" w:color="auto" w:fill="F2F2F2" w:themeFill="background1" w:themeFillShade="F2"/>
          </w:tcPr>
          <w:p w:rsidRPr="00117158" w:rsidR="00A94DEF" w:rsidP="00117158" w:rsidRDefault="00A94DEF" w14:paraId="141ED31C" w14:textId="77777777">
            <w:pPr>
              <w:jc w:val="center"/>
              <w:rPr>
                <w:b/>
                <w:bCs/>
              </w:rPr>
            </w:pPr>
            <w:r>
              <w:rPr>
                <w:b/>
                <w:bCs/>
              </w:rPr>
              <w:t>Aantal kampeerwagens</w:t>
            </w:r>
          </w:p>
        </w:tc>
        <w:tc>
          <w:tcPr>
            <w:tcW w:w="1757" w:type="dxa"/>
            <w:shd w:val="clear" w:color="auto" w:fill="F2F2F2" w:themeFill="background1" w:themeFillShade="F2"/>
          </w:tcPr>
          <w:p w:rsidRPr="00117158" w:rsidR="00A94DEF" w:rsidP="00117158" w:rsidRDefault="00A94DEF" w14:paraId="7D958899" w14:textId="77777777">
            <w:pPr>
              <w:jc w:val="center"/>
              <w:rPr>
                <w:b/>
                <w:bCs/>
              </w:rPr>
            </w:pPr>
            <w:r>
              <w:rPr>
                <w:b/>
                <w:bCs/>
              </w:rPr>
              <w:t>Waarvan geschorst</w:t>
            </w:r>
          </w:p>
        </w:tc>
        <w:tc>
          <w:tcPr>
            <w:tcW w:w="1757" w:type="dxa"/>
            <w:shd w:val="clear" w:color="auto" w:fill="F2F2F2" w:themeFill="background1" w:themeFillShade="F2"/>
          </w:tcPr>
          <w:p w:rsidRPr="00117158" w:rsidR="00A94DEF" w:rsidP="00117158" w:rsidRDefault="00A94DEF" w14:paraId="6CA654F5" w14:textId="77777777">
            <w:pPr>
              <w:jc w:val="center"/>
              <w:rPr>
                <w:b/>
                <w:bCs/>
              </w:rPr>
            </w:pPr>
            <w:r>
              <w:rPr>
                <w:b/>
                <w:bCs/>
              </w:rPr>
              <w:t>Percentage geschorst</w:t>
            </w:r>
          </w:p>
        </w:tc>
        <w:tc>
          <w:tcPr>
            <w:tcW w:w="1757" w:type="dxa"/>
            <w:shd w:val="clear" w:color="auto" w:fill="F2F2F2" w:themeFill="background1" w:themeFillShade="F2"/>
          </w:tcPr>
          <w:p w:rsidR="007E50C6" w:rsidP="00117158" w:rsidRDefault="007E50C6" w14:paraId="4416331D" w14:textId="77777777">
            <w:pPr>
              <w:jc w:val="center"/>
              <w:rPr>
                <w:b/>
                <w:bCs/>
              </w:rPr>
            </w:pPr>
            <w:r>
              <w:rPr>
                <w:b/>
                <w:bCs/>
              </w:rPr>
              <w:t>Opbrengst</w:t>
            </w:r>
          </w:p>
          <w:p w:rsidR="00A94DEF" w:rsidP="00117158" w:rsidRDefault="007E50C6" w14:paraId="22B3BFF8" w14:textId="77777777">
            <w:pPr>
              <w:jc w:val="center"/>
              <w:rPr>
                <w:b/>
                <w:bCs/>
              </w:rPr>
            </w:pPr>
            <w:r>
              <w:rPr>
                <w:b/>
                <w:bCs/>
              </w:rPr>
              <w:t>MRB</w:t>
            </w:r>
            <w:r w:rsidR="00A94DEF">
              <w:rPr>
                <w:rStyle w:val="Voetnootmarkering"/>
                <w:b/>
                <w:bCs/>
              </w:rPr>
              <w:footnoteReference w:id="4"/>
            </w:r>
          </w:p>
        </w:tc>
      </w:tr>
      <w:tr w:rsidR="00A94DEF" w:rsidTr="00A94DEF" w14:paraId="06467385" w14:textId="77777777">
        <w:trPr>
          <w:trHeight w:val="242"/>
        </w:trPr>
        <w:tc>
          <w:tcPr>
            <w:tcW w:w="1756" w:type="dxa"/>
          </w:tcPr>
          <w:p w:rsidRPr="00117158" w:rsidR="00A94DEF" w:rsidP="00117158" w:rsidRDefault="00A94DEF" w14:paraId="5BA15FA0" w14:textId="77777777">
            <w:pPr>
              <w:jc w:val="center"/>
            </w:pPr>
            <w:r w:rsidRPr="00117158">
              <w:t>Q1 2022</w:t>
            </w:r>
          </w:p>
        </w:tc>
        <w:tc>
          <w:tcPr>
            <w:tcW w:w="1757" w:type="dxa"/>
          </w:tcPr>
          <w:p w:rsidRPr="00117158" w:rsidR="00A94DEF" w:rsidP="00117158" w:rsidRDefault="00A94DEF" w14:paraId="58DE6C51" w14:textId="77777777">
            <w:pPr>
              <w:jc w:val="center"/>
            </w:pPr>
            <w:r w:rsidRPr="00117158">
              <w:t>146.747</w:t>
            </w:r>
          </w:p>
        </w:tc>
        <w:tc>
          <w:tcPr>
            <w:tcW w:w="1757" w:type="dxa"/>
          </w:tcPr>
          <w:p w:rsidRPr="00117158" w:rsidR="00A94DEF" w:rsidP="00117158" w:rsidRDefault="00A94DEF" w14:paraId="67EE4E8B" w14:textId="77777777">
            <w:pPr>
              <w:jc w:val="center"/>
            </w:pPr>
            <w:r w:rsidRPr="00117158">
              <w:t>59.023</w:t>
            </w:r>
          </w:p>
        </w:tc>
        <w:tc>
          <w:tcPr>
            <w:tcW w:w="1757" w:type="dxa"/>
          </w:tcPr>
          <w:p w:rsidRPr="00117158" w:rsidR="00A94DEF" w:rsidP="00117158" w:rsidRDefault="00A94DEF" w14:paraId="3C4812A6" w14:textId="77777777">
            <w:pPr>
              <w:jc w:val="center"/>
            </w:pPr>
            <w:r w:rsidRPr="00117158">
              <w:t>40,2%</w:t>
            </w:r>
          </w:p>
        </w:tc>
        <w:tc>
          <w:tcPr>
            <w:tcW w:w="1757" w:type="dxa"/>
          </w:tcPr>
          <w:p w:rsidRPr="00117158" w:rsidR="00A94DEF" w:rsidP="00117158" w:rsidRDefault="00A94DEF" w14:paraId="34003037" w14:textId="77777777">
            <w:pPr>
              <w:jc w:val="center"/>
            </w:pPr>
            <w:r w:rsidRPr="00417F0A">
              <w:t>€ 17,8</w:t>
            </w:r>
          </w:p>
        </w:tc>
      </w:tr>
      <w:tr w:rsidR="00A94DEF" w:rsidTr="00A94DEF" w14:paraId="343381E6" w14:textId="77777777">
        <w:trPr>
          <w:trHeight w:val="254"/>
        </w:trPr>
        <w:tc>
          <w:tcPr>
            <w:tcW w:w="1756" w:type="dxa"/>
          </w:tcPr>
          <w:p w:rsidRPr="00117158" w:rsidR="00A94DEF" w:rsidP="00117158" w:rsidRDefault="00A94DEF" w14:paraId="57CA5802" w14:textId="77777777">
            <w:pPr>
              <w:jc w:val="center"/>
            </w:pPr>
            <w:r>
              <w:t>Q1 2023</w:t>
            </w:r>
          </w:p>
        </w:tc>
        <w:tc>
          <w:tcPr>
            <w:tcW w:w="1757" w:type="dxa"/>
          </w:tcPr>
          <w:p w:rsidRPr="00117158" w:rsidR="00A94DEF" w:rsidP="00117158" w:rsidRDefault="00A94DEF" w14:paraId="089F2264" w14:textId="77777777">
            <w:pPr>
              <w:jc w:val="center"/>
            </w:pPr>
            <w:r w:rsidRPr="00117158">
              <w:t>158.400</w:t>
            </w:r>
          </w:p>
        </w:tc>
        <w:tc>
          <w:tcPr>
            <w:tcW w:w="1757" w:type="dxa"/>
          </w:tcPr>
          <w:p w:rsidRPr="00117158" w:rsidR="00A94DEF" w:rsidP="00117158" w:rsidRDefault="00A94DEF" w14:paraId="5BF70BC0" w14:textId="77777777">
            <w:pPr>
              <w:jc w:val="center"/>
            </w:pPr>
            <w:r w:rsidRPr="00117158">
              <w:t>63.544</w:t>
            </w:r>
          </w:p>
        </w:tc>
        <w:tc>
          <w:tcPr>
            <w:tcW w:w="1757" w:type="dxa"/>
          </w:tcPr>
          <w:p w:rsidRPr="00117158" w:rsidR="00A94DEF" w:rsidP="00117158" w:rsidRDefault="00A94DEF" w14:paraId="2F8AB226" w14:textId="77777777">
            <w:pPr>
              <w:jc w:val="center"/>
            </w:pPr>
            <w:r w:rsidRPr="00117158">
              <w:t>40,1%</w:t>
            </w:r>
          </w:p>
        </w:tc>
        <w:tc>
          <w:tcPr>
            <w:tcW w:w="1757" w:type="dxa"/>
          </w:tcPr>
          <w:p w:rsidRPr="00117158" w:rsidR="00A94DEF" w:rsidP="00117158" w:rsidRDefault="00A94DEF" w14:paraId="76E116C5" w14:textId="77777777">
            <w:pPr>
              <w:jc w:val="center"/>
            </w:pPr>
            <w:r w:rsidRPr="00417F0A">
              <w:t>€ 19,5</w:t>
            </w:r>
          </w:p>
        </w:tc>
      </w:tr>
      <w:tr w:rsidR="00A94DEF" w:rsidTr="00A94DEF" w14:paraId="1D09B870" w14:textId="77777777">
        <w:trPr>
          <w:trHeight w:val="254"/>
        </w:trPr>
        <w:tc>
          <w:tcPr>
            <w:tcW w:w="1756" w:type="dxa"/>
          </w:tcPr>
          <w:p w:rsidRPr="00117158" w:rsidR="00A94DEF" w:rsidP="00117158" w:rsidRDefault="00A94DEF" w14:paraId="370B119F" w14:textId="77777777">
            <w:pPr>
              <w:jc w:val="center"/>
            </w:pPr>
            <w:r>
              <w:t>Q1 2024</w:t>
            </w:r>
          </w:p>
        </w:tc>
        <w:tc>
          <w:tcPr>
            <w:tcW w:w="1757" w:type="dxa"/>
          </w:tcPr>
          <w:p w:rsidRPr="00117158" w:rsidR="00A94DEF" w:rsidP="00117158" w:rsidRDefault="00A94DEF" w14:paraId="3EAFDC06" w14:textId="77777777">
            <w:pPr>
              <w:jc w:val="center"/>
            </w:pPr>
            <w:r w:rsidRPr="00117158">
              <w:t>168.420</w:t>
            </w:r>
          </w:p>
        </w:tc>
        <w:tc>
          <w:tcPr>
            <w:tcW w:w="1757" w:type="dxa"/>
          </w:tcPr>
          <w:p w:rsidRPr="00117158" w:rsidR="00A94DEF" w:rsidP="00117158" w:rsidRDefault="00A94DEF" w14:paraId="7B98B528" w14:textId="77777777">
            <w:pPr>
              <w:jc w:val="center"/>
            </w:pPr>
            <w:r w:rsidRPr="00117158">
              <w:t>70.233</w:t>
            </w:r>
          </w:p>
        </w:tc>
        <w:tc>
          <w:tcPr>
            <w:tcW w:w="1757" w:type="dxa"/>
          </w:tcPr>
          <w:p w:rsidRPr="00117158" w:rsidR="00A94DEF" w:rsidP="00117158" w:rsidRDefault="00A94DEF" w14:paraId="2C6ABDB6" w14:textId="77777777">
            <w:pPr>
              <w:jc w:val="center"/>
            </w:pPr>
            <w:r w:rsidRPr="00117158">
              <w:t>41,7%</w:t>
            </w:r>
          </w:p>
        </w:tc>
        <w:tc>
          <w:tcPr>
            <w:tcW w:w="1757" w:type="dxa"/>
          </w:tcPr>
          <w:p w:rsidRPr="00117158" w:rsidR="00A94DEF" w:rsidP="00117158" w:rsidRDefault="00A94DEF" w14:paraId="15FCC477" w14:textId="77777777">
            <w:pPr>
              <w:jc w:val="center"/>
            </w:pPr>
            <w:r w:rsidRPr="00417F0A">
              <w:t>€ 21,4</w:t>
            </w:r>
          </w:p>
        </w:tc>
      </w:tr>
      <w:tr w:rsidR="00A94DEF" w:rsidTr="00A94DEF" w14:paraId="4983BD1E" w14:textId="77777777">
        <w:trPr>
          <w:trHeight w:val="254"/>
        </w:trPr>
        <w:tc>
          <w:tcPr>
            <w:tcW w:w="1756" w:type="dxa"/>
          </w:tcPr>
          <w:p w:rsidRPr="00117158" w:rsidR="00A94DEF" w:rsidP="00117158" w:rsidRDefault="00A94DEF" w14:paraId="18F564CD" w14:textId="77777777">
            <w:pPr>
              <w:jc w:val="center"/>
            </w:pPr>
            <w:r>
              <w:t>Q1 2025</w:t>
            </w:r>
          </w:p>
        </w:tc>
        <w:tc>
          <w:tcPr>
            <w:tcW w:w="1757" w:type="dxa"/>
          </w:tcPr>
          <w:p w:rsidRPr="00117158" w:rsidR="00A94DEF" w:rsidP="00117158" w:rsidRDefault="00A94DEF" w14:paraId="1928C439" w14:textId="77777777">
            <w:pPr>
              <w:jc w:val="center"/>
            </w:pPr>
            <w:r w:rsidRPr="00117158">
              <w:t>187.800</w:t>
            </w:r>
          </w:p>
        </w:tc>
        <w:tc>
          <w:tcPr>
            <w:tcW w:w="1757" w:type="dxa"/>
          </w:tcPr>
          <w:p w:rsidRPr="00117158" w:rsidR="00A94DEF" w:rsidP="00117158" w:rsidRDefault="00A94DEF" w14:paraId="4BFC7794" w14:textId="77777777">
            <w:pPr>
              <w:jc w:val="center"/>
            </w:pPr>
            <w:r w:rsidRPr="00117158">
              <w:t>80.527</w:t>
            </w:r>
          </w:p>
        </w:tc>
        <w:tc>
          <w:tcPr>
            <w:tcW w:w="1757" w:type="dxa"/>
          </w:tcPr>
          <w:p w:rsidRPr="00117158" w:rsidR="00A94DEF" w:rsidP="00117158" w:rsidRDefault="00A94DEF" w14:paraId="2F843D70" w14:textId="77777777">
            <w:pPr>
              <w:jc w:val="center"/>
            </w:pPr>
            <w:r w:rsidRPr="00117158">
              <w:t>42,9%</w:t>
            </w:r>
          </w:p>
        </w:tc>
        <w:tc>
          <w:tcPr>
            <w:tcW w:w="1757" w:type="dxa"/>
          </w:tcPr>
          <w:p w:rsidRPr="00117158" w:rsidR="00A94DEF" w:rsidP="00117158" w:rsidRDefault="00A94DEF" w14:paraId="7F35AEE6" w14:textId="77777777">
            <w:pPr>
              <w:jc w:val="center"/>
            </w:pPr>
            <w:r w:rsidRPr="00417F0A">
              <w:t>€ 37,1</w:t>
            </w:r>
          </w:p>
        </w:tc>
      </w:tr>
      <w:tr w:rsidR="00A94DEF" w:rsidTr="00A94DEF" w14:paraId="45FDBC0A" w14:textId="77777777">
        <w:trPr>
          <w:trHeight w:val="242"/>
        </w:trPr>
        <w:tc>
          <w:tcPr>
            <w:tcW w:w="1756" w:type="dxa"/>
          </w:tcPr>
          <w:p w:rsidRPr="00117158" w:rsidR="00A94DEF" w:rsidP="00117158" w:rsidRDefault="00A94DEF" w14:paraId="5DFB02A3" w14:textId="77777777">
            <w:pPr>
              <w:jc w:val="center"/>
            </w:pPr>
            <w:r>
              <w:t>Q1 2026</w:t>
            </w:r>
          </w:p>
        </w:tc>
        <w:tc>
          <w:tcPr>
            <w:tcW w:w="1757" w:type="dxa"/>
          </w:tcPr>
          <w:p w:rsidRPr="00117158" w:rsidR="00A94DEF" w:rsidP="00117158" w:rsidRDefault="00A94DEF" w14:paraId="01A0FFC9" w14:textId="77777777">
            <w:pPr>
              <w:jc w:val="center"/>
            </w:pPr>
            <w:r w:rsidRPr="00117158">
              <w:t>185.174</w:t>
            </w:r>
          </w:p>
        </w:tc>
        <w:tc>
          <w:tcPr>
            <w:tcW w:w="1757" w:type="dxa"/>
          </w:tcPr>
          <w:p w:rsidRPr="00117158" w:rsidR="00A94DEF" w:rsidP="00117158" w:rsidRDefault="00A94DEF" w14:paraId="188169F6" w14:textId="77777777">
            <w:pPr>
              <w:jc w:val="center"/>
            </w:pPr>
            <w:r w:rsidRPr="00117158">
              <w:t>96.387</w:t>
            </w:r>
          </w:p>
        </w:tc>
        <w:tc>
          <w:tcPr>
            <w:tcW w:w="1757" w:type="dxa"/>
          </w:tcPr>
          <w:p w:rsidRPr="00117158" w:rsidR="00A94DEF" w:rsidP="00117158" w:rsidRDefault="00A94DEF" w14:paraId="37CAAEBA" w14:textId="77777777">
            <w:pPr>
              <w:jc w:val="center"/>
            </w:pPr>
            <w:r w:rsidRPr="00117158">
              <w:t>52,1%</w:t>
            </w:r>
          </w:p>
        </w:tc>
        <w:tc>
          <w:tcPr>
            <w:tcW w:w="1757" w:type="dxa"/>
          </w:tcPr>
          <w:p w:rsidRPr="00117158" w:rsidR="00A94DEF" w:rsidP="00117158" w:rsidRDefault="00A94DEF" w14:paraId="759DE8ED" w14:textId="77777777">
            <w:pPr>
              <w:jc w:val="center"/>
            </w:pPr>
            <w:r w:rsidRPr="00417F0A">
              <w:t>€ 61,6</w:t>
            </w:r>
          </w:p>
        </w:tc>
      </w:tr>
    </w:tbl>
    <w:p w:rsidR="00117158" w:rsidP="00117158" w:rsidRDefault="00117158" w14:paraId="3223B3DC" w14:textId="77777777">
      <w:pPr>
        <w:rPr>
          <w:i/>
          <w:iCs/>
        </w:rPr>
      </w:pPr>
    </w:p>
    <w:p w:rsidRPr="00BB79F5" w:rsidR="00BB79F5" w:rsidP="003C5A36" w:rsidRDefault="00BB79F5" w14:paraId="1EB7CBCD" w14:textId="77777777">
      <w:pPr>
        <w:rPr>
          <w:b/>
          <w:bCs/>
        </w:rPr>
      </w:pPr>
      <w:r w:rsidRPr="00BB79F5">
        <w:rPr>
          <w:b/>
          <w:bCs/>
        </w:rPr>
        <w:lastRenderedPageBreak/>
        <w:t>Stand van zaken van de uitvoering van de motie inzake de motorrijtuigenbelasting voor kampeerauto’s</w:t>
      </w:r>
    </w:p>
    <w:p w:rsidRPr="006E1E49" w:rsidR="00C51758" w:rsidP="00BB79F5" w:rsidRDefault="00BB79F5" w14:paraId="0C1238E3" w14:textId="77777777">
      <w:r w:rsidRPr="00BB79F5">
        <w:t>Tijdens de behandeling van het Belastingplan 2024 is de motie-Van Dijk/Omtzigt</w:t>
      </w:r>
      <w:r w:rsidR="005E037C">
        <w:rPr>
          <w:rStyle w:val="Voetnootmarkering"/>
        </w:rPr>
        <w:footnoteReference w:id="5"/>
      </w:r>
      <w:r w:rsidRPr="00BB79F5">
        <w:t xml:space="preserve"> aangenomen, waarin de regering is verzocht met een voorstel te komen zodat de schorsing van kampeerauto’s standaard onder het lage schorsingstarief kan vallen. Naar aanleiding van deze motie heeft de </w:t>
      </w:r>
      <w:proofErr w:type="gramStart"/>
      <w:r w:rsidRPr="00BB79F5">
        <w:t>RDW onderzoek</w:t>
      </w:r>
      <w:proofErr w:type="gramEnd"/>
      <w:r w:rsidRPr="00BB79F5">
        <w:t xml:space="preserve"> gedaan naar mogelijke aanpassingen van het schorsingstarief voor kampeerauto’s. De Tweede Kamer is hierover bij brief van 20 juni 2024 geïnformeerd.</w:t>
      </w:r>
      <w:r w:rsidR="005E037C">
        <w:rPr>
          <w:rStyle w:val="Voetnootmarkering"/>
        </w:rPr>
        <w:footnoteReference w:id="6"/>
      </w:r>
      <w:r w:rsidR="00D40B46">
        <w:t xml:space="preserve"> </w:t>
      </w:r>
      <w:r w:rsidRPr="006E1E49" w:rsidR="00646ECC">
        <w:t>Omdat voor een verlaging van het schorsingstarief voor kampeerwagens</w:t>
      </w:r>
      <w:r w:rsidRPr="006E1E49" w:rsidR="00C51758">
        <w:t xml:space="preserve"> compensatie nodig </w:t>
      </w:r>
      <w:r w:rsidRPr="006E1E49" w:rsidR="00091A40">
        <w:t>is</w:t>
      </w:r>
      <w:r w:rsidRPr="006E1E49" w:rsidR="00C51758">
        <w:t xml:space="preserve"> uit andere tarieven van de RDW,</w:t>
      </w:r>
      <w:r w:rsidRPr="006E1E49" w:rsidR="00CF72E1">
        <w:t xml:space="preserve"> </w:t>
      </w:r>
      <w:r w:rsidRPr="006E1E49" w:rsidR="00416918">
        <w:t>kwam</w:t>
      </w:r>
      <w:r w:rsidRPr="006E1E49" w:rsidR="00C51758">
        <w:t xml:space="preserve"> de vraag </w:t>
      </w:r>
      <w:r w:rsidRPr="006E1E49" w:rsidR="00CF72E1">
        <w:t>naar voren</w:t>
      </w:r>
      <w:r w:rsidRPr="006E1E49" w:rsidR="00C51758">
        <w:t xml:space="preserve"> of </w:t>
      </w:r>
      <w:r w:rsidRPr="006E1E49" w:rsidR="006018FB">
        <w:t>dit effect</w:t>
      </w:r>
      <w:r w:rsidRPr="006E1E49" w:rsidR="00C51758">
        <w:t xml:space="preserve"> wenselijk is. </w:t>
      </w:r>
      <w:r w:rsidRPr="006E1E49" w:rsidR="006018FB">
        <w:t xml:space="preserve">Deze vraag </w:t>
      </w:r>
      <w:r w:rsidRPr="006E1E49" w:rsidR="00116340">
        <w:t xml:space="preserve">is </w:t>
      </w:r>
      <w:r w:rsidRPr="006E1E49" w:rsidR="008C2E5D">
        <w:t xml:space="preserve">door de politieke omstandigheden </w:t>
      </w:r>
      <w:r w:rsidRPr="006E1E49" w:rsidR="00116340">
        <w:t>op dat moment niet beantwoord.</w:t>
      </w:r>
    </w:p>
    <w:p w:rsidR="002263A5" w:rsidP="00544E77" w:rsidRDefault="002263A5" w14:paraId="321D25E5" w14:textId="77777777"/>
    <w:p w:rsidR="00C51758" w:rsidP="00544E77" w:rsidRDefault="00544E77" w14:paraId="23439C55" w14:textId="77777777">
      <w:r w:rsidRPr="00544E77">
        <w:t xml:space="preserve">De RDW heeft de </w:t>
      </w:r>
      <w:r w:rsidR="00BB3D34">
        <w:t>vraag naar de schorsingstarieven voor kampeerwagens inmiddels</w:t>
      </w:r>
      <w:r w:rsidRPr="00544E77">
        <w:t xml:space="preserve"> in brede</w:t>
      </w:r>
      <w:r w:rsidR="009801F5">
        <w:t xml:space="preserve"> </w:t>
      </w:r>
      <w:r w:rsidRPr="00544E77">
        <w:t xml:space="preserve">zin </w:t>
      </w:r>
      <w:r w:rsidR="00F47155">
        <w:t xml:space="preserve">betrokken bij </w:t>
      </w:r>
      <w:r w:rsidRPr="00544E77">
        <w:t xml:space="preserve">een </w:t>
      </w:r>
      <w:r w:rsidR="004228CA">
        <w:t xml:space="preserve">onderzoek naar de </w:t>
      </w:r>
      <w:r w:rsidRPr="00544E77">
        <w:t xml:space="preserve">vereenvoudiging van het tarievenstelsel voor schorsingen. Daarbij </w:t>
      </w:r>
      <w:r w:rsidR="00F47155">
        <w:t>is</w:t>
      </w:r>
      <w:r w:rsidRPr="00544E77">
        <w:t xml:space="preserve"> niet uitsluitend gekeken naar kampeerauto’s, maar naar het gehele stelsel van schorsingstarieven. Aanleiding hiervoor </w:t>
      </w:r>
      <w:r w:rsidR="00F47155">
        <w:t>was</w:t>
      </w:r>
      <w:r w:rsidRPr="00544E77">
        <w:t xml:space="preserve"> dat het huidige stelsel </w:t>
      </w:r>
      <w:r w:rsidR="009801F5">
        <w:t xml:space="preserve">verschillende </w:t>
      </w:r>
      <w:r w:rsidRPr="00544E77">
        <w:t xml:space="preserve">tarieven kent, afhankelijk van onder meer </w:t>
      </w:r>
      <w:r w:rsidR="00C84707">
        <w:t xml:space="preserve">de </w:t>
      </w:r>
      <w:r w:rsidRPr="00544E77">
        <w:t xml:space="preserve">voertuigcategorie, </w:t>
      </w:r>
      <w:r w:rsidR="00C84707">
        <w:t xml:space="preserve">de </w:t>
      </w:r>
      <w:r w:rsidRPr="00544E77">
        <w:t xml:space="preserve">leeftijd van het </w:t>
      </w:r>
      <w:r w:rsidR="00C84707">
        <w:t xml:space="preserve">motorrijtuig </w:t>
      </w:r>
      <w:r w:rsidRPr="00544E77">
        <w:t>en de duur van de schorsing, waardoor het stelsel voor gebruikers minder goed uitlegbaar is.</w:t>
      </w:r>
    </w:p>
    <w:p w:rsidR="00363760" w:rsidP="00363760" w:rsidRDefault="00544E77" w14:paraId="73D1300F" w14:textId="77777777">
      <w:r w:rsidRPr="00DA3164">
        <w:t xml:space="preserve">De </w:t>
      </w:r>
      <w:r w:rsidRPr="00DA3164" w:rsidR="009801F5">
        <w:t xml:space="preserve">RDW </w:t>
      </w:r>
      <w:r w:rsidRPr="00DA3164" w:rsidR="00CB23F0">
        <w:t>onderzoekt of</w:t>
      </w:r>
      <w:r w:rsidRPr="00DA3164" w:rsidR="009801F5">
        <w:t xml:space="preserve"> </w:t>
      </w:r>
      <w:r w:rsidRPr="00DA3164">
        <w:t xml:space="preserve">het </w:t>
      </w:r>
      <w:r w:rsidR="00667F93">
        <w:t>stelsel kan worden ver</w:t>
      </w:r>
      <w:r w:rsidR="00707A0A">
        <w:t>eenvoudigd</w:t>
      </w:r>
      <w:r w:rsidR="00A478C2">
        <w:t>,</w:t>
      </w:r>
      <w:r w:rsidR="00667F93">
        <w:t xml:space="preserve"> </w:t>
      </w:r>
      <w:r w:rsidR="00707A0A">
        <w:t xml:space="preserve">bijvoorbeeld </w:t>
      </w:r>
      <w:r w:rsidR="00667F93">
        <w:t xml:space="preserve">door </w:t>
      </w:r>
      <w:r w:rsidR="009762D7">
        <w:t xml:space="preserve">aan te sluiten </w:t>
      </w:r>
      <w:r w:rsidRPr="00544E77">
        <w:t xml:space="preserve">bij het aantal voertuigverplichtingen dat voor een voertuigcategorie geldt, zoals de verplichtingen </w:t>
      </w:r>
      <w:r w:rsidR="009801F5">
        <w:t xml:space="preserve">voor de APK, verzekering en </w:t>
      </w:r>
      <w:r w:rsidRPr="00544E77">
        <w:t xml:space="preserve">motorrijtuigenbelasting. </w:t>
      </w:r>
      <w:r w:rsidR="0090121A">
        <w:t>Bij de verdere uitwerking</w:t>
      </w:r>
      <w:r w:rsidR="00847C1E">
        <w:t xml:space="preserve"> </w:t>
      </w:r>
      <w:r w:rsidR="00A478C2">
        <w:t xml:space="preserve">van deze vereenvoudiging </w:t>
      </w:r>
      <w:r w:rsidR="00847C1E">
        <w:t>neemt de RDW</w:t>
      </w:r>
      <w:r w:rsidR="0090121A">
        <w:t xml:space="preserve"> </w:t>
      </w:r>
      <w:r w:rsidR="00363760">
        <w:t>de motie-Van Dijk/Omtzigt</w:t>
      </w:r>
      <w:r w:rsidR="009F414D">
        <w:t xml:space="preserve"> </w:t>
      </w:r>
      <w:r w:rsidR="009E4BB8">
        <w:t>mee</w:t>
      </w:r>
      <w:r w:rsidR="00363760">
        <w:t>.</w:t>
      </w:r>
      <w:r w:rsidR="00876B4A">
        <w:t xml:space="preserve"> De RDW verwacht </w:t>
      </w:r>
      <w:r w:rsidR="00A478C2">
        <w:t xml:space="preserve">de uitwerking, </w:t>
      </w:r>
      <w:r w:rsidR="00A167FF">
        <w:t xml:space="preserve">in- en externe </w:t>
      </w:r>
      <w:r w:rsidR="00196C50">
        <w:t>afstemming en besluitvorming</w:t>
      </w:r>
      <w:r w:rsidR="009E4BB8">
        <w:t xml:space="preserve"> eind dit jaar </w:t>
      </w:r>
      <w:r w:rsidR="00196C50">
        <w:t xml:space="preserve">af te kunnen ronden. De daaruit voortkomende </w:t>
      </w:r>
      <w:r w:rsidR="00BB2618">
        <w:t>tarief</w:t>
      </w:r>
      <w:r w:rsidR="00196C50">
        <w:t xml:space="preserve">aanpassingen kunnen </w:t>
      </w:r>
      <w:r w:rsidR="00A167FF">
        <w:t>in dat geval worden</w:t>
      </w:r>
      <w:r w:rsidR="00196C50">
        <w:t xml:space="preserve"> mee</w:t>
      </w:r>
      <w:r w:rsidR="00BB2618">
        <w:t>genomen</w:t>
      </w:r>
      <w:r w:rsidR="00196C50">
        <w:t xml:space="preserve"> </w:t>
      </w:r>
      <w:r w:rsidR="006D0571">
        <w:t xml:space="preserve">in het begrotingsproces in 2027 en </w:t>
      </w:r>
      <w:r w:rsidR="00196C50">
        <w:t>per 1 januari 2028 worden doorgevoerd.</w:t>
      </w:r>
      <w:r w:rsidR="007E346F">
        <w:br/>
      </w:r>
    </w:p>
    <w:p w:rsidR="00E93666" w:rsidP="00E93666" w:rsidRDefault="007E346F" w14:paraId="3B2D9EB8" w14:textId="77777777">
      <w:r>
        <w:t>Ik verwacht dat m</w:t>
      </w:r>
      <w:r w:rsidR="00E93666">
        <w:t>et deze herziening het tarievenstelsel voor schorsingen eenvoudiger en beter uitlegbaar</w:t>
      </w:r>
      <w:r>
        <w:t xml:space="preserve"> wordt en dat t</w:t>
      </w:r>
      <w:r w:rsidR="00E93666">
        <w:t>egelijkertijd invulling</w:t>
      </w:r>
      <w:r>
        <w:t xml:space="preserve"> kan worden</w:t>
      </w:r>
      <w:r w:rsidR="00E93666">
        <w:t xml:space="preserve"> gegeven aan de motie-Van Dijk/Omtzigt. </w:t>
      </w:r>
      <w:r>
        <w:t xml:space="preserve">Ik </w:t>
      </w:r>
      <w:r w:rsidR="00EC5385">
        <w:t>zal</w:t>
      </w:r>
      <w:r>
        <w:t xml:space="preserve"> uw Kame</w:t>
      </w:r>
      <w:r w:rsidR="00091A40">
        <w:t>r</w:t>
      </w:r>
      <w:r w:rsidR="008E6429">
        <w:t>, in afstemming met mijn collega van Infrastructuur en Waterstaat,</w:t>
      </w:r>
      <w:r>
        <w:t xml:space="preserve"> na</w:t>
      </w:r>
      <w:r w:rsidR="00BF1DE5">
        <w:t xml:space="preserve"> de besluitvorming</w:t>
      </w:r>
      <w:r w:rsidR="004E78D7">
        <w:t xml:space="preserve"> eind dit jaar of begin volgend jaar</w:t>
      </w:r>
      <w:r w:rsidR="00BF1DE5">
        <w:t xml:space="preserve"> </w:t>
      </w:r>
      <w:r>
        <w:t xml:space="preserve">bij gelegenheid over </w:t>
      </w:r>
      <w:r w:rsidR="00091A40">
        <w:t xml:space="preserve">de uitkomst </w:t>
      </w:r>
      <w:r>
        <w:t>informeren.</w:t>
      </w:r>
    </w:p>
    <w:p w:rsidR="00BB79F5" w:rsidP="003C5A36" w:rsidRDefault="00BB79F5" w14:paraId="602EC8A4" w14:textId="77777777"/>
    <w:p w:rsidR="003C5A36" w:rsidP="003C5A36" w:rsidRDefault="003C5A36" w14:paraId="7DD42693" w14:textId="77777777">
      <w:r>
        <w:t>Hoogachtend,</w:t>
      </w:r>
    </w:p>
    <w:p w:rsidR="009A3558" w:rsidRDefault="009A3558" w14:paraId="4ED8BDED" w14:textId="77777777"/>
    <w:p w:rsidR="009A3558" w:rsidRDefault="003C5A36" w14:paraId="6BFB15EC" w14:textId="77777777">
      <w:proofErr w:type="gramStart"/>
      <w:r>
        <w:t>de</w:t>
      </w:r>
      <w:proofErr w:type="gramEnd"/>
      <w:r>
        <w:t xml:space="preserve"> staatssecretaris van Financiën</w:t>
      </w:r>
      <w:r>
        <w:rPr>
          <w:i/>
        </w:rPr>
        <w:t>,</w:t>
      </w:r>
    </w:p>
    <w:p w:rsidR="009A3558" w:rsidRDefault="009A3558" w14:paraId="1A84DCFF" w14:textId="77777777"/>
    <w:p w:rsidR="009A3558" w:rsidRDefault="009A3558" w14:paraId="761EE997" w14:textId="77777777"/>
    <w:p w:rsidR="009A3558" w:rsidRDefault="009A3558" w14:paraId="1AF44696" w14:textId="77777777"/>
    <w:p w:rsidR="009A3558" w:rsidRDefault="009A3558" w14:paraId="28449E5E" w14:textId="77777777"/>
    <w:p w:rsidR="009A3558" w:rsidRDefault="003C5A36" w14:paraId="6B7C46A0" w14:textId="77777777">
      <w:r>
        <w:t>Eelco Eerenberg</w:t>
      </w:r>
    </w:p>
    <w:p w:rsidR="009A3558" w:rsidRDefault="009A3558" w14:paraId="19AE5719" w14:textId="77777777"/>
    <w:sectPr w:rsidR="009A3558">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8E3B" w14:textId="77777777" w:rsidR="00FE757A" w:rsidRDefault="00FE757A">
      <w:pPr>
        <w:spacing w:line="240" w:lineRule="auto"/>
      </w:pPr>
      <w:r>
        <w:separator/>
      </w:r>
    </w:p>
  </w:endnote>
  <w:endnote w:type="continuationSeparator" w:id="0">
    <w:p w14:paraId="6790BEE2" w14:textId="77777777" w:rsidR="00FE757A" w:rsidRDefault="00FE7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BDA8" w14:textId="77777777" w:rsidR="009A3558" w:rsidRDefault="009A355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059E" w14:textId="77777777" w:rsidR="00FE757A" w:rsidRDefault="00FE757A">
      <w:pPr>
        <w:spacing w:line="240" w:lineRule="auto"/>
      </w:pPr>
      <w:r>
        <w:separator/>
      </w:r>
    </w:p>
  </w:footnote>
  <w:footnote w:type="continuationSeparator" w:id="0">
    <w:p w14:paraId="7ACACB93" w14:textId="77777777" w:rsidR="00FE757A" w:rsidRDefault="00FE757A">
      <w:pPr>
        <w:spacing w:line="240" w:lineRule="auto"/>
      </w:pPr>
      <w:r>
        <w:continuationSeparator/>
      </w:r>
    </w:p>
  </w:footnote>
  <w:footnote w:id="1">
    <w:p w14:paraId="6E52B331" w14:textId="77777777" w:rsidR="00EA68B1" w:rsidRPr="00A94DEF" w:rsidRDefault="00EA68B1">
      <w:pPr>
        <w:pStyle w:val="Voetnoottekst"/>
        <w:rPr>
          <w:sz w:val="14"/>
          <w:szCs w:val="14"/>
        </w:rPr>
      </w:pPr>
      <w:r w:rsidRPr="00A94DEF">
        <w:rPr>
          <w:rStyle w:val="Voetnootmarkering"/>
          <w:sz w:val="14"/>
          <w:szCs w:val="14"/>
        </w:rPr>
        <w:footnoteRef/>
      </w:r>
      <w:r w:rsidRPr="00A94DEF">
        <w:rPr>
          <w:sz w:val="14"/>
          <w:szCs w:val="14"/>
        </w:rPr>
        <w:t xml:space="preserve"> 2026Z11664</w:t>
      </w:r>
      <w:r w:rsidR="00F47155" w:rsidRPr="00A94DEF">
        <w:rPr>
          <w:sz w:val="14"/>
          <w:szCs w:val="14"/>
        </w:rPr>
        <w:t>.</w:t>
      </w:r>
    </w:p>
  </w:footnote>
  <w:footnote w:id="2">
    <w:p w14:paraId="75B15509" w14:textId="77777777" w:rsidR="00EA68B1" w:rsidRPr="00A94DEF" w:rsidRDefault="00EA68B1">
      <w:pPr>
        <w:pStyle w:val="Voetnoottekst"/>
        <w:rPr>
          <w:sz w:val="14"/>
          <w:szCs w:val="14"/>
        </w:rPr>
      </w:pPr>
      <w:r w:rsidRPr="00A94DEF">
        <w:rPr>
          <w:rStyle w:val="Voetnootmarkering"/>
          <w:sz w:val="14"/>
          <w:szCs w:val="14"/>
        </w:rPr>
        <w:footnoteRef/>
      </w:r>
      <w:r w:rsidRPr="00A94DEF">
        <w:rPr>
          <w:sz w:val="14"/>
          <w:szCs w:val="14"/>
        </w:rPr>
        <w:t xml:space="preserve"> 2026D24174</w:t>
      </w:r>
      <w:r w:rsidR="00F47155" w:rsidRPr="00A94DEF">
        <w:rPr>
          <w:sz w:val="14"/>
          <w:szCs w:val="14"/>
        </w:rPr>
        <w:t>.</w:t>
      </w:r>
    </w:p>
  </w:footnote>
  <w:footnote w:id="3">
    <w:p w14:paraId="2F182C63" w14:textId="77777777" w:rsidR="00A94DEF" w:rsidRPr="00A94DEF" w:rsidRDefault="00A94DEF" w:rsidP="00A830CE">
      <w:pPr>
        <w:pStyle w:val="Voetnoottekst"/>
        <w:rPr>
          <w:sz w:val="14"/>
          <w:szCs w:val="14"/>
        </w:rPr>
      </w:pPr>
      <w:r w:rsidRPr="00A94DEF">
        <w:rPr>
          <w:rStyle w:val="Voetnootmarkering"/>
          <w:sz w:val="14"/>
          <w:szCs w:val="14"/>
        </w:rPr>
        <w:footnoteRef/>
      </w:r>
      <w:r w:rsidRPr="00A94DEF">
        <w:rPr>
          <w:sz w:val="14"/>
          <w:szCs w:val="14"/>
        </w:rPr>
        <w:t xml:space="preserve"> Peildatum 1 januari.</w:t>
      </w:r>
    </w:p>
  </w:footnote>
  <w:footnote w:id="4">
    <w:p w14:paraId="4D6B9E04" w14:textId="77777777" w:rsidR="00A94DEF" w:rsidRPr="00A94DEF" w:rsidRDefault="00A94DEF">
      <w:pPr>
        <w:pStyle w:val="Voetnoottekst"/>
        <w:rPr>
          <w:sz w:val="14"/>
          <w:szCs w:val="14"/>
        </w:rPr>
      </w:pPr>
      <w:r w:rsidRPr="00A94DEF">
        <w:rPr>
          <w:rStyle w:val="Voetnootmarkering"/>
          <w:sz w:val="14"/>
          <w:szCs w:val="14"/>
        </w:rPr>
        <w:footnoteRef/>
      </w:r>
      <w:r w:rsidRPr="00A94DEF">
        <w:rPr>
          <w:sz w:val="14"/>
          <w:szCs w:val="14"/>
        </w:rPr>
        <w:t xml:space="preserve"> </w:t>
      </w:r>
      <w:r>
        <w:rPr>
          <w:sz w:val="14"/>
          <w:szCs w:val="14"/>
        </w:rPr>
        <w:t>Opbrengst van de motorrijtuigenbelasting op basis van de v</w:t>
      </w:r>
      <w:r w:rsidRPr="00A94DEF">
        <w:rPr>
          <w:sz w:val="14"/>
          <w:szCs w:val="14"/>
        </w:rPr>
        <w:t>erzonden rekeningen (in miljoenen euro’s)</w:t>
      </w:r>
      <w:r>
        <w:rPr>
          <w:sz w:val="14"/>
          <w:szCs w:val="14"/>
        </w:rPr>
        <w:t>.</w:t>
      </w:r>
    </w:p>
  </w:footnote>
  <w:footnote w:id="5">
    <w:p w14:paraId="3499E74E" w14:textId="77777777" w:rsidR="005E037C" w:rsidRPr="00A94DEF" w:rsidRDefault="005E037C">
      <w:pPr>
        <w:pStyle w:val="Voetnoottekst"/>
        <w:rPr>
          <w:sz w:val="14"/>
          <w:szCs w:val="14"/>
        </w:rPr>
      </w:pPr>
      <w:r w:rsidRPr="00A94DEF">
        <w:rPr>
          <w:rStyle w:val="Voetnootmarkering"/>
          <w:sz w:val="14"/>
          <w:szCs w:val="14"/>
        </w:rPr>
        <w:footnoteRef/>
      </w:r>
      <w:r w:rsidRPr="00A94DEF">
        <w:rPr>
          <w:sz w:val="14"/>
          <w:szCs w:val="14"/>
        </w:rPr>
        <w:t xml:space="preserve"> Kamerstukken II 2023–2024, 36 418, nr. 80.</w:t>
      </w:r>
    </w:p>
  </w:footnote>
  <w:footnote w:id="6">
    <w:p w14:paraId="0F4B6BBD" w14:textId="77777777" w:rsidR="005E037C" w:rsidRPr="00A94DEF" w:rsidRDefault="005E037C">
      <w:pPr>
        <w:pStyle w:val="Voetnoottekst"/>
        <w:rPr>
          <w:sz w:val="14"/>
          <w:szCs w:val="14"/>
        </w:rPr>
      </w:pPr>
      <w:r w:rsidRPr="00A94DEF">
        <w:rPr>
          <w:rStyle w:val="Voetnootmarkering"/>
          <w:sz w:val="14"/>
          <w:szCs w:val="14"/>
        </w:rPr>
        <w:footnoteRef/>
      </w:r>
      <w:r w:rsidRPr="00A94DEF">
        <w:rPr>
          <w:sz w:val="14"/>
          <w:szCs w:val="14"/>
        </w:rPr>
        <w:t xml:space="preserve"> Kamerstukken II 2023/2024, 36418, nr. 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CC91" w14:textId="77777777" w:rsidR="009A3558" w:rsidRDefault="003C5A36">
    <w:r>
      <w:rPr>
        <w:noProof/>
      </w:rPr>
      <mc:AlternateContent>
        <mc:Choice Requires="wps">
          <w:drawing>
            <wp:anchor distT="0" distB="0" distL="0" distR="0" simplePos="0" relativeHeight="251652096" behindDoc="0" locked="1" layoutInCell="1" allowOverlap="1" wp14:anchorId="42D1ADE2" wp14:editId="0108A06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80A7FC" w14:textId="77777777" w:rsidR="003C5A36" w:rsidRDefault="003C5A36"/>
                      </w:txbxContent>
                    </wps:txbx>
                    <wps:bodyPr vert="horz" wrap="square" lIns="0" tIns="0" rIns="0" bIns="0" anchor="t" anchorCtr="0"/>
                  </wps:wsp>
                </a:graphicData>
              </a:graphic>
            </wp:anchor>
          </w:drawing>
        </mc:Choice>
        <mc:Fallback>
          <w:pict>
            <v:shapetype w14:anchorId="42D1ADE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480A7FC" w14:textId="77777777" w:rsidR="003C5A36" w:rsidRDefault="003C5A36"/>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2FD6495" wp14:editId="0E087C94">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0A12F2" w14:textId="77777777" w:rsidR="009A3558" w:rsidRDefault="003C5A36">
                          <w:pPr>
                            <w:pStyle w:val="Referentiegegevensbold"/>
                          </w:pPr>
                          <w:r>
                            <w:t>Datum</w:t>
                          </w:r>
                        </w:p>
                        <w:p w14:paraId="5F858D74" w14:textId="77777777" w:rsidR="009A3558" w:rsidRDefault="002D7167">
                          <w:pPr>
                            <w:pStyle w:val="Referentiegegevens"/>
                          </w:pPr>
                          <w:sdt>
                            <w:sdtPr>
                              <w:id w:val="-810859891"/>
                              <w:date w:fullDate="2026-06-04T07:13:00Z">
                                <w:dateFormat w:val="d MMMM yyyy"/>
                                <w:lid w:val="nl"/>
                                <w:storeMappedDataAs w:val="dateTime"/>
                                <w:calendar w:val="gregorian"/>
                              </w:date>
                            </w:sdtPr>
                            <w:sdtEndPr/>
                            <w:sdtContent>
                              <w:r w:rsidR="003C5A36">
                                <w:t>4 juni 2026</w:t>
                              </w:r>
                            </w:sdtContent>
                          </w:sdt>
                        </w:p>
                        <w:p w14:paraId="2190762E" w14:textId="77777777" w:rsidR="009A3558" w:rsidRDefault="009A3558">
                          <w:pPr>
                            <w:pStyle w:val="WitregelW1"/>
                          </w:pPr>
                        </w:p>
                        <w:p w14:paraId="3E1290C9" w14:textId="77777777" w:rsidR="009A3558" w:rsidRDefault="003C5A36">
                          <w:pPr>
                            <w:pStyle w:val="Referentiegegevensbold"/>
                          </w:pPr>
                          <w:r>
                            <w:t>Onze referentie</w:t>
                          </w:r>
                        </w:p>
                        <w:p w14:paraId="69495332" w14:textId="506144E5" w:rsidR="00A969CE" w:rsidRDefault="002263A5">
                          <w:pPr>
                            <w:pStyle w:val="Referentiegegevens"/>
                          </w:pPr>
                          <w:fldSimple w:instr=" DOCPROPERTY  &quot;Kenmerk&quot;  \* MERGEFORMAT ">
                            <w:r w:rsidR="002D7167">
                              <w:t>2026-0000249439</w:t>
                            </w:r>
                          </w:fldSimple>
                        </w:p>
                      </w:txbxContent>
                    </wps:txbx>
                    <wps:bodyPr vert="horz" wrap="square" lIns="0" tIns="0" rIns="0" bIns="0" anchor="t" anchorCtr="0"/>
                  </wps:wsp>
                </a:graphicData>
              </a:graphic>
            </wp:anchor>
          </w:drawing>
        </mc:Choice>
        <mc:Fallback>
          <w:pict>
            <v:shape w14:anchorId="42FD6495"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A0A12F2" w14:textId="77777777" w:rsidR="009A3558" w:rsidRDefault="003C5A36">
                    <w:pPr>
                      <w:pStyle w:val="Referentiegegevensbold"/>
                    </w:pPr>
                    <w:r>
                      <w:t>Datum</w:t>
                    </w:r>
                  </w:p>
                  <w:p w14:paraId="5F858D74" w14:textId="77777777" w:rsidR="009A3558" w:rsidRDefault="002D7167">
                    <w:pPr>
                      <w:pStyle w:val="Referentiegegevens"/>
                    </w:pPr>
                    <w:sdt>
                      <w:sdtPr>
                        <w:id w:val="-810859891"/>
                        <w:date w:fullDate="2026-06-04T07:13:00Z">
                          <w:dateFormat w:val="d MMMM yyyy"/>
                          <w:lid w:val="nl"/>
                          <w:storeMappedDataAs w:val="dateTime"/>
                          <w:calendar w:val="gregorian"/>
                        </w:date>
                      </w:sdtPr>
                      <w:sdtEndPr/>
                      <w:sdtContent>
                        <w:r w:rsidR="003C5A36">
                          <w:t>4 juni 2026</w:t>
                        </w:r>
                      </w:sdtContent>
                    </w:sdt>
                  </w:p>
                  <w:p w14:paraId="2190762E" w14:textId="77777777" w:rsidR="009A3558" w:rsidRDefault="009A3558">
                    <w:pPr>
                      <w:pStyle w:val="WitregelW1"/>
                    </w:pPr>
                  </w:p>
                  <w:p w14:paraId="3E1290C9" w14:textId="77777777" w:rsidR="009A3558" w:rsidRDefault="003C5A36">
                    <w:pPr>
                      <w:pStyle w:val="Referentiegegevensbold"/>
                    </w:pPr>
                    <w:r>
                      <w:t>Onze referentie</w:t>
                    </w:r>
                  </w:p>
                  <w:p w14:paraId="69495332" w14:textId="506144E5" w:rsidR="00A969CE" w:rsidRDefault="002263A5">
                    <w:pPr>
                      <w:pStyle w:val="Referentiegegevens"/>
                    </w:pPr>
                    <w:fldSimple w:instr=" DOCPROPERTY  &quot;Kenmerk&quot;  \* MERGEFORMAT ">
                      <w:r w:rsidR="002D7167">
                        <w:t>2026-0000249439</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69FED8A" wp14:editId="7068B4A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424285" w14:textId="77777777" w:rsidR="003C5A36" w:rsidRDefault="003C5A36"/>
                      </w:txbxContent>
                    </wps:txbx>
                    <wps:bodyPr vert="horz" wrap="square" lIns="0" tIns="0" rIns="0" bIns="0" anchor="t" anchorCtr="0"/>
                  </wps:wsp>
                </a:graphicData>
              </a:graphic>
            </wp:anchor>
          </w:drawing>
        </mc:Choice>
        <mc:Fallback>
          <w:pict>
            <v:shape w14:anchorId="769FED8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5424285" w14:textId="77777777" w:rsidR="003C5A36" w:rsidRDefault="003C5A36"/>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BE84043" wp14:editId="17F64E71">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AD673A" w14:textId="77777777" w:rsidR="00084A13" w:rsidRDefault="002D716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BE84043"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DAD673A" w14:textId="77777777" w:rsidR="00084A13" w:rsidRDefault="002D716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4F2A" w14:textId="77777777" w:rsidR="009A3558" w:rsidRDefault="003C5A36">
    <w:pPr>
      <w:spacing w:after="6377" w:line="14" w:lineRule="exact"/>
    </w:pPr>
    <w:r>
      <w:rPr>
        <w:noProof/>
      </w:rPr>
      <mc:AlternateContent>
        <mc:Choice Requires="wps">
          <w:drawing>
            <wp:anchor distT="0" distB="0" distL="0" distR="0" simplePos="0" relativeHeight="251656192" behindDoc="0" locked="1" layoutInCell="1" allowOverlap="1" wp14:anchorId="5F2C0184" wp14:editId="36431532">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A97B0D" w14:textId="77777777" w:rsidR="009A3558" w:rsidRDefault="009A3558">
                          <w:pPr>
                            <w:spacing w:line="240" w:lineRule="auto"/>
                          </w:pPr>
                        </w:p>
                      </w:txbxContent>
                    </wps:txbx>
                    <wps:bodyPr vert="horz" wrap="square" lIns="0" tIns="0" rIns="0" bIns="0" anchor="t" anchorCtr="0"/>
                  </wps:wsp>
                </a:graphicData>
              </a:graphic>
            </wp:anchor>
          </w:drawing>
        </mc:Choice>
        <mc:Fallback>
          <w:pict>
            <v:shapetype w14:anchorId="5F2C018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2A97B0D" w14:textId="77777777" w:rsidR="009A3558" w:rsidRDefault="009A3558">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690FCC0" wp14:editId="433D269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2B16E4" w14:textId="77777777" w:rsidR="009A3558" w:rsidRDefault="003C5A36">
                          <w:pPr>
                            <w:spacing w:line="240" w:lineRule="auto"/>
                          </w:pPr>
                          <w:r>
                            <w:rPr>
                              <w:noProof/>
                            </w:rPr>
                            <w:drawing>
                              <wp:inline distT="0" distB="0" distL="0" distR="0" wp14:anchorId="2AD474A4" wp14:editId="338B8907">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90FCC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52B16E4" w14:textId="77777777" w:rsidR="009A3558" w:rsidRDefault="003C5A36">
                    <w:pPr>
                      <w:spacing w:line="240" w:lineRule="auto"/>
                    </w:pPr>
                    <w:r>
                      <w:rPr>
                        <w:noProof/>
                      </w:rPr>
                      <w:drawing>
                        <wp:inline distT="0" distB="0" distL="0" distR="0" wp14:anchorId="2AD474A4" wp14:editId="338B8907">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BFD7A32" wp14:editId="66458AC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9B7437" w14:textId="77777777" w:rsidR="009A3558" w:rsidRDefault="003C5A36">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BFD7A3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79B7437" w14:textId="77777777" w:rsidR="009A3558" w:rsidRDefault="003C5A36">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4E90FF8" wp14:editId="4C16484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C66F65" w14:textId="77777777" w:rsidR="009A3558" w:rsidRDefault="003C5A36">
                          <w:r>
                            <w:t>De Voorzitter van de Tweede Kamer der Staten-Generaal</w:t>
                          </w:r>
                        </w:p>
                        <w:p w14:paraId="60AC2AAA" w14:textId="77777777" w:rsidR="009A3558" w:rsidRDefault="003C5A36">
                          <w:r>
                            <w:t>Postbus 20018</w:t>
                          </w:r>
                        </w:p>
                        <w:p w14:paraId="47EDA5B5" w14:textId="77777777" w:rsidR="009A3558" w:rsidRDefault="003C5A36">
                          <w:r>
                            <w:t>2500 AE  DEN HAAG</w:t>
                          </w:r>
                        </w:p>
                      </w:txbxContent>
                    </wps:txbx>
                    <wps:bodyPr vert="horz" wrap="square" lIns="0" tIns="0" rIns="0" bIns="0" anchor="t" anchorCtr="0"/>
                  </wps:wsp>
                </a:graphicData>
              </a:graphic>
            </wp:anchor>
          </w:drawing>
        </mc:Choice>
        <mc:Fallback>
          <w:pict>
            <v:shape w14:anchorId="14E90FF8"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DC66F65" w14:textId="77777777" w:rsidR="009A3558" w:rsidRDefault="003C5A36">
                    <w:r>
                      <w:t>De Voorzitter van de Tweede Kamer der Staten-Generaal</w:t>
                    </w:r>
                  </w:p>
                  <w:p w14:paraId="60AC2AAA" w14:textId="77777777" w:rsidR="009A3558" w:rsidRDefault="003C5A36">
                    <w:r>
                      <w:t>Postbus 20018</w:t>
                    </w:r>
                  </w:p>
                  <w:p w14:paraId="47EDA5B5" w14:textId="77777777" w:rsidR="009A3558" w:rsidRDefault="003C5A36">
                    <w:r>
                      <w:t>2500 AE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DDEB112" wp14:editId="5AE41C20">
              <wp:simplePos x="0" y="0"/>
              <wp:positionH relativeFrom="margin">
                <wp:align>left</wp:align>
              </wp:positionH>
              <wp:positionV relativeFrom="paragraph">
                <wp:posOffset>3194050</wp:posOffset>
              </wp:positionV>
              <wp:extent cx="5005070" cy="7493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5005070" cy="749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A3558" w14:paraId="5930F6F2" w14:textId="77777777">
                            <w:trPr>
                              <w:trHeight w:val="240"/>
                            </w:trPr>
                            <w:tc>
                              <w:tcPr>
                                <w:tcW w:w="1140" w:type="dxa"/>
                              </w:tcPr>
                              <w:p w14:paraId="6E1AE57E" w14:textId="77777777" w:rsidR="009A3558" w:rsidRDefault="003C5A36">
                                <w:r>
                                  <w:t>Datum</w:t>
                                </w:r>
                              </w:p>
                            </w:tc>
                            <w:tc>
                              <w:tcPr>
                                <w:tcW w:w="5918" w:type="dxa"/>
                              </w:tcPr>
                              <w:p w14:paraId="18E30B30" w14:textId="125310F2" w:rsidR="009A3558" w:rsidRDefault="002D7167">
                                <w:sdt>
                                  <w:sdtPr>
                                    <w:id w:val="-1822039394"/>
                                    <w:date w:fullDate="2026-06-22T00:00:00Z">
                                      <w:dateFormat w:val="d MMMM yyyy"/>
                                      <w:lid w:val="nl"/>
                                      <w:storeMappedDataAs w:val="dateTime"/>
                                      <w:calendar w:val="gregorian"/>
                                    </w:date>
                                  </w:sdtPr>
                                  <w:sdtEndPr/>
                                  <w:sdtContent>
                                    <w:r>
                                      <w:t>22 juni 2026</w:t>
                                    </w:r>
                                  </w:sdtContent>
                                </w:sdt>
                              </w:p>
                            </w:tc>
                          </w:tr>
                          <w:tr w:rsidR="009A3558" w14:paraId="5DC612AC" w14:textId="77777777">
                            <w:trPr>
                              <w:trHeight w:val="240"/>
                            </w:trPr>
                            <w:tc>
                              <w:tcPr>
                                <w:tcW w:w="1140" w:type="dxa"/>
                              </w:tcPr>
                              <w:p w14:paraId="467E78D5" w14:textId="77777777" w:rsidR="009A3558" w:rsidRDefault="003C5A36">
                                <w:r>
                                  <w:t>Betreft</w:t>
                                </w:r>
                              </w:p>
                            </w:tc>
                            <w:tc>
                              <w:tcPr>
                                <w:tcW w:w="5918" w:type="dxa"/>
                              </w:tcPr>
                              <w:p w14:paraId="7CEE51D3" w14:textId="103022D4" w:rsidR="009A3558" w:rsidRDefault="003C5A36">
                                <w:r>
                                  <w:t xml:space="preserve">Vragen van het lid Vermeer (BBB) </w:t>
                                </w:r>
                                <w:r w:rsidR="00464436">
                                  <w:t xml:space="preserve">en het verzoek van de vaste commissie voor Financiën </w:t>
                                </w:r>
                                <w:r>
                                  <w:t>aan de staatssecretaris van Financiën over de fiscale behandeling van kampeervoertuigen</w:t>
                                </w:r>
                              </w:p>
                            </w:tc>
                          </w:tr>
                        </w:tbl>
                        <w:p w14:paraId="12C7369D" w14:textId="77777777" w:rsidR="003C5A36" w:rsidRDefault="003C5A3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EB112" id="1670fa0c-13cb-45ec-92be-ef1f34d237c5" o:spid="_x0000_s1034" type="#_x0000_t202" style="position:absolute;margin-left:0;margin-top:251.5pt;width:394.1pt;height:59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A3558" w14:paraId="5930F6F2" w14:textId="77777777">
                      <w:trPr>
                        <w:trHeight w:val="240"/>
                      </w:trPr>
                      <w:tc>
                        <w:tcPr>
                          <w:tcW w:w="1140" w:type="dxa"/>
                        </w:tcPr>
                        <w:p w14:paraId="6E1AE57E" w14:textId="77777777" w:rsidR="009A3558" w:rsidRDefault="003C5A36">
                          <w:r>
                            <w:t>Datum</w:t>
                          </w:r>
                        </w:p>
                      </w:tc>
                      <w:tc>
                        <w:tcPr>
                          <w:tcW w:w="5918" w:type="dxa"/>
                        </w:tcPr>
                        <w:p w14:paraId="18E30B30" w14:textId="125310F2" w:rsidR="009A3558" w:rsidRDefault="002D7167">
                          <w:sdt>
                            <w:sdtPr>
                              <w:id w:val="-1822039394"/>
                              <w:date w:fullDate="2026-06-22T00:00:00Z">
                                <w:dateFormat w:val="d MMMM yyyy"/>
                                <w:lid w:val="nl"/>
                                <w:storeMappedDataAs w:val="dateTime"/>
                                <w:calendar w:val="gregorian"/>
                              </w:date>
                            </w:sdtPr>
                            <w:sdtEndPr/>
                            <w:sdtContent>
                              <w:r>
                                <w:t>22 juni 2026</w:t>
                              </w:r>
                            </w:sdtContent>
                          </w:sdt>
                        </w:p>
                      </w:tc>
                    </w:tr>
                    <w:tr w:rsidR="009A3558" w14:paraId="5DC612AC" w14:textId="77777777">
                      <w:trPr>
                        <w:trHeight w:val="240"/>
                      </w:trPr>
                      <w:tc>
                        <w:tcPr>
                          <w:tcW w:w="1140" w:type="dxa"/>
                        </w:tcPr>
                        <w:p w14:paraId="467E78D5" w14:textId="77777777" w:rsidR="009A3558" w:rsidRDefault="003C5A36">
                          <w:r>
                            <w:t>Betreft</w:t>
                          </w:r>
                        </w:p>
                      </w:tc>
                      <w:tc>
                        <w:tcPr>
                          <w:tcW w:w="5918" w:type="dxa"/>
                        </w:tcPr>
                        <w:p w14:paraId="7CEE51D3" w14:textId="103022D4" w:rsidR="009A3558" w:rsidRDefault="003C5A36">
                          <w:r>
                            <w:t xml:space="preserve">Vragen van het lid Vermeer (BBB) </w:t>
                          </w:r>
                          <w:r w:rsidR="00464436">
                            <w:t xml:space="preserve">en het verzoek van de vaste commissie voor Financiën </w:t>
                          </w:r>
                          <w:r>
                            <w:t>aan de staatssecretaris van Financiën over de fiscale behandeling van kampeervoertuigen</w:t>
                          </w:r>
                        </w:p>
                      </w:tc>
                    </w:tr>
                  </w:tbl>
                  <w:p w14:paraId="12C7369D" w14:textId="77777777" w:rsidR="003C5A36" w:rsidRDefault="003C5A36"/>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3CE17F3" wp14:editId="647971EF">
              <wp:simplePos x="0" y="0"/>
              <wp:positionH relativeFrom="page">
                <wp:posOffset>6109970</wp:posOffset>
              </wp:positionH>
              <wp:positionV relativeFrom="paragraph">
                <wp:posOffset>1585595</wp:posOffset>
              </wp:positionV>
              <wp:extent cx="1246505" cy="8390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46505" cy="8390890"/>
                      </a:xfrm>
                      <a:prstGeom prst="rect">
                        <a:avLst/>
                      </a:prstGeom>
                      <a:noFill/>
                    </wps:spPr>
                    <wps:txbx>
                      <w:txbxContent>
                        <w:p w14:paraId="767CE51C" w14:textId="77777777" w:rsidR="00FE58E0" w:rsidRDefault="00FE58E0">
                          <w:pPr>
                            <w:pStyle w:val="Referentiegegevens"/>
                            <w:rPr>
                              <w:b/>
                              <w:bCs/>
                            </w:rPr>
                          </w:pPr>
                          <w:r>
                            <w:rPr>
                              <w:b/>
                              <w:bCs/>
                            </w:rPr>
                            <w:t xml:space="preserve">Directoraat-Generaal Fiscale Zaken </w:t>
                          </w:r>
                        </w:p>
                        <w:p w14:paraId="306E488D" w14:textId="77777777" w:rsidR="00FE58E0" w:rsidRDefault="00FE58E0">
                          <w:pPr>
                            <w:pStyle w:val="Referentiegegevens"/>
                            <w:rPr>
                              <w:b/>
                              <w:bCs/>
                            </w:rPr>
                          </w:pPr>
                        </w:p>
                        <w:p w14:paraId="11E219EC" w14:textId="77777777" w:rsidR="00FE58E0" w:rsidRDefault="00FE58E0">
                          <w:pPr>
                            <w:pStyle w:val="Referentiegegevens"/>
                            <w:rPr>
                              <w:b/>
                              <w:bCs/>
                            </w:rPr>
                          </w:pPr>
                          <w:r>
                            <w:rPr>
                              <w:b/>
                              <w:bCs/>
                            </w:rPr>
                            <w:t xml:space="preserve">Directie </w:t>
                          </w:r>
                          <w:r w:rsidRPr="00FE58E0">
                            <w:rPr>
                              <w:b/>
                              <w:bCs/>
                            </w:rPr>
                            <w:t>Verbruiksbelastingen, Douane, Opdrachtgeversadvisering en ondersteuning</w:t>
                          </w:r>
                          <w:r>
                            <w:rPr>
                              <w:b/>
                              <w:bCs/>
                            </w:rPr>
                            <w:t xml:space="preserve"> </w:t>
                          </w:r>
                        </w:p>
                        <w:p w14:paraId="2A093E44" w14:textId="77777777" w:rsidR="00FE58E0" w:rsidRDefault="00FE58E0">
                          <w:pPr>
                            <w:pStyle w:val="Referentiegegevens"/>
                          </w:pPr>
                        </w:p>
                        <w:p w14:paraId="3FA66DC7" w14:textId="77777777" w:rsidR="009A3558" w:rsidRDefault="003C5A36">
                          <w:pPr>
                            <w:pStyle w:val="Referentiegegevens"/>
                          </w:pPr>
                          <w:r>
                            <w:t>Korte Voorhout 7</w:t>
                          </w:r>
                        </w:p>
                        <w:p w14:paraId="6ECE322C" w14:textId="77777777" w:rsidR="009A3558" w:rsidRDefault="003C5A36">
                          <w:pPr>
                            <w:pStyle w:val="Referentiegegevens"/>
                          </w:pPr>
                          <w:r>
                            <w:t>2511 CW Den Haag</w:t>
                          </w:r>
                        </w:p>
                        <w:p w14:paraId="7767BBBD" w14:textId="77777777" w:rsidR="009A3558" w:rsidRDefault="003C5A36">
                          <w:pPr>
                            <w:pStyle w:val="Referentiegegevens"/>
                          </w:pPr>
                          <w:r>
                            <w:t>POSTBUS 20201</w:t>
                          </w:r>
                        </w:p>
                        <w:p w14:paraId="619A484E" w14:textId="77777777" w:rsidR="009A3558" w:rsidRDefault="003C5A36">
                          <w:pPr>
                            <w:pStyle w:val="Referentiegegevens"/>
                          </w:pPr>
                          <w:r>
                            <w:t>2500 EE  Den Haag</w:t>
                          </w:r>
                        </w:p>
                        <w:p w14:paraId="76D4C1E8" w14:textId="77777777" w:rsidR="009A3558" w:rsidRDefault="009A3558">
                          <w:pPr>
                            <w:pStyle w:val="WitregelW1"/>
                          </w:pPr>
                        </w:p>
                        <w:p w14:paraId="5B1FDEDC" w14:textId="77777777" w:rsidR="009A3558" w:rsidRDefault="003C5A36">
                          <w:pPr>
                            <w:pStyle w:val="Referentiegegevensbold"/>
                          </w:pPr>
                          <w:r>
                            <w:t>Onze referentie</w:t>
                          </w:r>
                        </w:p>
                        <w:p w14:paraId="70B5883E" w14:textId="21A3D8E9" w:rsidR="00A969CE" w:rsidRDefault="002263A5">
                          <w:pPr>
                            <w:pStyle w:val="Referentiegegevens"/>
                          </w:pPr>
                          <w:fldSimple w:instr=" DOCPROPERTY  &quot;Kenmerk&quot;  \* MERGEFORMAT ">
                            <w:r w:rsidR="002D7167">
                              <w:t>2026-0000249439</w:t>
                            </w:r>
                          </w:fldSimple>
                        </w:p>
                        <w:p w14:paraId="7F38A90E" w14:textId="77777777" w:rsidR="009A3558" w:rsidRDefault="009A3558">
                          <w:pPr>
                            <w:pStyle w:val="WitregelW1"/>
                          </w:pPr>
                        </w:p>
                        <w:p w14:paraId="3BBA8C13" w14:textId="77777777" w:rsidR="009A3558" w:rsidRDefault="003C5A36">
                          <w:pPr>
                            <w:pStyle w:val="Referentiegegevensbold"/>
                          </w:pPr>
                          <w:r>
                            <w:t>Bijlage(n)</w:t>
                          </w:r>
                        </w:p>
                        <w:p w14:paraId="7E9C96D5" w14:textId="77777777" w:rsidR="009A3558" w:rsidRDefault="003C5A36">
                          <w:pPr>
                            <w:pStyle w:val="Referentiegegevens"/>
                          </w:pPr>
                          <w:r>
                            <w:t>1</w:t>
                          </w:r>
                        </w:p>
                        <w:p w14:paraId="585352BA" w14:textId="77777777" w:rsidR="009A3558" w:rsidRDefault="009A3558">
                          <w:pPr>
                            <w:pStyle w:val="WitregelW2"/>
                          </w:pPr>
                        </w:p>
                        <w:p w14:paraId="0F999266" w14:textId="77777777" w:rsidR="009A3558" w:rsidRDefault="009A355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E17F3" id="aa29ef58-fa5a-4ef1-bc47-43f659f7c670" o:spid="_x0000_s1035" type="#_x0000_t202" alt="Colofon" style="position:absolute;margin-left:481.1pt;margin-top:124.85pt;width:98.15pt;height:660.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" filled="f" stroked="f">
              <v:textbox inset="0,0,0,0">
                <w:txbxContent>
                  <w:p w14:paraId="767CE51C" w14:textId="77777777" w:rsidR="00FE58E0" w:rsidRDefault="00FE58E0">
                    <w:pPr>
                      <w:pStyle w:val="Referentiegegevens"/>
                      <w:rPr>
                        <w:b/>
                        <w:bCs/>
                      </w:rPr>
                    </w:pPr>
                    <w:r>
                      <w:rPr>
                        <w:b/>
                        <w:bCs/>
                      </w:rPr>
                      <w:t xml:space="preserve">Directoraat-Generaal Fiscale Zaken </w:t>
                    </w:r>
                  </w:p>
                  <w:p w14:paraId="306E488D" w14:textId="77777777" w:rsidR="00FE58E0" w:rsidRDefault="00FE58E0">
                    <w:pPr>
                      <w:pStyle w:val="Referentiegegevens"/>
                      <w:rPr>
                        <w:b/>
                        <w:bCs/>
                      </w:rPr>
                    </w:pPr>
                  </w:p>
                  <w:p w14:paraId="11E219EC" w14:textId="77777777" w:rsidR="00FE58E0" w:rsidRDefault="00FE58E0">
                    <w:pPr>
                      <w:pStyle w:val="Referentiegegevens"/>
                      <w:rPr>
                        <w:b/>
                        <w:bCs/>
                      </w:rPr>
                    </w:pPr>
                    <w:r>
                      <w:rPr>
                        <w:b/>
                        <w:bCs/>
                      </w:rPr>
                      <w:t xml:space="preserve">Directie </w:t>
                    </w:r>
                    <w:r w:rsidRPr="00FE58E0">
                      <w:rPr>
                        <w:b/>
                        <w:bCs/>
                      </w:rPr>
                      <w:t>Verbruiksbelastingen, Douane, Opdrachtgeversadvisering en ondersteuning</w:t>
                    </w:r>
                    <w:r>
                      <w:rPr>
                        <w:b/>
                        <w:bCs/>
                      </w:rPr>
                      <w:t xml:space="preserve"> </w:t>
                    </w:r>
                  </w:p>
                  <w:p w14:paraId="2A093E44" w14:textId="77777777" w:rsidR="00FE58E0" w:rsidRDefault="00FE58E0">
                    <w:pPr>
                      <w:pStyle w:val="Referentiegegevens"/>
                    </w:pPr>
                  </w:p>
                  <w:p w14:paraId="3FA66DC7" w14:textId="77777777" w:rsidR="009A3558" w:rsidRDefault="003C5A36">
                    <w:pPr>
                      <w:pStyle w:val="Referentiegegevens"/>
                    </w:pPr>
                    <w:r>
                      <w:t>Korte Voorhout 7</w:t>
                    </w:r>
                  </w:p>
                  <w:p w14:paraId="6ECE322C" w14:textId="77777777" w:rsidR="009A3558" w:rsidRDefault="003C5A36">
                    <w:pPr>
                      <w:pStyle w:val="Referentiegegevens"/>
                    </w:pPr>
                    <w:r>
                      <w:t>2511 CW Den Haag</w:t>
                    </w:r>
                  </w:p>
                  <w:p w14:paraId="7767BBBD" w14:textId="77777777" w:rsidR="009A3558" w:rsidRDefault="003C5A36">
                    <w:pPr>
                      <w:pStyle w:val="Referentiegegevens"/>
                    </w:pPr>
                    <w:r>
                      <w:t>POSTBUS 20201</w:t>
                    </w:r>
                  </w:p>
                  <w:p w14:paraId="619A484E" w14:textId="77777777" w:rsidR="009A3558" w:rsidRDefault="003C5A36">
                    <w:pPr>
                      <w:pStyle w:val="Referentiegegevens"/>
                    </w:pPr>
                    <w:r>
                      <w:t>2500 EE  Den Haag</w:t>
                    </w:r>
                  </w:p>
                  <w:p w14:paraId="76D4C1E8" w14:textId="77777777" w:rsidR="009A3558" w:rsidRDefault="009A3558">
                    <w:pPr>
                      <w:pStyle w:val="WitregelW1"/>
                    </w:pPr>
                  </w:p>
                  <w:p w14:paraId="5B1FDEDC" w14:textId="77777777" w:rsidR="009A3558" w:rsidRDefault="003C5A36">
                    <w:pPr>
                      <w:pStyle w:val="Referentiegegevensbold"/>
                    </w:pPr>
                    <w:r>
                      <w:t>Onze referentie</w:t>
                    </w:r>
                  </w:p>
                  <w:p w14:paraId="70B5883E" w14:textId="21A3D8E9" w:rsidR="00A969CE" w:rsidRDefault="002263A5">
                    <w:pPr>
                      <w:pStyle w:val="Referentiegegevens"/>
                    </w:pPr>
                    <w:fldSimple w:instr=" DOCPROPERTY  &quot;Kenmerk&quot;  \* MERGEFORMAT ">
                      <w:r w:rsidR="002D7167">
                        <w:t>2026-0000249439</w:t>
                      </w:r>
                    </w:fldSimple>
                  </w:p>
                  <w:p w14:paraId="7F38A90E" w14:textId="77777777" w:rsidR="009A3558" w:rsidRDefault="009A3558">
                    <w:pPr>
                      <w:pStyle w:val="WitregelW1"/>
                    </w:pPr>
                  </w:p>
                  <w:p w14:paraId="3BBA8C13" w14:textId="77777777" w:rsidR="009A3558" w:rsidRDefault="003C5A36">
                    <w:pPr>
                      <w:pStyle w:val="Referentiegegevensbold"/>
                    </w:pPr>
                    <w:r>
                      <w:t>Bijlage(n)</w:t>
                    </w:r>
                  </w:p>
                  <w:p w14:paraId="7E9C96D5" w14:textId="77777777" w:rsidR="009A3558" w:rsidRDefault="003C5A36">
                    <w:pPr>
                      <w:pStyle w:val="Referentiegegevens"/>
                    </w:pPr>
                    <w:r>
                      <w:t>1</w:t>
                    </w:r>
                  </w:p>
                  <w:p w14:paraId="585352BA" w14:textId="77777777" w:rsidR="009A3558" w:rsidRDefault="009A3558">
                    <w:pPr>
                      <w:pStyle w:val="WitregelW2"/>
                    </w:pPr>
                  </w:p>
                  <w:p w14:paraId="0F999266" w14:textId="77777777" w:rsidR="009A3558" w:rsidRDefault="009A355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214C18E" wp14:editId="1152355D">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BAF973" w14:textId="77777777" w:rsidR="00084A13" w:rsidRDefault="002D716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14C18E"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ABAF973" w14:textId="77777777" w:rsidR="00084A13" w:rsidRDefault="002D716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9D5DCEC" wp14:editId="3C88FCB0">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D01838" w14:textId="77777777" w:rsidR="003C5A36" w:rsidRDefault="003C5A36"/>
                      </w:txbxContent>
                    </wps:txbx>
                    <wps:bodyPr vert="horz" wrap="square" lIns="0" tIns="0" rIns="0" bIns="0" anchor="t" anchorCtr="0"/>
                  </wps:wsp>
                </a:graphicData>
              </a:graphic>
            </wp:anchor>
          </w:drawing>
        </mc:Choice>
        <mc:Fallback>
          <w:pict>
            <v:shape w14:anchorId="19D5DCEC"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7D01838" w14:textId="77777777" w:rsidR="003C5A36" w:rsidRDefault="003C5A3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5BFEF8"/>
    <w:multiLevelType w:val="multilevel"/>
    <w:tmpl w:val="6018843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B80414E"/>
    <w:multiLevelType w:val="multilevel"/>
    <w:tmpl w:val="E08151C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6931D31D"/>
    <w:multiLevelType w:val="multilevel"/>
    <w:tmpl w:val="A8C847E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AD07D6D"/>
    <w:multiLevelType w:val="multilevel"/>
    <w:tmpl w:val="7B5E845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17732832">
    <w:abstractNumId w:val="0"/>
  </w:num>
  <w:num w:numId="2" w16cid:durableId="828786068">
    <w:abstractNumId w:val="2"/>
  </w:num>
  <w:num w:numId="3" w16cid:durableId="825978163">
    <w:abstractNumId w:val="1"/>
  </w:num>
  <w:num w:numId="4" w16cid:durableId="2084373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58"/>
    <w:rsid w:val="00025332"/>
    <w:rsid w:val="00084A13"/>
    <w:rsid w:val="00091A40"/>
    <w:rsid w:val="00100F57"/>
    <w:rsid w:val="00116340"/>
    <w:rsid w:val="00117158"/>
    <w:rsid w:val="00123B08"/>
    <w:rsid w:val="0017051A"/>
    <w:rsid w:val="001706FB"/>
    <w:rsid w:val="00196C50"/>
    <w:rsid w:val="001D44B4"/>
    <w:rsid w:val="00215C6D"/>
    <w:rsid w:val="002263A5"/>
    <w:rsid w:val="002455C0"/>
    <w:rsid w:val="00267BD6"/>
    <w:rsid w:val="002D7167"/>
    <w:rsid w:val="00363760"/>
    <w:rsid w:val="0037314C"/>
    <w:rsid w:val="00373F99"/>
    <w:rsid w:val="003C5A36"/>
    <w:rsid w:val="00407E56"/>
    <w:rsid w:val="00416918"/>
    <w:rsid w:val="004228CA"/>
    <w:rsid w:val="00464436"/>
    <w:rsid w:val="00493E33"/>
    <w:rsid w:val="004A1692"/>
    <w:rsid w:val="004E78D7"/>
    <w:rsid w:val="005100ED"/>
    <w:rsid w:val="00544E77"/>
    <w:rsid w:val="00556CC3"/>
    <w:rsid w:val="005E037C"/>
    <w:rsid w:val="006018FB"/>
    <w:rsid w:val="00645C4F"/>
    <w:rsid w:val="00646ECC"/>
    <w:rsid w:val="00667F93"/>
    <w:rsid w:val="006D0571"/>
    <w:rsid w:val="006E1E49"/>
    <w:rsid w:val="006F6737"/>
    <w:rsid w:val="007008E8"/>
    <w:rsid w:val="00707A0A"/>
    <w:rsid w:val="0074459B"/>
    <w:rsid w:val="007549AB"/>
    <w:rsid w:val="00763A8C"/>
    <w:rsid w:val="00777B44"/>
    <w:rsid w:val="007A66F2"/>
    <w:rsid w:val="007C1F7A"/>
    <w:rsid w:val="007E346F"/>
    <w:rsid w:val="007E50C6"/>
    <w:rsid w:val="00847AF0"/>
    <w:rsid w:val="00847C1E"/>
    <w:rsid w:val="00876B4A"/>
    <w:rsid w:val="008B4914"/>
    <w:rsid w:val="008C2E5D"/>
    <w:rsid w:val="008E2E9E"/>
    <w:rsid w:val="008E6429"/>
    <w:rsid w:val="0090121A"/>
    <w:rsid w:val="00913322"/>
    <w:rsid w:val="0094260A"/>
    <w:rsid w:val="00943EC6"/>
    <w:rsid w:val="009762D7"/>
    <w:rsid w:val="009801F5"/>
    <w:rsid w:val="009A3558"/>
    <w:rsid w:val="009E4BB8"/>
    <w:rsid w:val="009F414D"/>
    <w:rsid w:val="009F4C1D"/>
    <w:rsid w:val="00A167FF"/>
    <w:rsid w:val="00A478C2"/>
    <w:rsid w:val="00A74B78"/>
    <w:rsid w:val="00A830CE"/>
    <w:rsid w:val="00A94DEF"/>
    <w:rsid w:val="00A969CE"/>
    <w:rsid w:val="00A96E4E"/>
    <w:rsid w:val="00AC2A0A"/>
    <w:rsid w:val="00B02EA6"/>
    <w:rsid w:val="00B3062E"/>
    <w:rsid w:val="00B66DD5"/>
    <w:rsid w:val="00B7662C"/>
    <w:rsid w:val="00BB2618"/>
    <w:rsid w:val="00BB3D34"/>
    <w:rsid w:val="00BB79F5"/>
    <w:rsid w:val="00BF1DE5"/>
    <w:rsid w:val="00C3797C"/>
    <w:rsid w:val="00C51758"/>
    <w:rsid w:val="00C84707"/>
    <w:rsid w:val="00CB23F0"/>
    <w:rsid w:val="00CF72E1"/>
    <w:rsid w:val="00D40B46"/>
    <w:rsid w:val="00D948FE"/>
    <w:rsid w:val="00D956A5"/>
    <w:rsid w:val="00DA3164"/>
    <w:rsid w:val="00DE3B8B"/>
    <w:rsid w:val="00E102BC"/>
    <w:rsid w:val="00E60BCE"/>
    <w:rsid w:val="00E63AFF"/>
    <w:rsid w:val="00E92FAB"/>
    <w:rsid w:val="00E93182"/>
    <w:rsid w:val="00E93666"/>
    <w:rsid w:val="00E9550E"/>
    <w:rsid w:val="00EA68B1"/>
    <w:rsid w:val="00EC5385"/>
    <w:rsid w:val="00F47155"/>
    <w:rsid w:val="00FC598B"/>
    <w:rsid w:val="00FD7FAE"/>
    <w:rsid w:val="00FE58E0"/>
    <w:rsid w:val="00FE75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C6522"/>
  <w15:docId w15:val="{DA2A8D8C-4334-49CC-B746-54779A7A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C5A3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5A36"/>
    <w:rPr>
      <w:rFonts w:ascii="Verdana" w:hAnsi="Verdana"/>
      <w:color w:val="000000"/>
      <w:sz w:val="18"/>
      <w:szCs w:val="18"/>
    </w:rPr>
  </w:style>
  <w:style w:type="paragraph" w:styleId="Voettekst">
    <w:name w:val="footer"/>
    <w:basedOn w:val="Standaard"/>
    <w:link w:val="VoettekstChar"/>
    <w:uiPriority w:val="99"/>
    <w:unhideWhenUsed/>
    <w:rsid w:val="003C5A3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5A36"/>
    <w:rPr>
      <w:rFonts w:ascii="Verdana" w:hAnsi="Verdana"/>
      <w:color w:val="000000"/>
      <w:sz w:val="18"/>
      <w:szCs w:val="18"/>
    </w:rPr>
  </w:style>
  <w:style w:type="paragraph" w:styleId="Voetnoottekst">
    <w:name w:val="footnote text"/>
    <w:basedOn w:val="Standaard"/>
    <w:link w:val="VoetnoottekstChar"/>
    <w:uiPriority w:val="99"/>
    <w:unhideWhenUsed/>
    <w:rsid w:val="00BB79F5"/>
    <w:pPr>
      <w:spacing w:line="240" w:lineRule="auto"/>
    </w:pPr>
    <w:rPr>
      <w:sz w:val="20"/>
      <w:szCs w:val="20"/>
    </w:rPr>
  </w:style>
  <w:style w:type="character" w:customStyle="1" w:styleId="VoetnoottekstChar">
    <w:name w:val="Voetnoottekst Char"/>
    <w:basedOn w:val="Standaardalinea-lettertype"/>
    <w:link w:val="Voetnoottekst"/>
    <w:uiPriority w:val="99"/>
    <w:rsid w:val="00BB79F5"/>
    <w:rPr>
      <w:rFonts w:ascii="Verdana" w:hAnsi="Verdana"/>
      <w:color w:val="000000"/>
    </w:rPr>
  </w:style>
  <w:style w:type="character" w:styleId="Voetnootmarkering">
    <w:name w:val="footnote reference"/>
    <w:basedOn w:val="Standaardalinea-lettertype"/>
    <w:uiPriority w:val="99"/>
    <w:semiHidden/>
    <w:unhideWhenUsed/>
    <w:rsid w:val="00BB79F5"/>
    <w:rPr>
      <w:vertAlign w:val="superscript"/>
    </w:rPr>
  </w:style>
  <w:style w:type="character" w:styleId="Verwijzingopmerking">
    <w:name w:val="annotation reference"/>
    <w:basedOn w:val="Standaardalinea-lettertype"/>
    <w:uiPriority w:val="99"/>
    <w:semiHidden/>
    <w:unhideWhenUsed/>
    <w:rsid w:val="00EA68B1"/>
    <w:rPr>
      <w:sz w:val="16"/>
      <w:szCs w:val="16"/>
    </w:rPr>
  </w:style>
  <w:style w:type="paragraph" w:styleId="Tekstopmerking">
    <w:name w:val="annotation text"/>
    <w:basedOn w:val="Standaard"/>
    <w:link w:val="TekstopmerkingChar"/>
    <w:uiPriority w:val="99"/>
    <w:unhideWhenUsed/>
    <w:rsid w:val="00EA68B1"/>
    <w:pPr>
      <w:spacing w:line="240" w:lineRule="auto"/>
    </w:pPr>
    <w:rPr>
      <w:sz w:val="20"/>
      <w:szCs w:val="20"/>
    </w:rPr>
  </w:style>
  <w:style w:type="character" w:customStyle="1" w:styleId="TekstopmerkingChar">
    <w:name w:val="Tekst opmerking Char"/>
    <w:basedOn w:val="Standaardalinea-lettertype"/>
    <w:link w:val="Tekstopmerking"/>
    <w:uiPriority w:val="99"/>
    <w:rsid w:val="00EA68B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A68B1"/>
    <w:rPr>
      <w:b/>
      <w:bCs/>
    </w:rPr>
  </w:style>
  <w:style w:type="character" w:customStyle="1" w:styleId="OnderwerpvanopmerkingChar">
    <w:name w:val="Onderwerp van opmerking Char"/>
    <w:basedOn w:val="TekstopmerkingChar"/>
    <w:link w:val="Onderwerpvanopmerking"/>
    <w:uiPriority w:val="99"/>
    <w:semiHidden/>
    <w:rsid w:val="00EA68B1"/>
    <w:rPr>
      <w:rFonts w:ascii="Verdana" w:hAnsi="Verdana"/>
      <w:b/>
      <w:bCs/>
      <w:color w:val="000000"/>
    </w:rPr>
  </w:style>
  <w:style w:type="paragraph" w:styleId="Revisie">
    <w:name w:val="Revision"/>
    <w:hidden/>
    <w:uiPriority w:val="99"/>
    <w:semiHidden/>
    <w:rsid w:val="009801F5"/>
    <w:pPr>
      <w:autoSpaceDN/>
      <w:textAlignment w:val="auto"/>
    </w:pPr>
    <w:rPr>
      <w:rFonts w:ascii="Verdana" w:hAnsi="Verdana"/>
      <w:color w:val="000000"/>
      <w:sz w:val="18"/>
      <w:szCs w:val="18"/>
    </w:rPr>
  </w:style>
  <w:style w:type="paragraph" w:styleId="Lijstalinea">
    <w:name w:val="List Paragraph"/>
    <w:basedOn w:val="Standaard"/>
    <w:uiPriority w:val="34"/>
    <w:semiHidden/>
    <w:rsid w:val="00407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171">
      <w:bodyDiv w:val="1"/>
      <w:marLeft w:val="0"/>
      <w:marRight w:val="0"/>
      <w:marTop w:val="0"/>
      <w:marBottom w:val="0"/>
      <w:divBdr>
        <w:top w:val="none" w:sz="0" w:space="0" w:color="auto"/>
        <w:left w:val="none" w:sz="0" w:space="0" w:color="auto"/>
        <w:bottom w:val="none" w:sz="0" w:space="0" w:color="auto"/>
        <w:right w:val="none" w:sz="0" w:space="0" w:color="auto"/>
      </w:divBdr>
    </w:div>
    <w:div w:id="9668477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218979903">
      <w:bodyDiv w:val="1"/>
      <w:marLeft w:val="0"/>
      <w:marRight w:val="0"/>
      <w:marTop w:val="0"/>
      <w:marBottom w:val="0"/>
      <w:divBdr>
        <w:top w:val="none" w:sz="0" w:space="0" w:color="auto"/>
        <w:left w:val="none" w:sz="0" w:space="0" w:color="auto"/>
        <w:bottom w:val="none" w:sz="0" w:space="0" w:color="auto"/>
        <w:right w:val="none" w:sz="0" w:space="0" w:color="auto"/>
      </w:divBdr>
    </w:div>
    <w:div w:id="253055664">
      <w:bodyDiv w:val="1"/>
      <w:marLeft w:val="0"/>
      <w:marRight w:val="0"/>
      <w:marTop w:val="0"/>
      <w:marBottom w:val="0"/>
      <w:divBdr>
        <w:top w:val="none" w:sz="0" w:space="0" w:color="auto"/>
        <w:left w:val="none" w:sz="0" w:space="0" w:color="auto"/>
        <w:bottom w:val="none" w:sz="0" w:space="0" w:color="auto"/>
        <w:right w:val="none" w:sz="0" w:space="0" w:color="auto"/>
      </w:divBdr>
    </w:div>
    <w:div w:id="263002267">
      <w:bodyDiv w:val="1"/>
      <w:marLeft w:val="0"/>
      <w:marRight w:val="0"/>
      <w:marTop w:val="0"/>
      <w:marBottom w:val="0"/>
      <w:divBdr>
        <w:top w:val="none" w:sz="0" w:space="0" w:color="auto"/>
        <w:left w:val="none" w:sz="0" w:space="0" w:color="auto"/>
        <w:bottom w:val="none" w:sz="0" w:space="0" w:color="auto"/>
        <w:right w:val="none" w:sz="0" w:space="0" w:color="auto"/>
      </w:divBdr>
    </w:div>
    <w:div w:id="306789635">
      <w:bodyDiv w:val="1"/>
      <w:marLeft w:val="0"/>
      <w:marRight w:val="0"/>
      <w:marTop w:val="0"/>
      <w:marBottom w:val="0"/>
      <w:divBdr>
        <w:top w:val="none" w:sz="0" w:space="0" w:color="auto"/>
        <w:left w:val="none" w:sz="0" w:space="0" w:color="auto"/>
        <w:bottom w:val="none" w:sz="0" w:space="0" w:color="auto"/>
        <w:right w:val="none" w:sz="0" w:space="0" w:color="auto"/>
      </w:divBdr>
    </w:div>
    <w:div w:id="347297909">
      <w:bodyDiv w:val="1"/>
      <w:marLeft w:val="0"/>
      <w:marRight w:val="0"/>
      <w:marTop w:val="0"/>
      <w:marBottom w:val="0"/>
      <w:divBdr>
        <w:top w:val="none" w:sz="0" w:space="0" w:color="auto"/>
        <w:left w:val="none" w:sz="0" w:space="0" w:color="auto"/>
        <w:bottom w:val="none" w:sz="0" w:space="0" w:color="auto"/>
        <w:right w:val="none" w:sz="0" w:space="0" w:color="auto"/>
      </w:divBdr>
    </w:div>
    <w:div w:id="445663354">
      <w:bodyDiv w:val="1"/>
      <w:marLeft w:val="0"/>
      <w:marRight w:val="0"/>
      <w:marTop w:val="0"/>
      <w:marBottom w:val="0"/>
      <w:divBdr>
        <w:top w:val="none" w:sz="0" w:space="0" w:color="auto"/>
        <w:left w:val="none" w:sz="0" w:space="0" w:color="auto"/>
        <w:bottom w:val="none" w:sz="0" w:space="0" w:color="auto"/>
        <w:right w:val="none" w:sz="0" w:space="0" w:color="auto"/>
      </w:divBdr>
    </w:div>
    <w:div w:id="1079643278">
      <w:bodyDiv w:val="1"/>
      <w:marLeft w:val="0"/>
      <w:marRight w:val="0"/>
      <w:marTop w:val="0"/>
      <w:marBottom w:val="0"/>
      <w:divBdr>
        <w:top w:val="none" w:sz="0" w:space="0" w:color="auto"/>
        <w:left w:val="none" w:sz="0" w:space="0" w:color="auto"/>
        <w:bottom w:val="none" w:sz="0" w:space="0" w:color="auto"/>
        <w:right w:val="none" w:sz="0" w:space="0" w:color="auto"/>
      </w:divBdr>
    </w:div>
    <w:div w:id="1153986555">
      <w:bodyDiv w:val="1"/>
      <w:marLeft w:val="0"/>
      <w:marRight w:val="0"/>
      <w:marTop w:val="0"/>
      <w:marBottom w:val="0"/>
      <w:divBdr>
        <w:top w:val="none" w:sz="0" w:space="0" w:color="auto"/>
        <w:left w:val="none" w:sz="0" w:space="0" w:color="auto"/>
        <w:bottom w:val="none" w:sz="0" w:space="0" w:color="auto"/>
        <w:right w:val="none" w:sz="0" w:space="0" w:color="auto"/>
      </w:divBdr>
    </w:div>
    <w:div w:id="1202791155">
      <w:bodyDiv w:val="1"/>
      <w:marLeft w:val="0"/>
      <w:marRight w:val="0"/>
      <w:marTop w:val="0"/>
      <w:marBottom w:val="0"/>
      <w:divBdr>
        <w:top w:val="none" w:sz="0" w:space="0" w:color="auto"/>
        <w:left w:val="none" w:sz="0" w:space="0" w:color="auto"/>
        <w:bottom w:val="none" w:sz="0" w:space="0" w:color="auto"/>
        <w:right w:val="none" w:sz="0" w:space="0" w:color="auto"/>
      </w:divBdr>
    </w:div>
    <w:div w:id="1265264569">
      <w:bodyDiv w:val="1"/>
      <w:marLeft w:val="0"/>
      <w:marRight w:val="0"/>
      <w:marTop w:val="0"/>
      <w:marBottom w:val="0"/>
      <w:divBdr>
        <w:top w:val="none" w:sz="0" w:space="0" w:color="auto"/>
        <w:left w:val="none" w:sz="0" w:space="0" w:color="auto"/>
        <w:bottom w:val="none" w:sz="0" w:space="0" w:color="auto"/>
        <w:right w:val="none" w:sz="0" w:space="0" w:color="auto"/>
      </w:divBdr>
    </w:div>
    <w:div w:id="1706708013">
      <w:bodyDiv w:val="1"/>
      <w:marLeft w:val="0"/>
      <w:marRight w:val="0"/>
      <w:marTop w:val="0"/>
      <w:marBottom w:val="0"/>
      <w:divBdr>
        <w:top w:val="none" w:sz="0" w:space="0" w:color="auto"/>
        <w:left w:val="none" w:sz="0" w:space="0" w:color="auto"/>
        <w:bottom w:val="none" w:sz="0" w:space="0" w:color="auto"/>
        <w:right w:val="none" w:sz="0" w:space="0" w:color="auto"/>
      </w:divBdr>
    </w:div>
    <w:div w:id="1941331301">
      <w:bodyDiv w:val="1"/>
      <w:marLeft w:val="0"/>
      <w:marRight w:val="0"/>
      <w:marTop w:val="0"/>
      <w:marBottom w:val="0"/>
      <w:divBdr>
        <w:top w:val="none" w:sz="0" w:space="0" w:color="auto"/>
        <w:left w:val="none" w:sz="0" w:space="0" w:color="auto"/>
        <w:bottom w:val="none" w:sz="0" w:space="0" w:color="auto"/>
        <w:right w:val="none" w:sz="0" w:space="0" w:color="auto"/>
      </w:divBdr>
    </w:div>
    <w:div w:id="2118913632">
      <w:bodyDiv w:val="1"/>
      <w:marLeft w:val="0"/>
      <w:marRight w:val="0"/>
      <w:marTop w:val="0"/>
      <w:marBottom w:val="0"/>
      <w:divBdr>
        <w:top w:val="none" w:sz="0" w:space="0" w:color="auto"/>
        <w:left w:val="none" w:sz="0" w:space="0" w:color="auto"/>
        <w:bottom w:val="none" w:sz="0" w:space="0" w:color="auto"/>
        <w:right w:val="none" w:sz="0" w:space="0" w:color="auto"/>
      </w:divBdr>
    </w:div>
    <w:div w:id="2129934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21b6238-8359-4a58-8064-607e0430c4c4}" enabled="1" method="Standard" siteId="{150cfa2a-f5d3-460a-ae30-e92179b1b1a9}" removed="0"/>
</clbl:labelList>
</file>

<file path=docProps/app.xml><?xml version="1.0" encoding="utf-8"?>
<ap:Properties xmlns:vt="http://schemas.openxmlformats.org/officeDocument/2006/docPropsVTypes" xmlns:ap="http://schemas.openxmlformats.org/officeDocument/2006/extended-properties">
  <ap:Pages>2</ap:Pages>
  <ap:Words>604</ap:Words>
  <ap:Characters>3322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 Vragen van het lid Vermeer (BBB) aan de staatssecretaris van Financiën over de fiscale behandeling van kampeervoertuigen</vt:lpstr>
    </vt:vector>
  </ap:TitlesOfParts>
  <ap:LinksUpToDate>false</ap:LinksUpToDate>
  <ap:CharactersWithSpaces>3919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2026-06-22T13:09:00.0000000Z</dcterms:created>
  <dcterms:modified xsi:type="dcterms:W3CDTF">2026-06-22T13:09:00.0000000Z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2026-0000249439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Vragen van het lid Vermeer (BBB) aan de staatssecretaris van Financiën over de fiscale behandeling van kampeervoertuigen</vt:lpwstr>
  </property>
  <property fmtid="{D5CDD505-2E9C-101B-9397-08002B2CF9AE}" pid="32" name="MSIP_Label_b2aa6e22-2c82-48c6-bf24-1790f4b9c128_Enabled">
    <vt:lpwstr>true</vt:lpwstr>
  </property>
  <property fmtid="{D5CDD505-2E9C-101B-9397-08002B2CF9AE}" pid="33" name="MSIP_Label_b2aa6e22-2c82-48c6-bf24-1790f4b9c128_SetDate">
    <vt:lpwstr>2026-06-04T07:27:13Z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8033f0c9-2771-4158-a8bf-19dbe7f76be1</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