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006D5A1C" w14:paraId="30540B2C" w14:textId="77777777">
        <w:tc>
          <w:tcPr>
            <w:tcW w:w="360" w:type="dxa"/>
          </w:tcPr>
          <w:p w:rsidR="002B05CD" w:rsidRDefault="005022FA" w14:paraId="5B136376" w14:textId="77777777">
            <w:r>
              <w:t xml:space="preserve">Ontwerpbesluit van </w:t>
            </w:r>
          </w:p>
          <w:p w:rsidR="006D5A1C" w:rsidRDefault="005022FA" w14:paraId="11DB979D" w14:textId="77777777">
            <w:r>
              <w:t xml:space="preserve">tot wijziging van het Besluit allocatie arbeidskrachten door intermediairs in verband met </w:t>
            </w:r>
            <w:r w:rsidR="00586600">
              <w:t>enkele wijzigingen van technische aard</w:t>
            </w:r>
            <w:r w:rsidR="00160ADD">
              <w:t xml:space="preserve"> [</w:t>
            </w:r>
            <w:proofErr w:type="spellStart"/>
            <w:r w:rsidR="00160ADD">
              <w:t>KetenID</w:t>
            </w:r>
            <w:proofErr w:type="spellEnd"/>
            <w:r w:rsidR="00160ADD">
              <w:t xml:space="preserve"> 28901]</w:t>
            </w:r>
          </w:p>
        </w:tc>
      </w:tr>
    </w:tbl>
    <w:p w:rsidR="00AF5095" w:rsidRDefault="00AF5095" w14:paraId="233D661C" w14:textId="77777777"/>
    <w:p w:rsidR="006D5A1C" w:rsidRDefault="006D5A1C" w14:paraId="058312D2" w14:textId="77777777"/>
    <w:p w:rsidR="002466BA" w:rsidRDefault="009D34CB" w14:paraId="47FDDE06" w14:textId="77777777">
      <w:r>
        <w:t>Op voordracht van Onze Minister van Sociale Zaken en Werkgelegenheid van </w:t>
      </w:r>
      <w:r>
        <w:fldChar w:fldCharType="begin">
          <w:ffData>
            <w:name w:val=""/>
            <w:enabled/>
            <w:calcOnExit w:val="0"/>
            <w:textInput/>
          </w:ffData>
        </w:fldChar>
      </w:r>
      <w:r>
        <w:instrText>FORMTEXT</w:instrText>
      </w:r>
      <w:r>
        <w:fldChar w:fldCharType="separate"/>
      </w:r>
      <w:r>
        <w:t>datum openlaten</w:t>
      </w:r>
      <w:r>
        <w:fldChar w:fldCharType="end"/>
      </w:r>
      <w:r>
        <w:t>                     , nr.;</w:t>
      </w:r>
    </w:p>
    <w:p w:rsidR="006D5A1C" w:rsidRDefault="006D5A1C" w14:paraId="10CD7ABB" w14:textId="77777777"/>
    <w:p w:rsidR="008A0D8E" w:rsidRDefault="001A4742" w14:paraId="35EA0232" w14:textId="77777777">
      <w:r>
        <w:t>Gelet op </w:t>
      </w:r>
      <w:r w:rsidR="00347FF3">
        <w:t xml:space="preserve">de </w:t>
      </w:r>
      <w:r>
        <w:t>artikel</w:t>
      </w:r>
      <w:r w:rsidR="00347FF3">
        <w:t>en</w:t>
      </w:r>
      <w:r>
        <w:t xml:space="preserve"> </w:t>
      </w:r>
      <w:r w:rsidRPr="00747775">
        <w:rPr>
          <w:color w:val="auto"/>
        </w:rPr>
        <w:t xml:space="preserve">12i, </w:t>
      </w:r>
      <w:r>
        <w:rPr>
          <w:color w:val="auto"/>
        </w:rPr>
        <w:t>zesde</w:t>
      </w:r>
      <w:r w:rsidRPr="00747775">
        <w:rPr>
          <w:color w:val="auto"/>
        </w:rPr>
        <w:t xml:space="preserve"> </w:t>
      </w:r>
      <w:r w:rsidR="00E60A16">
        <w:rPr>
          <w:color w:val="auto"/>
        </w:rPr>
        <w:t xml:space="preserve">en zevende </w:t>
      </w:r>
      <w:r w:rsidRPr="00747775">
        <w:rPr>
          <w:color w:val="auto"/>
        </w:rPr>
        <w:t>lid</w:t>
      </w:r>
      <w:r>
        <w:rPr>
          <w:color w:val="auto"/>
        </w:rPr>
        <w:t xml:space="preserve">, </w:t>
      </w:r>
      <w:r w:rsidR="00347FF3">
        <w:rPr>
          <w:color w:val="auto"/>
        </w:rPr>
        <w:t xml:space="preserve">en 12s, derde lid, onderdeel b, </w:t>
      </w:r>
      <w:r>
        <w:rPr>
          <w:color w:val="auto"/>
        </w:rPr>
        <w:t>van de Wet allocatie arbeidskrachten door intermediairs</w:t>
      </w:r>
      <w:r>
        <w:t>;</w:t>
      </w:r>
    </w:p>
    <w:p w:rsidR="006D5A1C" w:rsidRDefault="006D5A1C" w14:paraId="6D62FCB9" w14:textId="77777777"/>
    <w:p w:rsidR="002466BA" w:rsidRDefault="009D34CB" w14:paraId="713B5D06" w14:textId="77777777">
      <w:r>
        <w:t xml:space="preserve">De Afdeling advisering van de Raad van State gehoord (advies van </w:t>
      </w:r>
      <w:r>
        <w:fldChar w:fldCharType="begin">
          <w:ffData>
            <w:name w:val=""/>
            <w:enabled/>
            <w:calcOnExit w:val="0"/>
            <w:textInput/>
          </w:ffData>
        </w:fldChar>
      </w:r>
      <w:r>
        <w:instrText>FORMTEXT</w:instrText>
      </w:r>
      <w:r>
        <w:fldChar w:fldCharType="separate"/>
      </w:r>
      <w:r>
        <w:t>datum, nr.       </w:t>
      </w:r>
      <w:r>
        <w:fldChar w:fldCharType="end"/>
      </w:r>
      <w:r>
        <w:t>);</w:t>
      </w:r>
    </w:p>
    <w:p w:rsidR="006D5A1C" w:rsidRDefault="006D5A1C" w14:paraId="7A89F3DB" w14:textId="77777777"/>
    <w:p w:rsidR="002466BA" w:rsidRDefault="009D34CB" w14:paraId="0D6CAF03" w14:textId="77777777">
      <w:r>
        <w:t>Gezien het nader rapport van Onze Minister van Sociale Zaken en Werkgelegenheid van </w:t>
      </w:r>
      <w:r>
        <w:fldChar w:fldCharType="begin">
          <w:ffData>
            <w:name w:val=""/>
            <w:enabled/>
            <w:calcOnExit w:val="0"/>
            <w:textInput/>
          </w:ffData>
        </w:fldChar>
      </w:r>
      <w:r>
        <w:instrText>FORMTEXT</w:instrText>
      </w:r>
      <w:r>
        <w:fldChar w:fldCharType="separate"/>
      </w:r>
      <w:r>
        <w:t>datum openlaten</w:t>
      </w:r>
      <w:r>
        <w:fldChar w:fldCharType="end"/>
      </w:r>
      <w:r>
        <w:t>                     , nr. </w:t>
      </w:r>
      <w:r>
        <w:fldChar w:fldCharType="begin">
          <w:ffData>
            <w:name w:val=""/>
            <w:enabled/>
            <w:calcOnExit w:val="0"/>
            <w:textInput/>
          </w:ffData>
        </w:fldChar>
      </w:r>
      <w:r>
        <w:instrText>FORMTEXT</w:instrText>
      </w:r>
      <w:r>
        <w:fldChar w:fldCharType="separate"/>
      </w:r>
      <w:r>
        <w:t>nr. invullen</w:t>
      </w:r>
      <w:r>
        <w:fldChar w:fldCharType="end"/>
      </w:r>
      <w:r>
        <w:t>                     </w:t>
      </w:r>
    </w:p>
    <w:p w:rsidR="006D5A1C" w:rsidRDefault="006D5A1C" w14:paraId="25324FA7" w14:textId="77777777"/>
    <w:p w:rsidR="006D5A1C" w:rsidRDefault="006D5A1C" w14:paraId="162682A7" w14:textId="77777777"/>
    <w:p w:rsidR="006D5A1C" w:rsidRDefault="005022FA" w14:paraId="5E6EF0FF" w14:textId="77777777">
      <w:r>
        <w:rPr>
          <w:b/>
        </w:rPr>
        <w:t>HEBBEN GOEDGEVONDEN EN VERSTAAN:</w:t>
      </w:r>
    </w:p>
    <w:p w:rsidR="006D5A1C" w:rsidRDefault="006D5A1C" w14:paraId="6120468B" w14:textId="77777777"/>
    <w:p w:rsidRPr="00BE5DBB" w:rsidR="00BE5DBB" w:rsidP="008670ED" w:rsidRDefault="00BE5DBB" w14:paraId="2E3F2F85" w14:textId="77777777">
      <w:pPr>
        <w:spacing w:line="276" w:lineRule="auto"/>
        <w:rPr>
          <w:b/>
          <w:bCs/>
          <w:color w:val="auto"/>
        </w:rPr>
      </w:pPr>
      <w:r w:rsidRPr="00BE5DBB">
        <w:rPr>
          <w:b/>
          <w:bCs/>
          <w:color w:val="auto"/>
        </w:rPr>
        <w:t>Artikel I</w:t>
      </w:r>
    </w:p>
    <w:p w:rsidR="00BE5DBB" w:rsidP="008670ED" w:rsidRDefault="00BE5DBB" w14:paraId="490EBFCE" w14:textId="77777777">
      <w:pPr>
        <w:spacing w:line="276" w:lineRule="auto"/>
        <w:rPr>
          <w:color w:val="auto"/>
        </w:rPr>
      </w:pPr>
    </w:p>
    <w:p w:rsidR="005A763C" w:rsidP="008670ED" w:rsidRDefault="005A763C" w14:paraId="55E12E68" w14:textId="77777777">
      <w:pPr>
        <w:spacing w:line="276" w:lineRule="auto"/>
        <w:rPr>
          <w:color w:val="auto"/>
        </w:rPr>
      </w:pPr>
      <w:r w:rsidRPr="005A763C">
        <w:rPr>
          <w:color w:val="auto"/>
        </w:rPr>
        <w:t xml:space="preserve">Het </w:t>
      </w:r>
      <w:r w:rsidRPr="00C01D18">
        <w:rPr>
          <w:b/>
          <w:bCs/>
          <w:color w:val="auto"/>
        </w:rPr>
        <w:t>Besluit allocatie arbeidskrachten door intermediairs</w:t>
      </w:r>
      <w:r w:rsidRPr="005A763C">
        <w:rPr>
          <w:color w:val="auto"/>
        </w:rPr>
        <w:t xml:space="preserve"> wordt als volgt gewijzigd</w:t>
      </w:r>
      <w:r>
        <w:rPr>
          <w:color w:val="auto"/>
        </w:rPr>
        <w:t>:</w:t>
      </w:r>
    </w:p>
    <w:p w:rsidR="005A763C" w:rsidP="008670ED" w:rsidRDefault="005A763C" w14:paraId="3ABE2D30" w14:textId="77777777">
      <w:pPr>
        <w:spacing w:line="276" w:lineRule="auto"/>
        <w:rPr>
          <w:color w:val="auto"/>
        </w:rPr>
      </w:pPr>
    </w:p>
    <w:p w:rsidR="005A763C" w:rsidP="008670ED" w:rsidRDefault="005A763C" w14:paraId="2CD86960" w14:textId="77777777">
      <w:pPr>
        <w:spacing w:line="276" w:lineRule="auto"/>
        <w:rPr>
          <w:color w:val="auto"/>
        </w:rPr>
      </w:pPr>
      <w:r>
        <w:rPr>
          <w:color w:val="auto"/>
        </w:rPr>
        <w:t>A</w:t>
      </w:r>
    </w:p>
    <w:p w:rsidR="009C7D88" w:rsidP="008670ED" w:rsidRDefault="009C7D88" w14:paraId="054F40AD" w14:textId="77777777">
      <w:pPr>
        <w:spacing w:line="276" w:lineRule="auto"/>
        <w:rPr>
          <w:color w:val="auto"/>
        </w:rPr>
      </w:pPr>
    </w:p>
    <w:p w:rsidR="008670ED" w:rsidP="008670ED" w:rsidRDefault="00586600" w14:paraId="4C70D42F" w14:textId="77777777">
      <w:pPr>
        <w:spacing w:line="276" w:lineRule="auto"/>
        <w:rPr>
          <w:color w:val="auto"/>
        </w:rPr>
      </w:pPr>
      <w:r>
        <w:rPr>
          <w:color w:val="auto"/>
        </w:rPr>
        <w:t xml:space="preserve">Artikel 1b:3 </w:t>
      </w:r>
      <w:r w:rsidR="005C1798">
        <w:rPr>
          <w:color w:val="auto"/>
        </w:rPr>
        <w:t>komt te luiden:</w:t>
      </w:r>
    </w:p>
    <w:p w:rsidR="00160ADD" w:rsidP="008670ED" w:rsidRDefault="00160ADD" w14:paraId="1F88F6C7" w14:textId="77777777">
      <w:pPr>
        <w:spacing w:line="276" w:lineRule="auto"/>
        <w:rPr>
          <w:color w:val="auto"/>
        </w:rPr>
      </w:pPr>
    </w:p>
    <w:p w:rsidR="00160ADD" w:rsidP="008670ED" w:rsidRDefault="00160ADD" w14:paraId="646FF2C1" w14:textId="77777777">
      <w:pPr>
        <w:spacing w:line="276" w:lineRule="auto"/>
        <w:rPr>
          <w:color w:val="auto"/>
        </w:rPr>
      </w:pPr>
      <w:r w:rsidRPr="00E16EDD">
        <w:rPr>
          <w:b/>
          <w:bCs/>
          <w:color w:val="auto"/>
        </w:rPr>
        <w:t>Artikel 1b:3 Aanvraag toelating</w:t>
      </w:r>
    </w:p>
    <w:p w:rsidR="005C1798" w:rsidP="008670ED" w:rsidRDefault="005C1798" w14:paraId="35C0B460" w14:textId="77777777">
      <w:pPr>
        <w:spacing w:line="276" w:lineRule="auto"/>
        <w:rPr>
          <w:color w:val="auto"/>
        </w:rPr>
      </w:pPr>
    </w:p>
    <w:p w:rsidR="005C1798" w:rsidP="005C1798" w:rsidRDefault="005C1798" w14:paraId="3CD48DAF" w14:textId="77777777">
      <w:r>
        <w:t xml:space="preserve">1. De vergoeding, </w:t>
      </w:r>
      <w:r w:rsidRPr="00DF30E1">
        <w:t xml:space="preserve">bedoeld in artikel 12i, </w:t>
      </w:r>
      <w:r w:rsidR="00160ADD">
        <w:t>derde en vierde</w:t>
      </w:r>
      <w:r w:rsidRPr="00DF30E1">
        <w:t xml:space="preserve"> lid, onderdeel b</w:t>
      </w:r>
      <w:r>
        <w:t xml:space="preserve">, bestaat </w:t>
      </w:r>
      <w:r w:rsidR="00630404">
        <w:t>uit:</w:t>
      </w:r>
    </w:p>
    <w:p w:rsidR="005C1798" w:rsidP="005C1798" w:rsidRDefault="005C1798" w14:paraId="414C3F00" w14:textId="77777777">
      <w:pPr>
        <w:ind w:left="708"/>
      </w:pPr>
      <w:r>
        <w:t xml:space="preserve">a. een vergoeding die de aanvrager is verschuldigd voor de behandeling van de aanvraag </w:t>
      </w:r>
      <w:r w:rsidR="004F693C">
        <w:t>tot</w:t>
      </w:r>
      <w:r>
        <w:t xml:space="preserve"> een toelating of een voorlopige toelating;</w:t>
      </w:r>
      <w:r w:rsidR="00003FDC">
        <w:t xml:space="preserve"> en</w:t>
      </w:r>
    </w:p>
    <w:p w:rsidR="005C1798" w:rsidP="005C1798" w:rsidRDefault="005C1798" w14:paraId="2519C755" w14:textId="21562620">
      <w:pPr>
        <w:ind w:left="708"/>
      </w:pPr>
      <w:r>
        <w:t xml:space="preserve">b. een jaarlijkse vergoeding die de </w:t>
      </w:r>
      <w:r w:rsidR="000257A0">
        <w:t>aanvrager</w:t>
      </w:r>
      <w:r>
        <w:t xml:space="preserve"> is verschuldigd voor het behoud van een toelating dan wel een eenmalige vergoeding die de </w:t>
      </w:r>
      <w:r w:rsidR="00C32481">
        <w:t>aanvrager</w:t>
      </w:r>
      <w:r>
        <w:t xml:space="preserve"> is verschuldigd voor het behoud van een voorlopige toelating.</w:t>
      </w:r>
    </w:p>
    <w:p w:rsidR="005C1798" w:rsidP="00EC1C6D" w:rsidRDefault="005C1798" w14:paraId="6900C3AB" w14:textId="77777777">
      <w:r>
        <w:t>2. B</w:t>
      </w:r>
      <w:r w:rsidRPr="00DF30E1">
        <w:t xml:space="preserve">ij de hoogte van de </w:t>
      </w:r>
      <w:r>
        <w:t xml:space="preserve">jaarlijkse </w:t>
      </w:r>
      <w:r w:rsidRPr="00DF30E1">
        <w:t>vergoeding</w:t>
      </w:r>
      <w:r>
        <w:t xml:space="preserve"> voor het behoud van een toelating</w:t>
      </w:r>
      <w:r w:rsidRPr="00DF30E1">
        <w:t xml:space="preserve">, bedoeld in </w:t>
      </w:r>
      <w:r>
        <w:t>het eerste lid, onderdeel b,</w:t>
      </w:r>
      <w:r w:rsidRPr="00DF30E1">
        <w:t xml:space="preserve"> wordt </w:t>
      </w:r>
      <w:r w:rsidR="00EC1C6D">
        <w:t xml:space="preserve">voor de duur van de toelating </w:t>
      </w:r>
      <w:r w:rsidRPr="00DF30E1">
        <w:t>onderscheid gemaakt naar de grootte van de onderneming of rechtspersoon</w:t>
      </w:r>
      <w:r>
        <w:t xml:space="preserve"> in het kalenderjaar voorafgaand aan het kalenderjaar waarin de toelating is aangevraagd, gemeten naar de totale omzet</w:t>
      </w:r>
      <w:r w:rsidR="00EC1C6D">
        <w:t xml:space="preserve"> in dat kalenderjaar.</w:t>
      </w:r>
      <w:r>
        <w:t xml:space="preserve"> </w:t>
      </w:r>
    </w:p>
    <w:p w:rsidR="00EC1C6D" w:rsidP="00AE5997" w:rsidRDefault="00EC1C6D" w14:paraId="5D5F7560" w14:textId="77777777">
      <w:r>
        <w:t xml:space="preserve">3. </w:t>
      </w:r>
      <w:r w:rsidRPr="00EC1C6D">
        <w:t xml:space="preserve">Met de indiening van een aanvraag </w:t>
      </w:r>
      <w:r w:rsidR="004F693C">
        <w:t>tot</w:t>
      </w:r>
      <w:r w:rsidRPr="00EC1C6D">
        <w:t xml:space="preserve"> een toelating worden door de aanvrager die gegevens verstrekt die noodzakelijk zijn om de totale omzet vast te stellen.</w:t>
      </w:r>
    </w:p>
    <w:p w:rsidR="005C1798" w:rsidP="005C1798" w:rsidRDefault="005C1798" w14:paraId="3226C030" w14:textId="77777777">
      <w:pPr>
        <w:rPr>
          <w:color w:val="auto"/>
        </w:rPr>
      </w:pPr>
      <w:r>
        <w:lastRenderedPageBreak/>
        <w:t xml:space="preserve">4. </w:t>
      </w:r>
      <w:r w:rsidRPr="005C1798">
        <w:rPr>
          <w:color w:val="auto"/>
        </w:rPr>
        <w:t>Onze Minister kan de geldigheidsduur van de tijdens die aanvraag geldende toelating of voorlopige toelating ambtshalve verlengen, indien Onze Minister niet in staat is om tijdig een besluit te nemen op een opvolgende aanvraag tot verlening van een toelating door redenen die de aanvrager niet te verwijten zijn.</w:t>
      </w:r>
    </w:p>
    <w:p w:rsidR="00CC5D5B" w:rsidP="005C1798" w:rsidRDefault="00CC5D5B" w14:paraId="13A7C2E3" w14:textId="77777777">
      <w:pPr>
        <w:rPr>
          <w:color w:val="auto"/>
        </w:rPr>
      </w:pPr>
      <w:r>
        <w:rPr>
          <w:color w:val="auto"/>
        </w:rPr>
        <w:t xml:space="preserve">5. </w:t>
      </w:r>
      <w:r w:rsidRPr="005C1798">
        <w:rPr>
          <w:color w:val="auto"/>
        </w:rPr>
        <w:t xml:space="preserve">Het bedrag, </w:t>
      </w:r>
      <w:r w:rsidR="00347FF3">
        <w:rPr>
          <w:color w:val="auto"/>
        </w:rPr>
        <w:t>genoemd</w:t>
      </w:r>
      <w:r w:rsidRPr="005C1798">
        <w:rPr>
          <w:color w:val="auto"/>
        </w:rPr>
        <w:t xml:space="preserve"> in artikel 12i, vierde lid, van de wet, wordt per 1 januari van elk kalenderjaar bij ministeriële regeling gewijzigd aan de hand van de contractloonontwikkeling van het tweede daaraan voorafgaande jaar, blijkens bekendmaking in de Macro-Economische Verkenningen in het voorafgaande jaar. Bedoelde indexering vindt voor het eerst plaats op 1 januari 2028</w:t>
      </w:r>
      <w:r>
        <w:rPr>
          <w:color w:val="auto"/>
        </w:rPr>
        <w:t>.</w:t>
      </w:r>
    </w:p>
    <w:p w:rsidR="007271EF" w:rsidP="008670ED" w:rsidRDefault="005C1798" w14:paraId="25EC42F4" w14:textId="77777777">
      <w:pPr>
        <w:spacing w:line="276" w:lineRule="auto"/>
        <w:rPr>
          <w:color w:val="auto"/>
        </w:rPr>
      </w:pPr>
      <w:r>
        <w:rPr>
          <w:color w:val="auto"/>
        </w:rPr>
        <w:t xml:space="preserve">6. </w:t>
      </w:r>
      <w:r w:rsidRPr="005C1798">
        <w:rPr>
          <w:color w:val="auto"/>
        </w:rPr>
        <w:t>Bij ministeriële regeling</w:t>
      </w:r>
      <w:r w:rsidR="007271EF">
        <w:rPr>
          <w:color w:val="auto"/>
        </w:rPr>
        <w:t xml:space="preserve"> wordt de hoogte van de vergoedingen, bedoeld in het eerste lid, vastgesteld.</w:t>
      </w:r>
    </w:p>
    <w:p w:rsidR="005C1798" w:rsidP="008670ED" w:rsidRDefault="007271EF" w14:paraId="73D13EDD" w14:textId="77777777">
      <w:pPr>
        <w:spacing w:line="276" w:lineRule="auto"/>
        <w:rPr>
          <w:color w:val="auto"/>
        </w:rPr>
      </w:pPr>
      <w:r>
        <w:rPr>
          <w:color w:val="auto"/>
        </w:rPr>
        <w:t xml:space="preserve">7. Bij ministeriële </w:t>
      </w:r>
      <w:r w:rsidR="003B2E5B">
        <w:rPr>
          <w:color w:val="auto"/>
        </w:rPr>
        <w:t xml:space="preserve">regeling </w:t>
      </w:r>
      <w:r w:rsidR="00752EC4">
        <w:rPr>
          <w:color w:val="auto"/>
        </w:rPr>
        <w:t>worden</w:t>
      </w:r>
      <w:r w:rsidR="00EE2EDC">
        <w:rPr>
          <w:color w:val="auto"/>
        </w:rPr>
        <w:t xml:space="preserve"> </w:t>
      </w:r>
      <w:r w:rsidRPr="005C1798" w:rsidR="005C1798">
        <w:rPr>
          <w:color w:val="auto"/>
        </w:rPr>
        <w:t>nadere regels</w:t>
      </w:r>
      <w:r>
        <w:rPr>
          <w:color w:val="auto"/>
        </w:rPr>
        <w:t xml:space="preserve"> </w:t>
      </w:r>
      <w:r w:rsidRPr="005C1798" w:rsidR="005C1798">
        <w:rPr>
          <w:color w:val="auto"/>
        </w:rPr>
        <w:t>gesteld met betrekking tot het bepaalde in dit artikel</w:t>
      </w:r>
      <w:r w:rsidR="00EC1C6D">
        <w:rPr>
          <w:color w:val="auto"/>
        </w:rPr>
        <w:t xml:space="preserve">, </w:t>
      </w:r>
      <w:r w:rsidRPr="00EC1C6D" w:rsidR="00EC1C6D">
        <w:rPr>
          <w:color w:val="auto"/>
        </w:rPr>
        <w:t>waaronder regels met betrekking tot de gegevens en bescheiden die in het kader van een aanvraag tot een toelating worden verstrekt</w:t>
      </w:r>
      <w:r w:rsidRPr="005C1798" w:rsidR="005C1798">
        <w:rPr>
          <w:color w:val="auto"/>
        </w:rPr>
        <w:t>.</w:t>
      </w:r>
    </w:p>
    <w:p w:rsidRPr="00747775" w:rsidR="005C1798" w:rsidP="008670ED" w:rsidRDefault="005C1798" w14:paraId="3D659547" w14:textId="77777777">
      <w:pPr>
        <w:spacing w:line="276" w:lineRule="auto"/>
        <w:rPr>
          <w:color w:val="auto"/>
        </w:rPr>
      </w:pPr>
    </w:p>
    <w:p w:rsidRPr="00F263AC" w:rsidR="00D21B26" w:rsidP="008670ED" w:rsidRDefault="00347FF3" w14:paraId="7D1C9B55" w14:textId="77777777">
      <w:pPr>
        <w:autoSpaceDN/>
        <w:spacing w:line="276" w:lineRule="auto"/>
        <w:rPr>
          <w:color w:val="auto"/>
        </w:rPr>
      </w:pPr>
      <w:r w:rsidRPr="00AE5997">
        <w:rPr>
          <w:color w:val="auto"/>
        </w:rPr>
        <w:t>B</w:t>
      </w:r>
    </w:p>
    <w:p w:rsidR="005A763C" w:rsidP="008670ED" w:rsidRDefault="005A763C" w14:paraId="4D800437" w14:textId="77777777">
      <w:pPr>
        <w:autoSpaceDN/>
        <w:spacing w:line="276" w:lineRule="auto"/>
        <w:rPr>
          <w:color w:val="auto"/>
        </w:rPr>
      </w:pPr>
    </w:p>
    <w:p w:rsidR="00F50A10" w:rsidP="008670ED" w:rsidRDefault="00347FF3" w14:paraId="432E8108" w14:textId="77777777">
      <w:pPr>
        <w:autoSpaceDN/>
        <w:spacing w:line="276" w:lineRule="auto"/>
        <w:rPr>
          <w:color w:val="auto"/>
        </w:rPr>
      </w:pPr>
      <w:r>
        <w:rPr>
          <w:color w:val="auto"/>
        </w:rPr>
        <w:t>Artikel 1b:9</w:t>
      </w:r>
      <w:r w:rsidR="00F50A10">
        <w:rPr>
          <w:color w:val="auto"/>
        </w:rPr>
        <w:t xml:space="preserve"> wordt als volgt gewijzigd:</w:t>
      </w:r>
    </w:p>
    <w:p w:rsidR="00F50A10" w:rsidP="008670ED" w:rsidRDefault="00F50A10" w14:paraId="6A18DB95" w14:textId="77777777">
      <w:pPr>
        <w:autoSpaceDN/>
        <w:spacing w:line="276" w:lineRule="auto"/>
        <w:rPr>
          <w:color w:val="auto"/>
        </w:rPr>
      </w:pPr>
    </w:p>
    <w:p w:rsidR="00347FF3" w:rsidP="008670ED" w:rsidRDefault="00F50A10" w14:paraId="56ACCE80" w14:textId="77777777">
      <w:pPr>
        <w:autoSpaceDN/>
        <w:spacing w:line="276" w:lineRule="auto"/>
        <w:rPr>
          <w:color w:val="auto"/>
        </w:rPr>
      </w:pPr>
      <w:r w:rsidRPr="00F50A10">
        <w:rPr>
          <w:color w:val="auto"/>
        </w:rPr>
        <w:t>1.</w:t>
      </w:r>
      <w:r>
        <w:rPr>
          <w:color w:val="auto"/>
        </w:rPr>
        <w:t xml:space="preserve"> Het</w:t>
      </w:r>
      <w:r w:rsidRPr="00AE5997" w:rsidR="00347FF3">
        <w:rPr>
          <w:color w:val="auto"/>
        </w:rPr>
        <w:t xml:space="preserve"> tweede lid komt te luiden:</w:t>
      </w:r>
    </w:p>
    <w:p w:rsidR="00347FF3" w:rsidP="008670ED" w:rsidRDefault="00347FF3" w14:paraId="3E7AE981" w14:textId="77777777">
      <w:pPr>
        <w:autoSpaceDN/>
        <w:spacing w:line="276" w:lineRule="auto"/>
        <w:rPr>
          <w:color w:val="auto"/>
        </w:rPr>
      </w:pPr>
      <w:r>
        <w:rPr>
          <w:color w:val="auto"/>
        </w:rPr>
        <w:t xml:space="preserve">2. De vergoeding, bedoeld in artikel 12s, derde lid, onderdeel </w:t>
      </w:r>
      <w:r w:rsidR="00C01D18">
        <w:rPr>
          <w:color w:val="auto"/>
        </w:rPr>
        <w:t>b</w:t>
      </w:r>
      <w:r>
        <w:rPr>
          <w:color w:val="auto"/>
        </w:rPr>
        <w:t>, van de wet, bestaat uit:</w:t>
      </w:r>
    </w:p>
    <w:p w:rsidR="00347FF3" w:rsidP="00347FF3" w:rsidRDefault="00347FF3" w14:paraId="0C5CCE03" w14:textId="77777777">
      <w:pPr>
        <w:ind w:left="708"/>
      </w:pPr>
      <w:r>
        <w:t xml:space="preserve">a. een vergoeding die de inspectie-instelling is verschuldigd voor de behandeling van de aanwijzing; </w:t>
      </w:r>
      <w:r w:rsidR="00003FDC">
        <w:t>en</w:t>
      </w:r>
    </w:p>
    <w:p w:rsidR="00347FF3" w:rsidP="00347FF3" w:rsidRDefault="00347FF3" w14:paraId="5F57FBE4" w14:textId="77777777">
      <w:pPr>
        <w:ind w:left="708"/>
      </w:pPr>
      <w:r>
        <w:t>b. een jaarlijkse vergoeding die inspectie-instelling is verschuldigd voor het behoud van de aanwijzing.</w:t>
      </w:r>
    </w:p>
    <w:p w:rsidR="00F50A10" w:rsidP="00F50A10" w:rsidRDefault="00F50A10" w14:paraId="4D673983" w14:textId="77777777">
      <w:r>
        <w:t xml:space="preserve">2. Het derde </w:t>
      </w:r>
      <w:r w:rsidR="007271EF">
        <w:t>lid komt te luiden:</w:t>
      </w:r>
    </w:p>
    <w:p w:rsidR="007271EF" w:rsidP="00AE5997" w:rsidRDefault="007271EF" w14:paraId="0C162EB6" w14:textId="77777777">
      <w:r>
        <w:t xml:space="preserve">3. Bij ministeriële regeling wordt de hoogte van de vergoedingen, bedoeld in het tweede lid, vastgesteld en kunnen nadere regels worden gesteld met betrekking tot het bepaalde in dit artikel. </w:t>
      </w:r>
    </w:p>
    <w:p w:rsidR="00347FF3" w:rsidP="008670ED" w:rsidRDefault="00347FF3" w14:paraId="4A0AA09B" w14:textId="77777777">
      <w:pPr>
        <w:autoSpaceDN/>
        <w:spacing w:line="276" w:lineRule="auto"/>
        <w:rPr>
          <w:color w:val="auto"/>
        </w:rPr>
      </w:pPr>
    </w:p>
    <w:p w:rsidRPr="00BE5DBB" w:rsidR="00BE5DBB" w:rsidP="008670ED" w:rsidRDefault="00BE5DBB" w14:paraId="14C045C2" w14:textId="77777777">
      <w:pPr>
        <w:autoSpaceDN/>
        <w:spacing w:line="276" w:lineRule="auto"/>
        <w:rPr>
          <w:b/>
          <w:bCs/>
          <w:color w:val="auto"/>
        </w:rPr>
      </w:pPr>
      <w:r w:rsidRPr="00BE5DBB">
        <w:rPr>
          <w:b/>
          <w:bCs/>
          <w:color w:val="auto"/>
        </w:rPr>
        <w:t>Artikel II</w:t>
      </w:r>
    </w:p>
    <w:p w:rsidR="00BE5DBB" w:rsidP="008670ED" w:rsidRDefault="00BE5DBB" w14:paraId="2F40E916" w14:textId="77777777">
      <w:pPr>
        <w:autoSpaceDN/>
        <w:spacing w:line="276" w:lineRule="auto"/>
        <w:rPr>
          <w:color w:val="auto"/>
        </w:rPr>
      </w:pPr>
    </w:p>
    <w:p w:rsidRPr="00747775" w:rsidR="00BE5DBB" w:rsidP="008670ED" w:rsidRDefault="00BE5DBB" w14:paraId="683AC103" w14:textId="77777777">
      <w:pPr>
        <w:autoSpaceDN/>
        <w:spacing w:line="276" w:lineRule="auto"/>
        <w:rPr>
          <w:color w:val="auto"/>
        </w:rPr>
      </w:pPr>
      <w:r>
        <w:rPr>
          <w:color w:val="auto"/>
        </w:rPr>
        <w:t xml:space="preserve">Dit besluit treedt in werking </w:t>
      </w:r>
      <w:r w:rsidRPr="00F45AB6" w:rsidR="00D21B26">
        <w:rPr>
          <w:color w:val="auto"/>
        </w:rPr>
        <w:t>op een bij koninklijk besluit te bepalen tijdstip</w:t>
      </w:r>
      <w:r>
        <w:rPr>
          <w:color w:val="auto"/>
        </w:rPr>
        <w:t xml:space="preserve">. </w:t>
      </w:r>
    </w:p>
    <w:p w:rsidR="008670ED" w:rsidRDefault="008670ED" w14:paraId="310B8FFE" w14:textId="77777777"/>
    <w:p w:rsidR="008670ED" w:rsidRDefault="008670ED" w14:paraId="239FDF70" w14:textId="77777777"/>
    <w:p w:rsidR="008670ED" w:rsidRDefault="008670ED" w14:paraId="474B8F33" w14:textId="77777777"/>
    <w:p w:rsidR="006D5A1C" w:rsidRDefault="005022FA" w14:paraId="38C16441" w14:textId="77777777">
      <w:r>
        <w:t>Lasten en bevelen dat dit besluit met de daarbij behorende nota van toelichting in het Staatsblad zal worden geplaatst.</w:t>
      </w:r>
    </w:p>
    <w:p w:rsidR="006D5A1C" w:rsidRDefault="006D5A1C" w14:paraId="6E2FEB73" w14:textId="77777777"/>
    <w:p w:rsidR="006D5A1C" w:rsidRDefault="006D5A1C" w14:paraId="3F6892D0" w14:textId="77777777"/>
    <w:p w:rsidR="006D5A1C" w:rsidRDefault="006D5A1C" w14:paraId="29D50F1A" w14:textId="77777777"/>
    <w:tbl>
      <w:tblPr>
        <w:tblW w:w="8108" w:type="dxa"/>
        <w:tblLayout w:type="fixed"/>
        <w:tblLook w:val="07E0" w:firstRow="1" w:lastRow="1" w:firstColumn="1" w:lastColumn="1" w:noHBand="1" w:noVBand="1"/>
      </w:tblPr>
      <w:tblGrid>
        <w:gridCol w:w="8108"/>
      </w:tblGrid>
      <w:tr w:rsidR="006D5A1C" w14:paraId="3DA84A63" w14:textId="77777777">
        <w:tc>
          <w:tcPr>
            <w:tcW w:w="360" w:type="dxa"/>
          </w:tcPr>
          <w:p w:rsidR="006D5A1C" w:rsidRDefault="005022FA" w14:paraId="6DB1349B" w14:textId="77777777">
            <w:r>
              <w:t>De Minister van Sociale Zaken </w:t>
            </w:r>
          </w:p>
          <w:p w:rsidR="006D5A1C" w:rsidRDefault="005022FA" w14:paraId="423C082F" w14:textId="77777777">
            <w:r>
              <w:t>en Werkgelegenheid,</w:t>
            </w:r>
          </w:p>
          <w:p w:rsidR="006D5A1C" w:rsidRDefault="006D5A1C" w14:paraId="1412BFE1" w14:textId="77777777"/>
          <w:p w:rsidR="006D5A1C" w:rsidRDefault="006D5A1C" w14:paraId="2E57D52F" w14:textId="77777777"/>
          <w:p w:rsidR="006D5A1C" w:rsidRDefault="006D5A1C" w14:paraId="7A9A399F" w14:textId="77777777"/>
          <w:p w:rsidR="006D5A1C" w:rsidRDefault="006D5A1C" w14:paraId="09A188E5" w14:textId="77777777"/>
          <w:p w:rsidR="006D5A1C" w:rsidRDefault="006D5A1C" w14:paraId="150D5DAF" w14:textId="77777777"/>
          <w:p w:rsidRPr="009F031F" w:rsidR="006D5A1C" w:rsidP="009F031F" w:rsidRDefault="007B75B0" w14:paraId="0A2B6402" w14:textId="20711F3F">
            <w:pPr>
              <w:spacing w:line="276" w:lineRule="auto"/>
              <w:rPr>
                <w:color w:val="auto"/>
              </w:rPr>
            </w:pPr>
            <w:r w:rsidRPr="005A1E8D">
              <w:rPr>
                <w:color w:val="auto"/>
              </w:rPr>
              <w:t>J.A. Vijlbrief</w:t>
            </w:r>
          </w:p>
        </w:tc>
      </w:tr>
    </w:tbl>
    <w:p w:rsidR="009F031F" w:rsidP="00BE5DBB" w:rsidRDefault="009F031F" w14:paraId="59C7A5BB" w14:textId="77777777">
      <w:pPr>
        <w:spacing w:line="276" w:lineRule="auto"/>
      </w:pPr>
    </w:p>
    <w:p w:rsidR="00BE5DBB" w:rsidP="00BE5DBB" w:rsidRDefault="00BE5DBB" w14:paraId="0DBADC4B" w14:textId="2EC86B43">
      <w:pPr>
        <w:spacing w:line="276" w:lineRule="auto"/>
        <w:rPr>
          <w:b/>
          <w:bCs/>
          <w:color w:val="auto"/>
          <w:sz w:val="20"/>
          <w:szCs w:val="20"/>
        </w:rPr>
      </w:pPr>
      <w:r>
        <w:rPr>
          <w:b/>
          <w:bCs/>
          <w:color w:val="auto"/>
          <w:sz w:val="20"/>
          <w:szCs w:val="20"/>
        </w:rPr>
        <w:lastRenderedPageBreak/>
        <w:t xml:space="preserve">Nota van toelichting </w:t>
      </w:r>
    </w:p>
    <w:p w:rsidR="00510BB6" w:rsidP="00A25823" w:rsidRDefault="00510BB6" w14:paraId="54A1CF75" w14:textId="77777777">
      <w:pPr>
        <w:pStyle w:val="Geenafstand"/>
        <w:spacing w:line="276" w:lineRule="auto"/>
        <w:rPr>
          <w:rFonts w:cstheme="minorHAnsi"/>
          <w:lang w:val="nl-NL"/>
        </w:rPr>
      </w:pPr>
    </w:p>
    <w:p w:rsidRPr="00B51CBC" w:rsidR="00B51CBC" w:rsidP="00A25823" w:rsidRDefault="00B51CBC" w14:paraId="5EA0ADC5" w14:textId="77777777">
      <w:pPr>
        <w:pStyle w:val="Geenafstand"/>
        <w:spacing w:line="276" w:lineRule="auto"/>
        <w:rPr>
          <w:rFonts w:cstheme="minorHAnsi"/>
          <w:b/>
          <w:bCs/>
          <w:lang w:val="nl-NL"/>
        </w:rPr>
      </w:pPr>
      <w:r w:rsidRPr="00B51CBC">
        <w:rPr>
          <w:rFonts w:cstheme="minorHAnsi"/>
          <w:b/>
          <w:bCs/>
          <w:lang w:val="nl-NL"/>
        </w:rPr>
        <w:t xml:space="preserve">ALGEMEEN </w:t>
      </w:r>
    </w:p>
    <w:p w:rsidRPr="00B51CBC" w:rsidR="00B51CBC" w:rsidP="00A25823" w:rsidRDefault="00B51CBC" w14:paraId="5537387B" w14:textId="77777777">
      <w:pPr>
        <w:pStyle w:val="Geenafstand"/>
        <w:spacing w:line="276" w:lineRule="auto"/>
        <w:rPr>
          <w:rFonts w:cstheme="minorHAnsi"/>
          <w:b/>
          <w:bCs/>
          <w:lang w:val="nl-NL"/>
        </w:rPr>
      </w:pPr>
    </w:p>
    <w:p w:rsidRPr="00B51CBC" w:rsidR="00DB064E" w:rsidP="00636D81" w:rsidRDefault="00E6747D" w14:paraId="427E9F53" w14:textId="77777777">
      <w:pPr>
        <w:pStyle w:val="Geenafstand"/>
        <w:numPr>
          <w:ilvl w:val="0"/>
          <w:numId w:val="10"/>
        </w:numPr>
        <w:spacing w:line="276" w:lineRule="auto"/>
        <w:rPr>
          <w:rFonts w:cstheme="minorHAnsi"/>
          <w:b/>
          <w:bCs/>
          <w:lang w:val="nl-NL"/>
        </w:rPr>
      </w:pPr>
      <w:r w:rsidRPr="00B51CBC">
        <w:rPr>
          <w:rFonts w:cstheme="minorHAnsi"/>
          <w:b/>
          <w:bCs/>
          <w:lang w:val="nl-NL"/>
        </w:rPr>
        <w:t>I</w:t>
      </w:r>
      <w:r w:rsidRPr="00B51CBC" w:rsidR="00DB064E">
        <w:rPr>
          <w:rFonts w:cstheme="minorHAnsi"/>
          <w:b/>
          <w:bCs/>
          <w:lang w:val="nl-NL"/>
        </w:rPr>
        <w:t xml:space="preserve">nleiding </w:t>
      </w:r>
    </w:p>
    <w:p w:rsidR="00E6747D" w:rsidP="00E6747D" w:rsidRDefault="00E6747D" w14:paraId="0EB3086D" w14:textId="77777777">
      <w:pPr>
        <w:pStyle w:val="Geenafstand"/>
        <w:spacing w:line="276" w:lineRule="auto"/>
        <w:rPr>
          <w:rFonts w:cstheme="minorHAnsi"/>
          <w:lang w:val="nl-NL"/>
        </w:rPr>
      </w:pPr>
    </w:p>
    <w:p w:rsidR="00B51CBC" w:rsidP="00E6747D" w:rsidRDefault="00E6747D" w14:paraId="0556E5D7" w14:textId="77777777">
      <w:pPr>
        <w:pStyle w:val="Geenafstand"/>
        <w:spacing w:line="276" w:lineRule="auto"/>
        <w:rPr>
          <w:lang w:val="nl-NL"/>
        </w:rPr>
      </w:pPr>
      <w:r>
        <w:rPr>
          <w:lang w:val="nl-NL"/>
        </w:rPr>
        <w:t xml:space="preserve">Op </w:t>
      </w:r>
      <w:r w:rsidR="00162C6B">
        <w:rPr>
          <w:lang w:val="nl-NL"/>
        </w:rPr>
        <w:t xml:space="preserve">20 februari 2026 </w:t>
      </w:r>
      <w:r>
        <w:rPr>
          <w:lang w:val="nl-NL"/>
        </w:rPr>
        <w:t>is het Besluit</w:t>
      </w:r>
      <w:r w:rsidR="00B51CBC">
        <w:rPr>
          <w:lang w:val="nl-NL"/>
        </w:rPr>
        <w:t xml:space="preserve"> tot wijziging</w:t>
      </w:r>
      <w:r>
        <w:rPr>
          <w:lang w:val="nl-NL"/>
        </w:rPr>
        <w:t xml:space="preserve"> </w:t>
      </w:r>
      <w:r w:rsidR="00524E88">
        <w:rPr>
          <w:lang w:val="nl-NL"/>
        </w:rPr>
        <w:t xml:space="preserve">van het Besluit </w:t>
      </w:r>
      <w:r>
        <w:rPr>
          <w:lang w:val="nl-NL"/>
        </w:rPr>
        <w:t>allocatie arbeidskrachten door intermediairs (</w:t>
      </w:r>
      <w:proofErr w:type="spellStart"/>
      <w:r>
        <w:rPr>
          <w:lang w:val="nl-NL"/>
        </w:rPr>
        <w:t>Baadi</w:t>
      </w:r>
      <w:proofErr w:type="spellEnd"/>
      <w:r>
        <w:rPr>
          <w:lang w:val="nl-NL"/>
        </w:rPr>
        <w:t xml:space="preserve">) in verband met </w:t>
      </w:r>
      <w:r w:rsidR="007C0919">
        <w:rPr>
          <w:lang w:val="nl-NL"/>
        </w:rPr>
        <w:t xml:space="preserve">de </w:t>
      </w:r>
      <w:r w:rsidRPr="002D25DC" w:rsidR="007C0919">
        <w:rPr>
          <w:lang w:val="nl-NL"/>
        </w:rPr>
        <w:t>invoering van een toelatingsplicht voor het ter beschikking stellen van arbeidskrachten</w:t>
      </w:r>
      <w:r w:rsidR="007C0919">
        <w:rPr>
          <w:lang w:val="nl-NL"/>
        </w:rPr>
        <w:t xml:space="preserve"> </w:t>
      </w:r>
      <w:r>
        <w:rPr>
          <w:lang w:val="nl-NL"/>
        </w:rPr>
        <w:t xml:space="preserve">(hierna: </w:t>
      </w:r>
      <w:r w:rsidR="004B09D0">
        <w:rPr>
          <w:lang w:val="nl-NL"/>
        </w:rPr>
        <w:t>het wijzigingsbesluit</w:t>
      </w:r>
      <w:r>
        <w:rPr>
          <w:lang w:val="nl-NL"/>
        </w:rPr>
        <w:t>)</w:t>
      </w:r>
      <w:r w:rsidR="0000469F">
        <w:rPr>
          <w:lang w:val="nl-NL"/>
        </w:rPr>
        <w:t xml:space="preserve"> gepubliceerd</w:t>
      </w:r>
      <w:r>
        <w:rPr>
          <w:lang w:val="nl-NL"/>
        </w:rPr>
        <w:t>.</w:t>
      </w:r>
      <w:r w:rsidR="00567417">
        <w:rPr>
          <w:rStyle w:val="Voetnootmarkering"/>
          <w:lang w:val="nl-NL"/>
        </w:rPr>
        <w:footnoteReference w:id="1"/>
      </w:r>
      <w:r>
        <w:rPr>
          <w:lang w:val="nl-NL"/>
        </w:rPr>
        <w:t xml:space="preserve"> De </w:t>
      </w:r>
      <w:r w:rsidR="00D4763D">
        <w:rPr>
          <w:lang w:val="nl-NL"/>
        </w:rPr>
        <w:t>W</w:t>
      </w:r>
      <w:r>
        <w:rPr>
          <w:lang w:val="nl-NL"/>
        </w:rPr>
        <w:t xml:space="preserve">et </w:t>
      </w:r>
      <w:r w:rsidR="008747F2">
        <w:rPr>
          <w:lang w:val="nl-NL"/>
        </w:rPr>
        <w:t xml:space="preserve">toelating ter beschikkingstelling van arbeidskrachten </w:t>
      </w:r>
      <w:r>
        <w:rPr>
          <w:lang w:val="nl-NL"/>
        </w:rPr>
        <w:t>introduceert het toelatingsstelsel voor het ter beschikking stellen van arbeidskrachten in de Wet allocatie arbeidskrachten door intermediairs</w:t>
      </w:r>
      <w:r w:rsidR="002F337E">
        <w:rPr>
          <w:lang w:val="nl-NL"/>
        </w:rPr>
        <w:t xml:space="preserve"> (</w:t>
      </w:r>
      <w:proofErr w:type="spellStart"/>
      <w:r w:rsidR="002F337E">
        <w:rPr>
          <w:lang w:val="nl-NL"/>
        </w:rPr>
        <w:t>Waadi</w:t>
      </w:r>
      <w:proofErr w:type="spellEnd"/>
      <w:r w:rsidR="002F337E">
        <w:rPr>
          <w:lang w:val="nl-NL"/>
        </w:rPr>
        <w:t>)</w:t>
      </w:r>
      <w:r>
        <w:rPr>
          <w:lang w:val="nl-NL"/>
        </w:rPr>
        <w:t>. In de memorie van toelichting bij voornoemde wet is de beleidsmatige achtergrond bij het toelatingsstelsel nader toegelicht.</w:t>
      </w:r>
      <w:r>
        <w:rPr>
          <w:rStyle w:val="Voetnootmarkering"/>
          <w:lang w:val="nl-NL"/>
        </w:rPr>
        <w:footnoteReference w:id="2"/>
      </w:r>
      <w:r>
        <w:rPr>
          <w:lang w:val="nl-NL"/>
        </w:rPr>
        <w:t xml:space="preserve"> </w:t>
      </w:r>
      <w:r w:rsidR="00B51CBC">
        <w:rPr>
          <w:lang w:val="nl-NL"/>
        </w:rPr>
        <w:t xml:space="preserve">De wet regelt dat de Minister van SZW het bestuursorgaan is voor het toelatingsstelsel. De taken worden </w:t>
      </w:r>
      <w:r w:rsidR="002F337E">
        <w:rPr>
          <w:lang w:val="nl-NL"/>
        </w:rPr>
        <w:t>namens</w:t>
      </w:r>
      <w:r w:rsidR="00B51CBC">
        <w:rPr>
          <w:lang w:val="nl-NL"/>
        </w:rPr>
        <w:t xml:space="preserve"> de Minister van SZW uitgevoerd door de toelatende instantie (Nederlandse Autoriteit Uitleenmarkt). In deze toelichting wordt zowel ‘Minister van SZW’</w:t>
      </w:r>
      <w:r w:rsidR="00F02DAF">
        <w:rPr>
          <w:lang w:val="nl-NL"/>
        </w:rPr>
        <w:t xml:space="preserve"> </w:t>
      </w:r>
      <w:r w:rsidR="00B51CBC">
        <w:rPr>
          <w:lang w:val="nl-NL"/>
        </w:rPr>
        <w:t>als ‘</w:t>
      </w:r>
      <w:r w:rsidR="00B93610">
        <w:rPr>
          <w:lang w:val="nl-NL"/>
        </w:rPr>
        <w:t>Nederlandse Autoriteit Uitleenmarkt</w:t>
      </w:r>
      <w:r w:rsidR="00B51CBC">
        <w:rPr>
          <w:lang w:val="nl-NL"/>
        </w:rPr>
        <w:t xml:space="preserve">’ gebruikt om te verwijzen naar het bestuursorgaan. </w:t>
      </w:r>
    </w:p>
    <w:p w:rsidR="00B51CBC" w:rsidP="00E6747D" w:rsidRDefault="00B51CBC" w14:paraId="71BC0AF8" w14:textId="77777777">
      <w:pPr>
        <w:pStyle w:val="Geenafstand"/>
        <w:spacing w:line="276" w:lineRule="auto"/>
        <w:rPr>
          <w:lang w:val="nl-NL"/>
        </w:rPr>
      </w:pPr>
    </w:p>
    <w:p w:rsidR="00604E33" w:rsidP="00E6747D" w:rsidRDefault="00B51CBC" w14:paraId="55FDD031" w14:textId="77777777">
      <w:pPr>
        <w:pStyle w:val="Geenafstand"/>
        <w:spacing w:line="276" w:lineRule="auto"/>
        <w:rPr>
          <w:lang w:val="nl-NL"/>
        </w:rPr>
      </w:pPr>
      <w:r>
        <w:rPr>
          <w:lang w:val="nl-NL"/>
        </w:rPr>
        <w:t xml:space="preserve">Dit besluit brengt </w:t>
      </w:r>
      <w:r w:rsidR="00003FDC">
        <w:rPr>
          <w:lang w:val="nl-NL"/>
        </w:rPr>
        <w:t xml:space="preserve">een aantal </w:t>
      </w:r>
      <w:r>
        <w:rPr>
          <w:lang w:val="nl-NL"/>
        </w:rPr>
        <w:t xml:space="preserve">wijzigingen aan in </w:t>
      </w:r>
      <w:r w:rsidR="00D4763D">
        <w:rPr>
          <w:lang w:val="nl-NL"/>
        </w:rPr>
        <w:t xml:space="preserve">het </w:t>
      </w:r>
      <w:r>
        <w:rPr>
          <w:lang w:val="nl-NL"/>
        </w:rPr>
        <w:t>B</w:t>
      </w:r>
      <w:r w:rsidR="00D4763D">
        <w:rPr>
          <w:lang w:val="nl-NL"/>
        </w:rPr>
        <w:t>esluit allocatie arbeidskrachten door intermediairs</w:t>
      </w:r>
      <w:r w:rsidR="003F19C3">
        <w:rPr>
          <w:lang w:val="nl-NL"/>
        </w:rPr>
        <w:t xml:space="preserve"> (</w:t>
      </w:r>
      <w:proofErr w:type="spellStart"/>
      <w:r w:rsidR="003F19C3">
        <w:rPr>
          <w:lang w:val="nl-NL"/>
        </w:rPr>
        <w:t>Baadi</w:t>
      </w:r>
      <w:proofErr w:type="spellEnd"/>
      <w:r w:rsidR="003F19C3">
        <w:rPr>
          <w:lang w:val="nl-NL"/>
        </w:rPr>
        <w:t>)</w:t>
      </w:r>
      <w:r w:rsidR="00D4763D">
        <w:rPr>
          <w:lang w:val="nl-NL"/>
        </w:rPr>
        <w:t xml:space="preserve">. </w:t>
      </w:r>
      <w:r>
        <w:rPr>
          <w:lang w:val="nl-NL"/>
        </w:rPr>
        <w:t xml:space="preserve">Deze wijzigingen zien op de nadere uitwerking van de vergoeding die uitleners verschuldigd zijn in verband met de aanvraag voor </w:t>
      </w:r>
      <w:r w:rsidR="007B75B0">
        <w:rPr>
          <w:lang w:val="nl-NL"/>
        </w:rPr>
        <w:t xml:space="preserve">een </w:t>
      </w:r>
      <w:r w:rsidR="00B814F4">
        <w:rPr>
          <w:lang w:val="nl-NL"/>
        </w:rPr>
        <w:t xml:space="preserve">(voorlopige) </w:t>
      </w:r>
      <w:r>
        <w:rPr>
          <w:lang w:val="nl-NL"/>
        </w:rPr>
        <w:t>toelating</w:t>
      </w:r>
      <w:r w:rsidR="00003FDC">
        <w:rPr>
          <w:lang w:val="nl-NL"/>
        </w:rPr>
        <w:t xml:space="preserve"> en de vergoeding die inspectie-instellingen verschuldigd zijn in verband met de aanwijzingsprocedure</w:t>
      </w:r>
      <w:r>
        <w:rPr>
          <w:lang w:val="nl-NL"/>
        </w:rPr>
        <w:t xml:space="preserve">. </w:t>
      </w:r>
    </w:p>
    <w:p w:rsidR="00231100" w:rsidP="00E6747D" w:rsidRDefault="00231100" w14:paraId="0528CAA3" w14:textId="77777777">
      <w:pPr>
        <w:pStyle w:val="Geenafstand"/>
        <w:spacing w:line="276" w:lineRule="auto"/>
        <w:rPr>
          <w:lang w:val="nl-NL"/>
        </w:rPr>
      </w:pPr>
    </w:p>
    <w:p w:rsidRPr="00CA7B3C" w:rsidR="00095F16" w:rsidP="00095F16" w:rsidRDefault="002C1267" w14:paraId="08F272BC" w14:textId="77777777">
      <w:pPr>
        <w:pStyle w:val="Geenafstand"/>
        <w:numPr>
          <w:ilvl w:val="0"/>
          <w:numId w:val="10"/>
        </w:numPr>
        <w:spacing w:line="276" w:lineRule="auto"/>
        <w:rPr>
          <w:b/>
          <w:bCs/>
          <w:lang w:val="nl-NL"/>
        </w:rPr>
      </w:pPr>
      <w:r w:rsidRPr="00CA7B3C">
        <w:rPr>
          <w:b/>
          <w:bCs/>
          <w:lang w:val="nl-NL"/>
        </w:rPr>
        <w:t xml:space="preserve">Wijzigingen </w:t>
      </w:r>
      <w:proofErr w:type="spellStart"/>
      <w:r w:rsidRPr="00CA7B3C">
        <w:rPr>
          <w:b/>
          <w:bCs/>
          <w:lang w:val="nl-NL"/>
        </w:rPr>
        <w:t>Baadi</w:t>
      </w:r>
      <w:proofErr w:type="spellEnd"/>
      <w:r w:rsidRPr="00CA7B3C">
        <w:rPr>
          <w:b/>
          <w:bCs/>
          <w:lang w:val="nl-NL"/>
        </w:rPr>
        <w:t xml:space="preserve"> </w:t>
      </w:r>
    </w:p>
    <w:p w:rsidR="002C1267" w:rsidP="002C1267" w:rsidRDefault="002C1267" w14:paraId="58284D85" w14:textId="77777777">
      <w:pPr>
        <w:pStyle w:val="Geenafstand"/>
        <w:spacing w:line="276" w:lineRule="auto"/>
        <w:rPr>
          <w:lang w:val="nl-NL"/>
        </w:rPr>
      </w:pPr>
    </w:p>
    <w:p w:rsidRPr="00AE41A8" w:rsidR="002C1267" w:rsidP="002C1267" w:rsidRDefault="00AE41A8" w14:paraId="1D32BC23" w14:textId="77777777">
      <w:pPr>
        <w:pStyle w:val="Geenafstand"/>
        <w:spacing w:line="276" w:lineRule="auto"/>
        <w:rPr>
          <w:i/>
          <w:iCs/>
          <w:lang w:val="nl-NL"/>
        </w:rPr>
      </w:pPr>
      <w:r w:rsidRPr="00AE41A8">
        <w:rPr>
          <w:i/>
          <w:iCs/>
          <w:lang w:val="nl-NL"/>
        </w:rPr>
        <w:t>U</w:t>
      </w:r>
      <w:r w:rsidRPr="00AE41A8" w:rsidR="00E46C3E">
        <w:rPr>
          <w:i/>
          <w:iCs/>
          <w:lang w:val="nl-NL"/>
        </w:rPr>
        <w:t xml:space="preserve">itleners geven </w:t>
      </w:r>
      <w:r w:rsidRPr="00AE41A8" w:rsidR="00A23F6B">
        <w:rPr>
          <w:i/>
          <w:iCs/>
          <w:lang w:val="nl-NL"/>
        </w:rPr>
        <w:t xml:space="preserve">jaaromzet </w:t>
      </w:r>
      <w:r w:rsidRPr="00AE41A8" w:rsidR="00E46C3E">
        <w:rPr>
          <w:i/>
          <w:iCs/>
          <w:lang w:val="nl-NL"/>
        </w:rPr>
        <w:t xml:space="preserve">op </w:t>
      </w:r>
      <w:r w:rsidRPr="00AE41A8" w:rsidR="001C3CB9">
        <w:rPr>
          <w:i/>
          <w:iCs/>
          <w:lang w:val="nl-NL"/>
        </w:rPr>
        <w:t>vanwege de hoogte van de jaarbijdrage</w:t>
      </w:r>
    </w:p>
    <w:p w:rsidR="00095F16" w:rsidP="00095F16" w:rsidRDefault="00095F16" w14:paraId="3E6855DE" w14:textId="77777777">
      <w:pPr>
        <w:pStyle w:val="Geenafstand"/>
        <w:spacing w:line="276" w:lineRule="auto"/>
        <w:ind w:left="720"/>
        <w:rPr>
          <w:lang w:val="nl-NL"/>
        </w:rPr>
      </w:pPr>
    </w:p>
    <w:p w:rsidR="00DD64AE" w:rsidP="00191802" w:rsidRDefault="00A6598C" w14:paraId="43B3069B" w14:textId="77777777">
      <w:pPr>
        <w:spacing w:line="276" w:lineRule="auto"/>
        <w:rPr>
          <w:rFonts w:cstheme="minorHAnsi"/>
        </w:rPr>
      </w:pPr>
      <w:r>
        <w:rPr>
          <w:rFonts w:cstheme="minorHAnsi"/>
        </w:rPr>
        <w:t>Artikel 12i</w:t>
      </w:r>
      <w:r w:rsidR="00587E48">
        <w:rPr>
          <w:rFonts w:cstheme="minorHAnsi"/>
        </w:rPr>
        <w:t>,</w:t>
      </w:r>
      <w:r>
        <w:rPr>
          <w:rFonts w:cstheme="minorHAnsi"/>
        </w:rPr>
        <w:t xml:space="preserve"> derde lid van d</w:t>
      </w:r>
      <w:r w:rsidR="0000469F">
        <w:rPr>
          <w:rFonts w:cstheme="minorHAnsi"/>
        </w:rPr>
        <w:t xml:space="preserve">e </w:t>
      </w:r>
      <w:proofErr w:type="spellStart"/>
      <w:r w:rsidR="00AE41A8">
        <w:rPr>
          <w:rFonts w:cstheme="minorHAnsi"/>
        </w:rPr>
        <w:t>Waadi</w:t>
      </w:r>
      <w:proofErr w:type="spellEnd"/>
      <w:r w:rsidR="0000469F">
        <w:rPr>
          <w:rFonts w:cstheme="minorHAnsi"/>
        </w:rPr>
        <w:t xml:space="preserve"> regelt dat de </w:t>
      </w:r>
      <w:r w:rsidRPr="007B75B0" w:rsidR="007B75B0">
        <w:rPr>
          <w:rFonts w:cstheme="minorHAnsi"/>
        </w:rPr>
        <w:t xml:space="preserve">aanvrager </w:t>
      </w:r>
      <w:r w:rsidR="007B75B0">
        <w:rPr>
          <w:rFonts w:cstheme="minorHAnsi"/>
        </w:rPr>
        <w:t xml:space="preserve">van een (voorlopige) toelating </w:t>
      </w:r>
      <w:r w:rsidRPr="007B75B0" w:rsidR="007B75B0">
        <w:rPr>
          <w:rFonts w:cstheme="minorHAnsi"/>
        </w:rPr>
        <w:t xml:space="preserve">een vergoeding </w:t>
      </w:r>
      <w:r w:rsidR="007B75B0">
        <w:rPr>
          <w:rFonts w:cstheme="minorHAnsi"/>
        </w:rPr>
        <w:t xml:space="preserve">is </w:t>
      </w:r>
      <w:r w:rsidRPr="007B75B0" w:rsidR="007B75B0">
        <w:rPr>
          <w:rFonts w:cstheme="minorHAnsi"/>
        </w:rPr>
        <w:t>verschuldigd ter dekking van de toelatingsprocedure</w:t>
      </w:r>
      <w:r w:rsidR="007B75B0">
        <w:rPr>
          <w:rFonts w:cstheme="minorHAnsi"/>
        </w:rPr>
        <w:t xml:space="preserve">. Dit besluit regelt dat deze vergoeding bestaat uit een vergoeding voor de aanvraagprocedure </w:t>
      </w:r>
      <w:r w:rsidR="0000469F">
        <w:rPr>
          <w:rFonts w:cstheme="minorHAnsi"/>
        </w:rPr>
        <w:t xml:space="preserve">en </w:t>
      </w:r>
      <w:r w:rsidR="007B75B0">
        <w:rPr>
          <w:rFonts w:cstheme="minorHAnsi"/>
        </w:rPr>
        <w:t xml:space="preserve">een </w:t>
      </w:r>
      <w:r w:rsidR="00DD64AE">
        <w:rPr>
          <w:rFonts w:cstheme="minorHAnsi"/>
        </w:rPr>
        <w:t xml:space="preserve">jaarlijkse </w:t>
      </w:r>
      <w:r w:rsidR="007B75B0">
        <w:rPr>
          <w:rFonts w:cstheme="minorHAnsi"/>
        </w:rPr>
        <w:t>vergoeding</w:t>
      </w:r>
      <w:r w:rsidR="00A31861">
        <w:rPr>
          <w:rFonts w:cstheme="minorHAnsi"/>
        </w:rPr>
        <w:t xml:space="preserve"> </w:t>
      </w:r>
      <w:r w:rsidR="0000469F">
        <w:rPr>
          <w:rFonts w:cstheme="minorHAnsi"/>
        </w:rPr>
        <w:t xml:space="preserve">gedurende de looptijd van de </w:t>
      </w:r>
      <w:r w:rsidR="004F7057">
        <w:rPr>
          <w:rFonts w:cstheme="minorHAnsi"/>
        </w:rPr>
        <w:t xml:space="preserve">(voorlopige) </w:t>
      </w:r>
      <w:r w:rsidR="0000469F">
        <w:rPr>
          <w:rFonts w:cstheme="minorHAnsi"/>
        </w:rPr>
        <w:t xml:space="preserve">toelating </w:t>
      </w:r>
      <w:r w:rsidR="007B75B0">
        <w:rPr>
          <w:rFonts w:cstheme="minorHAnsi"/>
        </w:rPr>
        <w:t xml:space="preserve">voor het behoud van een (voorlopige) toelating. </w:t>
      </w:r>
      <w:r w:rsidR="004F7057">
        <w:rPr>
          <w:rFonts w:cstheme="minorHAnsi"/>
        </w:rPr>
        <w:t xml:space="preserve">Voor de voorlopige toelating </w:t>
      </w:r>
      <w:r w:rsidR="00EA50FC">
        <w:rPr>
          <w:rFonts w:cstheme="minorHAnsi"/>
        </w:rPr>
        <w:t>is</w:t>
      </w:r>
      <w:r w:rsidR="004F7057">
        <w:rPr>
          <w:rFonts w:cstheme="minorHAnsi"/>
        </w:rPr>
        <w:t xml:space="preserve"> deze laatste vergoeding eenmali</w:t>
      </w:r>
      <w:r w:rsidR="00EA50FC">
        <w:rPr>
          <w:rFonts w:cstheme="minorHAnsi"/>
        </w:rPr>
        <w:t>g</w:t>
      </w:r>
      <w:r w:rsidR="004F7057">
        <w:rPr>
          <w:rFonts w:cstheme="minorHAnsi"/>
        </w:rPr>
        <w:t xml:space="preserve">. </w:t>
      </w:r>
    </w:p>
    <w:p w:rsidR="00DD64AE" w:rsidP="00191802" w:rsidRDefault="00DD64AE" w14:paraId="461143CC" w14:textId="77777777">
      <w:pPr>
        <w:spacing w:line="276" w:lineRule="auto"/>
        <w:rPr>
          <w:rFonts w:cstheme="minorHAnsi"/>
        </w:rPr>
      </w:pPr>
    </w:p>
    <w:p w:rsidR="00735476" w:rsidP="00735476" w:rsidRDefault="00A31861" w14:paraId="1F62BAA2" w14:textId="77777777">
      <w:pPr>
        <w:ind w:right="-426"/>
      </w:pPr>
      <w:r w:rsidRPr="00EE44BF">
        <w:rPr>
          <w:rFonts w:cstheme="minorHAnsi"/>
        </w:rPr>
        <w:t>De jaarbijdrage is verschuldigd als de uitlener op grond van een (voorlopige) toelating of op grond van het overgangsrecht in het register staat.</w:t>
      </w:r>
      <w:r w:rsidRPr="00A31861">
        <w:rPr>
          <w:rFonts w:cstheme="minorHAnsi"/>
        </w:rPr>
        <w:t xml:space="preserve"> </w:t>
      </w:r>
      <w:r>
        <w:rPr>
          <w:rFonts w:cstheme="minorHAnsi"/>
        </w:rPr>
        <w:t>D</w:t>
      </w:r>
      <w:r w:rsidR="00DA00E4">
        <w:rPr>
          <w:rFonts w:cstheme="minorHAnsi"/>
        </w:rPr>
        <w:t>e jaarbijdrage</w:t>
      </w:r>
      <w:r w:rsidR="00A23F6B">
        <w:rPr>
          <w:rFonts w:cstheme="minorHAnsi"/>
        </w:rPr>
        <w:t xml:space="preserve"> wordt gedifferentieerd naar de bedrijfsgrootte van de uitlener, zodat kleinere ondernemingen een lagere vergoeding betalen. </w:t>
      </w:r>
      <w:r w:rsidR="000D0322">
        <w:rPr>
          <w:rFonts w:cstheme="minorHAnsi"/>
        </w:rPr>
        <w:t xml:space="preserve">De bedrijfsgrootte wordt bepaald aan de hand van de omzet. </w:t>
      </w:r>
      <w:r w:rsidR="00482313">
        <w:rPr>
          <w:rFonts w:cstheme="minorHAnsi"/>
        </w:rPr>
        <w:t xml:space="preserve">Hierdoor </w:t>
      </w:r>
      <w:r w:rsidR="00A23F6B">
        <w:rPr>
          <w:rFonts w:cstheme="minorHAnsi"/>
        </w:rPr>
        <w:t>is het toelatingsstelsel ook voor startende en MKB-ondernemingen proportioneel.</w:t>
      </w:r>
      <w:r w:rsidR="00C6720C">
        <w:rPr>
          <w:rFonts w:cstheme="minorHAnsi"/>
        </w:rPr>
        <w:t xml:space="preserve"> </w:t>
      </w:r>
      <w:r w:rsidR="00735476">
        <w:rPr>
          <w:rFonts w:cstheme="minorHAnsi"/>
        </w:rPr>
        <w:t>De eenmalige bijdrage voor voorlopig toegelaten uitleners wordt niet gedifferentieerd omdat dit leidt tot onnodige complexiteit en administratieve lasten voor zowel</w:t>
      </w:r>
      <w:r w:rsidR="00980F12">
        <w:rPr>
          <w:rFonts w:cstheme="minorHAnsi"/>
        </w:rPr>
        <w:t xml:space="preserve"> de aanvrager als</w:t>
      </w:r>
      <w:r w:rsidR="00735476">
        <w:rPr>
          <w:rFonts w:cstheme="minorHAnsi"/>
        </w:rPr>
        <w:t xml:space="preserve"> het bestuursorgaan. Een uniform tarief voor de eenmalige bijdrage bij voorlopige toelating is gelet op de korte termijn (zes maanden) van de voorlopige toelating efficiënter.      </w:t>
      </w:r>
    </w:p>
    <w:p w:rsidR="00735476" w:rsidP="00D44E4A" w:rsidRDefault="00A23F6B" w14:paraId="299EA44E" w14:textId="77777777">
      <w:r w:rsidRPr="00567526">
        <w:t xml:space="preserve">Om de hoogte van de </w:t>
      </w:r>
      <w:r w:rsidR="000D0322">
        <w:t>vergoeding</w:t>
      </w:r>
      <w:r w:rsidR="00DA00E4">
        <w:t xml:space="preserve"> voor de jaarbijdrage</w:t>
      </w:r>
      <w:r w:rsidRPr="00567526" w:rsidR="000D0322">
        <w:t xml:space="preserve"> </w:t>
      </w:r>
      <w:r w:rsidRPr="00567526">
        <w:t xml:space="preserve">vast te stellen, </w:t>
      </w:r>
      <w:r w:rsidR="00E46C3E">
        <w:t xml:space="preserve">geeft de </w:t>
      </w:r>
      <w:r w:rsidR="005F17FC">
        <w:t xml:space="preserve">uitlener </w:t>
      </w:r>
      <w:r w:rsidR="00E46C3E">
        <w:t>bij de aanvraag</w:t>
      </w:r>
      <w:r w:rsidRPr="00567526">
        <w:t xml:space="preserve"> </w:t>
      </w:r>
      <w:r w:rsidR="000C1D5E">
        <w:t>tot</w:t>
      </w:r>
      <w:r w:rsidR="00DA00E4">
        <w:t xml:space="preserve"> toelating </w:t>
      </w:r>
      <w:r w:rsidRPr="00567526">
        <w:t>de</w:t>
      </w:r>
      <w:r w:rsidR="00E46C3E">
        <w:t xml:space="preserve"> hoogte van d</w:t>
      </w:r>
      <w:r w:rsidRPr="00567526">
        <w:t xml:space="preserve">e </w:t>
      </w:r>
      <w:r w:rsidR="00E46C3E">
        <w:t xml:space="preserve">jaaromzet </w:t>
      </w:r>
      <w:r w:rsidR="003345D5">
        <w:t xml:space="preserve">in </w:t>
      </w:r>
      <w:r w:rsidR="00E46C3E">
        <w:t xml:space="preserve">het voorafgaande </w:t>
      </w:r>
      <w:r w:rsidR="00E46C3E">
        <w:lastRenderedPageBreak/>
        <w:t xml:space="preserve">kalenderjaar op. </w:t>
      </w:r>
      <w:r w:rsidR="00735476">
        <w:t>Dit is</w:t>
      </w:r>
      <w:r w:rsidRPr="00567526" w:rsidR="00735476">
        <w:t xml:space="preserve"> het kalenderjaar voorafgaand aan het jaar waarin de aanvraag </w:t>
      </w:r>
      <w:r w:rsidR="000C1D5E">
        <w:t>tot</w:t>
      </w:r>
      <w:r w:rsidR="00735476">
        <w:t xml:space="preserve"> toelating </w:t>
      </w:r>
      <w:r w:rsidRPr="00567526" w:rsidR="00735476">
        <w:t>wordt ingediend.</w:t>
      </w:r>
      <w:r w:rsidRPr="00735476" w:rsidR="00735476">
        <w:t xml:space="preserve"> </w:t>
      </w:r>
      <w:r w:rsidR="00DD64AE">
        <w:t>Bij ministeriële regeling wordt uitgewerkt met welke bewijsmiddelen de uitlener de omzet kan onderbouwen.</w:t>
      </w:r>
      <w:r w:rsidR="00D44E4A">
        <w:t xml:space="preserve"> </w:t>
      </w:r>
      <w:r w:rsidRPr="00EE44BF" w:rsidR="00374E2C">
        <w:t xml:space="preserve">Wat onder de totale omzet in dit besluit moet worden volstaan volgt uit het bewijsmiddel dat de uitlener overlegt. Afhankelijk van het gehanteerde bewijsmiddel kan de omzetdefinitie dus verschillen. </w:t>
      </w:r>
      <w:r w:rsidRPr="00EE44BF" w:rsidR="00DD64AE">
        <w:t>De regering denk</w:t>
      </w:r>
      <w:r w:rsidRPr="00EE44BF" w:rsidR="00EC3DF9">
        <w:t>t</w:t>
      </w:r>
      <w:r w:rsidRPr="00EE44BF" w:rsidR="00DD64AE">
        <w:t xml:space="preserve"> onder andere aan de volgende bewijsstukken. Als bewijs van de opgegeven omzet kan de aanvrager, net zoals voor de ontheffingsregeling</w:t>
      </w:r>
      <w:r w:rsidRPr="00EE44BF" w:rsidR="000C1D5E">
        <w:t>,</w:t>
      </w:r>
      <w:r w:rsidRPr="00EE44BF" w:rsidR="003345D5">
        <w:t xml:space="preserve"> </w:t>
      </w:r>
      <w:r w:rsidRPr="00EE44BF" w:rsidR="00DD64AE">
        <w:t xml:space="preserve">de aangifte omzetbelasting over het afgelopen kalenderjaar </w:t>
      </w:r>
      <w:r w:rsidRPr="00EE44BF" w:rsidR="00D44E4A">
        <w:rPr>
          <w:color w:val="000000" w:themeColor="text1"/>
        </w:rPr>
        <w:t>indienen. Zij verstrekken het totaalbedrag van de omzet die aan de Belastingdienst is aangegeven op de Btw-aangiften (inclusief eventuele suppletieaangiften) over het voorafgaand kalenderjaar. De rubrieken 1d (privégebruik) en 3c (installatie/afstandsverkopen binnen de EU) van de aangifte omzetbelasting worden hier niet in mee genomen. Controleplichtige ondernemingen en ondernemingen die over een gecontroleerde jaarrekening beschikken, kunnen het bedrag vermelden van de totale omzet dat in de jaarrekening is verantwoord. Onder totale omzet wordt hier verstaan de netto omzet en de overige opbrengsten uit de jaarrekening.</w:t>
      </w:r>
      <w:r w:rsidRPr="00D36F26" w:rsidR="00DD64AE">
        <w:rPr>
          <w:color w:val="000000" w:themeColor="text1"/>
        </w:rPr>
        <w:t xml:space="preserve"> </w:t>
      </w:r>
      <w:r w:rsidR="00DD64AE">
        <w:t xml:space="preserve">Afhankelijk van de kenmerken van de onderneming beschikt de onderneming reeds over één </w:t>
      </w:r>
      <w:r w:rsidR="00980F12">
        <w:t>van de</w:t>
      </w:r>
      <w:r w:rsidR="00DD64AE">
        <w:t xml:space="preserve"> bewijsstukken vanwege andere wettelijke verplichtingen. </w:t>
      </w:r>
      <w:r w:rsidR="00735476">
        <w:t>Bij ministeriële regeling wordt</w:t>
      </w:r>
      <w:r w:rsidRPr="009454F3" w:rsidR="00735476">
        <w:t xml:space="preserve"> bepaald hoe de omzetcategorieën eruitzien</w:t>
      </w:r>
      <w:r w:rsidR="00D7281A">
        <w:t xml:space="preserve"> en wordt de bijbehorende hoogte van de leges vastgesteld</w:t>
      </w:r>
      <w:r w:rsidR="00735476">
        <w:t xml:space="preserve">. </w:t>
      </w:r>
      <w:r w:rsidRPr="00641E20" w:rsidR="00D7281A">
        <w:t>Bij het vaststellen van de hoogte van de leges dienen de uitgangspunten uit het rapport ‘Maat houden’ in acht te worden genomen.</w:t>
      </w:r>
      <w:r w:rsidR="00D7281A">
        <w:rPr>
          <w:rStyle w:val="Voetnootmarkering"/>
        </w:rPr>
        <w:footnoteReference w:id="3"/>
      </w:r>
      <w:r w:rsidRPr="00641E20" w:rsidR="00D7281A">
        <w:t xml:space="preserve"> </w:t>
      </w:r>
      <w:r w:rsidRPr="009454F3" w:rsidR="00735476">
        <w:t xml:space="preserve">De omzetcategorie voor de jaarbijdrage zal </w:t>
      </w:r>
      <w:r w:rsidR="00735476">
        <w:t xml:space="preserve">door de Nederlandse Autoriteit Uitleenmarkt </w:t>
      </w:r>
      <w:r w:rsidR="00F417B8">
        <w:t xml:space="preserve">(NAU) </w:t>
      </w:r>
      <w:r w:rsidRPr="009454F3" w:rsidR="00735476">
        <w:t>per uitlener worden vastgesteld bij aanvang van de toelating en blijft gedurende de volledige looptijd van de toelating (in beginsel vier jaar) van kracht.</w:t>
      </w:r>
      <w:r w:rsidR="00735476">
        <w:t xml:space="preserve"> </w:t>
      </w:r>
    </w:p>
    <w:p w:rsidR="00735476" w:rsidP="000F64DD" w:rsidRDefault="00735476" w14:paraId="46121ACE" w14:textId="77777777">
      <w:pPr>
        <w:ind w:right="-426"/>
      </w:pPr>
    </w:p>
    <w:p w:rsidRPr="00BA15CC" w:rsidR="00735476" w:rsidP="00735476" w:rsidRDefault="00735476" w14:paraId="3F9B1BD7" w14:textId="77777777">
      <w:pPr>
        <w:ind w:right="-426"/>
      </w:pPr>
      <w:r w:rsidRPr="00BA15CC">
        <w:t xml:space="preserve">Op dit moment is het niet mogelijk om de relevante omzetgegevens van andere uitvoeringsorganisaties te ontvangen voor dit doeleinde zonder dat daarmee </w:t>
      </w:r>
      <w:r>
        <w:t xml:space="preserve">wordt afgeweken </w:t>
      </w:r>
      <w:r w:rsidRPr="00BA15CC">
        <w:t>van d</w:t>
      </w:r>
      <w:r>
        <w:t>e gehanteerde (AVG-)principes</w:t>
      </w:r>
      <w:r w:rsidRPr="00BA15CC">
        <w:t xml:space="preserve"> voor gegevensuitwisseling. De regering acht het onwenselijk van deze principes af te wijken. Vanwege het positief effect van differentiëren van de jaarbijdrage voor startende en mkb-bedrijven is er daarom voor gekozen om de gegevens bij de uitlener op te vragen. </w:t>
      </w:r>
      <w:r>
        <w:t>Dit betekent</w:t>
      </w:r>
      <w:r w:rsidRPr="00BA15CC">
        <w:t xml:space="preserve"> voor de uitlener een extra administratieve stap,</w:t>
      </w:r>
      <w:r>
        <w:t xml:space="preserve"> maar</w:t>
      </w:r>
      <w:r w:rsidRPr="00BA15CC">
        <w:t xml:space="preserve"> het gevraagde gegeven is voor de uitlener relatief eenvoudig aan te leveren. De regering schat daarom in dat deze keuze </w:t>
      </w:r>
      <w:r>
        <w:t>beperkte</w:t>
      </w:r>
      <w:r w:rsidRPr="00BA15CC">
        <w:t xml:space="preserve"> gevolgen heeft voor de administratieve lastendruk van uitleners. </w:t>
      </w:r>
    </w:p>
    <w:p w:rsidRPr="00AE5997" w:rsidR="00587E48" w:rsidP="009454F3" w:rsidRDefault="00587E48" w14:paraId="3C87DA20" w14:textId="77777777">
      <w:pPr>
        <w:spacing w:line="276" w:lineRule="auto"/>
      </w:pPr>
    </w:p>
    <w:p w:rsidRPr="00AE5997" w:rsidR="00587E48" w:rsidP="009454F3" w:rsidRDefault="00587E48" w14:paraId="42C7E15B" w14:textId="77777777">
      <w:pPr>
        <w:spacing w:line="276" w:lineRule="auto"/>
        <w:rPr>
          <w:i/>
          <w:iCs/>
        </w:rPr>
      </w:pPr>
      <w:r w:rsidRPr="00AE5997">
        <w:rPr>
          <w:i/>
          <w:iCs/>
        </w:rPr>
        <w:t>Leges aanwijzing inspectie-instellinge</w:t>
      </w:r>
      <w:r w:rsidRPr="00AE5997" w:rsidR="004E3C97">
        <w:rPr>
          <w:i/>
          <w:iCs/>
        </w:rPr>
        <w:t>n</w:t>
      </w:r>
    </w:p>
    <w:p w:rsidR="0041472B" w:rsidP="0041472B" w:rsidRDefault="0041472B" w14:paraId="091D30D6" w14:textId="77777777">
      <w:pPr>
        <w:pStyle w:val="Geenafstand"/>
        <w:spacing w:line="276" w:lineRule="auto"/>
        <w:rPr>
          <w:lang w:val="nl-NL"/>
        </w:rPr>
      </w:pPr>
      <w:r>
        <w:rPr>
          <w:lang w:val="nl-NL"/>
        </w:rPr>
        <w:t xml:space="preserve">Ingevolge de wet zijn </w:t>
      </w:r>
      <w:r w:rsidRPr="0041472B">
        <w:rPr>
          <w:lang w:val="nl-NL"/>
        </w:rPr>
        <w:t>inspectie-instellin</w:t>
      </w:r>
      <w:r>
        <w:rPr>
          <w:lang w:val="nl-NL"/>
        </w:rPr>
        <w:t xml:space="preserve">gen een vergoeding verschuldigd ter </w:t>
      </w:r>
      <w:r w:rsidRPr="0041472B">
        <w:rPr>
          <w:lang w:val="nl-NL"/>
        </w:rPr>
        <w:t>dekking van de kosten van de aanwijzingsprocedure.</w:t>
      </w:r>
      <w:r>
        <w:rPr>
          <w:lang w:val="nl-NL"/>
        </w:rPr>
        <w:t xml:space="preserve"> Dit besluit verduidelijkt dat deze vergoeding bestaat uit een vergoeding die voor de aanvraag verschuldigd is en een jaarlijkse vergoeding die voor het behoud van de aanwijzing verschuldigd is. </w:t>
      </w:r>
    </w:p>
    <w:p w:rsidR="0041472B" w:rsidP="0041472B" w:rsidRDefault="0041472B" w14:paraId="3FE72DE0" w14:textId="77777777">
      <w:pPr>
        <w:pStyle w:val="Geenafstand"/>
        <w:spacing w:line="276" w:lineRule="auto"/>
        <w:rPr>
          <w:lang w:val="nl-NL"/>
        </w:rPr>
      </w:pPr>
    </w:p>
    <w:p w:rsidR="0041472B" w:rsidP="0041472B" w:rsidRDefault="0041472B" w14:paraId="22D7C3B1" w14:textId="77777777">
      <w:pPr>
        <w:pStyle w:val="Geenafstand"/>
        <w:spacing w:line="276" w:lineRule="auto"/>
        <w:rPr>
          <w:lang w:val="nl-NL"/>
        </w:rPr>
      </w:pPr>
      <w:r>
        <w:rPr>
          <w:lang w:val="nl-NL"/>
        </w:rPr>
        <w:t>H</w:t>
      </w:r>
      <w:r w:rsidRPr="00582133">
        <w:rPr>
          <w:lang w:val="nl-NL"/>
        </w:rPr>
        <w:t>et uitgangspunt</w:t>
      </w:r>
      <w:r>
        <w:rPr>
          <w:lang w:val="nl-NL"/>
        </w:rPr>
        <w:t xml:space="preserve"> is</w:t>
      </w:r>
      <w:r w:rsidRPr="00582133">
        <w:rPr>
          <w:lang w:val="nl-NL"/>
        </w:rPr>
        <w:t xml:space="preserve"> dat de kosten voor de uitvoering van het stelsel voor rekening van de betreffende ondernemingen komen</w:t>
      </w:r>
      <w:r>
        <w:rPr>
          <w:lang w:val="nl-NL"/>
        </w:rPr>
        <w:t xml:space="preserve"> die een aanvraag indienen</w:t>
      </w:r>
      <w:r w:rsidRPr="00582133">
        <w:rPr>
          <w:lang w:val="nl-NL"/>
        </w:rPr>
        <w:t>. De kosten die samenhangen met de verlening van aanwijzing komen neer op toelatingskosten als bedoeld in het Rapport Maat houden.</w:t>
      </w:r>
      <w:r w:rsidRPr="00582133">
        <w:rPr>
          <w:rStyle w:val="Voetnootmarkering"/>
          <w:lang w:val="nl-NL"/>
        </w:rPr>
        <w:footnoteReference w:id="4"/>
      </w:r>
      <w:r w:rsidRPr="00582133">
        <w:rPr>
          <w:lang w:val="nl-NL"/>
        </w:rPr>
        <w:t xml:space="preserve"> De aanwijzing wordt voor vier jaar afgegeven.</w:t>
      </w:r>
      <w:r>
        <w:rPr>
          <w:lang w:val="nl-NL"/>
        </w:rPr>
        <w:t xml:space="preserve"> </w:t>
      </w:r>
    </w:p>
    <w:p w:rsidR="0089142E" w:rsidP="0089142E" w:rsidRDefault="0041472B" w14:paraId="4A7B248F" w14:textId="77777777">
      <w:pPr>
        <w:pStyle w:val="Geenafstand"/>
        <w:spacing w:line="276" w:lineRule="auto"/>
        <w:rPr>
          <w:lang w:val="nl-NL"/>
        </w:rPr>
      </w:pPr>
      <w:r w:rsidRPr="00582133">
        <w:rPr>
          <w:lang w:val="nl-NL"/>
        </w:rPr>
        <w:t xml:space="preserve">Na aanwijzing door de Nederlandse Autoriteit Uitleenmarkt is de inspectie-instelling een jaarbijdrage verschuldigd voor het in stand houden van </w:t>
      </w:r>
      <w:r>
        <w:rPr>
          <w:lang w:val="nl-NL"/>
        </w:rPr>
        <w:t>de aanwijzing</w:t>
      </w:r>
      <w:r w:rsidRPr="00582133">
        <w:rPr>
          <w:lang w:val="nl-NL"/>
        </w:rPr>
        <w:t>.</w:t>
      </w:r>
      <w:r>
        <w:rPr>
          <w:lang w:val="nl-NL"/>
        </w:rPr>
        <w:t xml:space="preserve"> De inspectie-instelling moet immers</w:t>
      </w:r>
      <w:r w:rsidR="0089142E">
        <w:rPr>
          <w:lang w:val="nl-NL"/>
        </w:rPr>
        <w:t>,</w:t>
      </w:r>
      <w:r>
        <w:rPr>
          <w:lang w:val="nl-NL"/>
        </w:rPr>
        <w:t xml:space="preserve"> om de aanwijzing te behouden</w:t>
      </w:r>
      <w:r w:rsidR="0089142E">
        <w:rPr>
          <w:lang w:val="nl-NL"/>
        </w:rPr>
        <w:t>,</w:t>
      </w:r>
      <w:r>
        <w:rPr>
          <w:lang w:val="nl-NL"/>
        </w:rPr>
        <w:t xml:space="preserve"> voldoen aan de </w:t>
      </w:r>
      <w:r>
        <w:rPr>
          <w:lang w:val="nl-NL"/>
        </w:rPr>
        <w:lastRenderedPageBreak/>
        <w:t xml:space="preserve">kwaliteitsnormen en eisen zoals vastgesteld in artikel 1b:9 en 1b:10 van het </w:t>
      </w:r>
      <w:proofErr w:type="spellStart"/>
      <w:r>
        <w:rPr>
          <w:lang w:val="nl-NL"/>
        </w:rPr>
        <w:t>Baadi</w:t>
      </w:r>
      <w:proofErr w:type="spellEnd"/>
      <w:r>
        <w:rPr>
          <w:lang w:val="nl-NL"/>
        </w:rPr>
        <w:t xml:space="preserve">. </w:t>
      </w:r>
      <w:r w:rsidR="0089142E">
        <w:rPr>
          <w:lang w:val="nl-NL"/>
        </w:rPr>
        <w:t xml:space="preserve">Indien een onderneming slechts een gedeelte van het kalenderjaar is aangewezen, betaalt de onderneming over dat kalenderjaar een vergoeding naar rato. </w:t>
      </w:r>
    </w:p>
    <w:p w:rsidRPr="00582133" w:rsidR="0041472B" w:rsidP="0041472B" w:rsidRDefault="0041472B" w14:paraId="713651D2" w14:textId="77777777">
      <w:pPr>
        <w:pStyle w:val="Geenafstand"/>
        <w:spacing w:line="276" w:lineRule="auto"/>
        <w:rPr>
          <w:lang w:val="nl-NL"/>
        </w:rPr>
      </w:pPr>
    </w:p>
    <w:p w:rsidRPr="00AE5997" w:rsidR="00587E48" w:rsidP="009454F3" w:rsidRDefault="00036217" w14:paraId="4BEDD741" w14:textId="77777777">
      <w:pPr>
        <w:spacing w:line="276" w:lineRule="auto"/>
        <w:rPr>
          <w:i/>
          <w:iCs/>
        </w:rPr>
      </w:pPr>
      <w:r>
        <w:t xml:space="preserve">Bij ministeriële regeling worden de </w:t>
      </w:r>
      <w:r w:rsidR="004E3C97">
        <w:t>tarieven vastgesteld.</w:t>
      </w:r>
    </w:p>
    <w:p w:rsidRPr="00AE5997" w:rsidR="00587E48" w:rsidP="009454F3" w:rsidRDefault="00587E48" w14:paraId="7E67BD17" w14:textId="77777777">
      <w:pPr>
        <w:spacing w:line="276" w:lineRule="auto"/>
        <w:rPr>
          <w:i/>
          <w:iCs/>
        </w:rPr>
      </w:pPr>
    </w:p>
    <w:p w:rsidRPr="00036217" w:rsidR="00C5164E" w:rsidP="00604E33" w:rsidRDefault="003F05C9" w14:paraId="6CCE0B72" w14:textId="77777777">
      <w:pPr>
        <w:pStyle w:val="Geenafstand"/>
        <w:spacing w:line="276" w:lineRule="auto"/>
        <w:rPr>
          <w:rFonts w:cstheme="minorHAnsi"/>
          <w:i/>
          <w:iCs/>
          <w:lang w:val="nl-NL"/>
        </w:rPr>
      </w:pPr>
      <w:r w:rsidRPr="00036217">
        <w:rPr>
          <w:rFonts w:cstheme="minorHAnsi"/>
          <w:i/>
          <w:iCs/>
          <w:lang w:val="nl-NL"/>
        </w:rPr>
        <w:t xml:space="preserve">Indexering </w:t>
      </w:r>
      <w:r w:rsidRPr="00036217" w:rsidR="00B6156F">
        <w:rPr>
          <w:rFonts w:cstheme="minorHAnsi"/>
          <w:i/>
          <w:iCs/>
          <w:lang w:val="nl-NL"/>
        </w:rPr>
        <w:t xml:space="preserve">maximum leges </w:t>
      </w:r>
    </w:p>
    <w:p w:rsidRPr="00036217" w:rsidR="00095F16" w:rsidP="00E6747D" w:rsidRDefault="00095F16" w14:paraId="379A0A6D" w14:textId="77777777">
      <w:pPr>
        <w:pStyle w:val="Geenafstand"/>
        <w:spacing w:line="276" w:lineRule="auto"/>
        <w:rPr>
          <w:rFonts w:cstheme="minorHAnsi"/>
          <w:lang w:val="nl-NL"/>
        </w:rPr>
      </w:pPr>
    </w:p>
    <w:p w:rsidR="00C7407B" w:rsidP="00B6156F" w:rsidRDefault="008775BA" w14:paraId="2B8ED4BC" w14:textId="77777777">
      <w:pPr>
        <w:pStyle w:val="Geenafstand"/>
        <w:spacing w:line="276" w:lineRule="auto"/>
        <w:rPr>
          <w:rFonts w:cstheme="minorHAnsi"/>
          <w:lang w:val="nl-NL"/>
        </w:rPr>
      </w:pPr>
      <w:r>
        <w:rPr>
          <w:rFonts w:cstheme="minorHAnsi"/>
          <w:lang w:val="nl-NL"/>
        </w:rPr>
        <w:t xml:space="preserve">Dit besluit regelt dat </w:t>
      </w:r>
      <w:r w:rsidR="00A6598C">
        <w:rPr>
          <w:rFonts w:cstheme="minorHAnsi"/>
          <w:lang w:val="nl-NL"/>
        </w:rPr>
        <w:t>de maximale vergoeding voor toelating</w:t>
      </w:r>
      <w:r>
        <w:rPr>
          <w:rFonts w:cstheme="minorHAnsi"/>
          <w:lang w:val="nl-NL"/>
        </w:rPr>
        <w:t xml:space="preserve"> jaarlijks wordt geïndexeerd op basis van de contractloonontwikkeling in het tweede daaraan voorafgaande </w:t>
      </w:r>
      <w:r w:rsidR="00C33BD7">
        <w:rPr>
          <w:rFonts w:cstheme="minorHAnsi"/>
          <w:lang w:val="nl-NL"/>
        </w:rPr>
        <w:t>kalender</w:t>
      </w:r>
      <w:r>
        <w:rPr>
          <w:rFonts w:cstheme="minorHAnsi"/>
          <w:lang w:val="nl-NL"/>
        </w:rPr>
        <w:t xml:space="preserve">jaar. </w:t>
      </w:r>
      <w:r w:rsidR="00C33BD7">
        <w:rPr>
          <w:rFonts w:cstheme="minorHAnsi"/>
          <w:lang w:val="nl-NL"/>
        </w:rPr>
        <w:t xml:space="preserve">Hiervoor is gekozen omdat deze methode een hoge mate van transparantie en controleerbaarheid waarborgt. Tegelijkertijd is met de aansluiting bij de contractloonstijging ook geborgd dat rekening wordt gehouden met de reële kosten van de </w:t>
      </w:r>
      <w:r w:rsidR="00B93610">
        <w:rPr>
          <w:lang w:val="nl-NL"/>
        </w:rPr>
        <w:t>Nederlandse Autoriteit Uitleenmarkt</w:t>
      </w:r>
      <w:r w:rsidR="006A4B56">
        <w:rPr>
          <w:rFonts w:cstheme="minorHAnsi"/>
          <w:lang w:val="nl-NL"/>
        </w:rPr>
        <w:t xml:space="preserve">. Op basis van de laatste ramingen bestaan de kosten van de </w:t>
      </w:r>
      <w:r w:rsidR="00B93610">
        <w:rPr>
          <w:lang w:val="nl-NL"/>
        </w:rPr>
        <w:t xml:space="preserve">Nederlandse Autoriteit Uitleenmarkt </w:t>
      </w:r>
      <w:r w:rsidR="006A4B56">
        <w:rPr>
          <w:rFonts w:cstheme="minorHAnsi"/>
          <w:lang w:val="nl-NL"/>
        </w:rPr>
        <w:t>namelijk voor minsten</w:t>
      </w:r>
      <w:r w:rsidR="009B2287">
        <w:rPr>
          <w:rFonts w:cstheme="minorHAnsi"/>
          <w:lang w:val="nl-NL"/>
        </w:rPr>
        <w:t>s</w:t>
      </w:r>
      <w:r w:rsidR="006A4B56">
        <w:rPr>
          <w:rFonts w:cstheme="minorHAnsi"/>
          <w:lang w:val="nl-NL"/>
        </w:rPr>
        <w:t xml:space="preserve"> </w:t>
      </w:r>
      <w:r w:rsidR="00B93610">
        <w:rPr>
          <w:rFonts w:cstheme="minorHAnsi"/>
          <w:lang w:val="nl-NL"/>
        </w:rPr>
        <w:t>85</w:t>
      </w:r>
      <w:r w:rsidR="006A4B56">
        <w:rPr>
          <w:rFonts w:cstheme="minorHAnsi"/>
          <w:lang w:val="nl-NL"/>
        </w:rPr>
        <w:t xml:space="preserve">% uit loonkosten. </w:t>
      </w:r>
      <w:r w:rsidR="00291FC9">
        <w:rPr>
          <w:rFonts w:cstheme="minorHAnsi"/>
          <w:lang w:val="nl-NL"/>
        </w:rPr>
        <w:t xml:space="preserve">De contractloonontwikkeling is </w:t>
      </w:r>
      <w:r w:rsidR="00C33BD7">
        <w:rPr>
          <w:rFonts w:cstheme="minorHAnsi"/>
          <w:lang w:val="nl-NL"/>
        </w:rPr>
        <w:t xml:space="preserve">dan </w:t>
      </w:r>
      <w:r w:rsidR="00291FC9">
        <w:rPr>
          <w:rFonts w:cstheme="minorHAnsi"/>
          <w:lang w:val="nl-NL"/>
        </w:rPr>
        <w:t xml:space="preserve">een goede maatstaf voor de kostenstijging van de </w:t>
      </w:r>
      <w:r w:rsidR="00B93610">
        <w:rPr>
          <w:lang w:val="nl-NL"/>
        </w:rPr>
        <w:t xml:space="preserve">Nederlandse Autoriteit Uitleenmarkt </w:t>
      </w:r>
      <w:r w:rsidR="009B2287">
        <w:rPr>
          <w:rFonts w:cstheme="minorHAnsi"/>
          <w:lang w:val="nl-NL"/>
        </w:rPr>
        <w:t>omdat zo’n groot deel van de geraamde kosten uit loonkosten bestaan</w:t>
      </w:r>
      <w:r w:rsidR="00C33BD7">
        <w:rPr>
          <w:rFonts w:cstheme="minorHAnsi"/>
          <w:lang w:val="nl-NL"/>
        </w:rPr>
        <w:t xml:space="preserve"> en </w:t>
      </w:r>
      <w:r w:rsidR="00133B90">
        <w:rPr>
          <w:rFonts w:cstheme="minorHAnsi"/>
          <w:lang w:val="nl-NL"/>
        </w:rPr>
        <w:t xml:space="preserve">is tevens transparant. </w:t>
      </w:r>
    </w:p>
    <w:p w:rsidR="00C7407B" w:rsidP="00B6156F" w:rsidRDefault="00C7407B" w14:paraId="218401AC" w14:textId="77777777">
      <w:pPr>
        <w:pStyle w:val="Geenafstand"/>
        <w:spacing w:line="276" w:lineRule="auto"/>
        <w:rPr>
          <w:rFonts w:cstheme="minorHAnsi"/>
          <w:lang w:val="nl-NL"/>
        </w:rPr>
      </w:pPr>
    </w:p>
    <w:p w:rsidR="008E5889" w:rsidP="008E5889" w:rsidRDefault="00B6156F" w14:paraId="6040E100" w14:textId="77777777">
      <w:pPr>
        <w:pStyle w:val="Geenafstand"/>
        <w:spacing w:line="276" w:lineRule="auto"/>
        <w:rPr>
          <w:rFonts w:cstheme="minorHAnsi"/>
          <w:lang w:val="nl-NL"/>
        </w:rPr>
      </w:pPr>
      <w:r>
        <w:rPr>
          <w:rFonts w:cstheme="minorHAnsi"/>
          <w:lang w:val="nl-NL"/>
        </w:rPr>
        <w:t>Het is mogelijk dat de maximale vergoeding bij ministeriële regeling hoger wordt vastgesteld</w:t>
      </w:r>
      <w:r w:rsidR="00741E44">
        <w:rPr>
          <w:rFonts w:cstheme="minorHAnsi"/>
          <w:lang w:val="nl-NL"/>
        </w:rPr>
        <w:t xml:space="preserve"> dan het bedrag, genoemd in artikel 12i, vierde lid, van de </w:t>
      </w:r>
      <w:proofErr w:type="spellStart"/>
      <w:r w:rsidR="00741E44">
        <w:rPr>
          <w:rFonts w:cstheme="minorHAnsi"/>
          <w:lang w:val="nl-NL"/>
        </w:rPr>
        <w:t>Waadi</w:t>
      </w:r>
      <w:proofErr w:type="spellEnd"/>
      <w:r w:rsidR="00160ADD">
        <w:rPr>
          <w:rFonts w:cstheme="minorHAnsi"/>
          <w:lang w:val="nl-NL"/>
        </w:rPr>
        <w:t>; artikel 12i, vijfde lid, voorziet hier specifiek in.</w:t>
      </w:r>
      <w:r w:rsidR="008E5889">
        <w:rPr>
          <w:rFonts w:cstheme="minorHAnsi"/>
          <w:lang w:val="nl-NL"/>
        </w:rPr>
        <w:t xml:space="preserve"> Bij of krachtens AMvB kunnen daar</w:t>
      </w:r>
      <w:r w:rsidR="00160ADD">
        <w:rPr>
          <w:rFonts w:cstheme="minorHAnsi"/>
          <w:lang w:val="nl-NL"/>
        </w:rPr>
        <w:t>, op grond van het zesde lid, onderdeel b,</w:t>
      </w:r>
      <w:r w:rsidR="008E5889">
        <w:rPr>
          <w:rFonts w:cstheme="minorHAnsi"/>
          <w:lang w:val="nl-NL"/>
        </w:rPr>
        <w:t xml:space="preserve"> nadere regels over worden gesteld. De regering ziet op dit moment geen aanleiding voor het stellen van nadere regels. De wet schrijft reeds voor dat verhoging slechts mogelijk is als het maximum </w:t>
      </w:r>
      <w:r w:rsidRPr="00876A8F" w:rsidR="008E5889">
        <w:rPr>
          <w:rFonts w:cstheme="minorHAnsi"/>
          <w:lang w:val="nl-NL"/>
        </w:rPr>
        <w:t>door hogere kosten van de toelatingsprocedure niet langer de totale kosten</w:t>
      </w:r>
      <w:r w:rsidR="008E5889">
        <w:rPr>
          <w:rFonts w:cstheme="minorHAnsi"/>
          <w:lang w:val="nl-NL"/>
        </w:rPr>
        <w:t xml:space="preserve"> </w:t>
      </w:r>
      <w:r w:rsidRPr="00876A8F" w:rsidR="008E5889">
        <w:rPr>
          <w:rFonts w:cstheme="minorHAnsi"/>
          <w:lang w:val="nl-NL"/>
        </w:rPr>
        <w:t xml:space="preserve">dekt, en de hogere kosten van de toelatingsprocedure redelijkerwijs voor rekening </w:t>
      </w:r>
      <w:r w:rsidR="008E5889">
        <w:rPr>
          <w:rFonts w:cstheme="minorHAnsi"/>
          <w:lang w:val="nl-NL"/>
        </w:rPr>
        <w:t xml:space="preserve">van uitleners behoren te komen. Daarmee acht de regering deze delegatiegrondslag op dit moment voldoende ingevuld. </w:t>
      </w:r>
    </w:p>
    <w:p w:rsidR="00B6156F" w:rsidP="00B6156F" w:rsidRDefault="00B6156F" w14:paraId="34049BB6" w14:textId="77777777">
      <w:pPr>
        <w:pStyle w:val="Geenafstand"/>
        <w:spacing w:line="276" w:lineRule="auto"/>
        <w:rPr>
          <w:rFonts w:cstheme="minorHAnsi"/>
          <w:lang w:val="nl-NL"/>
        </w:rPr>
      </w:pPr>
    </w:p>
    <w:p w:rsidR="00B6156F" w:rsidP="00B6156F" w:rsidRDefault="00B6156F" w14:paraId="2FD65F5F" w14:textId="77777777">
      <w:pPr>
        <w:pStyle w:val="Geenafstand"/>
        <w:spacing w:line="276" w:lineRule="auto"/>
        <w:rPr>
          <w:rFonts w:cstheme="minorHAnsi"/>
          <w:lang w:val="nl-NL"/>
        </w:rPr>
      </w:pPr>
    </w:p>
    <w:p w:rsidRPr="00CA7B3C" w:rsidR="00B6156F" w:rsidP="00B6156F" w:rsidRDefault="00B6156F" w14:paraId="4E159993" w14:textId="77777777">
      <w:pPr>
        <w:pStyle w:val="Geenafstand"/>
        <w:numPr>
          <w:ilvl w:val="0"/>
          <w:numId w:val="10"/>
        </w:numPr>
        <w:spacing w:line="276" w:lineRule="auto"/>
        <w:rPr>
          <w:rFonts w:cstheme="minorHAnsi"/>
          <w:b/>
          <w:bCs/>
          <w:lang w:val="nl-NL"/>
        </w:rPr>
      </w:pPr>
      <w:r w:rsidRPr="00CA7B3C">
        <w:rPr>
          <w:rFonts w:cstheme="minorHAnsi"/>
          <w:b/>
          <w:bCs/>
          <w:lang w:val="nl-NL"/>
        </w:rPr>
        <w:t xml:space="preserve">Regeldruk </w:t>
      </w:r>
    </w:p>
    <w:p w:rsidR="00B6156F" w:rsidP="00FC5869" w:rsidRDefault="00B6156F" w14:paraId="2DB182FB" w14:textId="77777777">
      <w:pPr>
        <w:rPr>
          <w:rFonts w:cstheme="minorHAnsi"/>
        </w:rPr>
      </w:pPr>
    </w:p>
    <w:p w:rsidR="006C72C2" w:rsidP="00FC5869" w:rsidRDefault="00FC5869" w14:paraId="0DFAA437" w14:textId="77777777">
      <w:pPr>
        <w:spacing w:line="276" w:lineRule="auto"/>
        <w:rPr>
          <w:color w:val="auto"/>
        </w:rPr>
      </w:pPr>
      <w:r>
        <w:rPr>
          <w:rFonts w:cstheme="minorHAnsi"/>
        </w:rPr>
        <w:t xml:space="preserve">In deze paragraaf wordt ingegaan op de mogelijke regeldruk van uitleners als gevolg van </w:t>
      </w:r>
      <w:r w:rsidR="00567417">
        <w:rPr>
          <w:rFonts w:cstheme="minorHAnsi"/>
        </w:rPr>
        <w:t xml:space="preserve">onderhavige </w:t>
      </w:r>
      <w:r>
        <w:rPr>
          <w:rFonts w:cstheme="minorHAnsi"/>
        </w:rPr>
        <w:t xml:space="preserve">wijziging </w:t>
      </w:r>
      <w:r w:rsidR="0066632B">
        <w:rPr>
          <w:rFonts w:cstheme="minorHAnsi"/>
        </w:rPr>
        <w:t>va</w:t>
      </w:r>
      <w:r>
        <w:rPr>
          <w:rFonts w:cstheme="minorHAnsi"/>
        </w:rPr>
        <w:t xml:space="preserve">n het </w:t>
      </w:r>
      <w:proofErr w:type="spellStart"/>
      <w:r>
        <w:rPr>
          <w:rFonts w:cstheme="minorHAnsi"/>
        </w:rPr>
        <w:t>Baadi</w:t>
      </w:r>
      <w:proofErr w:type="spellEnd"/>
      <w:r>
        <w:rPr>
          <w:rFonts w:cstheme="minorHAnsi"/>
        </w:rPr>
        <w:t xml:space="preserve">. </w:t>
      </w:r>
      <w:r>
        <w:rPr>
          <w:color w:val="auto"/>
        </w:rPr>
        <w:t>Voor een uitgebreide toelichting wordt verwezen naar de regeldrukparagraaf bij de wet</w:t>
      </w:r>
      <w:r w:rsidR="00C7407B">
        <w:rPr>
          <w:color w:val="auto"/>
        </w:rPr>
        <w:t xml:space="preserve"> en </w:t>
      </w:r>
      <w:r w:rsidR="00A26294">
        <w:rPr>
          <w:color w:val="auto"/>
        </w:rPr>
        <w:t>het wijzigings</w:t>
      </w:r>
      <w:r w:rsidR="00567417">
        <w:rPr>
          <w:color w:val="auto"/>
        </w:rPr>
        <w:t>b</w:t>
      </w:r>
      <w:r w:rsidRPr="00567417" w:rsidR="00567417">
        <w:rPr>
          <w:color w:val="auto"/>
        </w:rPr>
        <w:t>esluit</w:t>
      </w:r>
      <w:r w:rsidR="00A26294">
        <w:rPr>
          <w:color w:val="auto"/>
        </w:rPr>
        <w:t xml:space="preserve">. </w:t>
      </w:r>
      <w:r w:rsidRPr="00C7407B" w:rsidR="00C7407B">
        <w:rPr>
          <w:color w:val="auto"/>
        </w:rPr>
        <w:t xml:space="preserve">De regeldruk bestaat uit incidentele regeldruk (kennisname van nieuwe regelgeving) en structurele regeldruk. Hieronder wordt aangegeven hoe de regering deze effecten inschat. Daarbij is uitgegaan van het Handboek Meting Regeldrukkosten </w:t>
      </w:r>
      <w:r w:rsidR="00142F1A">
        <w:rPr>
          <w:color w:val="auto"/>
        </w:rPr>
        <w:t xml:space="preserve">(2023) </w:t>
      </w:r>
      <w:r w:rsidRPr="00C7407B" w:rsidR="00C7407B">
        <w:rPr>
          <w:color w:val="auto"/>
        </w:rPr>
        <w:t>van het Ministerie van Economische Zaken</w:t>
      </w:r>
      <w:r w:rsidR="00C7407B">
        <w:rPr>
          <w:color w:val="auto"/>
        </w:rPr>
        <w:t>.</w:t>
      </w:r>
    </w:p>
    <w:p w:rsidR="00C7407B" w:rsidP="00FC5869" w:rsidRDefault="00C7407B" w14:paraId="637A7AF7" w14:textId="77777777">
      <w:pPr>
        <w:spacing w:line="276" w:lineRule="auto"/>
        <w:rPr>
          <w:color w:val="auto"/>
        </w:rPr>
      </w:pPr>
    </w:p>
    <w:p w:rsidR="00C7407B" w:rsidP="00FC5869" w:rsidRDefault="00C7407B" w14:paraId="6CCC3D47" w14:textId="77777777">
      <w:pPr>
        <w:spacing w:line="276" w:lineRule="auto"/>
        <w:rPr>
          <w:color w:val="auto"/>
        </w:rPr>
      </w:pPr>
      <w:r>
        <w:rPr>
          <w:color w:val="auto"/>
        </w:rPr>
        <w:t xml:space="preserve">Ten aanzien van </w:t>
      </w:r>
      <w:r w:rsidR="00A26294">
        <w:rPr>
          <w:color w:val="auto"/>
        </w:rPr>
        <w:t xml:space="preserve">de wijziging die ziet op de wijze van de berekening van de </w:t>
      </w:r>
      <w:r w:rsidR="00A26294">
        <w:t>hoogte van d</w:t>
      </w:r>
      <w:r w:rsidRPr="00567526" w:rsidR="00A26294">
        <w:t xml:space="preserve">e </w:t>
      </w:r>
      <w:r w:rsidR="00A26294">
        <w:t>jaaromzet</w:t>
      </w:r>
      <w:r w:rsidR="00A26294">
        <w:rPr>
          <w:color w:val="auto"/>
        </w:rPr>
        <w:t xml:space="preserve"> is </w:t>
      </w:r>
      <w:r w:rsidR="0066012F">
        <w:rPr>
          <w:color w:val="auto"/>
        </w:rPr>
        <w:t>bij de berekening van de regeldruk van de volgende uitgangspunten</w:t>
      </w:r>
      <w:r>
        <w:rPr>
          <w:color w:val="auto"/>
        </w:rPr>
        <w:t xml:space="preserve"> uitgegaan. </w:t>
      </w:r>
    </w:p>
    <w:p w:rsidR="00C7407B" w:rsidP="00C7407B" w:rsidRDefault="00C7407B" w14:paraId="7257CE0B" w14:textId="77777777">
      <w:pPr>
        <w:pStyle w:val="Lijstalinea"/>
        <w:numPr>
          <w:ilvl w:val="0"/>
          <w:numId w:val="11"/>
        </w:numPr>
        <w:spacing w:line="276" w:lineRule="auto"/>
        <w:rPr>
          <w:color w:val="auto"/>
        </w:rPr>
      </w:pPr>
      <w:r w:rsidRPr="00C7407B">
        <w:rPr>
          <w:color w:val="auto"/>
        </w:rPr>
        <w:t>Van de 15.000 actieve uitzendbureaus blijven er 10.000 actief en er zullen 5.000 uitleners, die niet als uitzendbureau te kwalificeren zijn, toelating aanvragen. Daarmee zijn er in totaal 15.000 uitleners</w:t>
      </w:r>
      <w:r>
        <w:rPr>
          <w:color w:val="auto"/>
        </w:rPr>
        <w:t xml:space="preserve"> die toelating aanvragen</w:t>
      </w:r>
      <w:r w:rsidRPr="00C7407B">
        <w:rPr>
          <w:color w:val="auto"/>
        </w:rPr>
        <w:t>.</w:t>
      </w:r>
      <w:r w:rsidR="0050302A">
        <w:rPr>
          <w:color w:val="auto"/>
        </w:rPr>
        <w:t xml:space="preserve"> Deze cijfers zijn gebaseerd op onderzoek uit 2023. In opdracht van</w:t>
      </w:r>
      <w:r w:rsidR="0038214B">
        <w:rPr>
          <w:color w:val="auto"/>
        </w:rPr>
        <w:t xml:space="preserve"> het ministerie van</w:t>
      </w:r>
      <w:r w:rsidR="0050302A">
        <w:rPr>
          <w:color w:val="auto"/>
        </w:rPr>
        <w:t xml:space="preserve"> SZW wordt momenteel dit onderzoek herijkt. </w:t>
      </w:r>
    </w:p>
    <w:p w:rsidR="00C7407B" w:rsidP="00C7407B" w:rsidRDefault="00C7407B" w14:paraId="2D886293" w14:textId="77777777">
      <w:pPr>
        <w:pStyle w:val="Lijstalinea"/>
        <w:numPr>
          <w:ilvl w:val="0"/>
          <w:numId w:val="11"/>
        </w:numPr>
        <w:spacing w:line="276" w:lineRule="auto"/>
        <w:rPr>
          <w:color w:val="auto"/>
        </w:rPr>
      </w:pPr>
      <w:r w:rsidRPr="00C7407B">
        <w:rPr>
          <w:color w:val="auto"/>
        </w:rPr>
        <w:lastRenderedPageBreak/>
        <w:t>De structurele regeldruk bestaat voor uitleners uit het aanvragen van een toelating en het aantoonbaar naleven van het normenkader. Met betrekking tot het aanvragen van een toelating en het naleven van het normenkader kan uitgegaan worden van de berekening van de regeldruk bij de wet.</w:t>
      </w:r>
      <w:r>
        <w:rPr>
          <w:color w:val="auto"/>
        </w:rPr>
        <w:t xml:space="preserve"> Zie paragraaf 8.4 van de Memorie van Toelichting bij de </w:t>
      </w:r>
      <w:r w:rsidR="0056344C">
        <w:rPr>
          <w:color w:val="auto"/>
        </w:rPr>
        <w:t>W</w:t>
      </w:r>
      <w:r>
        <w:rPr>
          <w:color w:val="auto"/>
        </w:rPr>
        <w:t>et</w:t>
      </w:r>
      <w:r w:rsidR="00582009">
        <w:rPr>
          <w:color w:val="auto"/>
        </w:rPr>
        <w:t xml:space="preserve"> toelating terbeschikkingstelling van arbeidskrachten</w:t>
      </w:r>
      <w:r>
        <w:rPr>
          <w:color w:val="auto"/>
        </w:rPr>
        <w:t xml:space="preserve">. </w:t>
      </w:r>
      <w:r w:rsidRPr="00C7407B">
        <w:rPr>
          <w:color w:val="auto"/>
        </w:rPr>
        <w:t xml:space="preserve"> </w:t>
      </w:r>
    </w:p>
    <w:p w:rsidR="00142F1A" w:rsidP="006E0DFA" w:rsidRDefault="00C7407B" w14:paraId="643A6E80" w14:textId="77777777">
      <w:pPr>
        <w:pStyle w:val="Lijstalinea"/>
        <w:numPr>
          <w:ilvl w:val="0"/>
          <w:numId w:val="11"/>
        </w:numPr>
        <w:spacing w:line="276" w:lineRule="auto"/>
        <w:rPr>
          <w:color w:val="auto"/>
        </w:rPr>
      </w:pPr>
      <w:r w:rsidRPr="006D6DD2">
        <w:rPr>
          <w:color w:val="auto"/>
        </w:rPr>
        <w:t xml:space="preserve">Dit besluit regelt dat de uitlener voor de aanvraag de jaaromzet </w:t>
      </w:r>
      <w:r w:rsidR="00B55A58">
        <w:rPr>
          <w:color w:val="auto"/>
        </w:rPr>
        <w:t xml:space="preserve">van het voorafgaande kalenderjaar </w:t>
      </w:r>
      <w:r w:rsidRPr="006D6DD2">
        <w:rPr>
          <w:color w:val="auto"/>
        </w:rPr>
        <w:t xml:space="preserve">moet doorgeven aan de </w:t>
      </w:r>
      <w:r w:rsidR="00B93610">
        <w:t xml:space="preserve">Nederlandse Autoriteit Uitleenmarkt </w:t>
      </w:r>
      <w:r w:rsidRPr="006D6DD2">
        <w:rPr>
          <w:color w:val="auto"/>
        </w:rPr>
        <w:t xml:space="preserve">zodat de </w:t>
      </w:r>
      <w:r w:rsidR="00B93610">
        <w:t xml:space="preserve">Nederlandse Autoriteit Uitleenmarkt </w:t>
      </w:r>
      <w:r w:rsidRPr="006D6DD2">
        <w:rPr>
          <w:color w:val="auto"/>
        </w:rPr>
        <w:t xml:space="preserve">de juiste leges naar bedrijfsgrootte kan heffen. </w:t>
      </w:r>
      <w:r w:rsidR="003345D5">
        <w:rPr>
          <w:color w:val="auto"/>
        </w:rPr>
        <w:t>Bij ministeriële regeling wordt nader uitgewerkt welke bewijsstukken een uitlener kan overleggen.</w:t>
      </w:r>
      <w:r w:rsidR="00B5656E">
        <w:rPr>
          <w:color w:val="auto"/>
        </w:rPr>
        <w:t xml:space="preserve"> </w:t>
      </w:r>
      <w:r w:rsidR="00B82E2F">
        <w:rPr>
          <w:color w:val="auto"/>
        </w:rPr>
        <w:t>De onderneming zal kennis moeten nemen van de verplichting (3 minuten)</w:t>
      </w:r>
      <w:r w:rsidR="00B5656E">
        <w:rPr>
          <w:color w:val="auto"/>
        </w:rPr>
        <w:t>, dit is</w:t>
      </w:r>
      <w:r w:rsidR="00142F1A">
        <w:rPr>
          <w:color w:val="auto"/>
        </w:rPr>
        <w:t xml:space="preserve"> incidentele regeldruk</w:t>
      </w:r>
      <w:r w:rsidR="00B82E2F">
        <w:rPr>
          <w:color w:val="auto"/>
        </w:rPr>
        <w:t xml:space="preserve">. </w:t>
      </w:r>
    </w:p>
    <w:p w:rsidR="00C7407B" w:rsidP="006E0DFA" w:rsidRDefault="0066012F" w14:paraId="30AE212F" w14:textId="77777777">
      <w:pPr>
        <w:pStyle w:val="Lijstalinea"/>
        <w:numPr>
          <w:ilvl w:val="0"/>
          <w:numId w:val="11"/>
        </w:numPr>
        <w:spacing w:line="276" w:lineRule="auto"/>
        <w:rPr>
          <w:color w:val="auto"/>
        </w:rPr>
      </w:pPr>
      <w:r w:rsidRPr="006D6DD2">
        <w:rPr>
          <w:color w:val="auto"/>
        </w:rPr>
        <w:t xml:space="preserve">De benodigde tijd om het document </w:t>
      </w:r>
      <w:r w:rsidR="00B55A58">
        <w:rPr>
          <w:color w:val="auto"/>
        </w:rPr>
        <w:t>aan te leveren bij</w:t>
      </w:r>
      <w:r w:rsidRPr="006D6DD2">
        <w:rPr>
          <w:color w:val="auto"/>
        </w:rPr>
        <w:t xml:space="preserve"> de </w:t>
      </w:r>
      <w:r w:rsidR="00B93610">
        <w:t xml:space="preserve">Nederlandse Autoriteit Uitleenmarkt </w:t>
      </w:r>
      <w:r w:rsidRPr="006D6DD2">
        <w:rPr>
          <w:color w:val="auto"/>
        </w:rPr>
        <w:t>zal afhankelijk zijn van de grootte van de onderneming en of de onderneming de eigen administratie beheert of de administratie uitbesteed. Het</w:t>
      </w:r>
      <w:r w:rsidR="00B55A58">
        <w:rPr>
          <w:color w:val="auto"/>
        </w:rPr>
        <w:t xml:space="preserve"> (digitaal) verstrekken van het bewijsstuk</w:t>
      </w:r>
      <w:r w:rsidRPr="006D6DD2">
        <w:rPr>
          <w:color w:val="auto"/>
        </w:rPr>
        <w:t xml:space="preserve"> kost naar schatting 5 minuten. Het uit de administratie halen van het bewijsstuk kost naar schatting gemiddeld </w:t>
      </w:r>
      <w:r w:rsidR="00B82E2F">
        <w:rPr>
          <w:color w:val="auto"/>
        </w:rPr>
        <w:t>120</w:t>
      </w:r>
      <w:r w:rsidRPr="006D6DD2">
        <w:rPr>
          <w:color w:val="auto"/>
        </w:rPr>
        <w:t xml:space="preserve"> minuten</w:t>
      </w:r>
      <w:r w:rsidRPr="006D6DD2" w:rsidR="006D6DD2">
        <w:rPr>
          <w:color w:val="auto"/>
        </w:rPr>
        <w:t xml:space="preserve">. Bij een goed georganiseerd digitaal archief duurt het opvragen van documenten </w:t>
      </w:r>
      <w:r w:rsidR="007B1271">
        <w:rPr>
          <w:color w:val="auto"/>
        </w:rPr>
        <w:t>mogelijk</w:t>
      </w:r>
      <w:r w:rsidRPr="006D6DD2" w:rsidR="007B1271">
        <w:rPr>
          <w:color w:val="auto"/>
        </w:rPr>
        <w:t xml:space="preserve"> </w:t>
      </w:r>
      <w:r w:rsidR="0050302A">
        <w:rPr>
          <w:color w:val="auto"/>
        </w:rPr>
        <w:t>enkele minuten</w:t>
      </w:r>
      <w:r w:rsidRPr="006D6DD2" w:rsidR="006D6DD2">
        <w:rPr>
          <w:color w:val="auto"/>
        </w:rPr>
        <w:t xml:space="preserve">. </w:t>
      </w:r>
      <w:r w:rsidR="007B1271">
        <w:rPr>
          <w:color w:val="auto"/>
        </w:rPr>
        <w:t xml:space="preserve">In deze berekening is daarom uitgegaan van </w:t>
      </w:r>
      <w:r w:rsidR="0050302A">
        <w:rPr>
          <w:color w:val="auto"/>
        </w:rPr>
        <w:t>twee scenario’s. In scenario A van een tijdsinvestering van 15 minuten</w:t>
      </w:r>
      <w:r w:rsidR="007B1271">
        <w:rPr>
          <w:color w:val="auto"/>
        </w:rPr>
        <w:t xml:space="preserve"> om de omzet uit het voorgaande kalenderjaar uit de administratie te halen en bij de aanvraag aan de NAU te verstrekken</w:t>
      </w:r>
      <w:r w:rsidR="0050302A">
        <w:rPr>
          <w:color w:val="auto"/>
        </w:rPr>
        <w:t xml:space="preserve"> en in scenario B</w:t>
      </w:r>
      <w:r w:rsidR="00B55A58">
        <w:rPr>
          <w:color w:val="auto"/>
        </w:rPr>
        <w:t xml:space="preserve"> van </w:t>
      </w:r>
      <w:r w:rsidR="0050302A">
        <w:rPr>
          <w:color w:val="auto"/>
        </w:rPr>
        <w:t xml:space="preserve">een tijdsinvestering van </w:t>
      </w:r>
      <w:r w:rsidR="00B55A58">
        <w:rPr>
          <w:color w:val="auto"/>
        </w:rPr>
        <w:t>120 minuten</w:t>
      </w:r>
      <w:r w:rsidR="00434E85">
        <w:rPr>
          <w:color w:val="auto"/>
        </w:rPr>
        <w:t xml:space="preserve">. Het uitgangspunt is dat de </w:t>
      </w:r>
      <w:r w:rsidR="007B1271">
        <w:rPr>
          <w:color w:val="auto"/>
        </w:rPr>
        <w:t xml:space="preserve">omzetgegevens </w:t>
      </w:r>
      <w:r w:rsidR="00434E85">
        <w:rPr>
          <w:color w:val="auto"/>
        </w:rPr>
        <w:t>reeds aanwezig zijn in de administratie omdat het over het voorafgaande kalenderjaar gaat.</w:t>
      </w:r>
      <w:r w:rsidR="006D6DD2">
        <w:rPr>
          <w:color w:val="auto"/>
        </w:rPr>
        <w:t xml:space="preserve"> </w:t>
      </w:r>
      <w:r w:rsidR="007B1271">
        <w:rPr>
          <w:color w:val="auto"/>
        </w:rPr>
        <w:t xml:space="preserve">Bij ministeriële regeling wordt nader uitgewerkt welke gegevens en bescheiden de uitlener kan verstrekken om de omzet mee te onderbouwen. </w:t>
      </w:r>
      <w:r w:rsidR="006D6DD2">
        <w:rPr>
          <w:color w:val="auto"/>
        </w:rPr>
        <w:t xml:space="preserve">Bij de nieuwe aanvraag voor een toelating </w:t>
      </w:r>
      <w:r w:rsidR="00434E85">
        <w:rPr>
          <w:color w:val="auto"/>
        </w:rPr>
        <w:t xml:space="preserve">(na vier jaar) </w:t>
      </w:r>
      <w:r w:rsidR="006D6DD2">
        <w:rPr>
          <w:color w:val="auto"/>
        </w:rPr>
        <w:t xml:space="preserve">moet de uitlener wederom een bewijsstuk uploaden. Vanwege de duur van de toelating zal dit in de regel één keer per vier jaar zorgen voor een extra regeldruk. </w:t>
      </w:r>
      <w:r w:rsidR="00B82E2F">
        <w:rPr>
          <w:color w:val="auto"/>
        </w:rPr>
        <w:t xml:space="preserve">Voor het uurloon wordt uitgegaan van de bedragen zoals genoemd in het Handboek Meting Regeldrukkosten (2023) voor administratief personeel zijnde €39. </w:t>
      </w:r>
      <w:r w:rsidR="003F4201">
        <w:rPr>
          <w:color w:val="auto"/>
        </w:rPr>
        <w:t xml:space="preserve">De kosten voor een administratiekantoor variëren zeer. Voor deze berekening wordt uitgegaan €100 per uur. Zowel een werknemer als een mogelijk administratiekantoor zal werkzaamheden verrichten om het betreffende document te raadplegen en te uploaden. Voor de berekening van de regeldruk wordt ervan uitgegaan dat alle bedrijven of een extern administratiekantoor hebben of intern een administratieve afdeling. </w:t>
      </w:r>
      <w:r w:rsidR="00434E85">
        <w:rPr>
          <w:color w:val="auto"/>
        </w:rPr>
        <w:t>Voor deze berekening z</w:t>
      </w:r>
      <w:r w:rsidR="003F4201">
        <w:rPr>
          <w:color w:val="auto"/>
        </w:rPr>
        <w:t xml:space="preserve">ijn de tarieven voor uurloon werknemer en kosten administratiekantoor </w:t>
      </w:r>
      <w:r w:rsidR="00B5656E">
        <w:rPr>
          <w:color w:val="auto"/>
        </w:rPr>
        <w:t xml:space="preserve">gemakshalve </w:t>
      </w:r>
      <w:r w:rsidR="003F4201">
        <w:rPr>
          <w:color w:val="auto"/>
        </w:rPr>
        <w:t xml:space="preserve">bij elkaar opgeteld. </w:t>
      </w:r>
    </w:p>
    <w:p w:rsidR="003F4201" w:rsidP="003F4201" w:rsidRDefault="003F4201" w14:paraId="233BC525" w14:textId="77777777">
      <w:pPr>
        <w:spacing w:line="276" w:lineRule="auto"/>
        <w:rPr>
          <w:color w:val="auto"/>
        </w:rPr>
      </w:pPr>
    </w:p>
    <w:p w:rsidR="0050302A" w:rsidP="006D6DD2" w:rsidRDefault="0050302A" w14:paraId="4706D157" w14:textId="77777777">
      <w:pPr>
        <w:spacing w:line="276" w:lineRule="auto"/>
        <w:rPr>
          <w:color w:val="auto"/>
        </w:rPr>
      </w:pPr>
      <w:r>
        <w:rPr>
          <w:color w:val="auto"/>
        </w:rPr>
        <w:t xml:space="preserve">Scenario </w:t>
      </w:r>
      <w:r w:rsidR="007B1271">
        <w:rPr>
          <w:color w:val="auto"/>
        </w:rPr>
        <w:t>A</w:t>
      </w:r>
    </w:p>
    <w:p w:rsidR="0050302A" w:rsidP="006D6DD2" w:rsidRDefault="0050302A" w14:paraId="6B99D995" w14:textId="77777777">
      <w:pPr>
        <w:spacing w:line="276" w:lineRule="auto"/>
        <w:rPr>
          <w:color w:val="auto"/>
        </w:rPr>
      </w:pPr>
    </w:p>
    <w:p w:rsidR="0050302A" w:rsidP="0050302A" w:rsidRDefault="0050302A" w14:paraId="083D2750" w14:textId="77777777">
      <w:pPr>
        <w:spacing w:line="276" w:lineRule="auto"/>
        <w:rPr>
          <w:color w:val="auto"/>
        </w:rPr>
      </w:pPr>
      <w:r>
        <w:rPr>
          <w:color w:val="auto"/>
        </w:rPr>
        <w:t xml:space="preserve">Bovenstaande uitgangspunten leiden tot de volgende incidentele regeldruk </w:t>
      </w:r>
    </w:p>
    <w:p w:rsidR="0050302A" w:rsidP="0050302A" w:rsidRDefault="0050302A" w14:paraId="2D19D70B" w14:textId="77777777">
      <w:pPr>
        <w:spacing w:line="276" w:lineRule="auto"/>
        <w:rPr>
          <w:color w:val="auto"/>
        </w:rPr>
      </w:pPr>
      <w:r>
        <w:rPr>
          <w:color w:val="auto"/>
        </w:rPr>
        <w:t xml:space="preserve">P: kosten per handeling </w:t>
      </w:r>
      <w:r>
        <w:rPr>
          <w:color w:val="auto"/>
        </w:rPr>
        <w:tab/>
      </w:r>
      <w:r>
        <w:rPr>
          <w:color w:val="auto"/>
        </w:rPr>
        <w:tab/>
        <w:t>3 minuten x €139 x 15.000</w:t>
      </w:r>
    </w:p>
    <w:p w:rsidR="0050302A" w:rsidP="0050302A" w:rsidRDefault="0050302A" w14:paraId="535B9690" w14:textId="77777777">
      <w:pPr>
        <w:spacing w:line="276" w:lineRule="auto"/>
        <w:rPr>
          <w:color w:val="auto"/>
        </w:rPr>
      </w:pPr>
      <w:r>
        <w:rPr>
          <w:color w:val="auto"/>
        </w:rPr>
        <w:t>Q: aantal handelingen per jaar</w:t>
      </w:r>
      <w:r>
        <w:rPr>
          <w:color w:val="auto"/>
        </w:rPr>
        <w:tab/>
      </w:r>
      <w:r>
        <w:rPr>
          <w:color w:val="auto"/>
        </w:rPr>
        <w:tab/>
        <w:t xml:space="preserve">1 </w:t>
      </w:r>
    </w:p>
    <w:p w:rsidR="0050302A" w:rsidP="0050302A" w:rsidRDefault="0050302A" w14:paraId="7BABFCC8" w14:textId="77777777">
      <w:pPr>
        <w:spacing w:line="276" w:lineRule="auto"/>
        <w:rPr>
          <w:color w:val="auto"/>
        </w:rPr>
      </w:pPr>
      <w:r>
        <w:rPr>
          <w:color w:val="auto"/>
        </w:rPr>
        <w:t xml:space="preserve">Regeldruk: </w:t>
      </w:r>
      <w:r>
        <w:rPr>
          <w:color w:val="auto"/>
        </w:rPr>
        <w:tab/>
      </w:r>
      <w:r>
        <w:rPr>
          <w:color w:val="auto"/>
        </w:rPr>
        <w:tab/>
      </w:r>
      <w:r>
        <w:rPr>
          <w:color w:val="auto"/>
        </w:rPr>
        <w:tab/>
      </w:r>
      <w:r>
        <w:rPr>
          <w:color w:val="auto"/>
        </w:rPr>
        <w:tab/>
        <w:t>P x Q = €29.250</w:t>
      </w:r>
    </w:p>
    <w:p w:rsidR="0050302A" w:rsidP="0050302A" w:rsidRDefault="0050302A" w14:paraId="100D8922" w14:textId="77777777">
      <w:pPr>
        <w:spacing w:line="276" w:lineRule="auto"/>
        <w:rPr>
          <w:color w:val="auto"/>
        </w:rPr>
      </w:pPr>
    </w:p>
    <w:p w:rsidRPr="003F4201" w:rsidR="0050302A" w:rsidP="0050302A" w:rsidRDefault="0050302A" w14:paraId="72529638" w14:textId="77777777">
      <w:pPr>
        <w:spacing w:line="276" w:lineRule="auto"/>
        <w:rPr>
          <w:color w:val="auto"/>
        </w:rPr>
      </w:pPr>
      <w:r>
        <w:rPr>
          <w:color w:val="auto"/>
        </w:rPr>
        <w:t xml:space="preserve">Bovenstaande uitgangpunten leiden tot de volgende structurele regeldruk. </w:t>
      </w:r>
    </w:p>
    <w:p w:rsidR="0050302A" w:rsidP="0050302A" w:rsidRDefault="0050302A" w14:paraId="6559DD60" w14:textId="77777777">
      <w:pPr>
        <w:spacing w:line="276" w:lineRule="auto"/>
        <w:rPr>
          <w:color w:val="auto"/>
        </w:rPr>
      </w:pPr>
    </w:p>
    <w:p w:rsidR="0050302A" w:rsidP="0050302A" w:rsidRDefault="0050302A" w14:paraId="438E8F9B" w14:textId="77777777">
      <w:pPr>
        <w:spacing w:line="276" w:lineRule="auto"/>
        <w:rPr>
          <w:color w:val="auto"/>
        </w:rPr>
      </w:pPr>
      <w:r>
        <w:rPr>
          <w:color w:val="auto"/>
        </w:rPr>
        <w:lastRenderedPageBreak/>
        <w:t>P: Kosten per handeling</w:t>
      </w:r>
      <w:r>
        <w:rPr>
          <w:color w:val="auto"/>
        </w:rPr>
        <w:tab/>
      </w:r>
      <w:r>
        <w:rPr>
          <w:color w:val="auto"/>
        </w:rPr>
        <w:tab/>
      </w:r>
      <w:r w:rsidR="007B1271">
        <w:rPr>
          <w:color w:val="auto"/>
        </w:rPr>
        <w:t>(15 minuten + 5 minuten)</w:t>
      </w:r>
      <w:r>
        <w:rPr>
          <w:color w:val="auto"/>
        </w:rPr>
        <w:t xml:space="preserve"> x €139 x 15.000 = € </w:t>
      </w:r>
    </w:p>
    <w:p w:rsidR="0050302A" w:rsidP="0050302A" w:rsidRDefault="0050302A" w14:paraId="4F27FE15" w14:textId="77777777">
      <w:pPr>
        <w:spacing w:line="276" w:lineRule="auto"/>
        <w:rPr>
          <w:color w:val="auto"/>
        </w:rPr>
      </w:pPr>
      <w:r>
        <w:rPr>
          <w:color w:val="auto"/>
        </w:rPr>
        <w:t xml:space="preserve">Q: aantal handelingen per jaar </w:t>
      </w:r>
      <w:r>
        <w:rPr>
          <w:color w:val="auto"/>
        </w:rPr>
        <w:tab/>
        <w:t xml:space="preserve">¼ </w:t>
      </w:r>
    </w:p>
    <w:p w:rsidR="0050302A" w:rsidP="0050302A" w:rsidRDefault="0050302A" w14:paraId="4C4B3E20" w14:textId="77777777">
      <w:pPr>
        <w:spacing w:line="276" w:lineRule="auto"/>
        <w:rPr>
          <w:color w:val="auto"/>
        </w:rPr>
      </w:pPr>
      <w:r>
        <w:rPr>
          <w:color w:val="auto"/>
        </w:rPr>
        <w:t>Regeldruk</w:t>
      </w:r>
      <w:r>
        <w:rPr>
          <w:color w:val="auto"/>
        </w:rPr>
        <w:tab/>
      </w:r>
      <w:r>
        <w:rPr>
          <w:color w:val="auto"/>
        </w:rPr>
        <w:tab/>
      </w:r>
      <w:r>
        <w:rPr>
          <w:color w:val="auto"/>
        </w:rPr>
        <w:tab/>
      </w:r>
      <w:r>
        <w:rPr>
          <w:color w:val="auto"/>
        </w:rPr>
        <w:tab/>
        <w:t>P x Q = € 173.750</w:t>
      </w:r>
    </w:p>
    <w:p w:rsidR="0050302A" w:rsidP="006D6DD2" w:rsidRDefault="0050302A" w14:paraId="7D9B2AF0" w14:textId="77777777">
      <w:pPr>
        <w:spacing w:line="276" w:lineRule="auto"/>
        <w:rPr>
          <w:color w:val="auto"/>
        </w:rPr>
      </w:pPr>
    </w:p>
    <w:p w:rsidR="0050302A" w:rsidP="006D6DD2" w:rsidRDefault="0050302A" w14:paraId="44CB26CF" w14:textId="77777777">
      <w:pPr>
        <w:spacing w:line="276" w:lineRule="auto"/>
        <w:rPr>
          <w:color w:val="auto"/>
        </w:rPr>
      </w:pPr>
      <w:r>
        <w:rPr>
          <w:color w:val="auto"/>
        </w:rPr>
        <w:t>Totaal €203.000</w:t>
      </w:r>
    </w:p>
    <w:p w:rsidR="007B1271" w:rsidP="006D6DD2" w:rsidRDefault="007B1271" w14:paraId="409CA326" w14:textId="77777777">
      <w:pPr>
        <w:spacing w:line="276" w:lineRule="auto"/>
        <w:rPr>
          <w:color w:val="auto"/>
        </w:rPr>
      </w:pPr>
    </w:p>
    <w:p w:rsidR="007B1271" w:rsidP="007B1271" w:rsidRDefault="007B1271" w14:paraId="542BBB60" w14:textId="77777777">
      <w:pPr>
        <w:spacing w:line="276" w:lineRule="auto"/>
        <w:rPr>
          <w:color w:val="auto"/>
        </w:rPr>
      </w:pPr>
      <w:r>
        <w:rPr>
          <w:color w:val="auto"/>
        </w:rPr>
        <w:t xml:space="preserve">Scenario B </w:t>
      </w:r>
    </w:p>
    <w:p w:rsidR="007B1271" w:rsidP="007B1271" w:rsidRDefault="007B1271" w14:paraId="2CC03229" w14:textId="77777777">
      <w:pPr>
        <w:spacing w:line="276" w:lineRule="auto"/>
        <w:rPr>
          <w:color w:val="auto"/>
        </w:rPr>
      </w:pPr>
    </w:p>
    <w:p w:rsidR="007B1271" w:rsidP="007B1271" w:rsidRDefault="007B1271" w14:paraId="64511207" w14:textId="77777777">
      <w:pPr>
        <w:spacing w:line="276" w:lineRule="auto"/>
        <w:rPr>
          <w:color w:val="auto"/>
        </w:rPr>
      </w:pPr>
      <w:r>
        <w:rPr>
          <w:color w:val="auto"/>
        </w:rPr>
        <w:t xml:space="preserve">Bovenstaande uitgangspunten leiden tot de volgende incidentele regeldruk </w:t>
      </w:r>
    </w:p>
    <w:p w:rsidR="007B1271" w:rsidP="007B1271" w:rsidRDefault="007B1271" w14:paraId="152D8D28" w14:textId="77777777">
      <w:pPr>
        <w:spacing w:line="276" w:lineRule="auto"/>
        <w:rPr>
          <w:color w:val="auto"/>
        </w:rPr>
      </w:pPr>
      <w:r>
        <w:rPr>
          <w:color w:val="auto"/>
        </w:rPr>
        <w:t xml:space="preserve">P: kosten per handeling </w:t>
      </w:r>
      <w:r>
        <w:rPr>
          <w:color w:val="auto"/>
        </w:rPr>
        <w:tab/>
      </w:r>
      <w:r>
        <w:rPr>
          <w:color w:val="auto"/>
        </w:rPr>
        <w:tab/>
        <w:t>3 minuten x €139 x 15.000</w:t>
      </w:r>
    </w:p>
    <w:p w:rsidR="007B1271" w:rsidP="007B1271" w:rsidRDefault="007B1271" w14:paraId="0F8CFF9E" w14:textId="77777777">
      <w:pPr>
        <w:spacing w:line="276" w:lineRule="auto"/>
        <w:rPr>
          <w:color w:val="auto"/>
        </w:rPr>
      </w:pPr>
      <w:r>
        <w:rPr>
          <w:color w:val="auto"/>
        </w:rPr>
        <w:t>Q: aantal handelingen per jaar</w:t>
      </w:r>
      <w:r>
        <w:rPr>
          <w:color w:val="auto"/>
        </w:rPr>
        <w:tab/>
      </w:r>
      <w:r>
        <w:rPr>
          <w:color w:val="auto"/>
        </w:rPr>
        <w:tab/>
        <w:t xml:space="preserve">1 </w:t>
      </w:r>
    </w:p>
    <w:p w:rsidR="007B1271" w:rsidP="007B1271" w:rsidRDefault="007B1271" w14:paraId="2F36F9D6" w14:textId="77777777">
      <w:pPr>
        <w:spacing w:line="276" w:lineRule="auto"/>
        <w:rPr>
          <w:color w:val="auto"/>
        </w:rPr>
      </w:pPr>
      <w:r>
        <w:rPr>
          <w:color w:val="auto"/>
        </w:rPr>
        <w:t xml:space="preserve">Regeldruk: </w:t>
      </w:r>
      <w:r>
        <w:rPr>
          <w:color w:val="auto"/>
        </w:rPr>
        <w:tab/>
      </w:r>
      <w:r>
        <w:rPr>
          <w:color w:val="auto"/>
        </w:rPr>
        <w:tab/>
      </w:r>
      <w:r>
        <w:rPr>
          <w:color w:val="auto"/>
        </w:rPr>
        <w:tab/>
      </w:r>
      <w:r>
        <w:rPr>
          <w:color w:val="auto"/>
        </w:rPr>
        <w:tab/>
        <w:t>P x Q = €29.250</w:t>
      </w:r>
    </w:p>
    <w:p w:rsidR="007B1271" w:rsidP="007B1271" w:rsidRDefault="007B1271" w14:paraId="6B1B4B60" w14:textId="77777777">
      <w:pPr>
        <w:spacing w:line="276" w:lineRule="auto"/>
        <w:rPr>
          <w:color w:val="auto"/>
        </w:rPr>
      </w:pPr>
    </w:p>
    <w:p w:rsidRPr="003F4201" w:rsidR="007B1271" w:rsidP="007B1271" w:rsidRDefault="007B1271" w14:paraId="11278A67" w14:textId="77777777">
      <w:pPr>
        <w:spacing w:line="276" w:lineRule="auto"/>
        <w:rPr>
          <w:color w:val="auto"/>
        </w:rPr>
      </w:pPr>
      <w:r>
        <w:rPr>
          <w:color w:val="auto"/>
        </w:rPr>
        <w:t xml:space="preserve">Bovenstaande uitgangpunten leiden tot de volgende structurele regeldruk. </w:t>
      </w:r>
    </w:p>
    <w:p w:rsidR="007B1271" w:rsidP="007B1271" w:rsidRDefault="007B1271" w14:paraId="34F553E1" w14:textId="77777777">
      <w:pPr>
        <w:spacing w:line="276" w:lineRule="auto"/>
        <w:rPr>
          <w:color w:val="auto"/>
        </w:rPr>
      </w:pPr>
    </w:p>
    <w:p w:rsidR="007B1271" w:rsidP="007B1271" w:rsidRDefault="007B1271" w14:paraId="429FBD00" w14:textId="77777777">
      <w:pPr>
        <w:spacing w:line="276" w:lineRule="auto"/>
        <w:rPr>
          <w:color w:val="auto"/>
        </w:rPr>
      </w:pPr>
      <w:r>
        <w:rPr>
          <w:color w:val="auto"/>
        </w:rPr>
        <w:t>P: Kosten per handeling</w:t>
      </w:r>
      <w:r>
        <w:rPr>
          <w:color w:val="auto"/>
        </w:rPr>
        <w:tab/>
      </w:r>
      <w:r>
        <w:rPr>
          <w:color w:val="auto"/>
        </w:rPr>
        <w:tab/>
        <w:t xml:space="preserve">(120 minuten + 5 minuten) x €139 x 15.000 </w:t>
      </w:r>
    </w:p>
    <w:p w:rsidR="007B1271" w:rsidP="007B1271" w:rsidRDefault="007B1271" w14:paraId="05226FD0" w14:textId="77777777">
      <w:pPr>
        <w:spacing w:line="276" w:lineRule="auto"/>
        <w:rPr>
          <w:color w:val="auto"/>
        </w:rPr>
      </w:pPr>
      <w:r>
        <w:rPr>
          <w:color w:val="auto"/>
        </w:rPr>
        <w:t xml:space="preserve">Q: aantal handelingen per jaar </w:t>
      </w:r>
      <w:r>
        <w:rPr>
          <w:color w:val="auto"/>
        </w:rPr>
        <w:tab/>
        <w:t xml:space="preserve">¼ </w:t>
      </w:r>
    </w:p>
    <w:p w:rsidR="007B1271" w:rsidP="007B1271" w:rsidRDefault="007B1271" w14:paraId="152824A1" w14:textId="77777777">
      <w:pPr>
        <w:spacing w:line="276" w:lineRule="auto"/>
        <w:rPr>
          <w:color w:val="auto"/>
        </w:rPr>
      </w:pPr>
      <w:r>
        <w:rPr>
          <w:color w:val="auto"/>
        </w:rPr>
        <w:t>Regeldruk</w:t>
      </w:r>
      <w:r>
        <w:rPr>
          <w:color w:val="auto"/>
        </w:rPr>
        <w:tab/>
      </w:r>
      <w:r>
        <w:rPr>
          <w:color w:val="auto"/>
        </w:rPr>
        <w:tab/>
      </w:r>
      <w:r>
        <w:rPr>
          <w:color w:val="auto"/>
        </w:rPr>
        <w:tab/>
      </w:r>
      <w:r>
        <w:rPr>
          <w:color w:val="auto"/>
        </w:rPr>
        <w:tab/>
        <w:t>P x Q = € 1.085.937</w:t>
      </w:r>
    </w:p>
    <w:p w:rsidR="007B1271" w:rsidP="007B1271" w:rsidRDefault="007B1271" w14:paraId="4011F274" w14:textId="77777777">
      <w:pPr>
        <w:spacing w:line="276" w:lineRule="auto"/>
        <w:rPr>
          <w:color w:val="auto"/>
        </w:rPr>
      </w:pPr>
    </w:p>
    <w:p w:rsidR="007B1271" w:rsidP="007B1271" w:rsidRDefault="007B1271" w14:paraId="0B8F2E4D" w14:textId="77777777">
      <w:pPr>
        <w:spacing w:line="276" w:lineRule="auto"/>
        <w:rPr>
          <w:color w:val="auto"/>
        </w:rPr>
      </w:pPr>
      <w:r>
        <w:rPr>
          <w:color w:val="auto"/>
        </w:rPr>
        <w:t>Totaal €1.115.187</w:t>
      </w:r>
    </w:p>
    <w:p w:rsidR="007B1271" w:rsidP="006D6DD2" w:rsidRDefault="007B1271" w14:paraId="0EEFF181" w14:textId="77777777">
      <w:pPr>
        <w:spacing w:line="276" w:lineRule="auto"/>
        <w:rPr>
          <w:color w:val="auto"/>
        </w:rPr>
      </w:pPr>
    </w:p>
    <w:p w:rsidR="0050302A" w:rsidP="006D6DD2" w:rsidRDefault="0050302A" w14:paraId="261097D0" w14:textId="77777777">
      <w:pPr>
        <w:spacing w:line="276" w:lineRule="auto"/>
        <w:rPr>
          <w:color w:val="auto"/>
        </w:rPr>
      </w:pPr>
    </w:p>
    <w:p w:rsidR="00C7407B" w:rsidP="00AE5997" w:rsidRDefault="0050302A" w14:paraId="659CD802" w14:textId="77777777">
      <w:pPr>
        <w:spacing w:line="276" w:lineRule="auto"/>
        <w:rPr>
          <w:color w:val="auto"/>
        </w:rPr>
      </w:pPr>
      <w:r w:rsidRPr="0050302A">
        <w:rPr>
          <w:color w:val="auto"/>
        </w:rPr>
        <w:t xml:space="preserve">De voorgestelde maatregel leidt tot een toename van de regeldruk, omdat uitleners een bewijsstuk moeten aanleveren. Deze extra inspanning is echter gerechtvaardigd, omdat de maatregel zorgt voor een </w:t>
      </w:r>
      <w:r w:rsidRPr="00AE5997">
        <w:rPr>
          <w:color w:val="auto"/>
        </w:rPr>
        <w:t>kostenverschil naar rato van de omvang van de onderneming</w:t>
      </w:r>
      <w:r w:rsidRPr="0050302A">
        <w:rPr>
          <w:color w:val="auto"/>
        </w:rPr>
        <w:t xml:space="preserve">. Hierdoor betalen kleinere uitleners </w:t>
      </w:r>
      <w:r>
        <w:rPr>
          <w:color w:val="auto"/>
        </w:rPr>
        <w:t xml:space="preserve">(kleinere omzet) </w:t>
      </w:r>
      <w:r w:rsidRPr="0050302A">
        <w:rPr>
          <w:color w:val="auto"/>
        </w:rPr>
        <w:t xml:space="preserve">minder </w:t>
      </w:r>
      <w:r w:rsidR="0038214B">
        <w:rPr>
          <w:color w:val="auto"/>
        </w:rPr>
        <w:t xml:space="preserve">hoge vergoeding </w:t>
      </w:r>
      <w:r w:rsidRPr="0050302A">
        <w:rPr>
          <w:color w:val="auto"/>
        </w:rPr>
        <w:t>dan grotere</w:t>
      </w:r>
      <w:r>
        <w:rPr>
          <w:color w:val="auto"/>
        </w:rPr>
        <w:t xml:space="preserve"> uitleners.</w:t>
      </w:r>
      <w:r w:rsidRPr="00C77531" w:rsidR="00C77531">
        <w:t xml:space="preserve"> </w:t>
      </w:r>
      <w:r w:rsidRPr="00C77531" w:rsidR="00C77531">
        <w:rPr>
          <w:color w:val="auto"/>
        </w:rPr>
        <w:t xml:space="preserve">Het bevordert een </w:t>
      </w:r>
      <w:r w:rsidR="00DA11D7">
        <w:rPr>
          <w:color w:val="auto"/>
        </w:rPr>
        <w:t>gelijk speelveld</w:t>
      </w:r>
      <w:r w:rsidRPr="00C77531" w:rsidR="00C77531">
        <w:rPr>
          <w:color w:val="auto"/>
        </w:rPr>
        <w:t xml:space="preserve"> en ondersteunt met name het mkb</w:t>
      </w:r>
      <w:r w:rsidR="00C77531">
        <w:rPr>
          <w:color w:val="auto"/>
        </w:rPr>
        <w:t>.</w:t>
      </w:r>
    </w:p>
    <w:p w:rsidR="00636D81" w:rsidP="00636D81" w:rsidRDefault="00636D81" w14:paraId="4D17AF93" w14:textId="77777777">
      <w:pPr>
        <w:pStyle w:val="Lijstalinea"/>
        <w:rPr>
          <w:rFonts w:cstheme="minorHAnsi"/>
        </w:rPr>
      </w:pPr>
    </w:p>
    <w:p w:rsidRPr="00215CEB" w:rsidR="00636D81" w:rsidP="00EE44BF" w:rsidRDefault="00EE44BF" w14:paraId="20B774FE" w14:textId="77777777">
      <w:pPr>
        <w:pStyle w:val="Geenafstand"/>
        <w:numPr>
          <w:ilvl w:val="0"/>
          <w:numId w:val="10"/>
        </w:numPr>
        <w:spacing w:line="276" w:lineRule="auto"/>
        <w:rPr>
          <w:rFonts w:cstheme="minorHAnsi"/>
          <w:b/>
          <w:bCs/>
          <w:lang w:val="nl-NL"/>
        </w:rPr>
      </w:pPr>
      <w:r w:rsidRPr="00200DD1">
        <w:rPr>
          <w:rFonts w:cstheme="minorHAnsi"/>
          <w:b/>
          <w:bCs/>
          <w:lang w:val="nl-NL"/>
        </w:rPr>
        <w:t>Advies</w:t>
      </w:r>
      <w:r w:rsidRPr="00200DD1" w:rsidR="00E6747D">
        <w:rPr>
          <w:rFonts w:cstheme="minorHAnsi"/>
          <w:b/>
          <w:bCs/>
          <w:lang w:val="nl-NL"/>
        </w:rPr>
        <w:t xml:space="preserve">, toetsing en internetconsultatie </w:t>
      </w:r>
    </w:p>
    <w:p w:rsidR="00E6747D" w:rsidP="006C72C2" w:rsidRDefault="00E6747D" w14:paraId="390FFEE7" w14:textId="77777777">
      <w:pPr>
        <w:rPr>
          <w:rFonts w:cstheme="minorHAnsi"/>
        </w:rPr>
      </w:pPr>
    </w:p>
    <w:p w:rsidRPr="00445537" w:rsidR="005F51D4" w:rsidP="005F51D4" w:rsidRDefault="005F51D4" w14:paraId="35B2BA76" w14:textId="77777777">
      <w:pPr>
        <w:pStyle w:val="Lijstalinea"/>
        <w:numPr>
          <w:ilvl w:val="1"/>
          <w:numId w:val="10"/>
        </w:numPr>
        <w:rPr>
          <w:b/>
          <w:bCs/>
          <w:color w:val="auto"/>
        </w:rPr>
      </w:pPr>
      <w:r w:rsidRPr="00445537">
        <w:rPr>
          <w:b/>
          <w:bCs/>
          <w:color w:val="auto"/>
        </w:rPr>
        <w:t xml:space="preserve">Internetconsultatie </w:t>
      </w:r>
    </w:p>
    <w:p w:rsidRPr="005F51D4" w:rsidR="005F51D4" w:rsidP="005F51D4" w:rsidRDefault="005F51D4" w14:paraId="24A812D7" w14:textId="77777777">
      <w:pPr>
        <w:pStyle w:val="Lijstalinea"/>
        <w:ind w:left="1080"/>
        <w:rPr>
          <w:color w:val="auto"/>
        </w:rPr>
      </w:pPr>
    </w:p>
    <w:p w:rsidR="00200DD1" w:rsidP="006C72C2" w:rsidRDefault="00FB12A5" w14:paraId="5EE79101" w14:textId="04400CD5">
      <w:pPr>
        <w:rPr>
          <w:color w:val="auto"/>
        </w:rPr>
      </w:pPr>
      <w:r w:rsidRPr="00FB12A5">
        <w:rPr>
          <w:color w:val="auto"/>
        </w:rPr>
        <w:t xml:space="preserve">Een conceptversie van dit besluit heeft van 24 april 2026 tot en met </w:t>
      </w:r>
      <w:r>
        <w:rPr>
          <w:color w:val="auto"/>
        </w:rPr>
        <w:t xml:space="preserve">20 </w:t>
      </w:r>
      <w:r w:rsidRPr="00FB12A5">
        <w:rPr>
          <w:color w:val="auto"/>
        </w:rPr>
        <w:t xml:space="preserve">mei 2026 voorgelegen voor internetconsultatie. In deze periode </w:t>
      </w:r>
      <w:r w:rsidR="00CE174C">
        <w:rPr>
          <w:color w:val="auto"/>
        </w:rPr>
        <w:t>zijn twee</w:t>
      </w:r>
      <w:r w:rsidR="00780979">
        <w:rPr>
          <w:color w:val="auto"/>
        </w:rPr>
        <w:t xml:space="preserve"> </w:t>
      </w:r>
      <w:r w:rsidRPr="00FB12A5">
        <w:rPr>
          <w:color w:val="auto"/>
        </w:rPr>
        <w:t>openbare reactie</w:t>
      </w:r>
      <w:r w:rsidR="00200DD1">
        <w:rPr>
          <w:color w:val="auto"/>
        </w:rPr>
        <w:t>s</w:t>
      </w:r>
      <w:r w:rsidRPr="00FB12A5">
        <w:rPr>
          <w:color w:val="auto"/>
        </w:rPr>
        <w:t xml:space="preserve"> ontvangen</w:t>
      </w:r>
      <w:r w:rsidR="00780979">
        <w:rPr>
          <w:color w:val="auto"/>
        </w:rPr>
        <w:t xml:space="preserve">. </w:t>
      </w:r>
      <w:r w:rsidR="00CE174C">
        <w:rPr>
          <w:color w:val="auto"/>
        </w:rPr>
        <w:t xml:space="preserve">Een reactie van een arbeidsbemiddelaar en een reactie van een </w:t>
      </w:r>
      <w:r w:rsidRPr="00CE174C" w:rsidR="00CE174C">
        <w:rPr>
          <w:color w:val="auto"/>
        </w:rPr>
        <w:t>brancheorganisatie voor intermediairs en brokers</w:t>
      </w:r>
      <w:r w:rsidR="00CE174C">
        <w:rPr>
          <w:color w:val="auto"/>
        </w:rPr>
        <w:t xml:space="preserve">. </w:t>
      </w:r>
      <w:r w:rsidR="00200DD1">
        <w:rPr>
          <w:color w:val="auto"/>
        </w:rPr>
        <w:t xml:space="preserve">Daarnaast is één niet openbare reactie ontvangen van een intermediair. </w:t>
      </w:r>
      <w:r w:rsidR="00CE174C">
        <w:rPr>
          <w:color w:val="auto"/>
        </w:rPr>
        <w:t xml:space="preserve">In de reacties wordt in algemene zin het belang van het toelatingsstelsel onderstreept. </w:t>
      </w:r>
      <w:r w:rsidR="00501F92">
        <w:rPr>
          <w:color w:val="auto"/>
        </w:rPr>
        <w:t>De indieners vragen aandacht</w:t>
      </w:r>
      <w:r w:rsidR="00CE174C">
        <w:rPr>
          <w:color w:val="auto"/>
        </w:rPr>
        <w:t xml:space="preserve"> voor het effect van het toelatingsstelsel en in het bijzonder de leges op het MKB. De</w:t>
      </w:r>
      <w:r w:rsidR="00501F92">
        <w:rPr>
          <w:color w:val="auto"/>
        </w:rPr>
        <w:t xml:space="preserve"> regering onderstreept het belang hiervan. </w:t>
      </w:r>
      <w:r w:rsidR="00746AD4">
        <w:rPr>
          <w:color w:val="auto"/>
        </w:rPr>
        <w:t>Bij wet zijn de leges gemaximeerd op €3.611</w:t>
      </w:r>
      <w:r w:rsidR="006D4A96">
        <w:rPr>
          <w:color w:val="auto"/>
        </w:rPr>
        <w:t>. De hoogte van de leges zullen dus niet hoger zijn dan dit gemaximeerde bedrag.</w:t>
      </w:r>
      <w:r w:rsidR="00C20C12">
        <w:rPr>
          <w:color w:val="auto"/>
        </w:rPr>
        <w:t xml:space="preserve"> Door de differentiatie z</w:t>
      </w:r>
      <w:r w:rsidR="00200DD1">
        <w:rPr>
          <w:color w:val="auto"/>
        </w:rPr>
        <w:t xml:space="preserve">al de hoogte van de leges voor </w:t>
      </w:r>
      <w:r w:rsidR="00C20C12">
        <w:rPr>
          <w:color w:val="auto"/>
        </w:rPr>
        <w:t xml:space="preserve">ondernemingen die in de </w:t>
      </w:r>
      <w:r w:rsidR="00167922">
        <w:rPr>
          <w:color w:val="auto"/>
        </w:rPr>
        <w:t>omzet</w:t>
      </w:r>
      <w:r w:rsidR="00C20C12">
        <w:rPr>
          <w:color w:val="auto"/>
        </w:rPr>
        <w:t>categorie ‘klein’ vallen minder dan €3.611 be</w:t>
      </w:r>
      <w:r w:rsidR="00167922">
        <w:rPr>
          <w:color w:val="auto"/>
        </w:rPr>
        <w:t>dragen</w:t>
      </w:r>
      <w:r w:rsidR="00C20C12">
        <w:rPr>
          <w:color w:val="auto"/>
        </w:rPr>
        <w:t>.</w:t>
      </w:r>
      <w:r w:rsidR="003D063C">
        <w:rPr>
          <w:color w:val="auto"/>
        </w:rPr>
        <w:t xml:space="preserve"> </w:t>
      </w:r>
      <w:r w:rsidR="00200DD1">
        <w:rPr>
          <w:color w:val="auto"/>
        </w:rPr>
        <w:t>De</w:t>
      </w:r>
      <w:r w:rsidR="00CE174C">
        <w:rPr>
          <w:color w:val="auto"/>
        </w:rPr>
        <w:t xml:space="preserve"> effecten van het toelatingsstelsel </w:t>
      </w:r>
      <w:r w:rsidR="00200DD1">
        <w:rPr>
          <w:color w:val="auto"/>
        </w:rPr>
        <w:t xml:space="preserve">worden </w:t>
      </w:r>
      <w:r w:rsidR="00CE174C">
        <w:rPr>
          <w:color w:val="auto"/>
        </w:rPr>
        <w:t xml:space="preserve">gemonitord. Eén jaar na de inwerkingtredingsdatum vindt een invoeringstoets plaats. Na drie jaar wordt de wet geëvalueerd. Daarbij is uiteraard ook aandacht voor de effecten van de differentiatie van de leges en de administratieve lasten. </w:t>
      </w:r>
    </w:p>
    <w:p w:rsidR="00200DD1" w:rsidP="006C72C2" w:rsidRDefault="00200DD1" w14:paraId="74B2B777" w14:textId="77777777">
      <w:pPr>
        <w:rPr>
          <w:color w:val="auto"/>
        </w:rPr>
      </w:pPr>
    </w:p>
    <w:p w:rsidR="005F51D4" w:rsidP="006C72C2" w:rsidRDefault="00CE174C" w14:paraId="073543D9" w14:textId="77777777">
      <w:pPr>
        <w:rPr>
          <w:color w:val="auto"/>
        </w:rPr>
      </w:pPr>
      <w:r>
        <w:rPr>
          <w:color w:val="auto"/>
        </w:rPr>
        <w:lastRenderedPageBreak/>
        <w:t xml:space="preserve">Verder </w:t>
      </w:r>
      <w:r w:rsidR="00501F92">
        <w:rPr>
          <w:color w:val="auto"/>
        </w:rPr>
        <w:t>hebben de indieners</w:t>
      </w:r>
      <w:r>
        <w:rPr>
          <w:color w:val="auto"/>
        </w:rPr>
        <w:t xml:space="preserve"> een aantal inhoudelijke opmerkingen gemaakt </w:t>
      </w:r>
      <w:r w:rsidR="00780979">
        <w:rPr>
          <w:color w:val="auto"/>
        </w:rPr>
        <w:t>over de definitie van het omzetbegrip</w:t>
      </w:r>
      <w:r w:rsidR="00491520">
        <w:rPr>
          <w:color w:val="auto"/>
        </w:rPr>
        <w:t xml:space="preserve"> en</w:t>
      </w:r>
      <w:r w:rsidR="00780979">
        <w:rPr>
          <w:color w:val="auto"/>
        </w:rPr>
        <w:t xml:space="preserve"> de </w:t>
      </w:r>
      <w:r w:rsidR="00491520">
        <w:rPr>
          <w:color w:val="auto"/>
        </w:rPr>
        <w:t xml:space="preserve">vaststelling van de omzetcategorie gedurende de toelating. </w:t>
      </w:r>
    </w:p>
    <w:p w:rsidR="00491520" w:rsidP="006C72C2" w:rsidRDefault="00491520" w14:paraId="217899CD" w14:textId="77777777">
      <w:pPr>
        <w:rPr>
          <w:color w:val="auto"/>
        </w:rPr>
      </w:pPr>
    </w:p>
    <w:p w:rsidR="00491520" w:rsidP="006C72C2" w:rsidRDefault="00491520" w14:paraId="64BD4D98" w14:textId="77777777">
      <w:pPr>
        <w:rPr>
          <w:color w:val="auto"/>
          <w:u w:val="single"/>
        </w:rPr>
      </w:pPr>
      <w:r>
        <w:rPr>
          <w:color w:val="auto"/>
          <w:u w:val="single"/>
        </w:rPr>
        <w:t xml:space="preserve">Begrip totale omzet </w:t>
      </w:r>
    </w:p>
    <w:p w:rsidR="00512C4C" w:rsidP="006C72C2" w:rsidRDefault="00491520" w14:paraId="4D569C88" w14:textId="148210D3">
      <w:pPr>
        <w:rPr>
          <w:color w:val="auto"/>
        </w:rPr>
      </w:pPr>
      <w:r>
        <w:rPr>
          <w:color w:val="auto"/>
        </w:rPr>
        <w:t>Hoewel de keuze voor differentiatie van de leges voor de jaarbijdrage op basis van ‘omzet’ wordt begrepen uit oogpunt van uitvoerbaarheid en proportionaliteit, wordt in de reactie</w:t>
      </w:r>
      <w:r w:rsidR="00200DD1">
        <w:rPr>
          <w:color w:val="auto"/>
        </w:rPr>
        <w:t>s</w:t>
      </w:r>
      <w:r>
        <w:rPr>
          <w:color w:val="auto"/>
        </w:rPr>
        <w:t xml:space="preserve"> uiteengezet waarom ‘omzet’ niet altijd een representatieve indicatie voor draagkracht, risico of feitelijke invloed op de arbeidsrelatie is. </w:t>
      </w:r>
      <w:r w:rsidR="00200DD1">
        <w:rPr>
          <w:color w:val="auto"/>
        </w:rPr>
        <w:t xml:space="preserve">In het bijzonder is omzet geen representatieve maatstaf voor intermediairs omdat de omzet van een intermediaire organisatie grotendeels bestaat uit doorgeleide kosten. </w:t>
      </w:r>
      <w:r>
        <w:rPr>
          <w:color w:val="auto"/>
        </w:rPr>
        <w:t>Het doel van het gebruik van ‘omzet’ is om een orde van grootte te bepalen</w:t>
      </w:r>
      <w:r w:rsidR="004E696A">
        <w:rPr>
          <w:color w:val="auto"/>
        </w:rPr>
        <w:t xml:space="preserve"> zodat de gedifferentieerde leges voor de jaarbijdrage kunnen worden vastgesteld door de NAU</w:t>
      </w:r>
      <w:r>
        <w:rPr>
          <w:color w:val="auto"/>
        </w:rPr>
        <w:t>.</w:t>
      </w:r>
      <w:r w:rsidR="00DE7A0E">
        <w:rPr>
          <w:color w:val="auto"/>
        </w:rPr>
        <w:t xml:space="preserve"> De onderneming wordt op basis van de omzet ingedeeld in </w:t>
      </w:r>
      <w:r w:rsidR="00200DD1">
        <w:rPr>
          <w:color w:val="auto"/>
        </w:rPr>
        <w:t xml:space="preserve">een </w:t>
      </w:r>
      <w:r w:rsidR="00DE7A0E">
        <w:rPr>
          <w:color w:val="auto"/>
        </w:rPr>
        <w:t>categorie. Omdat de NAU bekostigd wordt uit de leges, kunnen de grenzen van de categorieën na de sluiting van het aanmeldloket van de NAU bekend worden gemaakt.</w:t>
      </w:r>
      <w:r w:rsidR="0043390C">
        <w:rPr>
          <w:color w:val="auto"/>
        </w:rPr>
        <w:t xml:space="preserve"> </w:t>
      </w:r>
      <w:r w:rsidR="00DE7A0E">
        <w:rPr>
          <w:color w:val="auto"/>
        </w:rPr>
        <w:t>Dan heeft de NAU inzicht in het verwachte aantal aanvragen tot toelating. Er is gekozen voor aansluiting bij het begrip ‘o</w:t>
      </w:r>
      <w:r>
        <w:rPr>
          <w:color w:val="auto"/>
        </w:rPr>
        <w:t>mzet</w:t>
      </w:r>
      <w:r w:rsidR="00DE7A0E">
        <w:rPr>
          <w:color w:val="auto"/>
        </w:rPr>
        <w:t>’</w:t>
      </w:r>
      <w:r>
        <w:rPr>
          <w:color w:val="auto"/>
        </w:rPr>
        <w:t xml:space="preserve"> </w:t>
      </w:r>
      <w:r w:rsidR="00DE7A0E">
        <w:rPr>
          <w:color w:val="auto"/>
        </w:rPr>
        <w:t xml:space="preserve">omdat het </w:t>
      </w:r>
      <w:r>
        <w:rPr>
          <w:color w:val="auto"/>
        </w:rPr>
        <w:t>een financieel meetbaar</w:t>
      </w:r>
      <w:r w:rsidR="00DE7A0E">
        <w:rPr>
          <w:color w:val="auto"/>
        </w:rPr>
        <w:t xml:space="preserve"> </w:t>
      </w:r>
      <w:r>
        <w:rPr>
          <w:color w:val="auto"/>
        </w:rPr>
        <w:t>getal</w:t>
      </w:r>
      <w:r w:rsidR="004E696A">
        <w:rPr>
          <w:color w:val="auto"/>
        </w:rPr>
        <w:t xml:space="preserve"> is</w:t>
      </w:r>
      <w:r>
        <w:rPr>
          <w:color w:val="auto"/>
        </w:rPr>
        <w:t xml:space="preserve"> dat direct uit de boekhouding komt</w:t>
      </w:r>
      <w:r w:rsidR="00DE7A0E">
        <w:rPr>
          <w:color w:val="auto"/>
        </w:rPr>
        <w:t xml:space="preserve"> en daardoor relatief eenvoudig aan te leveren en te controleren is. </w:t>
      </w:r>
      <w:r w:rsidR="004E696A">
        <w:rPr>
          <w:color w:val="auto"/>
        </w:rPr>
        <w:t xml:space="preserve">Er bestaan verschillende definities en interpretaties van omzet afhankelijk van doel, sector, wetgeving en boekhoudkundige standaarden. In de ministeriële regeling wordt nader uitgewerkt </w:t>
      </w:r>
      <w:r w:rsidR="0038499B">
        <w:rPr>
          <w:color w:val="auto"/>
        </w:rPr>
        <w:t xml:space="preserve">welke bewijsmiddelen de minister accepteert. </w:t>
      </w:r>
      <w:r w:rsidRPr="0038499B" w:rsidR="0038499B">
        <w:rPr>
          <w:color w:val="auto"/>
        </w:rPr>
        <w:t xml:space="preserve">Het omzetbegrip wordt in </w:t>
      </w:r>
      <w:r w:rsidR="00512C4C">
        <w:rPr>
          <w:color w:val="auto"/>
        </w:rPr>
        <w:t>h</w:t>
      </w:r>
      <w:r w:rsidRPr="0038499B" w:rsidR="0038499B">
        <w:rPr>
          <w:color w:val="auto"/>
        </w:rPr>
        <w:t>e</w:t>
      </w:r>
      <w:r w:rsidR="00512C4C">
        <w:rPr>
          <w:color w:val="auto"/>
        </w:rPr>
        <w:t xml:space="preserve">t besluit </w:t>
      </w:r>
      <w:r w:rsidRPr="0038499B" w:rsidR="0038499B">
        <w:rPr>
          <w:color w:val="auto"/>
        </w:rPr>
        <w:t>bewust niet nader gedefinieerd, omdat de nadere invulling afhangt van het bewijsmiddel dat de aanvrager overlegt</w:t>
      </w:r>
      <w:r w:rsidR="00512C4C">
        <w:rPr>
          <w:color w:val="auto"/>
        </w:rPr>
        <w:t xml:space="preserve">. De toelichting is in paragraaf 2 op dit punt aangevuld. </w:t>
      </w:r>
    </w:p>
    <w:p w:rsidR="00512C4C" w:rsidP="006C72C2" w:rsidRDefault="00512C4C" w14:paraId="0EBFDEDB" w14:textId="77777777">
      <w:pPr>
        <w:rPr>
          <w:color w:val="auto"/>
        </w:rPr>
      </w:pPr>
    </w:p>
    <w:p w:rsidR="00512C4C" w:rsidP="006C72C2" w:rsidRDefault="00512C4C" w14:paraId="71D53C0A" w14:textId="77777777">
      <w:pPr>
        <w:rPr>
          <w:color w:val="auto"/>
          <w:u w:val="single"/>
        </w:rPr>
      </w:pPr>
      <w:r>
        <w:rPr>
          <w:color w:val="auto"/>
          <w:u w:val="single"/>
        </w:rPr>
        <w:t>Vaste omzetcategorie gedurende meerdere jaren</w:t>
      </w:r>
    </w:p>
    <w:p w:rsidRPr="00512C4C" w:rsidR="00512C4C" w:rsidP="006C72C2" w:rsidRDefault="006062DF" w14:paraId="1C6D4C96" w14:textId="3CCAC4A3">
      <w:pPr>
        <w:rPr>
          <w:color w:val="auto"/>
        </w:rPr>
      </w:pPr>
      <w:r>
        <w:rPr>
          <w:color w:val="auto"/>
        </w:rPr>
        <w:t>Er wordt verzocht of het mogelijk is om gedurende de toelating de omzetcategorie te wijzigen als de omzet</w:t>
      </w:r>
      <w:r w:rsidR="00167922">
        <w:rPr>
          <w:color w:val="auto"/>
        </w:rPr>
        <w:t xml:space="preserve"> van de onderneming</w:t>
      </w:r>
      <w:r>
        <w:rPr>
          <w:color w:val="auto"/>
        </w:rPr>
        <w:t xml:space="preserve"> substantieel gewijzigd is. Mede gelet op de wettelijke maximering van de leges</w:t>
      </w:r>
      <w:r w:rsidR="00FF1EDD">
        <w:rPr>
          <w:color w:val="auto"/>
        </w:rPr>
        <w:t xml:space="preserve"> op €3.611</w:t>
      </w:r>
      <w:r>
        <w:rPr>
          <w:color w:val="auto"/>
        </w:rPr>
        <w:t xml:space="preserve"> en o</w:t>
      </w:r>
      <w:r w:rsidR="00512C4C">
        <w:rPr>
          <w:color w:val="auto"/>
        </w:rPr>
        <w:t xml:space="preserve">m de </w:t>
      </w:r>
      <w:r w:rsidR="003209FB">
        <w:rPr>
          <w:color w:val="auto"/>
        </w:rPr>
        <w:t xml:space="preserve">administratieve lasten en </w:t>
      </w:r>
      <w:r w:rsidR="00512C4C">
        <w:rPr>
          <w:color w:val="auto"/>
        </w:rPr>
        <w:t>kosten voor de uitvoering van het toelatingsstelsel zo laag mogelijk te houden</w:t>
      </w:r>
      <w:r>
        <w:rPr>
          <w:color w:val="auto"/>
        </w:rPr>
        <w:t xml:space="preserve">, wordt de </w:t>
      </w:r>
      <w:r w:rsidR="003209FB">
        <w:rPr>
          <w:color w:val="auto"/>
        </w:rPr>
        <w:t>omzetcategorie voor de duur van de toelating</w:t>
      </w:r>
      <w:r>
        <w:rPr>
          <w:color w:val="auto"/>
        </w:rPr>
        <w:t xml:space="preserve"> vastgesteld</w:t>
      </w:r>
      <w:r w:rsidR="003209FB">
        <w:rPr>
          <w:color w:val="auto"/>
        </w:rPr>
        <w:t>.</w:t>
      </w:r>
      <w:r>
        <w:rPr>
          <w:color w:val="auto"/>
        </w:rPr>
        <w:t xml:space="preserve"> Hiermee worden de administratieve lasten voor uitleners beperkt</w:t>
      </w:r>
      <w:r w:rsidR="00FF1EDD">
        <w:rPr>
          <w:color w:val="auto"/>
        </w:rPr>
        <w:t>,</w:t>
      </w:r>
      <w:r>
        <w:rPr>
          <w:color w:val="auto"/>
        </w:rPr>
        <w:t xml:space="preserve"> omdat de omzetcategorie niet jaarlijks aangetoond hoeft te worden. Daarnaast levert het jaarlijks aanpassen onzekerheid en complexiteit op </w:t>
      </w:r>
      <w:r w:rsidR="00D36F26">
        <w:rPr>
          <w:color w:val="auto"/>
        </w:rPr>
        <w:t xml:space="preserve">voor de uitlener </w:t>
      </w:r>
      <w:r>
        <w:rPr>
          <w:color w:val="auto"/>
        </w:rPr>
        <w:t>en een verhoogde controle</w:t>
      </w:r>
      <w:r w:rsidR="00D36F26">
        <w:rPr>
          <w:color w:val="auto"/>
        </w:rPr>
        <w:t xml:space="preserve"> en druk op de uitvoering</w:t>
      </w:r>
      <w:r>
        <w:rPr>
          <w:color w:val="auto"/>
        </w:rPr>
        <w:t xml:space="preserve"> wat de kosten voor het stelsel weer doet verhogen.</w:t>
      </w:r>
      <w:r w:rsidR="00975DCB">
        <w:rPr>
          <w:color w:val="auto"/>
        </w:rPr>
        <w:t xml:space="preserve"> </w:t>
      </w:r>
    </w:p>
    <w:p w:rsidR="00FB12A5" w:rsidP="006C72C2" w:rsidRDefault="00FB12A5" w14:paraId="281FE133" w14:textId="77777777">
      <w:pPr>
        <w:rPr>
          <w:color w:val="auto"/>
        </w:rPr>
      </w:pPr>
    </w:p>
    <w:p w:rsidRPr="00445537" w:rsidR="005F51D4" w:rsidP="005F51D4" w:rsidRDefault="005F51D4" w14:paraId="6A0F18AC" w14:textId="77777777">
      <w:pPr>
        <w:pStyle w:val="Lijstalinea"/>
        <w:numPr>
          <w:ilvl w:val="1"/>
          <w:numId w:val="10"/>
        </w:numPr>
        <w:rPr>
          <w:rFonts w:cstheme="minorHAnsi"/>
          <w:b/>
          <w:bCs/>
        </w:rPr>
      </w:pPr>
      <w:r w:rsidRPr="00445537">
        <w:rPr>
          <w:rFonts w:cstheme="minorHAnsi"/>
          <w:b/>
          <w:bCs/>
        </w:rPr>
        <w:t>Adviescollege toetsing regeldruk</w:t>
      </w:r>
    </w:p>
    <w:p w:rsidR="005F51D4" w:rsidP="005F51D4" w:rsidRDefault="005F51D4" w14:paraId="603272B2" w14:textId="77777777">
      <w:pPr>
        <w:spacing w:line="276" w:lineRule="auto"/>
        <w:rPr>
          <w:b/>
          <w:bCs/>
          <w:color w:val="auto"/>
        </w:rPr>
      </w:pPr>
    </w:p>
    <w:p w:rsidRPr="00FB12A5" w:rsidR="00FB12A5" w:rsidP="00FB12A5" w:rsidRDefault="00FB12A5" w14:paraId="0A670C4E" w14:textId="77777777">
      <w:pPr>
        <w:spacing w:line="276" w:lineRule="auto"/>
        <w:rPr>
          <w:color w:val="auto"/>
        </w:rPr>
      </w:pPr>
      <w:r w:rsidRPr="00FB12A5">
        <w:rPr>
          <w:color w:val="auto"/>
        </w:rPr>
        <w:t xml:space="preserve">De Minister van SZW heeft het Adviescollege toetsing regeldruk (hierna: ATR) op </w:t>
      </w:r>
    </w:p>
    <w:p w:rsidRPr="00FB12A5" w:rsidR="00FB12A5" w:rsidP="00FB12A5" w:rsidRDefault="00FB12A5" w14:paraId="2E4FC68E" w14:textId="77777777">
      <w:pPr>
        <w:spacing w:line="276" w:lineRule="auto"/>
        <w:rPr>
          <w:color w:val="auto"/>
        </w:rPr>
      </w:pPr>
      <w:r w:rsidRPr="00FB12A5">
        <w:rPr>
          <w:color w:val="auto"/>
        </w:rPr>
        <w:t xml:space="preserve">24 april 2026 verzocht om te adviseren over de gevolgen van een conceptversie </w:t>
      </w:r>
    </w:p>
    <w:p w:rsidR="00FB12A5" w:rsidP="00FB12A5" w:rsidRDefault="00FB12A5" w14:paraId="45811498" w14:textId="77777777">
      <w:pPr>
        <w:spacing w:line="276" w:lineRule="auto"/>
        <w:rPr>
          <w:color w:val="auto"/>
        </w:rPr>
      </w:pPr>
      <w:r w:rsidRPr="00FB12A5">
        <w:rPr>
          <w:color w:val="auto"/>
        </w:rPr>
        <w:t>van dit besluit voor de regeldruk.</w:t>
      </w:r>
    </w:p>
    <w:p w:rsidRPr="00FB12A5" w:rsidR="00FB12A5" w:rsidP="00FB12A5" w:rsidRDefault="00FB12A5" w14:paraId="03FFF15A" w14:textId="77777777">
      <w:pPr>
        <w:spacing w:line="276" w:lineRule="auto"/>
        <w:rPr>
          <w:color w:val="auto"/>
        </w:rPr>
      </w:pPr>
    </w:p>
    <w:p w:rsidR="00236831" w:rsidP="00600453" w:rsidRDefault="00FB12A5" w14:paraId="0CDAACEA" w14:textId="6F75F131">
      <w:pPr>
        <w:spacing w:line="276" w:lineRule="auto"/>
        <w:rPr>
          <w:color w:val="auto"/>
        </w:rPr>
      </w:pPr>
      <w:r w:rsidRPr="00FB12A5">
        <w:rPr>
          <w:color w:val="auto"/>
        </w:rPr>
        <w:t xml:space="preserve">Het ATR heeft </w:t>
      </w:r>
      <w:r w:rsidR="00FF1EDD">
        <w:rPr>
          <w:color w:val="auto"/>
        </w:rPr>
        <w:t>op 2</w:t>
      </w:r>
      <w:r w:rsidR="0043390C">
        <w:rPr>
          <w:color w:val="auto"/>
        </w:rPr>
        <w:t>2</w:t>
      </w:r>
      <w:r w:rsidR="00FF1EDD">
        <w:rPr>
          <w:color w:val="auto"/>
        </w:rPr>
        <w:t xml:space="preserve"> mei 2026 </w:t>
      </w:r>
      <w:r w:rsidRPr="00FB12A5">
        <w:rPr>
          <w:color w:val="auto"/>
        </w:rPr>
        <w:t>een g</w:t>
      </w:r>
      <w:r w:rsidR="007B3CF4">
        <w:rPr>
          <w:color w:val="auto"/>
        </w:rPr>
        <w:t>ecombineerd</w:t>
      </w:r>
      <w:r w:rsidRPr="00FB12A5">
        <w:rPr>
          <w:color w:val="auto"/>
        </w:rPr>
        <w:t xml:space="preserve"> advies uitgebracht </w:t>
      </w:r>
      <w:r w:rsidR="007B3CF4">
        <w:rPr>
          <w:color w:val="auto"/>
        </w:rPr>
        <w:t>over het</w:t>
      </w:r>
      <w:r w:rsidRPr="00FB12A5">
        <w:rPr>
          <w:color w:val="auto"/>
        </w:rPr>
        <w:t xml:space="preserve"> wijzigingsbesluit</w:t>
      </w:r>
      <w:r>
        <w:rPr>
          <w:color w:val="auto"/>
        </w:rPr>
        <w:t xml:space="preserve"> </w:t>
      </w:r>
      <w:r w:rsidR="007B3CF4">
        <w:rPr>
          <w:color w:val="auto"/>
        </w:rPr>
        <w:t>en</w:t>
      </w:r>
      <w:r>
        <w:rPr>
          <w:color w:val="auto"/>
        </w:rPr>
        <w:t xml:space="preserve"> </w:t>
      </w:r>
      <w:r w:rsidR="007B3CF4">
        <w:rPr>
          <w:color w:val="auto"/>
        </w:rPr>
        <w:t xml:space="preserve">de </w:t>
      </w:r>
      <w:r>
        <w:rPr>
          <w:color w:val="auto"/>
        </w:rPr>
        <w:t xml:space="preserve">wijziging van de ministeriële regeling </w:t>
      </w:r>
      <w:proofErr w:type="spellStart"/>
      <w:r>
        <w:rPr>
          <w:color w:val="auto"/>
        </w:rPr>
        <w:t>Waadi</w:t>
      </w:r>
      <w:proofErr w:type="spellEnd"/>
      <w:r w:rsidRPr="00FB12A5">
        <w:rPr>
          <w:color w:val="auto"/>
        </w:rPr>
        <w:t xml:space="preserve"> d</w:t>
      </w:r>
      <w:r>
        <w:rPr>
          <w:color w:val="auto"/>
        </w:rPr>
        <w:t>ie</w:t>
      </w:r>
      <w:r w:rsidRPr="00FB12A5">
        <w:rPr>
          <w:color w:val="auto"/>
        </w:rPr>
        <w:t xml:space="preserve"> gelijktijdig </w:t>
      </w:r>
      <w:r>
        <w:rPr>
          <w:color w:val="auto"/>
        </w:rPr>
        <w:t xml:space="preserve">met het wijzigingsbesluit </w:t>
      </w:r>
      <w:r w:rsidRPr="00FB12A5">
        <w:rPr>
          <w:color w:val="auto"/>
        </w:rPr>
        <w:t>ter advisering is voorgelegd.</w:t>
      </w:r>
      <w:r w:rsidR="00600453">
        <w:rPr>
          <w:color w:val="auto"/>
        </w:rPr>
        <w:t xml:space="preserve"> </w:t>
      </w:r>
      <w:r w:rsidRPr="00FB12A5" w:rsidR="00600453">
        <w:rPr>
          <w:color w:val="auto"/>
        </w:rPr>
        <w:t>Het ATR heeft het advies uitgebracht op basis van een toetsingskader, waarin aandacht wordt besteed aan nut en noodzaak, minder belastende alternatieven, de werkbaarheid en de gevolgen voor de regeldruk.</w:t>
      </w:r>
      <w:r w:rsidR="00600453">
        <w:rPr>
          <w:color w:val="auto"/>
        </w:rPr>
        <w:t xml:space="preserve"> </w:t>
      </w:r>
      <w:r w:rsidRPr="00FB12A5">
        <w:rPr>
          <w:color w:val="auto"/>
        </w:rPr>
        <w:t xml:space="preserve">Het ATR heeft </w:t>
      </w:r>
      <w:r w:rsidR="00600453">
        <w:rPr>
          <w:color w:val="auto"/>
        </w:rPr>
        <w:t xml:space="preserve">in haar advies </w:t>
      </w:r>
      <w:r>
        <w:rPr>
          <w:color w:val="auto"/>
        </w:rPr>
        <w:t xml:space="preserve">het </w:t>
      </w:r>
      <w:r w:rsidRPr="00FB12A5">
        <w:rPr>
          <w:color w:val="auto"/>
        </w:rPr>
        <w:t xml:space="preserve">dictum meegegeven ‘niet vaststellen, tenzij met de adviespunten rekening wordt gehouden’. </w:t>
      </w:r>
      <w:r>
        <w:rPr>
          <w:color w:val="auto"/>
        </w:rPr>
        <w:t>Hierna wordt</w:t>
      </w:r>
      <w:r w:rsidR="007B3CF4">
        <w:rPr>
          <w:color w:val="auto"/>
        </w:rPr>
        <w:t xml:space="preserve"> het advies van het ATR</w:t>
      </w:r>
      <w:r>
        <w:rPr>
          <w:color w:val="auto"/>
        </w:rPr>
        <w:t xml:space="preserve"> toegelicht </w:t>
      </w:r>
      <w:r w:rsidR="007B3CF4">
        <w:rPr>
          <w:color w:val="auto"/>
        </w:rPr>
        <w:t xml:space="preserve">en </w:t>
      </w:r>
      <w:r w:rsidR="006B0206">
        <w:rPr>
          <w:color w:val="auto"/>
        </w:rPr>
        <w:t xml:space="preserve">aangegeven </w:t>
      </w:r>
      <w:r>
        <w:rPr>
          <w:color w:val="auto"/>
        </w:rPr>
        <w:t xml:space="preserve">hoe </w:t>
      </w:r>
      <w:r w:rsidR="007B3CF4">
        <w:rPr>
          <w:color w:val="auto"/>
        </w:rPr>
        <w:t xml:space="preserve">het </w:t>
      </w:r>
      <w:r>
        <w:rPr>
          <w:color w:val="auto"/>
        </w:rPr>
        <w:t xml:space="preserve">advies is verwerkt. </w:t>
      </w:r>
    </w:p>
    <w:p w:rsidR="00FF1EDD" w:rsidP="00600453" w:rsidRDefault="00FF1EDD" w14:paraId="3C284EB8" w14:textId="77777777">
      <w:pPr>
        <w:spacing w:line="276" w:lineRule="auto"/>
        <w:rPr>
          <w:color w:val="auto"/>
        </w:rPr>
      </w:pPr>
    </w:p>
    <w:p w:rsidR="00D6648B" w:rsidP="00E578C6" w:rsidRDefault="007B3CF4" w14:paraId="7160CE25" w14:textId="77777777">
      <w:pPr>
        <w:spacing w:line="276" w:lineRule="auto"/>
        <w:rPr>
          <w:color w:val="auto"/>
        </w:rPr>
      </w:pPr>
      <w:r>
        <w:rPr>
          <w:color w:val="auto"/>
        </w:rPr>
        <w:t>De NAU heeft gegevens van de uitlener over de omzet het voorafgaande kalenderjaar nodig om de gedifferentieerde leges voor de jaarbijdrage vast te kunnen stellen.</w:t>
      </w:r>
      <w:r w:rsidR="00D6648B">
        <w:rPr>
          <w:color w:val="auto"/>
        </w:rPr>
        <w:t xml:space="preserve"> </w:t>
      </w:r>
    </w:p>
    <w:p w:rsidR="00FF1EDD" w:rsidP="00E578C6" w:rsidRDefault="00D6648B" w14:paraId="29D15176" w14:textId="77777777">
      <w:pPr>
        <w:spacing w:line="276" w:lineRule="auto"/>
        <w:rPr>
          <w:color w:val="auto"/>
        </w:rPr>
      </w:pPr>
      <w:r>
        <w:rPr>
          <w:color w:val="auto"/>
        </w:rPr>
        <w:t xml:space="preserve">Het ATR meldt in het advies dat vanuit regeldrukperspectief het werken met één vaste vergoeding eenvoudiger zou zijn. </w:t>
      </w:r>
      <w:r w:rsidRPr="00FB12A5" w:rsidR="00FB12A5">
        <w:rPr>
          <w:color w:val="auto"/>
        </w:rPr>
        <w:t xml:space="preserve">Het advies van </w:t>
      </w:r>
      <w:r w:rsidR="00600453">
        <w:rPr>
          <w:color w:val="auto"/>
        </w:rPr>
        <w:t xml:space="preserve">het </w:t>
      </w:r>
      <w:r w:rsidRPr="00FB12A5" w:rsidR="00FB12A5">
        <w:rPr>
          <w:color w:val="auto"/>
        </w:rPr>
        <w:t xml:space="preserve">ATR ziet </w:t>
      </w:r>
      <w:r w:rsidR="00600453">
        <w:rPr>
          <w:color w:val="auto"/>
        </w:rPr>
        <w:t xml:space="preserve">in hoofdzaak </w:t>
      </w:r>
      <w:r w:rsidRPr="00FB12A5" w:rsidR="00FB12A5">
        <w:rPr>
          <w:color w:val="auto"/>
        </w:rPr>
        <w:t>op de mogelijkheid om minder belastende alternatieven te regelen</w:t>
      </w:r>
      <w:r w:rsidR="00600453">
        <w:rPr>
          <w:color w:val="auto"/>
        </w:rPr>
        <w:t xml:space="preserve">. Het ATR </w:t>
      </w:r>
      <w:r w:rsidR="00F509E6">
        <w:rPr>
          <w:color w:val="auto"/>
        </w:rPr>
        <w:t>benoemt daarbij</w:t>
      </w:r>
      <w:r w:rsidR="00600453">
        <w:rPr>
          <w:color w:val="auto"/>
        </w:rPr>
        <w:t xml:space="preserve"> h</w:t>
      </w:r>
      <w:r w:rsidRPr="00600453" w:rsidR="00600453">
        <w:rPr>
          <w:color w:val="auto"/>
        </w:rPr>
        <w:t>et principe van ‘eenmalig aanleveren, meervoudig gebruik’</w:t>
      </w:r>
      <w:r w:rsidR="00600453">
        <w:rPr>
          <w:color w:val="auto"/>
        </w:rPr>
        <w:t xml:space="preserve">. Dit is een principe dat door het kabinet wordt ondersteund en waar </w:t>
      </w:r>
      <w:r w:rsidRPr="00600453" w:rsidR="00600453">
        <w:rPr>
          <w:color w:val="auto"/>
        </w:rPr>
        <w:t>mogelijk</w:t>
      </w:r>
      <w:r w:rsidR="00600453">
        <w:rPr>
          <w:color w:val="auto"/>
        </w:rPr>
        <w:t xml:space="preserve"> wordt toegepast. </w:t>
      </w:r>
      <w:r w:rsidRPr="00600453" w:rsidR="00600453">
        <w:rPr>
          <w:color w:val="auto"/>
        </w:rPr>
        <w:t xml:space="preserve">Het ATR adviseert </w:t>
      </w:r>
      <w:r w:rsidR="007B3CF4">
        <w:rPr>
          <w:color w:val="auto"/>
        </w:rPr>
        <w:t xml:space="preserve">daarom </w:t>
      </w:r>
      <w:r w:rsidRPr="00600453" w:rsidR="00600453">
        <w:rPr>
          <w:color w:val="auto"/>
        </w:rPr>
        <w:t>om een grondslag te creëren voor de gegevensuitwisseling tussen uitvoeringsorganisaties als minder belastend alternatief</w:t>
      </w:r>
      <w:r w:rsidR="00F509E6">
        <w:rPr>
          <w:color w:val="auto"/>
        </w:rPr>
        <w:t xml:space="preserve">, zodat de regeldruk </w:t>
      </w:r>
      <w:r w:rsidR="0043390C">
        <w:rPr>
          <w:color w:val="auto"/>
        </w:rPr>
        <w:t xml:space="preserve">mogelijk </w:t>
      </w:r>
      <w:r w:rsidR="00F509E6">
        <w:rPr>
          <w:color w:val="auto"/>
        </w:rPr>
        <w:t>verdwijnt voor uitleners</w:t>
      </w:r>
      <w:r w:rsidRPr="00600453" w:rsidR="00600453">
        <w:rPr>
          <w:color w:val="auto"/>
        </w:rPr>
        <w:t>.</w:t>
      </w:r>
    </w:p>
    <w:p w:rsidR="00FF1EDD" w:rsidP="00E578C6" w:rsidRDefault="00FF1EDD" w14:paraId="5E2EE49F" w14:textId="77777777">
      <w:pPr>
        <w:spacing w:line="276" w:lineRule="auto"/>
        <w:rPr>
          <w:color w:val="auto"/>
        </w:rPr>
      </w:pPr>
    </w:p>
    <w:p w:rsidR="00806588" w:rsidP="00E578C6" w:rsidRDefault="00764B6D" w14:paraId="48058FE9" w14:textId="77777777">
      <w:pPr>
        <w:spacing w:line="276" w:lineRule="auto"/>
        <w:rPr>
          <w:color w:val="auto"/>
          <w:u w:val="single"/>
        </w:rPr>
      </w:pPr>
      <w:r>
        <w:rPr>
          <w:color w:val="auto"/>
        </w:rPr>
        <w:t>Voor een uitwisseling van gegevens is een wettelijke grondslag noodzakelijk</w:t>
      </w:r>
      <w:r w:rsidR="00F509E6">
        <w:rPr>
          <w:color w:val="auto"/>
        </w:rPr>
        <w:t>,</w:t>
      </w:r>
      <w:r>
        <w:rPr>
          <w:color w:val="auto"/>
        </w:rPr>
        <w:t xml:space="preserve"> zodat de uitwisseling </w:t>
      </w:r>
      <w:proofErr w:type="spellStart"/>
      <w:r>
        <w:rPr>
          <w:color w:val="auto"/>
        </w:rPr>
        <w:t>doelgebonden</w:t>
      </w:r>
      <w:proofErr w:type="spellEnd"/>
      <w:r>
        <w:rPr>
          <w:color w:val="auto"/>
        </w:rPr>
        <w:t xml:space="preserve">, noodzakelijk en </w:t>
      </w:r>
      <w:r w:rsidR="00E578C6">
        <w:rPr>
          <w:color w:val="auto"/>
        </w:rPr>
        <w:t>evenredig</w:t>
      </w:r>
      <w:r>
        <w:rPr>
          <w:color w:val="auto"/>
        </w:rPr>
        <w:t xml:space="preserve"> is.</w:t>
      </w:r>
      <w:r w:rsidR="00E578C6">
        <w:rPr>
          <w:color w:val="auto"/>
        </w:rPr>
        <w:t xml:space="preserve"> </w:t>
      </w:r>
      <w:r w:rsidR="007B3CF4">
        <w:rPr>
          <w:color w:val="auto"/>
        </w:rPr>
        <w:t xml:space="preserve">De Belastingdienst beschikt vanwege haar wettelijke taken over de omzetgegevens van ondernemingen. Conform het advies van het ATR </w:t>
      </w:r>
      <w:r w:rsidR="00D522A8">
        <w:rPr>
          <w:color w:val="auto"/>
        </w:rPr>
        <w:t xml:space="preserve">zal met </w:t>
      </w:r>
      <w:r w:rsidR="007B3CF4">
        <w:rPr>
          <w:color w:val="auto"/>
        </w:rPr>
        <w:t>de Belastingdienst</w:t>
      </w:r>
      <w:r w:rsidR="00746AD4">
        <w:rPr>
          <w:color w:val="auto"/>
        </w:rPr>
        <w:t xml:space="preserve"> en de NAU</w:t>
      </w:r>
      <w:r w:rsidR="007B3CF4">
        <w:rPr>
          <w:color w:val="auto"/>
        </w:rPr>
        <w:t xml:space="preserve"> het opnemen van een grondslag voor gegevensuitwisseling over de omzet</w:t>
      </w:r>
      <w:r w:rsidR="00D36F26">
        <w:rPr>
          <w:color w:val="auto"/>
        </w:rPr>
        <w:t xml:space="preserve"> </w:t>
      </w:r>
      <w:r w:rsidR="00D522A8">
        <w:rPr>
          <w:color w:val="auto"/>
        </w:rPr>
        <w:t xml:space="preserve">worden </w:t>
      </w:r>
      <w:r w:rsidR="00D36F26">
        <w:rPr>
          <w:color w:val="auto"/>
        </w:rPr>
        <w:t>verkend</w:t>
      </w:r>
      <w:r w:rsidR="007B3CF4">
        <w:rPr>
          <w:color w:val="auto"/>
        </w:rPr>
        <w:t xml:space="preserve">. </w:t>
      </w:r>
      <w:r w:rsidR="00F509E6">
        <w:rPr>
          <w:color w:val="auto"/>
        </w:rPr>
        <w:t>D</w:t>
      </w:r>
      <w:r w:rsidR="007B3CF4">
        <w:rPr>
          <w:color w:val="auto"/>
        </w:rPr>
        <w:t xml:space="preserve">it is </w:t>
      </w:r>
      <w:r w:rsidRPr="00600453" w:rsidR="00E578C6">
        <w:rPr>
          <w:color w:val="auto"/>
        </w:rPr>
        <w:t xml:space="preserve">een niet fiscale taak waarvoor de Belastingdienst een “niet-fiscale taken-toets” (NFT-toets) uitvoert. Het uitgangspunt dat </w:t>
      </w:r>
      <w:r w:rsidR="007B3CF4">
        <w:rPr>
          <w:color w:val="auto"/>
        </w:rPr>
        <w:t xml:space="preserve">door de Belastingdienst </w:t>
      </w:r>
      <w:r w:rsidRPr="00600453" w:rsidR="00E578C6">
        <w:rPr>
          <w:color w:val="auto"/>
        </w:rPr>
        <w:t>met betrekking tot het afwegen van deze taken wordt gehanteerd</w:t>
      </w:r>
      <w:r w:rsidR="007B3CF4">
        <w:rPr>
          <w:color w:val="auto"/>
        </w:rPr>
        <w:t xml:space="preserve">, </w:t>
      </w:r>
      <w:r w:rsidRPr="00600453" w:rsidR="00E578C6">
        <w:rPr>
          <w:color w:val="auto"/>
        </w:rPr>
        <w:t>is ‘</w:t>
      </w:r>
      <w:r w:rsidR="007B3CF4">
        <w:rPr>
          <w:color w:val="auto"/>
        </w:rPr>
        <w:t>n</w:t>
      </w:r>
      <w:r w:rsidRPr="00600453" w:rsidR="00E578C6">
        <w:rPr>
          <w:color w:val="auto"/>
        </w:rPr>
        <w:t>ee, tenzij’ waarbij beoordeeld wordt wat de noodzaak van deze taak is, of er alternatieve uitvoerders zijn, wat de bestuurlijke complexiteit is en wat de IT- en capaciteitsimpact is.</w:t>
      </w:r>
      <w:r w:rsidR="00D36F26">
        <w:rPr>
          <w:rStyle w:val="Voetnootmarkering"/>
          <w:color w:val="auto"/>
        </w:rPr>
        <w:footnoteReference w:id="5"/>
      </w:r>
      <w:r w:rsidRPr="00600453" w:rsidR="00E578C6">
        <w:rPr>
          <w:color w:val="auto"/>
        </w:rPr>
        <w:t xml:space="preserve"> De Belastingdienst heeft in haar uitvoeringstoets op </w:t>
      </w:r>
      <w:r w:rsidR="00E5669A">
        <w:rPr>
          <w:color w:val="auto"/>
        </w:rPr>
        <w:t>het B</w:t>
      </w:r>
      <w:r w:rsidRPr="00E5669A" w:rsidR="00E5669A">
        <w:rPr>
          <w:color w:val="auto"/>
        </w:rPr>
        <w:t>esluit van 16 februari 2026 tot wijziging van het Besluit allocatie arbeidskrachten door intermediairs in verband met de invoering van een toelatingsplicht voor het ter beschikking stellen van arbeidskrachten</w:t>
      </w:r>
      <w:r w:rsidR="00E5669A">
        <w:rPr>
          <w:rStyle w:val="Voetnootmarkering"/>
          <w:color w:val="auto"/>
        </w:rPr>
        <w:footnoteReference w:id="6"/>
      </w:r>
      <w:r w:rsidRPr="00E5669A" w:rsidR="00E5669A">
        <w:rPr>
          <w:color w:val="auto"/>
        </w:rPr>
        <w:t xml:space="preserve"> </w:t>
      </w:r>
      <w:r w:rsidRPr="00600453" w:rsidR="00E578C6">
        <w:rPr>
          <w:color w:val="auto"/>
        </w:rPr>
        <w:t>aangegeven dat de planning van de structurele geautomatiseerde gegevensuitwisseling met de NAU voor de huidige gegevensuitwisseling op zijn vroegst op 1 januari 2029 haalbaar is vanwege het lopende IV portfolio. Aanvullende gegevensuitwisselingen, zoals die van omzetgegevens, zijn door de Belastingdienst niet getoetst</w:t>
      </w:r>
      <w:r w:rsidR="00547ED7">
        <w:rPr>
          <w:color w:val="auto"/>
        </w:rPr>
        <w:t>. Deze toetsing</w:t>
      </w:r>
      <w:r w:rsidR="007B3CF4">
        <w:rPr>
          <w:color w:val="auto"/>
        </w:rPr>
        <w:t xml:space="preserve"> zal dus nog moeten worden gedaan. </w:t>
      </w:r>
    </w:p>
    <w:p w:rsidRPr="00600453" w:rsidR="00806588" w:rsidP="00E578C6" w:rsidRDefault="00806588" w14:paraId="186EC9EB" w14:textId="77777777">
      <w:pPr>
        <w:spacing w:line="276" w:lineRule="auto"/>
        <w:rPr>
          <w:color w:val="auto"/>
        </w:rPr>
      </w:pPr>
    </w:p>
    <w:p w:rsidR="00212797" w:rsidP="00600453" w:rsidRDefault="00E578C6" w14:paraId="6D4501E7" w14:textId="77777777">
      <w:pPr>
        <w:spacing w:line="276" w:lineRule="auto"/>
        <w:rPr>
          <w:color w:val="auto"/>
        </w:rPr>
      </w:pPr>
      <w:r>
        <w:rPr>
          <w:color w:val="auto"/>
        </w:rPr>
        <w:t xml:space="preserve">Ondanks een </w:t>
      </w:r>
      <w:r w:rsidR="007B3CF4">
        <w:rPr>
          <w:color w:val="auto"/>
        </w:rPr>
        <w:t xml:space="preserve">mogelijke </w:t>
      </w:r>
      <w:r>
        <w:rPr>
          <w:color w:val="auto"/>
        </w:rPr>
        <w:t>grondslag voor gegevensuitwisseling blijft het noodzakelijk dat uitleners de omzet opgeven bij de NAU. Dat komt omdat v</w:t>
      </w:r>
      <w:r w:rsidRPr="00600453">
        <w:rPr>
          <w:color w:val="auto"/>
        </w:rPr>
        <w:t>oor fiscale gegevens een zeer strikte geheimhoudingsplicht (artikel 67 Algemene wet inzake rijksbelastingen)</w:t>
      </w:r>
      <w:r>
        <w:rPr>
          <w:color w:val="auto"/>
        </w:rPr>
        <w:t xml:space="preserve"> geldt</w:t>
      </w:r>
      <w:r w:rsidRPr="00600453">
        <w:rPr>
          <w:color w:val="auto"/>
        </w:rPr>
        <w:t xml:space="preserve">. Dit houdt ook in dat de gegevens die door de Belastingdienst worden verstrekt alleen betekenis hebben voor de besluitvorming als contra-gegeven. Dit betekent dat de NAU deze gegevens ook via de uitlener moet opvragen en met de gegevens van de Belastingdienst de gegevens van de uitlener kan verifiëren. </w:t>
      </w:r>
      <w:r w:rsidR="00F81B7A">
        <w:rPr>
          <w:color w:val="auto"/>
        </w:rPr>
        <w:t xml:space="preserve">Het ATR geeft aan dat het creëren van de grondslag waarschijnlijk niet mogelijk is voor inwerkingtreding van de </w:t>
      </w:r>
      <w:proofErr w:type="spellStart"/>
      <w:r w:rsidR="00F81B7A">
        <w:rPr>
          <w:color w:val="auto"/>
        </w:rPr>
        <w:t>Wtta</w:t>
      </w:r>
      <w:proofErr w:type="spellEnd"/>
      <w:r w:rsidR="00F81B7A">
        <w:rPr>
          <w:color w:val="auto"/>
        </w:rPr>
        <w:t xml:space="preserve">, maar dat het advies is om dat voor de lange termijn wel mogelijk te maken. </w:t>
      </w:r>
      <w:r w:rsidR="007B3CF4">
        <w:rPr>
          <w:color w:val="auto"/>
        </w:rPr>
        <w:t xml:space="preserve">Het advies van het ATR </w:t>
      </w:r>
      <w:r w:rsidR="00212797">
        <w:rPr>
          <w:color w:val="auto"/>
        </w:rPr>
        <w:t xml:space="preserve">leidt </w:t>
      </w:r>
      <w:r w:rsidR="007B3CF4">
        <w:rPr>
          <w:color w:val="auto"/>
        </w:rPr>
        <w:t xml:space="preserve">dus niet in een wijziging van het </w:t>
      </w:r>
      <w:r w:rsidR="00F81B7A">
        <w:rPr>
          <w:color w:val="auto"/>
        </w:rPr>
        <w:t xml:space="preserve">voorliggende </w:t>
      </w:r>
      <w:r w:rsidR="007B3CF4">
        <w:rPr>
          <w:color w:val="auto"/>
        </w:rPr>
        <w:t xml:space="preserve">besluit, maar het toevoegen van een grondslag voor gegevensuitwisseling </w:t>
      </w:r>
      <w:r w:rsidR="00D522A8">
        <w:rPr>
          <w:color w:val="auto"/>
        </w:rPr>
        <w:t>zal wel worden</w:t>
      </w:r>
      <w:r w:rsidR="007B3CF4">
        <w:rPr>
          <w:color w:val="auto"/>
        </w:rPr>
        <w:t xml:space="preserve"> verkend. </w:t>
      </w:r>
      <w:r w:rsidR="00FF1EDD">
        <w:rPr>
          <w:color w:val="auto"/>
        </w:rPr>
        <w:t>Zoals eerder aangegeven zal die gegevensuitwisseling ook niet vóór 1 januari 2029 haalbaar zijn</w:t>
      </w:r>
      <w:r w:rsidR="00F509E6">
        <w:rPr>
          <w:color w:val="auto"/>
        </w:rPr>
        <w:t xml:space="preserve"> vanwege het lopende IV portfolio</w:t>
      </w:r>
      <w:r w:rsidR="00FF1EDD">
        <w:rPr>
          <w:color w:val="auto"/>
        </w:rPr>
        <w:t>.</w:t>
      </w:r>
      <w:r w:rsidR="00DF471D">
        <w:rPr>
          <w:color w:val="auto"/>
        </w:rPr>
        <w:t xml:space="preserve"> Onderdeel van de verkenning is ook de doorrekening van de kosten voor gegevensuitwisseling in de hoogte van de leges. Dit moet proportioneel zijn ten opzichte van de verlaging van de regeldruk. </w:t>
      </w:r>
    </w:p>
    <w:p w:rsidR="00212797" w:rsidP="00600453" w:rsidRDefault="00212797" w14:paraId="0B66EA57" w14:textId="77777777">
      <w:pPr>
        <w:spacing w:line="276" w:lineRule="auto"/>
        <w:rPr>
          <w:color w:val="auto"/>
        </w:rPr>
      </w:pPr>
    </w:p>
    <w:p w:rsidR="00E578C6" w:rsidP="00600453" w:rsidRDefault="007B3CF4" w14:paraId="0638C2FB" w14:textId="77777777">
      <w:pPr>
        <w:spacing w:line="276" w:lineRule="auto"/>
        <w:rPr>
          <w:color w:val="auto"/>
        </w:rPr>
      </w:pPr>
      <w:r>
        <w:rPr>
          <w:color w:val="auto"/>
        </w:rPr>
        <w:t xml:space="preserve">Overigens </w:t>
      </w:r>
      <w:r w:rsidRPr="00600453" w:rsidR="00806588">
        <w:rPr>
          <w:color w:val="auto"/>
        </w:rPr>
        <w:t>verdwijnt de regeldruk voor uitleners</w:t>
      </w:r>
      <w:r>
        <w:rPr>
          <w:color w:val="auto"/>
        </w:rPr>
        <w:t xml:space="preserve"> met een grondslag voor gegevensuitwisseling</w:t>
      </w:r>
      <w:r w:rsidRPr="00600453" w:rsidR="00806588">
        <w:rPr>
          <w:color w:val="auto"/>
        </w:rPr>
        <w:t xml:space="preserve"> niet volledig. Een deel van de uitleners zal nog steeds de omzet moeten aangeven bij de aanvraag, omdat de Belastingdienst niet over alle gegevens beschikt. Zo moeten uitleners die onderdeel uitmaken van een fiscale eenheid aanvullend de omzet van de onderneming </w:t>
      </w:r>
      <w:r w:rsidR="00F509E6">
        <w:rPr>
          <w:color w:val="auto"/>
        </w:rPr>
        <w:t xml:space="preserve">moeten </w:t>
      </w:r>
      <w:r w:rsidRPr="00600453" w:rsidR="00806588">
        <w:rPr>
          <w:color w:val="auto"/>
        </w:rPr>
        <w:t xml:space="preserve">aantonen. Dat kan niet via de gegevens van de Belastingdienst, omdat de Belastingdienst de fiscale eenheid als één enkele belastingplichtige voor de omzetbelasting ziet. De aanvraag tot toelating is op niveau van de onderneming (rechtspersoon) evenals de afdracht van de leges en het storten van de waarborgsom. Een onderneming die deel uitmaakt van een fiscale eenheid zal dus bij de NAU op een andere wijze de omzet van de onderneming moeten aantonen. </w:t>
      </w:r>
      <w:r w:rsidR="00806588">
        <w:rPr>
          <w:color w:val="auto"/>
        </w:rPr>
        <w:t xml:space="preserve">De omzet die bij de Belastingdienst bekend is, kan hoger zijn dan de omzet van de betreffende onderneming. </w:t>
      </w:r>
      <w:r w:rsidRPr="00600453" w:rsidR="00806588">
        <w:rPr>
          <w:color w:val="auto"/>
        </w:rPr>
        <w:t xml:space="preserve">Voor </w:t>
      </w:r>
      <w:r w:rsidR="00806588">
        <w:rPr>
          <w:color w:val="auto"/>
        </w:rPr>
        <w:t xml:space="preserve">deze groep </w:t>
      </w:r>
      <w:r w:rsidRPr="00600453" w:rsidR="00806588">
        <w:rPr>
          <w:color w:val="auto"/>
        </w:rPr>
        <w:t>is het opzetten van gegevensuitwisseling tussen de Belastingdienst en de NAU dan ook geen oplossing</w:t>
      </w:r>
      <w:r w:rsidR="00806588">
        <w:rPr>
          <w:color w:val="auto"/>
        </w:rPr>
        <w:t xml:space="preserve"> om de regeldruk te verminderen</w:t>
      </w:r>
      <w:r w:rsidRPr="00600453" w:rsidR="00806588">
        <w:rPr>
          <w:color w:val="auto"/>
        </w:rPr>
        <w:t xml:space="preserve">. Ook zijn de actuele gegevens over de omzet niet altijd in overeenstemming met de bij de Belastingdienst bekende gegevens. Indien een uitlener in het eerste kwartaal van het kalenderjaar een aanvraag tot toelating indient, is het mogelijk dat de benodigde gegevens over de omzet bij de Belastingdienst nog niet voorhanden zijn. Het niet tijdig </w:t>
      </w:r>
      <w:r w:rsidR="00806588">
        <w:rPr>
          <w:color w:val="auto"/>
        </w:rPr>
        <w:t xml:space="preserve">ontvangen van de verificatie van </w:t>
      </w:r>
      <w:r w:rsidRPr="00600453" w:rsidR="00806588">
        <w:rPr>
          <w:color w:val="auto"/>
        </w:rPr>
        <w:t xml:space="preserve">de jaaromzet via de Belastingdienst, ook als een aanvraag na 1 januari van een jaar start, mag niet tot een belemmering leiden om de aanvraag </w:t>
      </w:r>
      <w:r w:rsidR="00806588">
        <w:rPr>
          <w:color w:val="auto"/>
        </w:rPr>
        <w:t xml:space="preserve">tot toelating </w:t>
      </w:r>
      <w:r w:rsidRPr="00600453" w:rsidR="00806588">
        <w:rPr>
          <w:color w:val="auto"/>
        </w:rPr>
        <w:t>te doen.</w:t>
      </w:r>
      <w:r w:rsidR="00806588">
        <w:rPr>
          <w:color w:val="auto"/>
        </w:rPr>
        <w:t xml:space="preserve"> </w:t>
      </w:r>
      <w:r w:rsidR="00F509E6">
        <w:rPr>
          <w:color w:val="auto"/>
        </w:rPr>
        <w:t xml:space="preserve">De regering vindt het daarom wel nodig om in dit besluit te regelen dat de uitlener omzetgegevens aanlevert. </w:t>
      </w:r>
    </w:p>
    <w:p w:rsidR="00F81B7A" w:rsidP="00600453" w:rsidRDefault="00F81B7A" w14:paraId="4A9CD393" w14:textId="77777777">
      <w:pPr>
        <w:spacing w:line="276" w:lineRule="auto"/>
        <w:rPr>
          <w:color w:val="auto"/>
        </w:rPr>
      </w:pPr>
    </w:p>
    <w:p w:rsidR="00D6648B" w:rsidP="00E341AB" w:rsidRDefault="00D6648B" w14:paraId="7D6D97AC" w14:textId="00841619">
      <w:pPr>
        <w:spacing w:line="276" w:lineRule="auto"/>
        <w:rPr>
          <w:color w:val="auto"/>
        </w:rPr>
      </w:pPr>
      <w:r>
        <w:rPr>
          <w:color w:val="auto"/>
        </w:rPr>
        <w:t>Tevens</w:t>
      </w:r>
      <w:r w:rsidR="00F81B7A">
        <w:rPr>
          <w:color w:val="auto"/>
        </w:rPr>
        <w:t xml:space="preserve"> adviseert het ATR om </w:t>
      </w:r>
      <w:r w:rsidR="00DE2495">
        <w:rPr>
          <w:color w:val="auto"/>
        </w:rPr>
        <w:t>het begrip ‘omzet’ te duiden en bij de praktische uitwerking de sector te betrekken. Naar aanleiding hiervan</w:t>
      </w:r>
      <w:r w:rsidR="00055974">
        <w:rPr>
          <w:color w:val="auto"/>
        </w:rPr>
        <w:t>,</w:t>
      </w:r>
      <w:r w:rsidR="00DE2495">
        <w:rPr>
          <w:color w:val="auto"/>
        </w:rPr>
        <w:t xml:space="preserve"> en</w:t>
      </w:r>
      <w:r w:rsidR="00055974">
        <w:rPr>
          <w:color w:val="auto"/>
        </w:rPr>
        <w:t xml:space="preserve"> naar aanleiding van</w:t>
      </w:r>
      <w:r w:rsidR="00DE2495">
        <w:rPr>
          <w:color w:val="auto"/>
        </w:rPr>
        <w:t xml:space="preserve"> de internetconsultatie</w:t>
      </w:r>
      <w:r w:rsidR="00055974">
        <w:rPr>
          <w:color w:val="auto"/>
        </w:rPr>
        <w:t>,</w:t>
      </w:r>
      <w:r w:rsidR="00DE2495">
        <w:rPr>
          <w:color w:val="auto"/>
        </w:rPr>
        <w:t xml:space="preserve"> is paragraaf 2 </w:t>
      </w:r>
      <w:r w:rsidR="00055974">
        <w:rPr>
          <w:color w:val="auto"/>
        </w:rPr>
        <w:t xml:space="preserve">van deze toelichting </w:t>
      </w:r>
      <w:r w:rsidR="00DE2495">
        <w:rPr>
          <w:color w:val="auto"/>
        </w:rPr>
        <w:t>aangevuld. Voor de verdere uitwerking bij ministeriële regeling zulle</w:t>
      </w:r>
      <w:r w:rsidR="00EE44BF">
        <w:rPr>
          <w:color w:val="auto"/>
        </w:rPr>
        <w:t xml:space="preserve">n sociale partners </w:t>
      </w:r>
      <w:r w:rsidR="00DE2495">
        <w:rPr>
          <w:color w:val="auto"/>
        </w:rPr>
        <w:t xml:space="preserve">betrokken worden. Daarnaast wordt de ministeriële regeling ook gepubliceerd voor internetconsultatie, wat een ieder in de gelegenheid stelt om te reageren.   </w:t>
      </w:r>
    </w:p>
    <w:p w:rsidR="00D6648B" w:rsidP="00E341AB" w:rsidRDefault="00D6648B" w14:paraId="7060A98D" w14:textId="77777777">
      <w:pPr>
        <w:spacing w:line="276" w:lineRule="auto"/>
        <w:rPr>
          <w:color w:val="auto"/>
        </w:rPr>
      </w:pPr>
    </w:p>
    <w:p w:rsidR="00B6156F" w:rsidP="00E341AB" w:rsidRDefault="00A65D1F" w14:paraId="47558108" w14:textId="77777777">
      <w:pPr>
        <w:spacing w:line="276" w:lineRule="auto"/>
        <w:rPr>
          <w:color w:val="auto"/>
        </w:rPr>
      </w:pPr>
      <w:r>
        <w:rPr>
          <w:color w:val="auto"/>
        </w:rPr>
        <w:t xml:space="preserve">Vanwege regeldruk, efficiëntie en doelmatigheid wordt de differentiatie van de leges naast de wettelijk maximering van de leges betrokken </w:t>
      </w:r>
      <w:r w:rsidR="00FF1EDD">
        <w:rPr>
          <w:color w:val="auto"/>
        </w:rPr>
        <w:t xml:space="preserve">bij de wetsevaluatie drie jaar na inwerkingtreding van de </w:t>
      </w:r>
      <w:proofErr w:type="spellStart"/>
      <w:r w:rsidR="00FF1EDD">
        <w:rPr>
          <w:color w:val="auto"/>
        </w:rPr>
        <w:t>Wtta</w:t>
      </w:r>
      <w:proofErr w:type="spellEnd"/>
      <w:r>
        <w:rPr>
          <w:color w:val="auto"/>
        </w:rPr>
        <w:t xml:space="preserve">. </w:t>
      </w:r>
      <w:r w:rsidR="0007116D">
        <w:rPr>
          <w:color w:val="auto"/>
        </w:rPr>
        <w:t>Tot slot word</w:t>
      </w:r>
      <w:r w:rsidR="000F1607">
        <w:rPr>
          <w:color w:val="auto"/>
        </w:rPr>
        <w:t>en</w:t>
      </w:r>
      <w:r w:rsidR="0007116D">
        <w:rPr>
          <w:color w:val="auto"/>
        </w:rPr>
        <w:t xml:space="preserve"> een jaar na inwerkingtreding van de </w:t>
      </w:r>
      <w:proofErr w:type="spellStart"/>
      <w:r w:rsidR="0007116D">
        <w:rPr>
          <w:color w:val="auto"/>
        </w:rPr>
        <w:t>Wtta</w:t>
      </w:r>
      <w:proofErr w:type="spellEnd"/>
      <w:r w:rsidR="0007116D">
        <w:rPr>
          <w:color w:val="auto"/>
        </w:rPr>
        <w:t xml:space="preserve"> ook focusgroepen gehouden </w:t>
      </w:r>
      <w:r w:rsidR="000F1607">
        <w:rPr>
          <w:color w:val="auto"/>
        </w:rPr>
        <w:t>bestaande uit</w:t>
      </w:r>
      <w:r w:rsidR="0007116D">
        <w:rPr>
          <w:color w:val="auto"/>
        </w:rPr>
        <w:t xml:space="preserve"> onder andere uitleners en inleners. </w:t>
      </w:r>
    </w:p>
    <w:p w:rsidR="00B45B81" w:rsidP="00E341AB" w:rsidRDefault="00B45B81" w14:paraId="3D90F37F" w14:textId="77777777">
      <w:pPr>
        <w:spacing w:line="276" w:lineRule="auto"/>
        <w:rPr>
          <w:color w:val="auto"/>
        </w:rPr>
      </w:pPr>
    </w:p>
    <w:p w:rsidR="00B45B81" w:rsidP="00E341AB" w:rsidRDefault="00B45B81" w14:paraId="581DD398" w14:textId="348A10B6">
      <w:pPr>
        <w:spacing w:line="276" w:lineRule="auto"/>
        <w:rPr>
          <w:color w:val="auto"/>
        </w:rPr>
      </w:pPr>
      <w:r>
        <w:rPr>
          <w:i/>
          <w:iCs/>
          <w:color w:val="auto"/>
        </w:rPr>
        <w:t>Zienswijze</w:t>
      </w:r>
    </w:p>
    <w:p w:rsidR="00B45B81" w:rsidP="00E341AB" w:rsidRDefault="00B45B81" w14:paraId="0AFD0289" w14:textId="77777777">
      <w:pPr>
        <w:spacing w:line="276" w:lineRule="auto"/>
        <w:rPr>
          <w:color w:val="auto"/>
        </w:rPr>
      </w:pPr>
    </w:p>
    <w:p w:rsidR="00B45B81" w:rsidP="00E341AB" w:rsidRDefault="00B45B81" w14:paraId="4C36B8A3" w14:textId="2F362726">
      <w:pPr>
        <w:spacing w:line="276" w:lineRule="auto"/>
        <w:rPr>
          <w:color w:val="auto"/>
        </w:rPr>
      </w:pPr>
      <w:r>
        <w:rPr>
          <w:color w:val="auto"/>
        </w:rPr>
        <w:t xml:space="preserve">Het ATR heeft bij de aanvullende zienswijze gereageerd op de verwerking van de adviespunten uit het advies en daarmee op de gewijzigde voorstellen die zij hebben ontvangen op 22 mei 2026. Samenvattend geeft het ATR aan dat het voorstel op punten is aangevuld en verduidelijkt, mede naar aanleiding van het ATR-advies. Het ATR constateert dat bij minder belastende alternatieven, ook door de inwerkingtredingsdatum van het stelsel, op dit moment geen beeld gegeven kan worden van de haalbaarheid van de gegevensuitwisseling over omzetgegevens van uitleners tussen de uitvoeringsorganisaties en de NAU. Het ATR concludeert dat het adviespunt daarmee nog steeds relevant is. </w:t>
      </w:r>
    </w:p>
    <w:p w:rsidR="00B45B81" w:rsidP="00E341AB" w:rsidRDefault="00B45B81" w14:paraId="55B7166A" w14:textId="77777777">
      <w:pPr>
        <w:spacing w:line="276" w:lineRule="auto"/>
        <w:rPr>
          <w:color w:val="auto"/>
        </w:rPr>
      </w:pPr>
    </w:p>
    <w:p w:rsidR="00B45B81" w:rsidP="00E341AB" w:rsidRDefault="00B45B81" w14:paraId="784084C1" w14:textId="495EBB7F">
      <w:pPr>
        <w:spacing w:line="276" w:lineRule="auto"/>
        <w:rPr>
          <w:color w:val="auto"/>
        </w:rPr>
      </w:pPr>
      <w:bookmarkStart w:name="_Hlk231196204" w:id="0"/>
      <w:r>
        <w:rPr>
          <w:color w:val="auto"/>
        </w:rPr>
        <w:t xml:space="preserve">De regering erkent dat nog geen definitief beeld gegeven kan worden over de mate waarin gegevensuitwisseling op termijn mogelijk gemaakt kan worden. Dit is namelijk </w:t>
      </w:r>
      <w:r>
        <w:rPr>
          <w:color w:val="auto"/>
        </w:rPr>
        <w:lastRenderedPageBreak/>
        <w:t>afhankelijk van de</w:t>
      </w:r>
      <w:r w:rsidR="00E47D1B">
        <w:rPr>
          <w:color w:val="auto"/>
        </w:rPr>
        <w:t xml:space="preserve"> duur en</w:t>
      </w:r>
      <w:r>
        <w:rPr>
          <w:color w:val="auto"/>
        </w:rPr>
        <w:t xml:space="preserve"> uitkomst van de verkenning met de Belastingdienst en de NAU, zoals de niet-fiscale toets, en verschillende uitvoeringstoetsen. Daarom kan nu ook niet vooruitgelopen worden op conclusies die zullen moeten volgen uit deze verkenning. De uitkomst van de verkenning zal uiteraard meegenomen worden bij de wetsevaluatie, evenals de differentiatie van de leges naast de wettelijke maximering vanuit oogpunt van </w:t>
      </w:r>
      <w:r w:rsidR="00331B8A">
        <w:rPr>
          <w:color w:val="auto"/>
        </w:rPr>
        <w:t xml:space="preserve">regeldruk, efficiëntie en doelmatigheid. </w:t>
      </w:r>
    </w:p>
    <w:bookmarkEnd w:id="0"/>
    <w:p w:rsidR="00B45B81" w:rsidP="00E341AB" w:rsidRDefault="00B45B81" w14:paraId="1E05B0C0" w14:textId="77777777">
      <w:pPr>
        <w:spacing w:line="276" w:lineRule="auto"/>
        <w:rPr>
          <w:color w:val="auto"/>
        </w:rPr>
      </w:pPr>
    </w:p>
    <w:p w:rsidRPr="00E341AB" w:rsidR="00A65D1F" w:rsidP="00E341AB" w:rsidRDefault="00A65D1F" w14:paraId="3643DEA8" w14:textId="77777777">
      <w:pPr>
        <w:spacing w:line="276" w:lineRule="auto"/>
        <w:rPr>
          <w:color w:val="auto"/>
        </w:rPr>
      </w:pPr>
    </w:p>
    <w:p w:rsidRPr="00445537" w:rsidR="00B6156F" w:rsidP="00B6156F" w:rsidRDefault="00B6156F" w14:paraId="64C1A932" w14:textId="77777777">
      <w:pPr>
        <w:pStyle w:val="Lijstalinea"/>
        <w:numPr>
          <w:ilvl w:val="0"/>
          <w:numId w:val="10"/>
        </w:numPr>
        <w:rPr>
          <w:rFonts w:cstheme="minorHAnsi"/>
          <w:b/>
          <w:bCs/>
        </w:rPr>
      </w:pPr>
      <w:r w:rsidRPr="00445537">
        <w:rPr>
          <w:rFonts w:cstheme="minorHAnsi"/>
          <w:b/>
          <w:bCs/>
        </w:rPr>
        <w:t xml:space="preserve">Voorhang </w:t>
      </w:r>
    </w:p>
    <w:p w:rsidR="00B6156F" w:rsidP="00B6156F" w:rsidRDefault="00B6156F" w14:paraId="7484DF05" w14:textId="77777777">
      <w:pPr>
        <w:rPr>
          <w:rFonts w:cstheme="minorHAnsi"/>
        </w:rPr>
      </w:pPr>
    </w:p>
    <w:p w:rsidR="00882AB6" w:rsidP="00A25823" w:rsidRDefault="00215CEB" w14:paraId="6B357A05" w14:textId="0E710587">
      <w:pPr>
        <w:pStyle w:val="Geenafstand"/>
        <w:spacing w:line="276" w:lineRule="auto"/>
        <w:rPr>
          <w:rFonts w:cstheme="minorHAnsi"/>
          <w:lang w:val="nl-NL"/>
        </w:rPr>
      </w:pPr>
      <w:r>
        <w:rPr>
          <w:rFonts w:cstheme="minorHAnsi"/>
          <w:lang w:val="nl-NL"/>
        </w:rPr>
        <w:t>PM</w:t>
      </w:r>
    </w:p>
    <w:p w:rsidRPr="00445537" w:rsidR="00B6156F" w:rsidP="00B6156F" w:rsidRDefault="00B6156F" w14:paraId="7D96F0AC" w14:textId="77777777">
      <w:pPr>
        <w:pStyle w:val="Geenafstand"/>
        <w:numPr>
          <w:ilvl w:val="0"/>
          <w:numId w:val="10"/>
        </w:numPr>
        <w:spacing w:line="276" w:lineRule="auto"/>
        <w:rPr>
          <w:rFonts w:cstheme="minorHAnsi"/>
          <w:b/>
          <w:bCs/>
          <w:lang w:val="nl-NL"/>
        </w:rPr>
      </w:pPr>
      <w:r w:rsidRPr="00445537">
        <w:rPr>
          <w:rFonts w:cstheme="minorHAnsi"/>
          <w:b/>
          <w:bCs/>
          <w:lang w:val="nl-NL"/>
        </w:rPr>
        <w:t xml:space="preserve">Inwerkingtreding </w:t>
      </w:r>
    </w:p>
    <w:p w:rsidR="00FF1EDD" w:rsidP="00FF1EDD" w:rsidRDefault="00FF1EDD" w14:paraId="229BF531" w14:textId="77777777">
      <w:pPr>
        <w:pStyle w:val="Geenafstand"/>
        <w:spacing w:line="276" w:lineRule="auto"/>
        <w:rPr>
          <w:rFonts w:cstheme="minorHAnsi"/>
          <w:lang w:val="nl-NL"/>
        </w:rPr>
      </w:pPr>
    </w:p>
    <w:p w:rsidR="00B6156F" w:rsidP="00B6156F" w:rsidRDefault="002A3667" w14:paraId="541A1245" w14:textId="77777777">
      <w:pPr>
        <w:pStyle w:val="Geenafstand"/>
        <w:spacing w:line="276" w:lineRule="auto"/>
        <w:rPr>
          <w:rFonts w:cstheme="minorHAnsi"/>
          <w:lang w:val="nl-NL"/>
        </w:rPr>
      </w:pPr>
      <w:r w:rsidRPr="00B80C46">
        <w:rPr>
          <w:rFonts w:cstheme="minorHAnsi"/>
          <w:lang w:val="nl-NL"/>
        </w:rPr>
        <w:t xml:space="preserve">De inwerkingtreding van </w:t>
      </w:r>
      <w:r>
        <w:rPr>
          <w:rFonts w:cstheme="minorHAnsi"/>
          <w:lang w:val="nl-NL"/>
        </w:rPr>
        <w:t>dit besluit</w:t>
      </w:r>
      <w:r w:rsidRPr="00B80C46">
        <w:rPr>
          <w:rFonts w:cstheme="minorHAnsi"/>
          <w:lang w:val="nl-NL"/>
        </w:rPr>
        <w:t xml:space="preserve"> is afhankelijk van de inwerkingtreding van</w:t>
      </w:r>
      <w:r>
        <w:rPr>
          <w:rFonts w:cstheme="minorHAnsi"/>
          <w:lang w:val="nl-NL"/>
        </w:rPr>
        <w:t xml:space="preserve"> het daarop betrekking hebbende artikelen van de Wet toelating ter beschikkingstelling van arbeidskrachten.</w:t>
      </w:r>
    </w:p>
    <w:p w:rsidR="00445537" w:rsidP="00B6156F" w:rsidRDefault="00445537" w14:paraId="073BC71F" w14:textId="77777777">
      <w:pPr>
        <w:pStyle w:val="Geenafstand"/>
        <w:spacing w:line="276" w:lineRule="auto"/>
        <w:rPr>
          <w:rFonts w:cstheme="minorHAnsi"/>
          <w:lang w:val="nl-NL"/>
        </w:rPr>
      </w:pPr>
    </w:p>
    <w:p w:rsidRPr="00E47D1B" w:rsidR="00CE6841" w:rsidP="00E47D1B" w:rsidRDefault="00E47D1B" w14:paraId="357D341B" w14:textId="5877C053">
      <w:pPr>
        <w:spacing w:line="240" w:lineRule="auto"/>
        <w:rPr>
          <w:rFonts w:eastAsiaTheme="minorHAnsi" w:cstheme="minorHAnsi"/>
          <w:color w:val="auto"/>
          <w:szCs w:val="22"/>
          <w:lang w:eastAsia="en-US"/>
        </w:rPr>
      </w:pPr>
      <w:r>
        <w:rPr>
          <w:rFonts w:cstheme="minorHAnsi"/>
        </w:rPr>
        <w:br w:type="page"/>
      </w:r>
    </w:p>
    <w:p w:rsidR="00B80C46" w:rsidP="00A25823" w:rsidRDefault="00445537" w14:paraId="59B45F40" w14:textId="23A2BEC4">
      <w:pPr>
        <w:pStyle w:val="Geenafstand"/>
        <w:spacing w:line="276" w:lineRule="auto"/>
        <w:rPr>
          <w:rFonts w:cstheme="minorHAnsi"/>
          <w:b/>
          <w:bCs/>
          <w:lang w:val="nl-NL"/>
        </w:rPr>
      </w:pPr>
      <w:r>
        <w:rPr>
          <w:rFonts w:cstheme="minorHAnsi"/>
          <w:b/>
          <w:bCs/>
          <w:lang w:val="nl-NL"/>
        </w:rPr>
        <w:lastRenderedPageBreak/>
        <w:t>ARTIKELSGEWIJS</w:t>
      </w:r>
    </w:p>
    <w:p w:rsidRPr="00B80C46" w:rsidR="00B80C46" w:rsidP="00A25823" w:rsidRDefault="00B80C46" w14:paraId="77B6F788" w14:textId="77777777">
      <w:pPr>
        <w:pStyle w:val="Geenafstand"/>
        <w:spacing w:line="276" w:lineRule="auto"/>
        <w:rPr>
          <w:rFonts w:cstheme="minorHAnsi"/>
          <w:b/>
          <w:bCs/>
          <w:lang w:val="nl-NL"/>
        </w:rPr>
      </w:pPr>
    </w:p>
    <w:p w:rsidRPr="00BA55E0" w:rsidR="00A25823" w:rsidP="00A25823" w:rsidRDefault="00B80C46" w14:paraId="41432214" w14:textId="77777777">
      <w:pPr>
        <w:pStyle w:val="Geenafstand"/>
        <w:spacing w:line="276" w:lineRule="auto"/>
        <w:rPr>
          <w:rFonts w:cstheme="minorHAnsi"/>
          <w:b/>
          <w:bCs/>
          <w:i/>
          <w:iCs/>
          <w:lang w:val="nl-NL"/>
        </w:rPr>
      </w:pPr>
      <w:r w:rsidRPr="00BA55E0">
        <w:rPr>
          <w:rFonts w:cstheme="minorHAnsi"/>
          <w:b/>
          <w:bCs/>
          <w:i/>
          <w:iCs/>
          <w:lang w:val="nl-NL"/>
        </w:rPr>
        <w:t xml:space="preserve">Artikel I, </w:t>
      </w:r>
      <w:r w:rsidRPr="00BA55E0" w:rsidR="00587E48">
        <w:rPr>
          <w:rFonts w:cstheme="minorHAnsi"/>
          <w:b/>
          <w:bCs/>
          <w:i/>
          <w:iCs/>
          <w:lang w:val="nl-NL"/>
        </w:rPr>
        <w:t>onderdeel A</w:t>
      </w:r>
    </w:p>
    <w:p w:rsidR="00021CD5" w:rsidP="00C95508" w:rsidRDefault="00021CD5" w14:paraId="477F34E7" w14:textId="77777777">
      <w:pPr>
        <w:rPr>
          <w:color w:val="auto"/>
        </w:rPr>
      </w:pPr>
    </w:p>
    <w:p w:rsidRPr="00AE5997" w:rsidR="00021CD5" w:rsidP="00C95508" w:rsidRDefault="00021CD5" w14:paraId="761D6160" w14:textId="77777777">
      <w:pPr>
        <w:rPr>
          <w:i/>
          <w:iCs/>
          <w:color w:val="auto"/>
        </w:rPr>
      </w:pPr>
      <w:r w:rsidRPr="00AE5997">
        <w:rPr>
          <w:i/>
          <w:iCs/>
          <w:color w:val="auto"/>
        </w:rPr>
        <w:t xml:space="preserve">Vergoeding toelatingsprocedure </w:t>
      </w:r>
    </w:p>
    <w:p w:rsidR="00C15CCF" w:rsidP="00C95508" w:rsidRDefault="00AC602A" w14:paraId="602D8973" w14:textId="77777777">
      <w:pPr>
        <w:rPr>
          <w:color w:val="auto"/>
        </w:rPr>
      </w:pPr>
      <w:r w:rsidRPr="00747775">
        <w:rPr>
          <w:color w:val="auto"/>
        </w:rPr>
        <w:t xml:space="preserve">Artikel 1b:3 </w:t>
      </w:r>
      <w:r w:rsidR="00C15CCF">
        <w:rPr>
          <w:color w:val="auto"/>
        </w:rPr>
        <w:t xml:space="preserve">van het Besluit allocatie arbeidskrachten door intermediairs </w:t>
      </w:r>
      <w:r w:rsidRPr="00747775">
        <w:rPr>
          <w:color w:val="auto"/>
        </w:rPr>
        <w:t xml:space="preserve">regelt dat de </w:t>
      </w:r>
      <w:r>
        <w:rPr>
          <w:color w:val="auto"/>
        </w:rPr>
        <w:t xml:space="preserve">vergoeding die de </w:t>
      </w:r>
      <w:r w:rsidRPr="00747775">
        <w:rPr>
          <w:color w:val="auto"/>
        </w:rPr>
        <w:t xml:space="preserve">aanvrager is verschuldigd voor de behandeling van de aanvraag en de kosten in verband met de activiteiten die worden verricht gedurende de looptijd van de toelating, </w:t>
      </w:r>
      <w:r>
        <w:rPr>
          <w:color w:val="auto"/>
        </w:rPr>
        <w:t>waaronder ook de</w:t>
      </w:r>
      <w:r w:rsidR="00E45220">
        <w:rPr>
          <w:color w:val="auto"/>
        </w:rPr>
        <w:t xml:space="preserve"> kosten voor de</w:t>
      </w:r>
      <w:r>
        <w:rPr>
          <w:color w:val="auto"/>
        </w:rPr>
        <w:t xml:space="preserve"> aanwijzingsprocedure van inspectie-instellingen (zie artikel 12i, derde lid, van de wet), </w:t>
      </w:r>
      <w:r w:rsidRPr="00747775">
        <w:rPr>
          <w:color w:val="auto"/>
        </w:rPr>
        <w:t xml:space="preserve">afhankelijk </w:t>
      </w:r>
      <w:r>
        <w:rPr>
          <w:color w:val="auto"/>
        </w:rPr>
        <w:t xml:space="preserve">is </w:t>
      </w:r>
      <w:r w:rsidRPr="00747775">
        <w:rPr>
          <w:color w:val="auto"/>
        </w:rPr>
        <w:t xml:space="preserve">van de grootte van zijn onderneming of rechtspersoon </w:t>
      </w:r>
      <w:r>
        <w:rPr>
          <w:color w:val="auto"/>
        </w:rPr>
        <w:t>in het kalenderjaar voorafgaand aan het kalenderjaar waarin de toelating wordt aangevraagd (eerste lid)</w:t>
      </w:r>
      <w:r w:rsidRPr="00747775">
        <w:rPr>
          <w:color w:val="auto"/>
        </w:rPr>
        <w:t>.</w:t>
      </w:r>
      <w:r>
        <w:rPr>
          <w:color w:val="auto"/>
        </w:rPr>
        <w:t xml:space="preserve"> </w:t>
      </w:r>
    </w:p>
    <w:p w:rsidR="003F6582" w:rsidP="003F6582" w:rsidRDefault="003F6582" w14:paraId="4DFED811" w14:textId="77777777">
      <w:pPr>
        <w:rPr>
          <w:color w:val="auto"/>
        </w:rPr>
      </w:pPr>
    </w:p>
    <w:p w:rsidR="00E118EB" w:rsidP="003F6582" w:rsidRDefault="00864CFA" w14:paraId="44B3F578" w14:textId="77777777">
      <w:pPr>
        <w:rPr>
          <w:color w:val="auto"/>
        </w:rPr>
      </w:pPr>
      <w:r>
        <w:rPr>
          <w:color w:val="auto"/>
        </w:rPr>
        <w:t xml:space="preserve">Artikel I </w:t>
      </w:r>
      <w:r w:rsidR="003446BF">
        <w:rPr>
          <w:color w:val="auto"/>
        </w:rPr>
        <w:t xml:space="preserve">stelt </w:t>
      </w:r>
      <w:r w:rsidR="00C15CCF">
        <w:rPr>
          <w:color w:val="auto"/>
        </w:rPr>
        <w:t>artikel 1b:3</w:t>
      </w:r>
      <w:r w:rsidR="00303334">
        <w:rPr>
          <w:color w:val="auto"/>
        </w:rPr>
        <w:t xml:space="preserve"> </w:t>
      </w:r>
      <w:r w:rsidR="003446BF">
        <w:rPr>
          <w:color w:val="auto"/>
        </w:rPr>
        <w:t>opnieuw vast</w:t>
      </w:r>
      <w:r w:rsidR="00303334">
        <w:rPr>
          <w:color w:val="auto"/>
        </w:rPr>
        <w:t xml:space="preserve">. Het nieuwe eerste lid regelt dat de vergoeding voor de toelatingsprocedure bestaat uit verschillende delen. Ten eerste is de uitlener een vergoeding verschuldigd voor de aanvraag </w:t>
      </w:r>
      <w:r w:rsidR="00F955D9">
        <w:rPr>
          <w:color w:val="auto"/>
        </w:rPr>
        <w:t>tot</w:t>
      </w:r>
      <w:r w:rsidR="00303334">
        <w:rPr>
          <w:color w:val="auto"/>
        </w:rPr>
        <w:t xml:space="preserve"> toelating dan wel voorlopige toelating (eerste lid, onderdeel a). </w:t>
      </w:r>
      <w:r w:rsidR="00E45220">
        <w:rPr>
          <w:color w:val="auto"/>
        </w:rPr>
        <w:t>Daarnaast</w:t>
      </w:r>
      <w:r w:rsidR="00303334">
        <w:rPr>
          <w:color w:val="auto"/>
        </w:rPr>
        <w:t xml:space="preserve"> is er een vergoeding verschuldigd voor het beho</w:t>
      </w:r>
      <w:r w:rsidR="003446BF">
        <w:rPr>
          <w:color w:val="auto"/>
        </w:rPr>
        <w:t>u</w:t>
      </w:r>
      <w:r w:rsidR="00303334">
        <w:rPr>
          <w:color w:val="auto"/>
        </w:rPr>
        <w:t>d van de toelating dan wel voorlopige toelating</w:t>
      </w:r>
      <w:r w:rsidR="00354A07">
        <w:rPr>
          <w:color w:val="auto"/>
        </w:rPr>
        <w:t xml:space="preserve"> (eerste lid, onderdeel b)</w:t>
      </w:r>
      <w:r w:rsidR="00303334">
        <w:rPr>
          <w:color w:val="auto"/>
        </w:rPr>
        <w:t xml:space="preserve">. De vergoeding voor het behoud van de toelating is jaarlijks verschuldigd. De vergoeding voor de voorlopige toelating is slechts eenmalig verschuldigd, gezien het feit dat de voorlopige toelating in de regel slechts zes maanden geldig is. </w:t>
      </w:r>
    </w:p>
    <w:p w:rsidR="00E118EB" w:rsidP="003F6582" w:rsidRDefault="00E118EB" w14:paraId="46DCC8A5" w14:textId="77777777">
      <w:pPr>
        <w:rPr>
          <w:color w:val="auto"/>
        </w:rPr>
      </w:pPr>
    </w:p>
    <w:p w:rsidR="00624837" w:rsidRDefault="003446BF" w14:paraId="1F0A49CB" w14:textId="77777777">
      <w:r>
        <w:rPr>
          <w:color w:val="auto"/>
        </w:rPr>
        <w:t>Artikel 1b:3, tweede lid,</w:t>
      </w:r>
      <w:r w:rsidR="00021CD5">
        <w:rPr>
          <w:color w:val="auto"/>
        </w:rPr>
        <w:t xml:space="preserve"> </w:t>
      </w:r>
      <w:r w:rsidR="00E118EB">
        <w:rPr>
          <w:color w:val="auto"/>
        </w:rPr>
        <w:t xml:space="preserve">regelt </w:t>
      </w:r>
      <w:r w:rsidR="00354A07">
        <w:rPr>
          <w:color w:val="auto"/>
        </w:rPr>
        <w:t xml:space="preserve">dat de hoogte van de vergoeding afhankelijk is van </w:t>
      </w:r>
      <w:r w:rsidR="00E118EB">
        <w:rPr>
          <w:color w:val="auto"/>
        </w:rPr>
        <w:t xml:space="preserve">de grootte van de onderneming </w:t>
      </w:r>
      <w:r w:rsidR="00354A07">
        <w:rPr>
          <w:color w:val="auto"/>
        </w:rPr>
        <w:t xml:space="preserve">in het kalenderjaar voorafgaand aan het kalenderjaar waarin de toelating wordt aangevraagd. Daarnaast regelt het tweede lid hoe de grootte van de onderneming </w:t>
      </w:r>
      <w:r w:rsidR="00E118EB">
        <w:rPr>
          <w:color w:val="auto"/>
        </w:rPr>
        <w:t xml:space="preserve">wordt bepaald. Dit is enkel </w:t>
      </w:r>
      <w:r>
        <w:rPr>
          <w:color w:val="auto"/>
        </w:rPr>
        <w:t xml:space="preserve">van toepassing op </w:t>
      </w:r>
      <w:r w:rsidR="00E118EB">
        <w:rPr>
          <w:color w:val="auto"/>
        </w:rPr>
        <w:t xml:space="preserve">de jaarlijkse bijdrage voor het behoud van een toelating. </w:t>
      </w:r>
      <w:r w:rsidR="00DB26EE">
        <w:rPr>
          <w:color w:val="auto"/>
        </w:rPr>
        <w:t>Voor het bepalen van de grootte wordt gekeken naar de omzet van de onderneming</w:t>
      </w:r>
      <w:r w:rsidR="00354A07">
        <w:rPr>
          <w:color w:val="auto"/>
        </w:rPr>
        <w:t xml:space="preserve"> in het kalenderjaar voorafgaand aan </w:t>
      </w:r>
      <w:r w:rsidR="00343B87">
        <w:rPr>
          <w:color w:val="auto"/>
        </w:rPr>
        <w:t>het jaar van de aanvraag</w:t>
      </w:r>
      <w:r w:rsidR="00DB26EE">
        <w:rPr>
          <w:color w:val="auto"/>
        </w:rPr>
        <w:t>.</w:t>
      </w:r>
      <w:r w:rsidRPr="00DB26EE" w:rsidR="00DB26EE">
        <w:rPr>
          <w:color w:val="auto"/>
        </w:rPr>
        <w:t xml:space="preserve"> </w:t>
      </w:r>
      <w:r w:rsidR="0047563B">
        <w:rPr>
          <w:color w:val="auto"/>
        </w:rPr>
        <w:t xml:space="preserve">De vergoeding wordt vastgesteld voor de gehele duur van de toelating. Veranderingen in de omzet van de onderneming gedurende zijn toelating hebben dus geen invloed op de hoogte van de vergoeding. </w:t>
      </w:r>
      <w:r w:rsidR="00343B87">
        <w:t xml:space="preserve">1b:3, derde lid regelt dat de aanvrager van de toelating bij de aanvraag gegevens verstrekt over de totale omzet, zodat de hoogte van de vergoeding vastgesteld kan worden. </w:t>
      </w:r>
      <w:r w:rsidR="00D45D65">
        <w:t>De hoogte van de vergoedingen en w</w:t>
      </w:r>
      <w:r w:rsidR="00343B87">
        <w:t xml:space="preserve">elke gegevens </w:t>
      </w:r>
      <w:r w:rsidR="00D45D65">
        <w:t>de aanvrager dient te verstrekken</w:t>
      </w:r>
      <w:r w:rsidR="00343B87">
        <w:t>, word</w:t>
      </w:r>
      <w:r w:rsidR="00D45D65">
        <w:t>en</w:t>
      </w:r>
      <w:r w:rsidR="00343B87">
        <w:t xml:space="preserve"> bij ministeriële regeling vastgesteld</w:t>
      </w:r>
      <w:r w:rsidR="00624837">
        <w:t xml:space="preserve"> (zie het zesde</w:t>
      </w:r>
      <w:r w:rsidR="00D45D65">
        <w:t xml:space="preserve"> en zevende</w:t>
      </w:r>
      <w:r w:rsidR="00624837">
        <w:t xml:space="preserve"> lid)</w:t>
      </w:r>
      <w:r w:rsidR="00343B87">
        <w:t>.</w:t>
      </w:r>
      <w:r w:rsidR="0047563B">
        <w:t xml:space="preserve"> </w:t>
      </w:r>
    </w:p>
    <w:p w:rsidR="00624837" w:rsidP="00624837" w:rsidRDefault="00624837" w14:paraId="68BDC124" w14:textId="77777777">
      <w:pPr>
        <w:spacing w:line="276" w:lineRule="auto"/>
        <w:rPr>
          <w:color w:val="auto"/>
        </w:rPr>
      </w:pPr>
    </w:p>
    <w:p w:rsidRPr="00AE5997" w:rsidR="00624837" w:rsidP="00624837" w:rsidRDefault="00624837" w14:paraId="52A77E75" w14:textId="77777777">
      <w:pPr>
        <w:spacing w:line="276" w:lineRule="auto"/>
        <w:rPr>
          <w:i/>
          <w:iCs/>
          <w:color w:val="auto"/>
        </w:rPr>
      </w:pPr>
      <w:r w:rsidRPr="00AE5997">
        <w:rPr>
          <w:i/>
          <w:iCs/>
          <w:color w:val="auto"/>
        </w:rPr>
        <w:t>Ambtshalve verlenging</w:t>
      </w:r>
    </w:p>
    <w:p w:rsidRPr="00747775" w:rsidR="00624837" w:rsidP="00624837" w:rsidRDefault="00624837" w14:paraId="7EAB3C6C" w14:textId="77777777">
      <w:pPr>
        <w:spacing w:line="276" w:lineRule="auto"/>
        <w:rPr>
          <w:color w:val="auto"/>
        </w:rPr>
      </w:pPr>
      <w:r w:rsidRPr="00747775">
        <w:rPr>
          <w:color w:val="auto"/>
        </w:rPr>
        <w:t xml:space="preserve">In artikel 12i, tweede lid, van de wet is geregeld dat een toelating voor vier jaar wordt verleend en een voorlopige toelating voor zes maanden. </w:t>
      </w:r>
      <w:bookmarkStart w:name="_Hlk128844080" w:id="1"/>
      <w:r w:rsidRPr="00747775">
        <w:rPr>
          <w:color w:val="auto"/>
        </w:rPr>
        <w:t>Daarnaast is geregeld dat de minister de geldigheidsduur van een toelating kan verlengen met maximaal zes maanden</w:t>
      </w:r>
      <w:bookmarkEnd w:id="1"/>
      <w:r w:rsidRPr="00747775">
        <w:rPr>
          <w:color w:val="auto"/>
        </w:rPr>
        <w:t xml:space="preserve">. </w:t>
      </w:r>
    </w:p>
    <w:p w:rsidRPr="00747775" w:rsidR="00624837" w:rsidP="00624837" w:rsidRDefault="00624837" w14:paraId="0A39E6FC" w14:textId="77777777">
      <w:pPr>
        <w:spacing w:line="276" w:lineRule="auto"/>
        <w:rPr>
          <w:color w:val="auto"/>
        </w:rPr>
      </w:pPr>
    </w:p>
    <w:p w:rsidR="00624837" w:rsidP="00624837" w:rsidRDefault="00624837" w14:paraId="6A5F0CD0" w14:textId="77777777">
      <w:pPr>
        <w:autoSpaceDN/>
        <w:spacing w:line="276" w:lineRule="auto"/>
        <w:rPr>
          <w:color w:val="auto"/>
        </w:rPr>
      </w:pPr>
      <w:r w:rsidRPr="00747775">
        <w:rPr>
          <w:color w:val="auto"/>
        </w:rPr>
        <w:t>Het</w:t>
      </w:r>
      <w:r>
        <w:rPr>
          <w:color w:val="auto"/>
        </w:rPr>
        <w:t xml:space="preserve"> vierde</w:t>
      </w:r>
      <w:r w:rsidRPr="00747775">
        <w:rPr>
          <w:color w:val="auto"/>
        </w:rPr>
        <w:t xml:space="preserve"> lid van artikel 1b:3 geeft invulling aan artikel 12i,</w:t>
      </w:r>
      <w:r w:rsidRPr="00747775">
        <w:rPr>
          <w:color w:val="auto"/>
          <w:vertAlign w:val="superscript"/>
        </w:rPr>
        <w:t xml:space="preserve"> </w:t>
      </w:r>
      <w:r w:rsidRPr="00747775">
        <w:rPr>
          <w:color w:val="auto"/>
        </w:rPr>
        <w:t xml:space="preserve">derde lid, onder b, van de wet en regelt wanneer de minister tot deze verlenging kan besluiten. Dit is het geval indien de minister niet in staat is om tijdig een besluit te nemen op een opvolgende aanvraag tot verlening van een toelating door redenen die de uitlener niet te verwijten zijn. Daarbij kan bijvoorbeeld gedacht worden aan capaciteitsproblemen bij de toelatende instantie of de aangewezen inspectie-instellingen. Onder niet tijdig wordt de situatie verstaan dat het besluit op de aanvraag niet binnen een redelijke termijn na ontvangst van de aanvraag wordt genomen. Deze redelijke termijn is ingevolge artikel </w:t>
      </w:r>
      <w:r w:rsidRPr="00747775">
        <w:rPr>
          <w:color w:val="auto"/>
        </w:rPr>
        <w:lastRenderedPageBreak/>
        <w:t>4:1</w:t>
      </w:r>
      <w:r>
        <w:rPr>
          <w:color w:val="auto"/>
        </w:rPr>
        <w:t>3</w:t>
      </w:r>
      <w:r w:rsidRPr="00747775">
        <w:rPr>
          <w:color w:val="auto"/>
        </w:rPr>
        <w:t>, tweede lid,</w:t>
      </w:r>
      <w:r>
        <w:rPr>
          <w:color w:val="auto"/>
        </w:rPr>
        <w:t xml:space="preserve"> </w:t>
      </w:r>
      <w:proofErr w:type="spellStart"/>
      <w:r w:rsidRPr="00747775">
        <w:rPr>
          <w:color w:val="auto"/>
        </w:rPr>
        <w:t>Awb</w:t>
      </w:r>
      <w:proofErr w:type="spellEnd"/>
      <w:r w:rsidRPr="00747775">
        <w:rPr>
          <w:color w:val="auto"/>
        </w:rPr>
        <w:t xml:space="preserve"> in ieder geval verstreken wanneer het bestuursorgaan binnen acht weken na ontvangst van de aanvraag geen besluit heeft genomen, noch een </w:t>
      </w:r>
      <w:r>
        <w:rPr>
          <w:color w:val="auto"/>
        </w:rPr>
        <w:t>mededeling</w:t>
      </w:r>
      <w:r w:rsidRPr="00747775">
        <w:rPr>
          <w:color w:val="auto"/>
        </w:rPr>
        <w:t xml:space="preserve"> op grond van artikel 4:14, derde lid, </w:t>
      </w:r>
      <w:proofErr w:type="spellStart"/>
      <w:r w:rsidRPr="00747775">
        <w:rPr>
          <w:color w:val="auto"/>
        </w:rPr>
        <w:t>Awb</w:t>
      </w:r>
      <w:proofErr w:type="spellEnd"/>
      <w:r w:rsidRPr="00747775">
        <w:rPr>
          <w:color w:val="auto"/>
        </w:rPr>
        <w:t xml:space="preserve"> heeft gedaan om aan te geven binnen welke redelijke termijn dan wel een besluit zal worden genomen.</w:t>
      </w:r>
    </w:p>
    <w:p w:rsidR="0046732A" w:rsidP="00A25823" w:rsidRDefault="0046732A" w14:paraId="5B7B7B66" w14:textId="77777777">
      <w:pPr>
        <w:pStyle w:val="Geenafstand"/>
        <w:spacing w:line="276" w:lineRule="auto"/>
        <w:rPr>
          <w:rFonts w:cstheme="minorHAnsi"/>
          <w:i/>
          <w:iCs/>
          <w:lang w:val="nl-NL"/>
        </w:rPr>
      </w:pPr>
    </w:p>
    <w:p w:rsidR="00FA54B9" w:rsidP="00A25823" w:rsidRDefault="00E42632" w14:paraId="2B39F137" w14:textId="77777777">
      <w:pPr>
        <w:pStyle w:val="Geenafstand"/>
        <w:spacing w:line="276" w:lineRule="auto"/>
        <w:rPr>
          <w:rFonts w:cstheme="minorHAnsi"/>
          <w:i/>
          <w:iCs/>
          <w:lang w:val="nl-NL"/>
        </w:rPr>
      </w:pPr>
      <w:r>
        <w:rPr>
          <w:rFonts w:cstheme="minorHAnsi"/>
          <w:i/>
          <w:iCs/>
          <w:lang w:val="nl-NL"/>
        </w:rPr>
        <w:t>Indexering maximum leges</w:t>
      </w:r>
    </w:p>
    <w:p w:rsidR="008E5889" w:rsidP="00A25823" w:rsidRDefault="008E5889" w14:paraId="68E799CE" w14:textId="77777777">
      <w:pPr>
        <w:pStyle w:val="Geenafstand"/>
        <w:spacing w:line="276" w:lineRule="auto"/>
        <w:rPr>
          <w:rFonts w:cstheme="minorHAnsi"/>
          <w:lang w:val="nl-NL"/>
        </w:rPr>
      </w:pPr>
      <w:r>
        <w:rPr>
          <w:rFonts w:cstheme="minorHAnsi"/>
          <w:lang w:val="nl-NL"/>
        </w:rPr>
        <w:t>In artikel 12i, vierde lid, van de wet is naar aanleiding van amendering door de Tweede Kamer geregeld dat de vergoeding voor een toelating jaarlijks ten hoogste € 3.611 mag bedragen.</w:t>
      </w:r>
      <w:r>
        <w:rPr>
          <w:rStyle w:val="Voetnootmarkering"/>
          <w:rFonts w:cstheme="minorHAnsi"/>
          <w:lang w:val="nl-NL"/>
        </w:rPr>
        <w:footnoteReference w:id="7"/>
      </w:r>
      <w:r>
        <w:rPr>
          <w:rFonts w:cstheme="minorHAnsi"/>
          <w:lang w:val="nl-NL"/>
        </w:rPr>
        <w:t xml:space="preserve"> Bij of krachtens algemene maatregel van bestuur kunnen nadere regels worden gesteld over de vergoeding die de aanvrager is verschuldigd, waaronder de indexering. </w:t>
      </w:r>
    </w:p>
    <w:p w:rsidR="008E5889" w:rsidP="00A25823" w:rsidRDefault="00E42632" w14:paraId="180450F9" w14:textId="77777777">
      <w:pPr>
        <w:pStyle w:val="Geenafstand"/>
        <w:spacing w:line="276" w:lineRule="auto"/>
        <w:rPr>
          <w:rFonts w:cstheme="minorHAnsi"/>
          <w:lang w:val="nl-NL"/>
        </w:rPr>
      </w:pPr>
      <w:r>
        <w:rPr>
          <w:rFonts w:cstheme="minorHAnsi"/>
          <w:lang w:val="nl-NL"/>
        </w:rPr>
        <w:t>Artikel 1b:3, vijfde lid bepaalt dat v</w:t>
      </w:r>
      <w:r w:rsidR="008E5889">
        <w:rPr>
          <w:rFonts w:cstheme="minorHAnsi"/>
          <w:lang w:val="nl-NL"/>
        </w:rPr>
        <w:t xml:space="preserve">oor het indexeren van dit bedrag per 1 januari van jaar </w:t>
      </w:r>
      <w:r w:rsidR="008E5889">
        <w:rPr>
          <w:rFonts w:cstheme="minorHAnsi"/>
          <w:i/>
          <w:iCs/>
          <w:lang w:val="nl-NL"/>
        </w:rPr>
        <w:t>t</w:t>
      </w:r>
      <w:r w:rsidR="008E5889">
        <w:rPr>
          <w:rFonts w:cstheme="minorHAnsi"/>
          <w:lang w:val="nl-NL"/>
        </w:rPr>
        <w:t xml:space="preserve"> de contractloonontwikkeling voor de Nederlandse economie, zoals jaarlijks op Prinsjesdag gepubliceerd door het Centra</w:t>
      </w:r>
      <w:r w:rsidR="00AE29A1">
        <w:rPr>
          <w:rFonts w:cstheme="minorHAnsi"/>
          <w:lang w:val="nl-NL"/>
        </w:rPr>
        <w:t>a</w:t>
      </w:r>
      <w:r w:rsidR="008E5889">
        <w:rPr>
          <w:rFonts w:cstheme="minorHAnsi"/>
          <w:lang w:val="nl-NL"/>
        </w:rPr>
        <w:t xml:space="preserve">l Planbureau (CPB) in de Macro-Economische Verkenningen, van kalenderjaar </w:t>
      </w:r>
      <w:r w:rsidR="008E5889">
        <w:rPr>
          <w:rFonts w:cstheme="minorHAnsi"/>
          <w:i/>
          <w:iCs/>
          <w:lang w:val="nl-NL"/>
        </w:rPr>
        <w:t>t</w:t>
      </w:r>
      <w:r w:rsidR="008E5889">
        <w:rPr>
          <w:rFonts w:cstheme="minorHAnsi"/>
          <w:lang w:val="nl-NL"/>
        </w:rPr>
        <w:t xml:space="preserve">-2, </w:t>
      </w:r>
      <w:r>
        <w:rPr>
          <w:rFonts w:cstheme="minorHAnsi"/>
          <w:lang w:val="nl-NL"/>
        </w:rPr>
        <w:t xml:space="preserve">wordt </w:t>
      </w:r>
      <w:r w:rsidR="008E5889">
        <w:rPr>
          <w:rFonts w:cstheme="minorHAnsi"/>
          <w:lang w:val="nl-NL"/>
        </w:rPr>
        <w:t xml:space="preserve">gehanteerd. Dat is het meest recente jaar waarover ten tijde van het regelen van de indexatie (die aan het einde van jaar </w:t>
      </w:r>
      <w:r w:rsidR="008E5889">
        <w:rPr>
          <w:rFonts w:cstheme="minorHAnsi"/>
          <w:i/>
          <w:iCs/>
          <w:lang w:val="nl-NL"/>
        </w:rPr>
        <w:t>t-</w:t>
      </w:r>
      <w:r w:rsidRPr="00C2357A" w:rsidR="008E5889">
        <w:rPr>
          <w:rFonts w:cstheme="minorHAnsi"/>
          <w:lang w:val="nl-NL"/>
        </w:rPr>
        <w:t>1</w:t>
      </w:r>
      <w:r w:rsidR="008E5889">
        <w:rPr>
          <w:rFonts w:cstheme="minorHAnsi"/>
          <w:lang w:val="nl-NL"/>
        </w:rPr>
        <w:t xml:space="preserve"> wordt vastgesteld) </w:t>
      </w:r>
      <w:r w:rsidRPr="00197820" w:rsidR="008E5889">
        <w:rPr>
          <w:rFonts w:cstheme="minorHAnsi"/>
          <w:lang w:val="nl-NL"/>
        </w:rPr>
        <w:t>volledige</w:t>
      </w:r>
      <w:r w:rsidR="008E5889">
        <w:rPr>
          <w:rFonts w:cstheme="minorHAnsi"/>
          <w:lang w:val="nl-NL"/>
        </w:rPr>
        <w:t xml:space="preserve"> realisatiecijfers beschikbaar zijn. </w:t>
      </w:r>
    </w:p>
    <w:p w:rsidRPr="00197820" w:rsidR="00A25823" w:rsidP="00A25823" w:rsidRDefault="00A25823" w14:paraId="78A331D3" w14:textId="77777777">
      <w:pPr>
        <w:pStyle w:val="Geenafstand"/>
        <w:spacing w:line="276" w:lineRule="auto"/>
        <w:rPr>
          <w:rFonts w:cstheme="minorHAnsi"/>
          <w:lang w:val="nl-NL"/>
        </w:rPr>
      </w:pPr>
      <w:r>
        <w:rPr>
          <w:rFonts w:cstheme="minorHAnsi"/>
          <w:lang w:val="nl-NL"/>
        </w:rPr>
        <w:t xml:space="preserve">Bij het indexeren van de maximumvergoeding wil de regering zoveel mogelijk aansluiten bij de kostenstijging van de </w:t>
      </w:r>
      <w:r w:rsidR="00B93610">
        <w:rPr>
          <w:lang w:val="nl-NL"/>
        </w:rPr>
        <w:t>Nederlandse Autoriteit Uitleenmarkt</w:t>
      </w:r>
      <w:r w:rsidR="00291FC9">
        <w:rPr>
          <w:rFonts w:cstheme="minorHAnsi"/>
          <w:lang w:val="nl-NL"/>
        </w:rPr>
        <w:t xml:space="preserve">, </w:t>
      </w:r>
      <w:r>
        <w:rPr>
          <w:rFonts w:cstheme="minorHAnsi"/>
          <w:lang w:val="nl-NL"/>
        </w:rPr>
        <w:t xml:space="preserve">met uitzondering van eventuele capaciteitsuitbreidingen of -inperkingen. De kosten van de </w:t>
      </w:r>
      <w:r w:rsidR="00B93610">
        <w:rPr>
          <w:lang w:val="nl-NL"/>
        </w:rPr>
        <w:t xml:space="preserve">Nederlandse Autoriteit Uitleenmarkt </w:t>
      </w:r>
      <w:r>
        <w:rPr>
          <w:rFonts w:cstheme="minorHAnsi"/>
          <w:lang w:val="nl-NL"/>
        </w:rPr>
        <w:t xml:space="preserve">bestaan voor het grootste deel uit personeelskosten. </w:t>
      </w:r>
      <w:r w:rsidR="008E5889">
        <w:rPr>
          <w:rFonts w:cstheme="minorHAnsi"/>
          <w:lang w:val="nl-NL"/>
        </w:rPr>
        <w:t xml:space="preserve">Daarom hanteert de regering voor deze indexatie een andere maatstaf dan voor de financiële zekerheidsstelling en de ontheffingsregeling. </w:t>
      </w:r>
    </w:p>
    <w:p w:rsidR="00A25823" w:rsidP="00A25823" w:rsidRDefault="00A25823" w14:paraId="27BB75E6" w14:textId="77777777">
      <w:pPr>
        <w:pStyle w:val="Geenafstand"/>
        <w:spacing w:line="276" w:lineRule="auto"/>
        <w:rPr>
          <w:rFonts w:cstheme="minorHAnsi"/>
          <w:lang w:val="nl-NL"/>
        </w:rPr>
      </w:pPr>
    </w:p>
    <w:p w:rsidRPr="00AE5997" w:rsidR="00587E48" w:rsidP="00A25823" w:rsidRDefault="00587E48" w14:paraId="5DA6B0F9" w14:textId="77777777">
      <w:pPr>
        <w:pStyle w:val="Geenafstand"/>
        <w:spacing w:line="276" w:lineRule="auto"/>
        <w:rPr>
          <w:rFonts w:cstheme="minorHAnsi"/>
          <w:b/>
          <w:bCs/>
          <w:i/>
          <w:iCs/>
          <w:lang w:val="nl-NL"/>
        </w:rPr>
      </w:pPr>
      <w:r w:rsidRPr="00AE5997">
        <w:rPr>
          <w:rFonts w:cstheme="minorHAnsi"/>
          <w:b/>
          <w:bCs/>
          <w:i/>
          <w:iCs/>
          <w:lang w:val="nl-NL"/>
        </w:rPr>
        <w:t>Artikel I, onderdeel B</w:t>
      </w:r>
    </w:p>
    <w:p w:rsidR="00BA55E0" w:rsidP="00A25823" w:rsidRDefault="00BA55E0" w14:paraId="5EE0380B" w14:textId="77777777">
      <w:pPr>
        <w:pStyle w:val="Geenafstand"/>
        <w:spacing w:line="276" w:lineRule="auto"/>
        <w:rPr>
          <w:lang w:val="nl-NL"/>
        </w:rPr>
      </w:pPr>
    </w:p>
    <w:p w:rsidR="00587E48" w:rsidP="00A25823" w:rsidRDefault="0041472B" w14:paraId="5AD2D3F0" w14:textId="77777777">
      <w:pPr>
        <w:pStyle w:val="Geenafstand"/>
        <w:spacing w:line="276" w:lineRule="auto"/>
        <w:rPr>
          <w:lang w:val="nl-NL"/>
        </w:rPr>
      </w:pPr>
      <w:r>
        <w:rPr>
          <w:lang w:val="nl-NL"/>
        </w:rPr>
        <w:t xml:space="preserve">Ingevolge </w:t>
      </w:r>
      <w:r w:rsidR="00F008F5">
        <w:rPr>
          <w:lang w:val="nl-NL"/>
        </w:rPr>
        <w:t>artikel 12</w:t>
      </w:r>
      <w:r w:rsidR="00CD0353">
        <w:rPr>
          <w:lang w:val="nl-NL"/>
        </w:rPr>
        <w:t>s</w:t>
      </w:r>
      <w:r w:rsidR="00F008F5">
        <w:rPr>
          <w:lang w:val="nl-NL"/>
        </w:rPr>
        <w:t xml:space="preserve">, derde lid, onderdeel </w:t>
      </w:r>
      <w:r w:rsidR="00CD0353">
        <w:rPr>
          <w:lang w:val="nl-NL"/>
        </w:rPr>
        <w:t>b</w:t>
      </w:r>
      <w:r w:rsidR="00F008F5">
        <w:rPr>
          <w:lang w:val="nl-NL"/>
        </w:rPr>
        <w:t>,</w:t>
      </w:r>
      <w:r>
        <w:rPr>
          <w:lang w:val="nl-NL"/>
        </w:rPr>
        <w:t xml:space="preserve"> zijn </w:t>
      </w:r>
      <w:r w:rsidRPr="0041472B">
        <w:rPr>
          <w:lang w:val="nl-NL"/>
        </w:rPr>
        <w:t>inspectie-instellin</w:t>
      </w:r>
      <w:r>
        <w:rPr>
          <w:lang w:val="nl-NL"/>
        </w:rPr>
        <w:t xml:space="preserve">gen een vergoeding verschuldigd ter </w:t>
      </w:r>
      <w:r w:rsidRPr="0041472B">
        <w:rPr>
          <w:lang w:val="nl-NL"/>
        </w:rPr>
        <w:t>dekking van de kosten van de aanwijzingsprocedure.</w:t>
      </w:r>
      <w:r>
        <w:rPr>
          <w:lang w:val="nl-NL"/>
        </w:rPr>
        <w:t xml:space="preserve"> </w:t>
      </w:r>
      <w:r w:rsidR="00856C1E">
        <w:rPr>
          <w:lang w:val="nl-NL"/>
        </w:rPr>
        <w:t>Ingevolge artikel 1b:9, tweede lid, was al geregeld dat v</w:t>
      </w:r>
      <w:r w:rsidRPr="00AE5997" w:rsidR="00856C1E">
        <w:rPr>
          <w:lang w:val="nl-NL"/>
        </w:rPr>
        <w:t xml:space="preserve">oor de behandeling van een aanvraag tot aanwijzing en het in stand houden van de aanwijzing de aanvrager een vergoeding verschuldigd </w:t>
      </w:r>
      <w:r w:rsidR="00856C1E">
        <w:rPr>
          <w:lang w:val="nl-NL"/>
        </w:rPr>
        <w:t>is</w:t>
      </w:r>
      <w:r w:rsidRPr="00AE5997" w:rsidR="00856C1E">
        <w:rPr>
          <w:lang w:val="nl-NL"/>
        </w:rPr>
        <w:t>.</w:t>
      </w:r>
      <w:r w:rsidR="00856C1E">
        <w:rPr>
          <w:lang w:val="nl-NL"/>
        </w:rPr>
        <w:t xml:space="preserve"> </w:t>
      </w:r>
      <w:r w:rsidR="00F008F5">
        <w:rPr>
          <w:lang w:val="nl-NL"/>
        </w:rPr>
        <w:t>Met de</w:t>
      </w:r>
      <w:r w:rsidR="00856C1E">
        <w:rPr>
          <w:lang w:val="nl-NL"/>
        </w:rPr>
        <w:t>ze</w:t>
      </w:r>
      <w:r w:rsidR="00F008F5">
        <w:rPr>
          <w:lang w:val="nl-NL"/>
        </w:rPr>
        <w:t xml:space="preserve"> wijziging van artikel 1b:9, tweede lid, wordt verduidelijkt dat deze</w:t>
      </w:r>
      <w:r>
        <w:rPr>
          <w:lang w:val="nl-NL"/>
        </w:rPr>
        <w:t xml:space="preserve"> vergoeding bestaat uit </w:t>
      </w:r>
      <w:r w:rsidR="00856C1E">
        <w:rPr>
          <w:lang w:val="nl-NL"/>
        </w:rPr>
        <w:t xml:space="preserve">twee bedragen: </w:t>
      </w:r>
      <w:r>
        <w:rPr>
          <w:lang w:val="nl-NL"/>
        </w:rPr>
        <w:t xml:space="preserve">een vergoeding die voor de aanvraag verschuldigd is en een jaarlijkse vergoeding die voor het behoud van de aanwijzing verschuldigd is. </w:t>
      </w:r>
    </w:p>
    <w:p w:rsidR="004C42DF" w:rsidP="00A25823" w:rsidRDefault="004C42DF" w14:paraId="65198523" w14:textId="77777777">
      <w:pPr>
        <w:pStyle w:val="Geenafstand"/>
        <w:spacing w:line="276" w:lineRule="auto"/>
        <w:rPr>
          <w:lang w:val="nl-NL"/>
        </w:rPr>
      </w:pPr>
    </w:p>
    <w:p w:rsidRPr="00F008F5" w:rsidR="004C42DF" w:rsidP="00A25823" w:rsidRDefault="004C42DF" w14:paraId="1F157F96" w14:textId="77777777">
      <w:pPr>
        <w:pStyle w:val="Geenafstand"/>
        <w:spacing w:line="276" w:lineRule="auto"/>
        <w:rPr>
          <w:lang w:val="nl-NL"/>
        </w:rPr>
      </w:pPr>
      <w:r>
        <w:rPr>
          <w:lang w:val="nl-NL"/>
        </w:rPr>
        <w:t xml:space="preserve">Het nieuwe derde lid verduidelijkt dat de hoogte van de vergoedingen bij ministeriële regeling worden vastgesteld. </w:t>
      </w:r>
    </w:p>
    <w:p w:rsidR="00B80C46" w:rsidP="00A25823" w:rsidRDefault="00B80C46" w14:paraId="16CC583D" w14:textId="77777777">
      <w:pPr>
        <w:pStyle w:val="Geenafstand"/>
        <w:spacing w:line="276" w:lineRule="auto"/>
        <w:rPr>
          <w:rFonts w:cstheme="minorHAnsi"/>
          <w:lang w:val="nl-NL"/>
        </w:rPr>
      </w:pPr>
    </w:p>
    <w:p w:rsidR="00B80C46" w:rsidP="00A25823" w:rsidRDefault="00B80C46" w14:paraId="3861DF39" w14:textId="77777777">
      <w:pPr>
        <w:pStyle w:val="Geenafstand"/>
        <w:spacing w:line="276" w:lineRule="auto"/>
        <w:rPr>
          <w:rFonts w:cstheme="minorHAnsi"/>
          <w:b/>
          <w:bCs/>
          <w:i/>
          <w:iCs/>
          <w:lang w:val="nl-NL"/>
        </w:rPr>
      </w:pPr>
      <w:r w:rsidRPr="00AE5997">
        <w:rPr>
          <w:rFonts w:cstheme="minorHAnsi"/>
          <w:b/>
          <w:bCs/>
          <w:i/>
          <w:iCs/>
          <w:lang w:val="nl-NL"/>
        </w:rPr>
        <w:t>Artikel II</w:t>
      </w:r>
    </w:p>
    <w:p w:rsidRPr="00AE5997" w:rsidR="00BA55E0" w:rsidP="00A25823" w:rsidRDefault="00BA55E0" w14:paraId="1DBD56FD" w14:textId="77777777">
      <w:pPr>
        <w:pStyle w:val="Geenafstand"/>
        <w:spacing w:line="276" w:lineRule="auto"/>
        <w:rPr>
          <w:rFonts w:cstheme="minorHAnsi"/>
          <w:b/>
          <w:bCs/>
          <w:i/>
          <w:iCs/>
          <w:lang w:val="nl-NL"/>
        </w:rPr>
      </w:pPr>
    </w:p>
    <w:p w:rsidRPr="00B80C46" w:rsidR="00B80C46" w:rsidP="00A25823" w:rsidRDefault="00B80C46" w14:paraId="03BEF41E" w14:textId="77777777">
      <w:pPr>
        <w:pStyle w:val="Geenafstand"/>
        <w:spacing w:line="276" w:lineRule="auto"/>
        <w:rPr>
          <w:rFonts w:cstheme="minorHAnsi"/>
          <w:lang w:val="nl-NL"/>
        </w:rPr>
      </w:pPr>
      <w:r w:rsidRPr="00B80C46">
        <w:rPr>
          <w:rFonts w:cstheme="minorHAnsi"/>
          <w:lang w:val="nl-NL"/>
        </w:rPr>
        <w:t>De inwerkingtreding van deze artikelen is afhankelijk van de inwerkingtreding van</w:t>
      </w:r>
      <w:r>
        <w:rPr>
          <w:rFonts w:cstheme="minorHAnsi"/>
          <w:lang w:val="nl-NL"/>
        </w:rPr>
        <w:t xml:space="preserve"> het daarop betrekking hebbende artikel</w:t>
      </w:r>
      <w:r w:rsidR="0046732A">
        <w:rPr>
          <w:rFonts w:cstheme="minorHAnsi"/>
          <w:lang w:val="nl-NL"/>
        </w:rPr>
        <w:t>en</w:t>
      </w:r>
      <w:r>
        <w:rPr>
          <w:rFonts w:cstheme="minorHAnsi"/>
          <w:lang w:val="nl-NL"/>
        </w:rPr>
        <w:t xml:space="preserve"> van de Wet toelating ter beschikkingstelling van arbeidskrachten. Er volgt daarom een inwerkingtredingsbesluit</w:t>
      </w:r>
      <w:r w:rsidR="000F52DE">
        <w:rPr>
          <w:rFonts w:cstheme="minorHAnsi"/>
          <w:lang w:val="nl-NL"/>
        </w:rPr>
        <w:t xml:space="preserve">, </w:t>
      </w:r>
      <w:r w:rsidRPr="000F52DE" w:rsidR="000F52DE">
        <w:rPr>
          <w:rFonts w:cstheme="minorHAnsi"/>
          <w:lang w:val="nl-NL"/>
        </w:rPr>
        <w:t xml:space="preserve">met dien verstande dat </w:t>
      </w:r>
      <w:r w:rsidR="000F52DE">
        <w:rPr>
          <w:rFonts w:cstheme="minorHAnsi"/>
          <w:lang w:val="nl-NL"/>
        </w:rPr>
        <w:t>dit</w:t>
      </w:r>
      <w:r w:rsidRPr="000F52DE" w:rsidR="000F52DE">
        <w:rPr>
          <w:rFonts w:cstheme="minorHAnsi"/>
          <w:lang w:val="nl-NL"/>
        </w:rPr>
        <w:t xml:space="preserve"> besluit in werking treedt nadat </w:t>
      </w:r>
      <w:r w:rsidR="00D474A5">
        <w:rPr>
          <w:rFonts w:cstheme="minorHAnsi"/>
          <w:lang w:val="nl-NL"/>
        </w:rPr>
        <w:t xml:space="preserve">de daarop betrekking hebbende artikelen van de </w:t>
      </w:r>
      <w:r w:rsidR="000F52DE">
        <w:rPr>
          <w:rFonts w:cstheme="minorHAnsi"/>
          <w:lang w:val="nl-NL"/>
        </w:rPr>
        <w:t xml:space="preserve">wet </w:t>
      </w:r>
      <w:r w:rsidRPr="000F52DE" w:rsidR="000F52DE">
        <w:rPr>
          <w:rFonts w:cstheme="minorHAnsi"/>
          <w:lang w:val="nl-NL"/>
        </w:rPr>
        <w:t>in werking tre</w:t>
      </w:r>
      <w:r w:rsidR="00D474A5">
        <w:rPr>
          <w:rFonts w:cstheme="minorHAnsi"/>
          <w:lang w:val="nl-NL"/>
        </w:rPr>
        <w:t>den</w:t>
      </w:r>
      <w:r w:rsidRPr="000F52DE" w:rsidR="000F52DE">
        <w:rPr>
          <w:rFonts w:cstheme="minorHAnsi"/>
          <w:lang w:val="nl-NL"/>
        </w:rPr>
        <w:t>.</w:t>
      </w:r>
    </w:p>
    <w:p w:rsidR="00BE5DBB" w:rsidRDefault="00BE5DBB" w14:paraId="4FA7CBF5" w14:textId="77777777"/>
    <w:p w:rsidR="00030461" w:rsidRDefault="00030461" w14:paraId="73486485" w14:textId="77777777"/>
    <w:p w:rsidRPr="00747775" w:rsidR="006F508F" w:rsidP="006F508F" w:rsidRDefault="006F508F" w14:paraId="3B453F73" w14:textId="77777777">
      <w:pPr>
        <w:spacing w:line="276" w:lineRule="auto"/>
        <w:rPr>
          <w:color w:val="auto"/>
        </w:rPr>
      </w:pPr>
      <w:r w:rsidRPr="00747775">
        <w:rPr>
          <w:color w:val="auto"/>
        </w:rPr>
        <w:lastRenderedPageBreak/>
        <w:t>De Minister van Sociale Zaken </w:t>
      </w:r>
    </w:p>
    <w:p w:rsidRPr="00747775" w:rsidR="006F508F" w:rsidP="006F508F" w:rsidRDefault="006F508F" w14:paraId="6A9FDF70" w14:textId="77777777">
      <w:pPr>
        <w:spacing w:line="276" w:lineRule="auto"/>
        <w:rPr>
          <w:color w:val="auto"/>
        </w:rPr>
      </w:pPr>
      <w:r w:rsidRPr="00747775">
        <w:rPr>
          <w:color w:val="auto"/>
        </w:rPr>
        <w:t>en Werkgelegenheid,</w:t>
      </w:r>
    </w:p>
    <w:p w:rsidR="006F508F" w:rsidP="006F508F" w:rsidRDefault="006F508F" w14:paraId="124BC287" w14:textId="77777777">
      <w:pPr>
        <w:spacing w:line="276" w:lineRule="auto"/>
        <w:rPr>
          <w:color w:val="auto"/>
        </w:rPr>
      </w:pPr>
    </w:p>
    <w:p w:rsidR="006F508F" w:rsidP="006F508F" w:rsidRDefault="006F508F" w14:paraId="7F726BAA" w14:textId="77777777">
      <w:pPr>
        <w:spacing w:line="276" w:lineRule="auto"/>
        <w:rPr>
          <w:color w:val="auto"/>
        </w:rPr>
      </w:pPr>
    </w:p>
    <w:p w:rsidR="006F508F" w:rsidP="006F508F" w:rsidRDefault="006F508F" w14:paraId="6399428E" w14:textId="77777777">
      <w:pPr>
        <w:spacing w:line="276" w:lineRule="auto"/>
        <w:rPr>
          <w:color w:val="auto"/>
        </w:rPr>
      </w:pPr>
    </w:p>
    <w:p w:rsidR="006F508F" w:rsidP="006F508F" w:rsidRDefault="006F508F" w14:paraId="099B2DB6" w14:textId="77777777">
      <w:pPr>
        <w:spacing w:line="276" w:lineRule="auto"/>
        <w:rPr>
          <w:color w:val="auto"/>
        </w:rPr>
      </w:pPr>
    </w:p>
    <w:p w:rsidRPr="00747775" w:rsidR="006F508F" w:rsidP="006F508F" w:rsidRDefault="006F508F" w14:paraId="213556B7" w14:textId="77777777">
      <w:pPr>
        <w:spacing w:line="276" w:lineRule="auto"/>
        <w:rPr>
          <w:color w:val="auto"/>
        </w:rPr>
      </w:pPr>
    </w:p>
    <w:p w:rsidRPr="00EE44BF" w:rsidR="006F508F" w:rsidP="00EE44BF" w:rsidRDefault="00540944" w14:paraId="164C7BC8" w14:textId="77777777">
      <w:pPr>
        <w:spacing w:line="276" w:lineRule="auto"/>
        <w:rPr>
          <w:color w:val="auto"/>
        </w:rPr>
      </w:pPr>
      <w:r w:rsidRPr="005A1E8D">
        <w:rPr>
          <w:color w:val="auto"/>
        </w:rPr>
        <w:t>J.A. Vijlbrief</w:t>
      </w:r>
    </w:p>
    <w:sectPr w:rsidRPr="00EE44BF" w:rsidR="006F508F">
      <w:headerReference w:type="even" r:id="rId9"/>
      <w:headerReference w:type="default" r:id="rId10"/>
      <w:footerReference w:type="even" r:id="rId11"/>
      <w:footerReference w:type="default" r:id="rId12"/>
      <w:headerReference w:type="first" r:id="rId13"/>
      <w:footerReference w:type="first" r:id="rId14"/>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A9C4D" w14:textId="77777777" w:rsidR="0003735A" w:rsidRDefault="0003735A">
      <w:pPr>
        <w:spacing w:line="240" w:lineRule="auto"/>
      </w:pPr>
      <w:r>
        <w:separator/>
      </w:r>
    </w:p>
  </w:endnote>
  <w:endnote w:type="continuationSeparator" w:id="0">
    <w:p w14:paraId="7449CE7E" w14:textId="77777777" w:rsidR="0003735A" w:rsidRDefault="00037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DBFA" w14:textId="77777777" w:rsidR="002B05CD" w:rsidRDefault="002B05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AEBC" w14:textId="77777777" w:rsidR="006D5A1C" w:rsidRDefault="006D5A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FB6F" w14:textId="77777777" w:rsidR="006D5A1C" w:rsidRDefault="006D5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A849" w14:textId="77777777" w:rsidR="0003735A" w:rsidRDefault="0003735A">
      <w:pPr>
        <w:spacing w:line="240" w:lineRule="auto"/>
      </w:pPr>
      <w:r>
        <w:separator/>
      </w:r>
    </w:p>
  </w:footnote>
  <w:footnote w:type="continuationSeparator" w:id="0">
    <w:p w14:paraId="13CF1F09" w14:textId="77777777" w:rsidR="0003735A" w:rsidRDefault="0003735A">
      <w:pPr>
        <w:spacing w:line="240" w:lineRule="auto"/>
      </w:pPr>
      <w:r>
        <w:continuationSeparator/>
      </w:r>
    </w:p>
  </w:footnote>
  <w:footnote w:id="1">
    <w:p w14:paraId="36200D59" w14:textId="77777777" w:rsidR="00567417" w:rsidRPr="006B0206" w:rsidRDefault="00567417">
      <w:pPr>
        <w:pStyle w:val="Voetnoottekst"/>
        <w:rPr>
          <w:rFonts w:ascii="Verdana" w:hAnsi="Verdana"/>
          <w:sz w:val="16"/>
          <w:szCs w:val="16"/>
        </w:rPr>
      </w:pPr>
      <w:r w:rsidRPr="006B0206">
        <w:rPr>
          <w:rStyle w:val="Voetnootmarkering"/>
          <w:rFonts w:ascii="Verdana" w:hAnsi="Verdana"/>
          <w:sz w:val="16"/>
          <w:szCs w:val="16"/>
        </w:rPr>
        <w:footnoteRef/>
      </w:r>
      <w:r w:rsidRPr="006B0206">
        <w:rPr>
          <w:rFonts w:ascii="Verdana" w:hAnsi="Verdana"/>
          <w:sz w:val="16"/>
          <w:szCs w:val="16"/>
        </w:rPr>
        <w:t xml:space="preserve"> Stb. 2026, 41. </w:t>
      </w:r>
    </w:p>
  </w:footnote>
  <w:footnote w:id="2">
    <w:p w14:paraId="06ACD984" w14:textId="77777777" w:rsidR="00E6747D" w:rsidRPr="009F031F" w:rsidRDefault="00E6747D" w:rsidP="00E6747D">
      <w:pPr>
        <w:pStyle w:val="Voetnoottekst"/>
        <w:rPr>
          <w:rFonts w:ascii="Verdana" w:hAnsi="Verdana"/>
          <w:sz w:val="16"/>
          <w:szCs w:val="16"/>
        </w:rPr>
      </w:pPr>
      <w:r w:rsidRPr="006B0206">
        <w:rPr>
          <w:rStyle w:val="Voetnootmarkering"/>
          <w:rFonts w:ascii="Verdana" w:hAnsi="Verdana"/>
          <w:sz w:val="16"/>
          <w:szCs w:val="16"/>
        </w:rPr>
        <w:footnoteRef/>
      </w:r>
      <w:r w:rsidRPr="006B0206">
        <w:rPr>
          <w:rFonts w:ascii="Verdana" w:hAnsi="Verdana"/>
          <w:sz w:val="16"/>
          <w:szCs w:val="16"/>
        </w:rPr>
        <w:t xml:space="preserve"> </w:t>
      </w:r>
      <w:r w:rsidRPr="009F031F">
        <w:rPr>
          <w:rFonts w:ascii="Verdana" w:hAnsi="Verdana"/>
          <w:sz w:val="16"/>
          <w:szCs w:val="16"/>
        </w:rPr>
        <w:t>Kamerstukken II</w:t>
      </w:r>
      <w:r w:rsidRPr="006B0206">
        <w:rPr>
          <w:rFonts w:ascii="Verdana" w:hAnsi="Verdana"/>
          <w:sz w:val="16"/>
          <w:szCs w:val="16"/>
        </w:rPr>
        <w:t xml:space="preserve"> 2023/24, 36 446, nr. 3.</w:t>
      </w:r>
    </w:p>
  </w:footnote>
  <w:footnote w:id="3">
    <w:p w14:paraId="302149B0" w14:textId="77777777" w:rsidR="00D7281A" w:rsidRPr="009F031F" w:rsidRDefault="00D7281A" w:rsidP="00D7281A">
      <w:pPr>
        <w:pStyle w:val="Voetnoottekst"/>
        <w:rPr>
          <w:rFonts w:ascii="Verdana" w:hAnsi="Verdana"/>
          <w:sz w:val="16"/>
          <w:szCs w:val="16"/>
        </w:rPr>
      </w:pPr>
      <w:r w:rsidRPr="009F031F">
        <w:rPr>
          <w:rStyle w:val="Voetnootmarkering"/>
          <w:rFonts w:ascii="Verdana" w:hAnsi="Verdana"/>
          <w:sz w:val="16"/>
          <w:szCs w:val="16"/>
        </w:rPr>
        <w:footnoteRef/>
      </w:r>
      <w:r w:rsidRPr="009F031F">
        <w:rPr>
          <w:rFonts w:ascii="Verdana" w:hAnsi="Verdana"/>
          <w:sz w:val="16"/>
          <w:szCs w:val="16"/>
        </w:rPr>
        <w:t xml:space="preserve"> Kamerstukken II 2013/14, </w:t>
      </w:r>
      <w:hyperlink r:id="rId1" w:tooltip="link naar publicatie kst-24036-407" w:history="1">
        <w:r w:rsidRPr="009F031F">
          <w:rPr>
            <w:rStyle w:val="Hyperlink"/>
            <w:rFonts w:ascii="Verdana" w:hAnsi="Verdana"/>
            <w:color w:val="auto"/>
            <w:sz w:val="16"/>
            <w:szCs w:val="16"/>
            <w:u w:val="none"/>
          </w:rPr>
          <w:t>24 036, nr. 407</w:t>
        </w:r>
      </w:hyperlink>
      <w:r w:rsidRPr="009F031F">
        <w:rPr>
          <w:rFonts w:ascii="Verdana" w:hAnsi="Verdana"/>
          <w:sz w:val="16"/>
          <w:szCs w:val="16"/>
        </w:rPr>
        <w:t>.</w:t>
      </w:r>
    </w:p>
  </w:footnote>
  <w:footnote w:id="4">
    <w:p w14:paraId="0814A947" w14:textId="77777777" w:rsidR="0041472B" w:rsidRPr="006B0206" w:rsidRDefault="0041472B" w:rsidP="0041472B">
      <w:pPr>
        <w:pStyle w:val="Voetnoottekst"/>
        <w:rPr>
          <w:rFonts w:ascii="Verdana" w:hAnsi="Verdana"/>
          <w:sz w:val="16"/>
          <w:szCs w:val="16"/>
        </w:rPr>
      </w:pPr>
      <w:r w:rsidRPr="001F7F27">
        <w:rPr>
          <w:rStyle w:val="Voetnootmarkering"/>
          <w:rFonts w:ascii="Verdana" w:hAnsi="Verdana"/>
          <w:sz w:val="16"/>
          <w:szCs w:val="16"/>
        </w:rPr>
        <w:footnoteRef/>
      </w:r>
      <w:r w:rsidRPr="001F7F27">
        <w:rPr>
          <w:rFonts w:ascii="Verdana" w:hAnsi="Verdana"/>
          <w:sz w:val="16"/>
          <w:szCs w:val="16"/>
        </w:rPr>
        <w:t xml:space="preserve"> </w:t>
      </w:r>
      <w:r w:rsidRPr="009F031F">
        <w:rPr>
          <w:rFonts w:ascii="Verdana" w:hAnsi="Verdana"/>
          <w:sz w:val="16"/>
          <w:szCs w:val="16"/>
        </w:rPr>
        <w:t>Kamerstukken II</w:t>
      </w:r>
      <w:r w:rsidRPr="001F7F27">
        <w:rPr>
          <w:rFonts w:ascii="Verdana" w:hAnsi="Verdana"/>
          <w:sz w:val="16"/>
          <w:szCs w:val="16"/>
        </w:rPr>
        <w:t xml:space="preserve"> 2013/14, </w:t>
      </w:r>
      <w:hyperlink r:id="rId2" w:tooltip="link naar publicatie kst-24036-407" w:history="1">
        <w:r w:rsidRPr="009F031F">
          <w:rPr>
            <w:rStyle w:val="Hyperlink"/>
            <w:rFonts w:ascii="Verdana" w:hAnsi="Verdana"/>
            <w:color w:val="auto"/>
            <w:sz w:val="16"/>
            <w:szCs w:val="16"/>
            <w:u w:val="none"/>
          </w:rPr>
          <w:t>24 036, nr. 407</w:t>
        </w:r>
      </w:hyperlink>
      <w:r w:rsidRPr="001F7F27">
        <w:rPr>
          <w:rFonts w:ascii="Verdana" w:hAnsi="Verdana"/>
          <w:sz w:val="16"/>
          <w:szCs w:val="16"/>
        </w:rPr>
        <w:t>.</w:t>
      </w:r>
    </w:p>
  </w:footnote>
  <w:footnote w:id="5">
    <w:p w14:paraId="1BAEAF15" w14:textId="73A2E68E" w:rsidR="00D36F26" w:rsidRPr="009F031F" w:rsidRDefault="00D36F26">
      <w:pPr>
        <w:pStyle w:val="Voetnoottekst"/>
        <w:rPr>
          <w:rFonts w:ascii="Verdana" w:hAnsi="Verdana"/>
          <w:sz w:val="16"/>
          <w:szCs w:val="16"/>
        </w:rPr>
      </w:pPr>
      <w:r w:rsidRPr="009F031F">
        <w:rPr>
          <w:rStyle w:val="Voetnootmarkering"/>
          <w:rFonts w:ascii="Verdana" w:hAnsi="Verdana"/>
          <w:sz w:val="16"/>
          <w:szCs w:val="16"/>
        </w:rPr>
        <w:footnoteRef/>
      </w:r>
      <w:r w:rsidRPr="009F031F">
        <w:rPr>
          <w:rFonts w:ascii="Verdana" w:hAnsi="Verdana"/>
          <w:sz w:val="16"/>
          <w:szCs w:val="16"/>
        </w:rPr>
        <w:t xml:space="preserve"> </w:t>
      </w:r>
      <w:r w:rsidR="006B0206">
        <w:rPr>
          <w:rFonts w:ascii="Verdana" w:hAnsi="Verdana"/>
          <w:sz w:val="16"/>
          <w:szCs w:val="16"/>
        </w:rPr>
        <w:t>Kamerstukken II</w:t>
      </w:r>
      <w:r w:rsidRPr="009F031F">
        <w:rPr>
          <w:rFonts w:ascii="Verdana" w:hAnsi="Verdana"/>
          <w:sz w:val="16"/>
          <w:szCs w:val="16"/>
        </w:rPr>
        <w:t xml:space="preserve"> 2019</w:t>
      </w:r>
      <w:r w:rsidR="006B0206">
        <w:rPr>
          <w:rFonts w:ascii="Verdana" w:hAnsi="Verdana"/>
          <w:sz w:val="16"/>
          <w:szCs w:val="16"/>
        </w:rPr>
        <w:t>/20</w:t>
      </w:r>
      <w:r w:rsidRPr="009F031F">
        <w:rPr>
          <w:rFonts w:ascii="Verdana" w:hAnsi="Verdana"/>
          <w:sz w:val="16"/>
          <w:szCs w:val="16"/>
        </w:rPr>
        <w:t>, 31 066, nr. 700, p. 10.</w:t>
      </w:r>
    </w:p>
  </w:footnote>
  <w:footnote w:id="6">
    <w:p w14:paraId="177F8B81" w14:textId="77777777" w:rsidR="00E5669A" w:rsidRPr="009F031F" w:rsidRDefault="00E5669A">
      <w:pPr>
        <w:pStyle w:val="Voetnoottekst"/>
        <w:rPr>
          <w:rFonts w:ascii="Verdana" w:hAnsi="Verdana"/>
          <w:sz w:val="16"/>
          <w:szCs w:val="16"/>
        </w:rPr>
      </w:pPr>
      <w:r w:rsidRPr="009F031F">
        <w:rPr>
          <w:rStyle w:val="Voetnootmarkering"/>
          <w:rFonts w:ascii="Verdana" w:hAnsi="Verdana"/>
          <w:sz w:val="16"/>
          <w:szCs w:val="16"/>
        </w:rPr>
        <w:footnoteRef/>
      </w:r>
      <w:r w:rsidRPr="009F031F">
        <w:rPr>
          <w:rFonts w:ascii="Verdana" w:hAnsi="Verdana"/>
          <w:sz w:val="16"/>
          <w:szCs w:val="16"/>
        </w:rPr>
        <w:t xml:space="preserve"> Stb. 2026, 41. </w:t>
      </w:r>
    </w:p>
  </w:footnote>
  <w:footnote w:id="7">
    <w:p w14:paraId="1317834C" w14:textId="4FFA2728" w:rsidR="008E5889" w:rsidRPr="009F031F" w:rsidRDefault="008E5889" w:rsidP="008E5889">
      <w:pPr>
        <w:pStyle w:val="Voetnoottekst"/>
        <w:rPr>
          <w:rFonts w:ascii="Verdana" w:hAnsi="Verdana"/>
          <w:sz w:val="16"/>
          <w:szCs w:val="16"/>
        </w:rPr>
      </w:pPr>
      <w:r w:rsidRPr="009F031F">
        <w:rPr>
          <w:rStyle w:val="Voetnootmarkering"/>
          <w:rFonts w:ascii="Verdana" w:hAnsi="Verdana"/>
          <w:sz w:val="16"/>
          <w:szCs w:val="16"/>
        </w:rPr>
        <w:footnoteRef/>
      </w:r>
      <w:r w:rsidRPr="009F031F">
        <w:rPr>
          <w:rFonts w:ascii="Verdana" w:hAnsi="Verdana"/>
          <w:sz w:val="16"/>
          <w:szCs w:val="16"/>
        </w:rPr>
        <w:t xml:space="preserve"> </w:t>
      </w:r>
      <w:r w:rsidR="001F7F27">
        <w:rPr>
          <w:rFonts w:ascii="Verdana" w:hAnsi="Verdana"/>
          <w:sz w:val="16"/>
          <w:szCs w:val="16"/>
        </w:rPr>
        <w:t xml:space="preserve">Kamerstukken II </w:t>
      </w:r>
      <w:r w:rsidRPr="009F031F">
        <w:rPr>
          <w:rFonts w:ascii="Verdana" w:hAnsi="Verdana"/>
          <w:sz w:val="16"/>
          <w:szCs w:val="16"/>
        </w:rPr>
        <w:t xml:space="preserve">2024/25, 36 446, nr. 63.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A432" w14:textId="77777777" w:rsidR="002B05CD" w:rsidRDefault="002B05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B01B" w14:textId="77777777" w:rsidR="006D5A1C" w:rsidRDefault="005022FA">
    <w:r>
      <w:rPr>
        <w:noProof/>
      </w:rPr>
      <mc:AlternateContent>
        <mc:Choice Requires="wps">
          <w:drawing>
            <wp:anchor distT="0" distB="0" distL="0" distR="0" simplePos="0" relativeHeight="251657216" behindDoc="0" locked="1" layoutInCell="1" allowOverlap="1" wp14:anchorId="2A82A029" wp14:editId="7047100C">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C47B517" w14:textId="77777777" w:rsidR="005022FA" w:rsidRDefault="005022FA"/>
                      </w:txbxContent>
                    </wps:txbx>
                    <wps:bodyPr vert="horz" wrap="square" lIns="0" tIns="0" rIns="0" bIns="0" anchor="t" anchorCtr="0"/>
                  </wps:wsp>
                </a:graphicData>
              </a:graphic>
            </wp:anchor>
          </w:drawing>
        </mc:Choice>
        <mc:Fallback>
          <w:pict>
            <v:shapetype w14:anchorId="2A82A029" id="_x0000_t202" coordsize="21600,21600" o:spt="202" path="m,l,21600r21600,l21600,xe">
              <v:stroke joinstyle="miter"/>
              <v:path gradientshapeok="t" o:connecttype="rect"/>
            </v:shapetype>
            <v:shape id="bd5600a6-03a6-11ee-8f29-0242ac130005" o:spid="_x0000_s1026" type="#_x0000_t202" style="position:absolute;margin-left:408.15pt;margin-top:772.4pt;width:99.2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1C47B517" w14:textId="77777777" w:rsidR="005022FA" w:rsidRDefault="005022F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546" w14:textId="77777777" w:rsidR="006D5A1C" w:rsidRDefault="005022FA">
    <w:pPr>
      <w:spacing w:after="4960" w:line="14" w:lineRule="exact"/>
    </w:pPr>
    <w:r>
      <w:rPr>
        <w:noProof/>
      </w:rPr>
      <mc:AlternateContent>
        <mc:Choice Requires="wps">
          <w:drawing>
            <wp:anchor distT="0" distB="0" distL="0" distR="0" simplePos="0" relativeHeight="251658240" behindDoc="0" locked="1" layoutInCell="1" allowOverlap="1" wp14:anchorId="713F7D50" wp14:editId="2BB76811">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06705FCE" w14:textId="77777777" w:rsidR="006D5A1C" w:rsidRDefault="005022FA">
                          <w:pPr>
                            <w:spacing w:line="240" w:lineRule="auto"/>
                          </w:pPr>
                          <w:r>
                            <w:rPr>
                              <w:noProof/>
                            </w:rPr>
                            <w:drawing>
                              <wp:inline distT="0" distB="0" distL="0" distR="0">
                                <wp:extent cx="6580505" cy="2349962"/>
                                <wp:effectExtent l="0" t="0" r="0" b="0"/>
                                <wp:docPr id="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13F7D50" id="_x0000_t202" coordsize="21600,21600" o:spt="202" path="m,l,21600r21600,l21600,xe">
              <v:stroke joinstyle="miter"/>
              <v:path gradientshapeok="t" o:connecttype="rect"/>
            </v:shapetype>
            <v:shape id="bd560086-03a6-11ee-8f29-0242ac130005" o:spid="_x0000_s1027" type="#_x0000_t202" style="position:absolute;margin-left:0;margin-top:0;width:518.15pt;height:185.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06705FCE" w14:textId="77777777" w:rsidR="006D5A1C" w:rsidRDefault="005022FA">
                    <w:pPr>
                      <w:spacing w:line="240" w:lineRule="auto"/>
                    </w:pPr>
                    <w:r>
                      <w:rPr>
                        <w:noProof/>
                      </w:rPr>
                      <w:drawing>
                        <wp:inline distT="0" distB="0" distL="0" distR="0">
                          <wp:extent cx="6580505" cy="2349962"/>
                          <wp:effectExtent l="0" t="0" r="0" b="0"/>
                          <wp:docPr id="3" name="Wij_Willem_Alexander" descr="Wij Willem Alexander, bij de gratie gods, Koning der Nederlanden, Prins van Oranje-Nassau, enz. enz. enz."/>
                          <wp:cNvGraphicFramePr/>
                          <a:graphic xmlns:a="http://schemas.openxmlformats.org/drawingml/2006/main">
                            <a:graphicData uri="http://schemas.openxmlformats.org/drawingml/2006/picture">
                              <pic:pic xmlns:pic="http://schemas.openxmlformats.org/drawingml/2006/picture">
                                <pic:nvPicPr>
                                  <pic:cNvPr id="3"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DB4D9"/>
    <w:multiLevelType w:val="multilevel"/>
    <w:tmpl w:val="EBAE086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75B7D5"/>
    <w:multiLevelType w:val="multilevel"/>
    <w:tmpl w:val="3DB84B6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773A31"/>
    <w:multiLevelType w:val="multilevel"/>
    <w:tmpl w:val="30C989D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E5604EE"/>
    <w:multiLevelType w:val="multilevel"/>
    <w:tmpl w:val="88C8BB9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E9D4CDD"/>
    <w:multiLevelType w:val="multilevel"/>
    <w:tmpl w:val="E9FDBCA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DA3E6E"/>
    <w:multiLevelType w:val="hybridMultilevel"/>
    <w:tmpl w:val="CDD26B3C"/>
    <w:lvl w:ilvl="0" w:tplc="AAA28E90">
      <w:start w:val="2"/>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025395"/>
    <w:multiLevelType w:val="multilevel"/>
    <w:tmpl w:val="7E5C40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0C390590"/>
    <w:multiLevelType w:val="hybridMultilevel"/>
    <w:tmpl w:val="DF38E7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0078BC"/>
    <w:multiLevelType w:val="multilevel"/>
    <w:tmpl w:val="F7703F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9A4529B"/>
    <w:multiLevelType w:val="multilevel"/>
    <w:tmpl w:val="A070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B6B90"/>
    <w:multiLevelType w:val="hybridMultilevel"/>
    <w:tmpl w:val="EBB064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D30916"/>
    <w:multiLevelType w:val="hybridMultilevel"/>
    <w:tmpl w:val="2D928714"/>
    <w:lvl w:ilvl="0" w:tplc="78282238">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A960B0"/>
    <w:multiLevelType w:val="multilevel"/>
    <w:tmpl w:val="3530AD0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393C77D8"/>
    <w:multiLevelType w:val="multilevel"/>
    <w:tmpl w:val="EA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40568"/>
    <w:multiLevelType w:val="multilevel"/>
    <w:tmpl w:val="302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A09E7"/>
    <w:multiLevelType w:val="hybridMultilevel"/>
    <w:tmpl w:val="1842224C"/>
    <w:lvl w:ilvl="0" w:tplc="E2AC8C34">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EFB0042"/>
    <w:multiLevelType w:val="multilevel"/>
    <w:tmpl w:val="ED6B26B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E4B20"/>
    <w:multiLevelType w:val="multilevel"/>
    <w:tmpl w:val="C38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535D1"/>
    <w:multiLevelType w:val="multilevel"/>
    <w:tmpl w:val="BD20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07499C"/>
    <w:multiLevelType w:val="hybridMultilevel"/>
    <w:tmpl w:val="2DC0AADA"/>
    <w:lvl w:ilvl="0" w:tplc="1AE07630">
      <w:start w:val="1"/>
      <w:numFmt w:val="decimal"/>
      <w:lvlText w:val="%1)"/>
      <w:lvlJc w:val="left"/>
      <w:pPr>
        <w:ind w:left="1120" w:hanging="360"/>
      </w:pPr>
    </w:lvl>
    <w:lvl w:ilvl="1" w:tplc="8B907F58">
      <w:start w:val="1"/>
      <w:numFmt w:val="decimal"/>
      <w:lvlText w:val="%2)"/>
      <w:lvlJc w:val="left"/>
      <w:pPr>
        <w:ind w:left="1120" w:hanging="360"/>
      </w:pPr>
    </w:lvl>
    <w:lvl w:ilvl="2" w:tplc="C6B8F4B8">
      <w:start w:val="1"/>
      <w:numFmt w:val="decimal"/>
      <w:lvlText w:val="%3)"/>
      <w:lvlJc w:val="left"/>
      <w:pPr>
        <w:ind w:left="1120" w:hanging="360"/>
      </w:pPr>
    </w:lvl>
    <w:lvl w:ilvl="3" w:tplc="EB12A420">
      <w:start w:val="1"/>
      <w:numFmt w:val="decimal"/>
      <w:lvlText w:val="%4)"/>
      <w:lvlJc w:val="left"/>
      <w:pPr>
        <w:ind w:left="1120" w:hanging="360"/>
      </w:pPr>
    </w:lvl>
    <w:lvl w:ilvl="4" w:tplc="E75E7FAA">
      <w:start w:val="1"/>
      <w:numFmt w:val="decimal"/>
      <w:lvlText w:val="%5)"/>
      <w:lvlJc w:val="left"/>
      <w:pPr>
        <w:ind w:left="1120" w:hanging="360"/>
      </w:pPr>
    </w:lvl>
    <w:lvl w:ilvl="5" w:tplc="391A0550">
      <w:start w:val="1"/>
      <w:numFmt w:val="decimal"/>
      <w:lvlText w:val="%6)"/>
      <w:lvlJc w:val="left"/>
      <w:pPr>
        <w:ind w:left="1120" w:hanging="360"/>
      </w:pPr>
    </w:lvl>
    <w:lvl w:ilvl="6" w:tplc="43768432">
      <w:start w:val="1"/>
      <w:numFmt w:val="decimal"/>
      <w:lvlText w:val="%7)"/>
      <w:lvlJc w:val="left"/>
      <w:pPr>
        <w:ind w:left="1120" w:hanging="360"/>
      </w:pPr>
    </w:lvl>
    <w:lvl w:ilvl="7" w:tplc="062AE05A">
      <w:start w:val="1"/>
      <w:numFmt w:val="decimal"/>
      <w:lvlText w:val="%8)"/>
      <w:lvlJc w:val="left"/>
      <w:pPr>
        <w:ind w:left="1120" w:hanging="360"/>
      </w:pPr>
    </w:lvl>
    <w:lvl w:ilvl="8" w:tplc="7E0ADA60">
      <w:start w:val="1"/>
      <w:numFmt w:val="decimal"/>
      <w:lvlText w:val="%9)"/>
      <w:lvlJc w:val="left"/>
      <w:pPr>
        <w:ind w:left="1120" w:hanging="360"/>
      </w:pPr>
    </w:lvl>
  </w:abstractNum>
  <w:num w:numId="1" w16cid:durableId="1487551699">
    <w:abstractNumId w:val="0"/>
  </w:num>
  <w:num w:numId="2" w16cid:durableId="1743916349">
    <w:abstractNumId w:val="4"/>
  </w:num>
  <w:num w:numId="3" w16cid:durableId="1346177989">
    <w:abstractNumId w:val="12"/>
  </w:num>
  <w:num w:numId="4" w16cid:durableId="1364743735">
    <w:abstractNumId w:val="6"/>
  </w:num>
  <w:num w:numId="5" w16cid:durableId="1680351531">
    <w:abstractNumId w:val="16"/>
  </w:num>
  <w:num w:numId="6" w16cid:durableId="1341002508">
    <w:abstractNumId w:val="1"/>
  </w:num>
  <w:num w:numId="7" w16cid:durableId="121659730">
    <w:abstractNumId w:val="2"/>
  </w:num>
  <w:num w:numId="8" w16cid:durableId="955909190">
    <w:abstractNumId w:val="3"/>
  </w:num>
  <w:num w:numId="9" w16cid:durableId="1795824286">
    <w:abstractNumId w:val="5"/>
  </w:num>
  <w:num w:numId="10" w16cid:durableId="1442989667">
    <w:abstractNumId w:val="8"/>
  </w:num>
  <w:num w:numId="11" w16cid:durableId="993877746">
    <w:abstractNumId w:val="11"/>
  </w:num>
  <w:num w:numId="12" w16cid:durableId="1600331160">
    <w:abstractNumId w:val="17"/>
  </w:num>
  <w:num w:numId="13" w16cid:durableId="334695321">
    <w:abstractNumId w:val="19"/>
  </w:num>
  <w:num w:numId="14" w16cid:durableId="2051494260">
    <w:abstractNumId w:val="13"/>
  </w:num>
  <w:num w:numId="15" w16cid:durableId="1111361838">
    <w:abstractNumId w:val="9"/>
  </w:num>
  <w:num w:numId="16" w16cid:durableId="1374960355">
    <w:abstractNumId w:val="14"/>
  </w:num>
  <w:num w:numId="17" w16cid:durableId="1421873671">
    <w:abstractNumId w:val="18"/>
  </w:num>
  <w:num w:numId="18" w16cid:durableId="1670252139">
    <w:abstractNumId w:val="7"/>
  </w:num>
  <w:num w:numId="19" w16cid:durableId="1669944902">
    <w:abstractNumId w:val="10"/>
  </w:num>
  <w:num w:numId="20" w16cid:durableId="618072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1C"/>
    <w:rsid w:val="00003FDC"/>
    <w:rsid w:val="0000469F"/>
    <w:rsid w:val="000115BE"/>
    <w:rsid w:val="00014464"/>
    <w:rsid w:val="00017A08"/>
    <w:rsid w:val="00021CD5"/>
    <w:rsid w:val="000257A0"/>
    <w:rsid w:val="00030461"/>
    <w:rsid w:val="00035FC1"/>
    <w:rsid w:val="00036217"/>
    <w:rsid w:val="00036834"/>
    <w:rsid w:val="0003735A"/>
    <w:rsid w:val="00045BBE"/>
    <w:rsid w:val="00055974"/>
    <w:rsid w:val="000566A7"/>
    <w:rsid w:val="00066A99"/>
    <w:rsid w:val="0007116D"/>
    <w:rsid w:val="00074E11"/>
    <w:rsid w:val="000812BF"/>
    <w:rsid w:val="000958F2"/>
    <w:rsid w:val="00095F0B"/>
    <w:rsid w:val="00095F16"/>
    <w:rsid w:val="000C1D5E"/>
    <w:rsid w:val="000D0322"/>
    <w:rsid w:val="000D5E25"/>
    <w:rsid w:val="000D6BF7"/>
    <w:rsid w:val="000F1607"/>
    <w:rsid w:val="000F52DE"/>
    <w:rsid w:val="000F64DD"/>
    <w:rsid w:val="00101BE9"/>
    <w:rsid w:val="0012273A"/>
    <w:rsid w:val="00132A79"/>
    <w:rsid w:val="00133B90"/>
    <w:rsid w:val="00141236"/>
    <w:rsid w:val="00142F1A"/>
    <w:rsid w:val="001446CD"/>
    <w:rsid w:val="001457B7"/>
    <w:rsid w:val="00150BF7"/>
    <w:rsid w:val="00160ADD"/>
    <w:rsid w:val="00161C30"/>
    <w:rsid w:val="00162C6B"/>
    <w:rsid w:val="00167922"/>
    <w:rsid w:val="001853A8"/>
    <w:rsid w:val="00185D29"/>
    <w:rsid w:val="00185EFE"/>
    <w:rsid w:val="0018742F"/>
    <w:rsid w:val="00191802"/>
    <w:rsid w:val="001936EE"/>
    <w:rsid w:val="001A4738"/>
    <w:rsid w:val="001A4742"/>
    <w:rsid w:val="001A6F1B"/>
    <w:rsid w:val="001C17DB"/>
    <w:rsid w:val="001C2A2D"/>
    <w:rsid w:val="001C3CB9"/>
    <w:rsid w:val="001E791F"/>
    <w:rsid w:val="001F62C1"/>
    <w:rsid w:val="001F7F27"/>
    <w:rsid w:val="00200DD1"/>
    <w:rsid w:val="0020694E"/>
    <w:rsid w:val="00212797"/>
    <w:rsid w:val="00215CEB"/>
    <w:rsid w:val="002217CA"/>
    <w:rsid w:val="00225E33"/>
    <w:rsid w:val="00231100"/>
    <w:rsid w:val="00236831"/>
    <w:rsid w:val="002466BA"/>
    <w:rsid w:val="00265146"/>
    <w:rsid w:val="00271C46"/>
    <w:rsid w:val="00273C38"/>
    <w:rsid w:val="00275393"/>
    <w:rsid w:val="00276FFB"/>
    <w:rsid w:val="00280AE4"/>
    <w:rsid w:val="00280C19"/>
    <w:rsid w:val="00291FC9"/>
    <w:rsid w:val="002A3667"/>
    <w:rsid w:val="002B05CD"/>
    <w:rsid w:val="002B3E1A"/>
    <w:rsid w:val="002C1267"/>
    <w:rsid w:val="002C1CFF"/>
    <w:rsid w:val="002C7F03"/>
    <w:rsid w:val="002D1B17"/>
    <w:rsid w:val="002E0A62"/>
    <w:rsid w:val="002F148E"/>
    <w:rsid w:val="002F247E"/>
    <w:rsid w:val="002F337E"/>
    <w:rsid w:val="00303334"/>
    <w:rsid w:val="00304CAF"/>
    <w:rsid w:val="00313693"/>
    <w:rsid w:val="003209FB"/>
    <w:rsid w:val="00330C69"/>
    <w:rsid w:val="00331B8A"/>
    <w:rsid w:val="003345D5"/>
    <w:rsid w:val="0034004D"/>
    <w:rsid w:val="00343B87"/>
    <w:rsid w:val="003446BF"/>
    <w:rsid w:val="00347FF3"/>
    <w:rsid w:val="00351236"/>
    <w:rsid w:val="00354A07"/>
    <w:rsid w:val="00363DEB"/>
    <w:rsid w:val="003668D8"/>
    <w:rsid w:val="00372FDC"/>
    <w:rsid w:val="00374E2C"/>
    <w:rsid w:val="0038214B"/>
    <w:rsid w:val="00382B65"/>
    <w:rsid w:val="0038499B"/>
    <w:rsid w:val="00390A64"/>
    <w:rsid w:val="003930FF"/>
    <w:rsid w:val="00393D94"/>
    <w:rsid w:val="003B2E5B"/>
    <w:rsid w:val="003C08D8"/>
    <w:rsid w:val="003C47A1"/>
    <w:rsid w:val="003C66FB"/>
    <w:rsid w:val="003D063C"/>
    <w:rsid w:val="003D0EE5"/>
    <w:rsid w:val="003D2466"/>
    <w:rsid w:val="003E1B8D"/>
    <w:rsid w:val="003E287A"/>
    <w:rsid w:val="003E37A7"/>
    <w:rsid w:val="003E3B5D"/>
    <w:rsid w:val="003E4742"/>
    <w:rsid w:val="003E6BE4"/>
    <w:rsid w:val="003F05C9"/>
    <w:rsid w:val="003F19C3"/>
    <w:rsid w:val="003F4201"/>
    <w:rsid w:val="003F6582"/>
    <w:rsid w:val="00404592"/>
    <w:rsid w:val="0041472B"/>
    <w:rsid w:val="00425ECD"/>
    <w:rsid w:val="0043390C"/>
    <w:rsid w:val="00434E85"/>
    <w:rsid w:val="0044464D"/>
    <w:rsid w:val="00445537"/>
    <w:rsid w:val="0046732A"/>
    <w:rsid w:val="00472580"/>
    <w:rsid w:val="004736E6"/>
    <w:rsid w:val="0047563B"/>
    <w:rsid w:val="00475677"/>
    <w:rsid w:val="00482313"/>
    <w:rsid w:val="00491520"/>
    <w:rsid w:val="004A115B"/>
    <w:rsid w:val="004B09D0"/>
    <w:rsid w:val="004B10FD"/>
    <w:rsid w:val="004B5F2D"/>
    <w:rsid w:val="004B614F"/>
    <w:rsid w:val="004C1090"/>
    <w:rsid w:val="004C3242"/>
    <w:rsid w:val="004C42DF"/>
    <w:rsid w:val="004D7554"/>
    <w:rsid w:val="004E1733"/>
    <w:rsid w:val="004E3C97"/>
    <w:rsid w:val="004E696A"/>
    <w:rsid w:val="004E7E56"/>
    <w:rsid w:val="004F693C"/>
    <w:rsid w:val="004F7057"/>
    <w:rsid w:val="00501928"/>
    <w:rsid w:val="00501F92"/>
    <w:rsid w:val="005022FA"/>
    <w:rsid w:val="0050302A"/>
    <w:rsid w:val="0050537D"/>
    <w:rsid w:val="00505D56"/>
    <w:rsid w:val="00505F87"/>
    <w:rsid w:val="00510BB6"/>
    <w:rsid w:val="005116B4"/>
    <w:rsid w:val="00511BC3"/>
    <w:rsid w:val="00512C4C"/>
    <w:rsid w:val="00515E60"/>
    <w:rsid w:val="00522149"/>
    <w:rsid w:val="0052319E"/>
    <w:rsid w:val="00524E88"/>
    <w:rsid w:val="00540944"/>
    <w:rsid w:val="00547ED7"/>
    <w:rsid w:val="00551E85"/>
    <w:rsid w:val="005523C5"/>
    <w:rsid w:val="00562F95"/>
    <w:rsid w:val="0056344C"/>
    <w:rsid w:val="00563C76"/>
    <w:rsid w:val="00567417"/>
    <w:rsid w:val="0057128F"/>
    <w:rsid w:val="00577AEF"/>
    <w:rsid w:val="00582009"/>
    <w:rsid w:val="00586600"/>
    <w:rsid w:val="00587E48"/>
    <w:rsid w:val="00592155"/>
    <w:rsid w:val="005A16D0"/>
    <w:rsid w:val="005A763C"/>
    <w:rsid w:val="005A7B2D"/>
    <w:rsid w:val="005B6699"/>
    <w:rsid w:val="005C1798"/>
    <w:rsid w:val="005C4824"/>
    <w:rsid w:val="005E1F9F"/>
    <w:rsid w:val="005E6CD7"/>
    <w:rsid w:val="005F17FC"/>
    <w:rsid w:val="005F51D4"/>
    <w:rsid w:val="005F67F3"/>
    <w:rsid w:val="00600453"/>
    <w:rsid w:val="00601F68"/>
    <w:rsid w:val="00604E33"/>
    <w:rsid w:val="006062DF"/>
    <w:rsid w:val="00624837"/>
    <w:rsid w:val="00630404"/>
    <w:rsid w:val="00636D81"/>
    <w:rsid w:val="00640C20"/>
    <w:rsid w:val="0066012F"/>
    <w:rsid w:val="006616A9"/>
    <w:rsid w:val="00662606"/>
    <w:rsid w:val="0066632B"/>
    <w:rsid w:val="006709E2"/>
    <w:rsid w:val="0067189C"/>
    <w:rsid w:val="00680CE1"/>
    <w:rsid w:val="0068285F"/>
    <w:rsid w:val="00683CBC"/>
    <w:rsid w:val="00692047"/>
    <w:rsid w:val="00692CF2"/>
    <w:rsid w:val="006932EE"/>
    <w:rsid w:val="00694E48"/>
    <w:rsid w:val="006A2159"/>
    <w:rsid w:val="006A44E0"/>
    <w:rsid w:val="006A4B56"/>
    <w:rsid w:val="006B0206"/>
    <w:rsid w:val="006B4481"/>
    <w:rsid w:val="006C3961"/>
    <w:rsid w:val="006C4C87"/>
    <w:rsid w:val="006C72C2"/>
    <w:rsid w:val="006D014A"/>
    <w:rsid w:val="006D1DB6"/>
    <w:rsid w:val="006D4A96"/>
    <w:rsid w:val="006D5A1C"/>
    <w:rsid w:val="006D6DD2"/>
    <w:rsid w:val="006F508F"/>
    <w:rsid w:val="00701078"/>
    <w:rsid w:val="00703B92"/>
    <w:rsid w:val="0070631A"/>
    <w:rsid w:val="00710893"/>
    <w:rsid w:val="00713851"/>
    <w:rsid w:val="007209A3"/>
    <w:rsid w:val="007271EF"/>
    <w:rsid w:val="00731438"/>
    <w:rsid w:val="00735476"/>
    <w:rsid w:val="00741E44"/>
    <w:rsid w:val="00746AD4"/>
    <w:rsid w:val="00752EC4"/>
    <w:rsid w:val="0075407C"/>
    <w:rsid w:val="00764B6D"/>
    <w:rsid w:val="00780200"/>
    <w:rsid w:val="00780979"/>
    <w:rsid w:val="00794970"/>
    <w:rsid w:val="00795D7C"/>
    <w:rsid w:val="007A00D5"/>
    <w:rsid w:val="007A18F1"/>
    <w:rsid w:val="007A195A"/>
    <w:rsid w:val="007B1271"/>
    <w:rsid w:val="007B3CF4"/>
    <w:rsid w:val="007B551E"/>
    <w:rsid w:val="007B6AB9"/>
    <w:rsid w:val="007B72DD"/>
    <w:rsid w:val="007B75B0"/>
    <w:rsid w:val="007C0919"/>
    <w:rsid w:val="007C1E8D"/>
    <w:rsid w:val="007C3DEC"/>
    <w:rsid w:val="007C7B28"/>
    <w:rsid w:val="007E4FA2"/>
    <w:rsid w:val="008020D5"/>
    <w:rsid w:val="00805653"/>
    <w:rsid w:val="00806588"/>
    <w:rsid w:val="00807773"/>
    <w:rsid w:val="00820337"/>
    <w:rsid w:val="00821D5F"/>
    <w:rsid w:val="00832224"/>
    <w:rsid w:val="0083517E"/>
    <w:rsid w:val="00835AD2"/>
    <w:rsid w:val="00843D03"/>
    <w:rsid w:val="00850B55"/>
    <w:rsid w:val="0085463A"/>
    <w:rsid w:val="00856C1E"/>
    <w:rsid w:val="0086338A"/>
    <w:rsid w:val="00864CFA"/>
    <w:rsid w:val="00865D2C"/>
    <w:rsid w:val="008670ED"/>
    <w:rsid w:val="008711BD"/>
    <w:rsid w:val="008747F2"/>
    <w:rsid w:val="008775BA"/>
    <w:rsid w:val="00882AB6"/>
    <w:rsid w:val="00882F5D"/>
    <w:rsid w:val="00883747"/>
    <w:rsid w:val="008864D9"/>
    <w:rsid w:val="0089142E"/>
    <w:rsid w:val="00895FC3"/>
    <w:rsid w:val="008A0D8E"/>
    <w:rsid w:val="008A5D4C"/>
    <w:rsid w:val="008A6581"/>
    <w:rsid w:val="008B2347"/>
    <w:rsid w:val="008C11FC"/>
    <w:rsid w:val="008C24EA"/>
    <w:rsid w:val="008C2CAF"/>
    <w:rsid w:val="008C5B7C"/>
    <w:rsid w:val="008C650D"/>
    <w:rsid w:val="008C6779"/>
    <w:rsid w:val="008E5889"/>
    <w:rsid w:val="009042D6"/>
    <w:rsid w:val="009131C4"/>
    <w:rsid w:val="00925EA7"/>
    <w:rsid w:val="00927889"/>
    <w:rsid w:val="00932949"/>
    <w:rsid w:val="00937D91"/>
    <w:rsid w:val="00942880"/>
    <w:rsid w:val="009454F3"/>
    <w:rsid w:val="00973A1D"/>
    <w:rsid w:val="00975DCB"/>
    <w:rsid w:val="00980F12"/>
    <w:rsid w:val="009869AE"/>
    <w:rsid w:val="00987FCD"/>
    <w:rsid w:val="00994F38"/>
    <w:rsid w:val="009A200A"/>
    <w:rsid w:val="009B2287"/>
    <w:rsid w:val="009B38AD"/>
    <w:rsid w:val="009C0E5C"/>
    <w:rsid w:val="009C7D88"/>
    <w:rsid w:val="009F031F"/>
    <w:rsid w:val="009F2CD1"/>
    <w:rsid w:val="009F334E"/>
    <w:rsid w:val="009F5B25"/>
    <w:rsid w:val="00A050BC"/>
    <w:rsid w:val="00A05732"/>
    <w:rsid w:val="00A21C36"/>
    <w:rsid w:val="00A23C88"/>
    <w:rsid w:val="00A23F6B"/>
    <w:rsid w:val="00A25823"/>
    <w:rsid w:val="00A26294"/>
    <w:rsid w:val="00A31861"/>
    <w:rsid w:val="00A36D4A"/>
    <w:rsid w:val="00A434E9"/>
    <w:rsid w:val="00A446B6"/>
    <w:rsid w:val="00A47C8E"/>
    <w:rsid w:val="00A542DF"/>
    <w:rsid w:val="00A56A74"/>
    <w:rsid w:val="00A63FD3"/>
    <w:rsid w:val="00A65603"/>
    <w:rsid w:val="00A6598C"/>
    <w:rsid w:val="00A65D1F"/>
    <w:rsid w:val="00A66AE2"/>
    <w:rsid w:val="00A90228"/>
    <w:rsid w:val="00A9407D"/>
    <w:rsid w:val="00A95FC9"/>
    <w:rsid w:val="00A976C1"/>
    <w:rsid w:val="00AA40D6"/>
    <w:rsid w:val="00AB691A"/>
    <w:rsid w:val="00AC1909"/>
    <w:rsid w:val="00AC602A"/>
    <w:rsid w:val="00AD3E87"/>
    <w:rsid w:val="00AD6AFB"/>
    <w:rsid w:val="00AD7F4E"/>
    <w:rsid w:val="00AE29A1"/>
    <w:rsid w:val="00AE41A8"/>
    <w:rsid w:val="00AE5997"/>
    <w:rsid w:val="00AF1B88"/>
    <w:rsid w:val="00AF34E5"/>
    <w:rsid w:val="00AF5095"/>
    <w:rsid w:val="00B01E98"/>
    <w:rsid w:val="00B028A7"/>
    <w:rsid w:val="00B05304"/>
    <w:rsid w:val="00B067C4"/>
    <w:rsid w:val="00B25BED"/>
    <w:rsid w:val="00B3047A"/>
    <w:rsid w:val="00B33A2A"/>
    <w:rsid w:val="00B42BFA"/>
    <w:rsid w:val="00B45B81"/>
    <w:rsid w:val="00B511D6"/>
    <w:rsid w:val="00B517A6"/>
    <w:rsid w:val="00B51CBC"/>
    <w:rsid w:val="00B55A58"/>
    <w:rsid w:val="00B5656E"/>
    <w:rsid w:val="00B6156F"/>
    <w:rsid w:val="00B80C46"/>
    <w:rsid w:val="00B814F4"/>
    <w:rsid w:val="00B82E2F"/>
    <w:rsid w:val="00B93610"/>
    <w:rsid w:val="00B96EEF"/>
    <w:rsid w:val="00BA0372"/>
    <w:rsid w:val="00BA0E89"/>
    <w:rsid w:val="00BA55E0"/>
    <w:rsid w:val="00BC42AF"/>
    <w:rsid w:val="00BC6B10"/>
    <w:rsid w:val="00BE3EFF"/>
    <w:rsid w:val="00BE510F"/>
    <w:rsid w:val="00BE5DBB"/>
    <w:rsid w:val="00BE7226"/>
    <w:rsid w:val="00BF4789"/>
    <w:rsid w:val="00C0184F"/>
    <w:rsid w:val="00C01D18"/>
    <w:rsid w:val="00C10FC9"/>
    <w:rsid w:val="00C125AA"/>
    <w:rsid w:val="00C15CCF"/>
    <w:rsid w:val="00C1676B"/>
    <w:rsid w:val="00C20C12"/>
    <w:rsid w:val="00C32481"/>
    <w:rsid w:val="00C33306"/>
    <w:rsid w:val="00C33BD7"/>
    <w:rsid w:val="00C5164E"/>
    <w:rsid w:val="00C53D97"/>
    <w:rsid w:val="00C5518B"/>
    <w:rsid w:val="00C60630"/>
    <w:rsid w:val="00C6720C"/>
    <w:rsid w:val="00C7407B"/>
    <w:rsid w:val="00C77531"/>
    <w:rsid w:val="00C7770C"/>
    <w:rsid w:val="00C8766B"/>
    <w:rsid w:val="00C9370B"/>
    <w:rsid w:val="00C95508"/>
    <w:rsid w:val="00CA0129"/>
    <w:rsid w:val="00CA15FE"/>
    <w:rsid w:val="00CA7B3C"/>
    <w:rsid w:val="00CB21FA"/>
    <w:rsid w:val="00CB5ECF"/>
    <w:rsid w:val="00CB6D97"/>
    <w:rsid w:val="00CB7EA9"/>
    <w:rsid w:val="00CC5D5B"/>
    <w:rsid w:val="00CD0353"/>
    <w:rsid w:val="00CD1E3B"/>
    <w:rsid w:val="00CE174C"/>
    <w:rsid w:val="00CE4679"/>
    <w:rsid w:val="00CE6841"/>
    <w:rsid w:val="00CF69E6"/>
    <w:rsid w:val="00D022F5"/>
    <w:rsid w:val="00D153D0"/>
    <w:rsid w:val="00D21B26"/>
    <w:rsid w:val="00D36D22"/>
    <w:rsid w:val="00D36F26"/>
    <w:rsid w:val="00D4250D"/>
    <w:rsid w:val="00D44E4A"/>
    <w:rsid w:val="00D45D65"/>
    <w:rsid w:val="00D465A7"/>
    <w:rsid w:val="00D474A5"/>
    <w:rsid w:val="00D4763D"/>
    <w:rsid w:val="00D50303"/>
    <w:rsid w:val="00D522A8"/>
    <w:rsid w:val="00D547D4"/>
    <w:rsid w:val="00D60AEC"/>
    <w:rsid w:val="00D65245"/>
    <w:rsid w:val="00D6648B"/>
    <w:rsid w:val="00D67934"/>
    <w:rsid w:val="00D72217"/>
    <w:rsid w:val="00D7281A"/>
    <w:rsid w:val="00D97F55"/>
    <w:rsid w:val="00DA00E4"/>
    <w:rsid w:val="00DA017A"/>
    <w:rsid w:val="00DA11D7"/>
    <w:rsid w:val="00DB064E"/>
    <w:rsid w:val="00DB26EE"/>
    <w:rsid w:val="00DC137D"/>
    <w:rsid w:val="00DC6DFD"/>
    <w:rsid w:val="00DD171D"/>
    <w:rsid w:val="00DD1B7A"/>
    <w:rsid w:val="00DD4BF5"/>
    <w:rsid w:val="00DD64AE"/>
    <w:rsid w:val="00DE2495"/>
    <w:rsid w:val="00DE3081"/>
    <w:rsid w:val="00DE4956"/>
    <w:rsid w:val="00DE7A0E"/>
    <w:rsid w:val="00DF30E1"/>
    <w:rsid w:val="00DF3C22"/>
    <w:rsid w:val="00DF471D"/>
    <w:rsid w:val="00DF58B0"/>
    <w:rsid w:val="00DF5B1C"/>
    <w:rsid w:val="00E01164"/>
    <w:rsid w:val="00E118EB"/>
    <w:rsid w:val="00E14885"/>
    <w:rsid w:val="00E14F8E"/>
    <w:rsid w:val="00E16FF5"/>
    <w:rsid w:val="00E25C6C"/>
    <w:rsid w:val="00E26AE4"/>
    <w:rsid w:val="00E270B0"/>
    <w:rsid w:val="00E341AB"/>
    <w:rsid w:val="00E42632"/>
    <w:rsid w:val="00E45220"/>
    <w:rsid w:val="00E452A0"/>
    <w:rsid w:val="00E46C3E"/>
    <w:rsid w:val="00E474FA"/>
    <w:rsid w:val="00E47D1B"/>
    <w:rsid w:val="00E5669A"/>
    <w:rsid w:val="00E578C6"/>
    <w:rsid w:val="00E60A16"/>
    <w:rsid w:val="00E6747D"/>
    <w:rsid w:val="00E74CB4"/>
    <w:rsid w:val="00E95141"/>
    <w:rsid w:val="00EA50FC"/>
    <w:rsid w:val="00EA7B25"/>
    <w:rsid w:val="00EB79BE"/>
    <w:rsid w:val="00EC1C6D"/>
    <w:rsid w:val="00EC1C71"/>
    <w:rsid w:val="00EC3DF9"/>
    <w:rsid w:val="00EC5A86"/>
    <w:rsid w:val="00ED42BB"/>
    <w:rsid w:val="00ED5A72"/>
    <w:rsid w:val="00EE2EDC"/>
    <w:rsid w:val="00EE44BF"/>
    <w:rsid w:val="00EE5D64"/>
    <w:rsid w:val="00EE6F57"/>
    <w:rsid w:val="00EF31B1"/>
    <w:rsid w:val="00F008F5"/>
    <w:rsid w:val="00F02CA0"/>
    <w:rsid w:val="00F02DAF"/>
    <w:rsid w:val="00F12F7F"/>
    <w:rsid w:val="00F16F53"/>
    <w:rsid w:val="00F20207"/>
    <w:rsid w:val="00F263AC"/>
    <w:rsid w:val="00F417B8"/>
    <w:rsid w:val="00F45157"/>
    <w:rsid w:val="00F4699E"/>
    <w:rsid w:val="00F509E6"/>
    <w:rsid w:val="00F50A10"/>
    <w:rsid w:val="00F53B96"/>
    <w:rsid w:val="00F60E0D"/>
    <w:rsid w:val="00F725C6"/>
    <w:rsid w:val="00F73ABD"/>
    <w:rsid w:val="00F754F3"/>
    <w:rsid w:val="00F763A2"/>
    <w:rsid w:val="00F76F7F"/>
    <w:rsid w:val="00F77233"/>
    <w:rsid w:val="00F81B7A"/>
    <w:rsid w:val="00F86968"/>
    <w:rsid w:val="00F925B6"/>
    <w:rsid w:val="00F930FF"/>
    <w:rsid w:val="00F955D9"/>
    <w:rsid w:val="00FA0DA8"/>
    <w:rsid w:val="00FA3EAD"/>
    <w:rsid w:val="00FA54B9"/>
    <w:rsid w:val="00FB12A5"/>
    <w:rsid w:val="00FB2A6D"/>
    <w:rsid w:val="00FB589C"/>
    <w:rsid w:val="00FB5ED7"/>
    <w:rsid w:val="00FC01ED"/>
    <w:rsid w:val="00FC3CC2"/>
    <w:rsid w:val="00FC5869"/>
    <w:rsid w:val="00FC5FF2"/>
    <w:rsid w:val="00FD54DB"/>
    <w:rsid w:val="00FD6599"/>
    <w:rsid w:val="00FE22A5"/>
    <w:rsid w:val="00FF1EDD"/>
    <w:rsid w:val="00FF36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2B05C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A25823"/>
    <w:rPr>
      <w:sz w:val="16"/>
      <w:szCs w:val="16"/>
    </w:rPr>
  </w:style>
  <w:style w:type="paragraph" w:styleId="Tekstopmerking">
    <w:name w:val="annotation text"/>
    <w:basedOn w:val="Standaard"/>
    <w:link w:val="TekstopmerkingChar"/>
    <w:uiPriority w:val="99"/>
    <w:unhideWhenUsed/>
    <w:rsid w:val="00A25823"/>
    <w:pPr>
      <w:spacing w:line="240" w:lineRule="auto"/>
    </w:pPr>
    <w:rPr>
      <w:sz w:val="20"/>
      <w:szCs w:val="20"/>
    </w:rPr>
  </w:style>
  <w:style w:type="character" w:customStyle="1" w:styleId="TekstopmerkingChar">
    <w:name w:val="Tekst opmerking Char"/>
    <w:basedOn w:val="Standaardalinea-lettertype"/>
    <w:link w:val="Tekstopmerking"/>
    <w:uiPriority w:val="99"/>
    <w:rsid w:val="00A25823"/>
    <w:rPr>
      <w:rFonts w:ascii="Verdana" w:hAnsi="Verdana"/>
      <w:color w:val="000000"/>
    </w:rPr>
  </w:style>
  <w:style w:type="paragraph" w:styleId="Geenafstand">
    <w:name w:val="No Spacing"/>
    <w:link w:val="GeenafstandChar"/>
    <w:uiPriority w:val="1"/>
    <w:qFormat/>
    <w:rsid w:val="00A25823"/>
    <w:pPr>
      <w:autoSpaceDN/>
      <w:textAlignment w:val="auto"/>
    </w:pPr>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locked/>
    <w:rsid w:val="00A25823"/>
    <w:rPr>
      <w:rFonts w:ascii="Verdana" w:eastAsiaTheme="minorHAnsi" w:hAnsi="Verdana" w:cstheme="minorBidi"/>
      <w:sz w:val="18"/>
      <w:szCs w:val="22"/>
      <w:lang w:val="en-US" w:eastAsia="en-US"/>
    </w:rPr>
  </w:style>
  <w:style w:type="paragraph" w:styleId="Onderwerpvanopmerking">
    <w:name w:val="annotation subject"/>
    <w:basedOn w:val="Tekstopmerking"/>
    <w:next w:val="Tekstopmerking"/>
    <w:link w:val="OnderwerpvanopmerkingChar"/>
    <w:uiPriority w:val="99"/>
    <w:semiHidden/>
    <w:unhideWhenUsed/>
    <w:rsid w:val="00BA0E89"/>
    <w:rPr>
      <w:b/>
      <w:bCs/>
    </w:rPr>
  </w:style>
  <w:style w:type="character" w:customStyle="1" w:styleId="OnderwerpvanopmerkingChar">
    <w:name w:val="Onderwerp van opmerking Char"/>
    <w:basedOn w:val="TekstopmerkingChar"/>
    <w:link w:val="Onderwerpvanopmerking"/>
    <w:uiPriority w:val="99"/>
    <w:semiHidden/>
    <w:rsid w:val="00BA0E89"/>
    <w:rPr>
      <w:rFonts w:ascii="Verdana" w:hAnsi="Verdana"/>
      <w:b/>
      <w:bCs/>
      <w:color w:val="000000"/>
    </w:rPr>
  </w:style>
  <w:style w:type="character" w:styleId="Onopgelostemelding">
    <w:name w:val="Unresolved Mention"/>
    <w:basedOn w:val="Standaardalinea-lettertype"/>
    <w:uiPriority w:val="99"/>
    <w:semiHidden/>
    <w:unhideWhenUsed/>
    <w:rsid w:val="00DB064E"/>
    <w:rPr>
      <w:color w:val="605E5C"/>
      <w:shd w:val="clear" w:color="auto" w:fill="E1DFDD"/>
    </w:rPr>
  </w:style>
  <w:style w:type="paragraph" w:styleId="Lijstalinea">
    <w:name w:val="List Paragraph"/>
    <w:basedOn w:val="Standaard"/>
    <w:uiPriority w:val="34"/>
    <w:semiHidden/>
    <w:rsid w:val="00636D81"/>
    <w:pPr>
      <w:ind w:left="720"/>
      <w:contextualSpacing/>
    </w:pPr>
  </w:style>
  <w:style w:type="paragraph" w:styleId="Voetnoottekst">
    <w:name w:val="footnote text"/>
    <w:basedOn w:val="Standaard"/>
    <w:link w:val="VoetnoottekstChar"/>
    <w:uiPriority w:val="99"/>
    <w:semiHidden/>
    <w:unhideWhenUsed/>
    <w:rsid w:val="00E6747D"/>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E6747D"/>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E6747D"/>
    <w:rPr>
      <w:vertAlign w:val="superscript"/>
    </w:rPr>
  </w:style>
  <w:style w:type="paragraph" w:styleId="Normaalweb">
    <w:name w:val="Normal (Web)"/>
    <w:basedOn w:val="Standaard"/>
    <w:uiPriority w:val="99"/>
    <w:semiHidden/>
    <w:unhideWhenUsed/>
    <w:rsid w:val="007B72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5695">
      <w:bodyDiv w:val="1"/>
      <w:marLeft w:val="0"/>
      <w:marRight w:val="0"/>
      <w:marTop w:val="0"/>
      <w:marBottom w:val="0"/>
      <w:divBdr>
        <w:top w:val="none" w:sz="0" w:space="0" w:color="auto"/>
        <w:left w:val="none" w:sz="0" w:space="0" w:color="auto"/>
        <w:bottom w:val="none" w:sz="0" w:space="0" w:color="auto"/>
        <w:right w:val="none" w:sz="0" w:space="0" w:color="auto"/>
      </w:divBdr>
    </w:div>
    <w:div w:id="309557365">
      <w:bodyDiv w:val="1"/>
      <w:marLeft w:val="0"/>
      <w:marRight w:val="0"/>
      <w:marTop w:val="0"/>
      <w:marBottom w:val="0"/>
      <w:divBdr>
        <w:top w:val="none" w:sz="0" w:space="0" w:color="auto"/>
        <w:left w:val="none" w:sz="0" w:space="0" w:color="auto"/>
        <w:bottom w:val="none" w:sz="0" w:space="0" w:color="auto"/>
        <w:right w:val="none" w:sz="0" w:space="0" w:color="auto"/>
      </w:divBdr>
    </w:div>
    <w:div w:id="316542502">
      <w:bodyDiv w:val="1"/>
      <w:marLeft w:val="0"/>
      <w:marRight w:val="0"/>
      <w:marTop w:val="0"/>
      <w:marBottom w:val="0"/>
      <w:divBdr>
        <w:top w:val="none" w:sz="0" w:space="0" w:color="auto"/>
        <w:left w:val="none" w:sz="0" w:space="0" w:color="auto"/>
        <w:bottom w:val="none" w:sz="0" w:space="0" w:color="auto"/>
        <w:right w:val="none" w:sz="0" w:space="0" w:color="auto"/>
      </w:divBdr>
    </w:div>
    <w:div w:id="359624634">
      <w:bodyDiv w:val="1"/>
      <w:marLeft w:val="0"/>
      <w:marRight w:val="0"/>
      <w:marTop w:val="0"/>
      <w:marBottom w:val="0"/>
      <w:divBdr>
        <w:top w:val="none" w:sz="0" w:space="0" w:color="auto"/>
        <w:left w:val="none" w:sz="0" w:space="0" w:color="auto"/>
        <w:bottom w:val="none" w:sz="0" w:space="0" w:color="auto"/>
        <w:right w:val="none" w:sz="0" w:space="0" w:color="auto"/>
      </w:divBdr>
    </w:div>
    <w:div w:id="470446144">
      <w:bodyDiv w:val="1"/>
      <w:marLeft w:val="0"/>
      <w:marRight w:val="0"/>
      <w:marTop w:val="0"/>
      <w:marBottom w:val="0"/>
      <w:divBdr>
        <w:top w:val="none" w:sz="0" w:space="0" w:color="auto"/>
        <w:left w:val="none" w:sz="0" w:space="0" w:color="auto"/>
        <w:bottom w:val="none" w:sz="0" w:space="0" w:color="auto"/>
        <w:right w:val="none" w:sz="0" w:space="0" w:color="auto"/>
      </w:divBdr>
    </w:div>
    <w:div w:id="615139335">
      <w:bodyDiv w:val="1"/>
      <w:marLeft w:val="0"/>
      <w:marRight w:val="0"/>
      <w:marTop w:val="0"/>
      <w:marBottom w:val="0"/>
      <w:divBdr>
        <w:top w:val="none" w:sz="0" w:space="0" w:color="auto"/>
        <w:left w:val="none" w:sz="0" w:space="0" w:color="auto"/>
        <w:bottom w:val="none" w:sz="0" w:space="0" w:color="auto"/>
        <w:right w:val="none" w:sz="0" w:space="0" w:color="auto"/>
      </w:divBdr>
    </w:div>
    <w:div w:id="828792634">
      <w:bodyDiv w:val="1"/>
      <w:marLeft w:val="0"/>
      <w:marRight w:val="0"/>
      <w:marTop w:val="0"/>
      <w:marBottom w:val="0"/>
      <w:divBdr>
        <w:top w:val="none" w:sz="0" w:space="0" w:color="auto"/>
        <w:left w:val="none" w:sz="0" w:space="0" w:color="auto"/>
        <w:bottom w:val="none" w:sz="0" w:space="0" w:color="auto"/>
        <w:right w:val="none" w:sz="0" w:space="0" w:color="auto"/>
      </w:divBdr>
    </w:div>
    <w:div w:id="929195537">
      <w:bodyDiv w:val="1"/>
      <w:marLeft w:val="0"/>
      <w:marRight w:val="0"/>
      <w:marTop w:val="0"/>
      <w:marBottom w:val="0"/>
      <w:divBdr>
        <w:top w:val="none" w:sz="0" w:space="0" w:color="auto"/>
        <w:left w:val="none" w:sz="0" w:space="0" w:color="auto"/>
        <w:bottom w:val="none" w:sz="0" w:space="0" w:color="auto"/>
        <w:right w:val="none" w:sz="0" w:space="0" w:color="auto"/>
      </w:divBdr>
    </w:div>
    <w:div w:id="1183668011">
      <w:bodyDiv w:val="1"/>
      <w:marLeft w:val="0"/>
      <w:marRight w:val="0"/>
      <w:marTop w:val="0"/>
      <w:marBottom w:val="0"/>
      <w:divBdr>
        <w:top w:val="none" w:sz="0" w:space="0" w:color="auto"/>
        <w:left w:val="none" w:sz="0" w:space="0" w:color="auto"/>
        <w:bottom w:val="none" w:sz="0" w:space="0" w:color="auto"/>
        <w:right w:val="none" w:sz="0" w:space="0" w:color="auto"/>
      </w:divBdr>
    </w:div>
    <w:div w:id="1297834956">
      <w:bodyDiv w:val="1"/>
      <w:marLeft w:val="0"/>
      <w:marRight w:val="0"/>
      <w:marTop w:val="0"/>
      <w:marBottom w:val="0"/>
      <w:divBdr>
        <w:top w:val="none" w:sz="0" w:space="0" w:color="auto"/>
        <w:left w:val="none" w:sz="0" w:space="0" w:color="auto"/>
        <w:bottom w:val="none" w:sz="0" w:space="0" w:color="auto"/>
        <w:right w:val="none" w:sz="0" w:space="0" w:color="auto"/>
      </w:divBdr>
    </w:div>
    <w:div w:id="1346132101">
      <w:bodyDiv w:val="1"/>
      <w:marLeft w:val="0"/>
      <w:marRight w:val="0"/>
      <w:marTop w:val="0"/>
      <w:marBottom w:val="0"/>
      <w:divBdr>
        <w:top w:val="none" w:sz="0" w:space="0" w:color="auto"/>
        <w:left w:val="none" w:sz="0" w:space="0" w:color="auto"/>
        <w:bottom w:val="none" w:sz="0" w:space="0" w:color="auto"/>
        <w:right w:val="none" w:sz="0" w:space="0" w:color="auto"/>
      </w:divBdr>
    </w:div>
    <w:div w:id="1466660857">
      <w:bodyDiv w:val="1"/>
      <w:marLeft w:val="0"/>
      <w:marRight w:val="0"/>
      <w:marTop w:val="0"/>
      <w:marBottom w:val="0"/>
      <w:divBdr>
        <w:top w:val="none" w:sz="0" w:space="0" w:color="auto"/>
        <w:left w:val="none" w:sz="0" w:space="0" w:color="auto"/>
        <w:bottom w:val="none" w:sz="0" w:space="0" w:color="auto"/>
        <w:right w:val="none" w:sz="0" w:space="0" w:color="auto"/>
      </w:divBdr>
    </w:div>
    <w:div w:id="1578831528">
      <w:bodyDiv w:val="1"/>
      <w:marLeft w:val="0"/>
      <w:marRight w:val="0"/>
      <w:marTop w:val="0"/>
      <w:marBottom w:val="0"/>
      <w:divBdr>
        <w:top w:val="none" w:sz="0" w:space="0" w:color="auto"/>
        <w:left w:val="none" w:sz="0" w:space="0" w:color="auto"/>
        <w:bottom w:val="none" w:sz="0" w:space="0" w:color="auto"/>
        <w:right w:val="none" w:sz="0" w:space="0" w:color="auto"/>
      </w:divBdr>
    </w:div>
    <w:div w:id="1665812586">
      <w:bodyDiv w:val="1"/>
      <w:marLeft w:val="0"/>
      <w:marRight w:val="0"/>
      <w:marTop w:val="0"/>
      <w:marBottom w:val="0"/>
      <w:divBdr>
        <w:top w:val="none" w:sz="0" w:space="0" w:color="auto"/>
        <w:left w:val="none" w:sz="0" w:space="0" w:color="auto"/>
        <w:bottom w:val="none" w:sz="0" w:space="0" w:color="auto"/>
        <w:right w:val="none" w:sz="0" w:space="0" w:color="auto"/>
      </w:divBdr>
    </w:div>
    <w:div w:id="1706129493">
      <w:bodyDiv w:val="1"/>
      <w:marLeft w:val="0"/>
      <w:marRight w:val="0"/>
      <w:marTop w:val="0"/>
      <w:marBottom w:val="0"/>
      <w:divBdr>
        <w:top w:val="none" w:sz="0" w:space="0" w:color="auto"/>
        <w:left w:val="none" w:sz="0" w:space="0" w:color="auto"/>
        <w:bottom w:val="none" w:sz="0" w:space="0" w:color="auto"/>
        <w:right w:val="none" w:sz="0" w:space="0" w:color="auto"/>
      </w:divBdr>
    </w:div>
    <w:div w:id="1914898842">
      <w:bodyDiv w:val="1"/>
      <w:marLeft w:val="0"/>
      <w:marRight w:val="0"/>
      <w:marTop w:val="0"/>
      <w:marBottom w:val="0"/>
      <w:divBdr>
        <w:top w:val="none" w:sz="0" w:space="0" w:color="auto"/>
        <w:left w:val="none" w:sz="0" w:space="0" w:color="auto"/>
        <w:bottom w:val="none" w:sz="0" w:space="0" w:color="auto"/>
        <w:right w:val="none" w:sz="0" w:space="0" w:color="auto"/>
      </w:divBdr>
    </w:div>
    <w:div w:id="1952543048">
      <w:bodyDiv w:val="1"/>
      <w:marLeft w:val="0"/>
      <w:marRight w:val="0"/>
      <w:marTop w:val="0"/>
      <w:marBottom w:val="0"/>
      <w:divBdr>
        <w:top w:val="none" w:sz="0" w:space="0" w:color="auto"/>
        <w:left w:val="none" w:sz="0" w:space="0" w:color="auto"/>
        <w:bottom w:val="none" w:sz="0" w:space="0" w:color="auto"/>
        <w:right w:val="none" w:sz="0" w:space="0" w:color="auto"/>
      </w:divBdr>
    </w:div>
    <w:div w:id="200789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4036-407.html" TargetMode="External"/><Relationship Id="rId1" Type="http://schemas.openxmlformats.org/officeDocument/2006/relationships/hyperlink" Target="https://zoek.officielebekendmakingen.nl/kst-24036-407.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14</ap:Pages>
  <ap:Words>5494</ap:Words>
  <ap:Characters>30218</ap:Characters>
  <ap:DocSecurity>0</ap:DocSecurity>
  <ap:Lines>251</ap:Lines>
  <ap:Paragraphs>71</ap:Paragraphs>
  <ap:ScaleCrop>false</ap:ScaleCrop>
  <ap:HeadingPairs>
    <vt:vector baseType="variant" size="2">
      <vt:variant>
        <vt:lpstr>Titel</vt:lpstr>
      </vt:variant>
      <vt:variant>
        <vt:i4>1</vt:i4>
      </vt:variant>
    </vt:vector>
  </ap:HeadingPairs>
  <ap:TitlesOfParts>
    <vt:vector baseType="lpstr" size="1">
      <vt:lpstr>Wij Willem Alexander - wijziging van het Besluit allocatie arbeidskrachten door intermediairs in verband met de invoering van een toelatingsplicht voor het ter beschikking stellen van arbeidskrachten</vt:lpstr>
    </vt:vector>
  </ap:TitlesOfParts>
  <ap:LinksUpToDate>false</ap:LinksUpToDate>
  <ap:CharactersWithSpaces>35641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2026-06-22T13:06:00.0000000Z</dcterms:created>
  <dcterms:modified xsi:type="dcterms:W3CDTF">2026-06-22T13:06:00.0000000Z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Wij Willem Alexander - wijziging van het Besluit allocatie arbeidskrachten door intermediairs in verband met de invoering van een toelatingsplicht voor het ter beschikking stellen van arbeidskrachten</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Elligens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DocGen_Wij Willem-Alexander_nl_NL</vt:lpwstr>
  </property>
  <property fmtid="{D5CDD505-2E9C-101B-9397-08002B2CF9AE}" pid="29" name="iAuteur">
    <vt:lpwstr/>
  </property>
  <property fmtid="{D5CDD505-2E9C-101B-9397-08002B2CF9AE}" pid="30" name="iOnderwerp">
    <vt:lpwstr>wijziging van het Besluit allocatie arbeidskrachten door intermediairs in verband met de invoering van een toelatingsplicht voor het ter beschikking stellen van arbeidskrachten</vt:lpwstr>
  </property>
  <property fmtid="{D5CDD505-2E9C-101B-9397-08002B2CF9AE}" pid="31" name="iOnsKenmerk">
    <vt:lpwstr>2026-0000190729</vt:lpwstr>
  </property>
</Properties>
</file>