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50757" w:rsidTr="00D9561B" w14:paraId="5BF57B9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6686C" w14:paraId="72E5954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6686C" w14:paraId="6C9C11D7" w14:textId="77777777">
            <w:r>
              <w:t>Postbus 20018</w:t>
            </w:r>
          </w:p>
          <w:p w:rsidR="008E3932" w:rsidP="00D9561B" w:rsidRDefault="0056686C" w14:paraId="3A65518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50757" w:rsidTr="00FF66F9" w14:paraId="7FAD040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6686C" w14:paraId="739317A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B2E0A" w14:paraId="6CFEA280" w14:textId="2918EE5D">
            <w:pPr>
              <w:rPr>
                <w:lang w:eastAsia="en-US"/>
              </w:rPr>
            </w:pPr>
            <w:r>
              <w:rPr>
                <w:lang w:eastAsia="en-US"/>
              </w:rPr>
              <w:t>22 juni 2026</w:t>
            </w:r>
          </w:p>
        </w:tc>
      </w:tr>
      <w:tr w:rsidR="00950757" w:rsidTr="00FF66F9" w14:paraId="4184E44E" w14:textId="77777777">
        <w:trPr>
          <w:trHeight w:val="368"/>
        </w:trPr>
        <w:tc>
          <w:tcPr>
            <w:tcW w:w="929" w:type="dxa"/>
          </w:tcPr>
          <w:p w:rsidR="0005404B" w:rsidP="00FF66F9" w:rsidRDefault="0056686C" w14:paraId="2B817B2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6686C" w14:paraId="215E80EE" w14:textId="6F157325">
            <w:pPr>
              <w:rPr>
                <w:lang w:eastAsia="en-US"/>
              </w:rPr>
            </w:pPr>
            <w:r>
              <w:rPr>
                <w:lang w:eastAsia="en-US"/>
              </w:rPr>
              <w:t>Aanwijzen landelijke klachtencommissie in het kader van het Wetsvoorstel vrij en veilig onderwijs</w:t>
            </w:r>
            <w:r w:rsidR="00834CC0">
              <w:rPr>
                <w:lang w:eastAsia="en-US"/>
              </w:rPr>
              <w:t xml:space="preserve"> (36777)</w:t>
            </w:r>
          </w:p>
        </w:tc>
      </w:tr>
    </w:tbl>
    <w:p w:rsidR="00950757" w:rsidRDefault="001C2C36" w14:paraId="223766DE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C3873" w:rsidR="00950757" w:rsidTr="00A421A1" w14:paraId="3BEE7DDF" w14:textId="77777777">
        <w:tc>
          <w:tcPr>
            <w:tcW w:w="2160" w:type="dxa"/>
          </w:tcPr>
          <w:p w:rsidRPr="00F53C9D" w:rsidR="006205C0" w:rsidP="00686AED" w:rsidRDefault="0056686C" w14:paraId="42722705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56686C" w14:paraId="304FB28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6686C" w14:paraId="7C8091F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6686C" w14:paraId="6B6DE33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6686C" w14:paraId="71B381E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6686C" w14:paraId="0E8ABC8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56686C" w14:paraId="7B6E6F0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0F91D962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EB2E0A" w:rsidP="00A421A1" w:rsidRDefault="00EB2E0A" w14:paraId="24757725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C14279" w:rsidR="00EB2E0A" w:rsidP="00A421A1" w:rsidRDefault="00EB2E0A" w14:paraId="1F13213A" w14:textId="3594A0C2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2C3873" w:rsidR="00950757" w:rsidTr="00A421A1" w14:paraId="396FDA78" w14:textId="77777777">
        <w:trPr>
          <w:trHeight w:val="200" w:hRule="exact"/>
        </w:trPr>
        <w:tc>
          <w:tcPr>
            <w:tcW w:w="2160" w:type="dxa"/>
          </w:tcPr>
          <w:p w:rsidRPr="00C14279" w:rsidR="006205C0" w:rsidP="00A421A1" w:rsidRDefault="006205C0" w14:paraId="475F98A5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50757" w:rsidTr="00A421A1" w14:paraId="28D5DE40" w14:textId="77777777">
        <w:trPr>
          <w:trHeight w:val="450"/>
        </w:trPr>
        <w:tc>
          <w:tcPr>
            <w:tcW w:w="2160" w:type="dxa"/>
          </w:tcPr>
          <w:p w:rsidR="00F51A76" w:rsidP="00A421A1" w:rsidRDefault="0056686C" w14:paraId="131CEFF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6686C" w14:paraId="582F4779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64756310</w:t>
            </w:r>
          </w:p>
        </w:tc>
      </w:tr>
      <w:tr w:rsidR="00950757" w:rsidTr="00D130C0" w14:paraId="5BBDB6D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56686C" w14:paraId="2FBC094E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50757" w:rsidTr="00D130C0" w14:paraId="73FF01BD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81B8D0E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18F29D95" w14:textId="77777777"/>
    <w:p w:rsidR="006205C0" w:rsidP="00A421A1" w:rsidRDefault="006205C0" w14:paraId="2E942297" w14:textId="77777777"/>
    <w:p w:rsidR="00820DDA" w:rsidP="00CA35E4" w:rsidRDefault="00C14279" w14:paraId="334B18E7" w14:textId="706475C2">
      <w:r>
        <w:t xml:space="preserve">Het lid Ceder (CU) heeft tijdens de tweede termijn </w:t>
      </w:r>
      <w:r w:rsidR="006056C2">
        <w:t xml:space="preserve">van de </w:t>
      </w:r>
      <w:r w:rsidR="00834CC0">
        <w:t xml:space="preserve">plenaire </w:t>
      </w:r>
      <w:r w:rsidR="006056C2">
        <w:t xml:space="preserve">behandeling </w:t>
      </w:r>
      <w:r w:rsidR="00834CC0">
        <w:t>van het Wetsvoorstel v</w:t>
      </w:r>
      <w:r w:rsidR="006056C2">
        <w:t xml:space="preserve">rij en </w:t>
      </w:r>
      <w:r w:rsidR="00834CC0">
        <w:t>v</w:t>
      </w:r>
      <w:r w:rsidR="006056C2">
        <w:t xml:space="preserve">eilig </w:t>
      </w:r>
      <w:r w:rsidR="00834CC0">
        <w:t>o</w:t>
      </w:r>
      <w:r w:rsidR="006056C2">
        <w:t>nderwijs gevraagd om nadere duiding ten aanzien van het aanwijzen van een landelijke klachtencommissie.</w:t>
      </w:r>
      <w:r w:rsidR="00FC741A">
        <w:t xml:space="preserve"> Hierbij ontvangt uw Kamer deze. </w:t>
      </w:r>
    </w:p>
    <w:p w:rsidR="00834CC0" w:rsidP="00CA35E4" w:rsidRDefault="00834CC0" w14:paraId="68CD958A" w14:textId="77777777"/>
    <w:p w:rsidRPr="0071678B" w:rsidR="00FC741A" w:rsidP="00CA35E4" w:rsidRDefault="00FC741A" w14:paraId="7B084B95" w14:textId="0D25DF60">
      <w:pPr>
        <w:rPr>
          <w:i/>
          <w:iCs/>
        </w:rPr>
      </w:pPr>
      <w:r>
        <w:rPr>
          <w:i/>
          <w:iCs/>
        </w:rPr>
        <w:t>De wettelijke eisen aan</w:t>
      </w:r>
      <w:r w:rsidRPr="0071678B">
        <w:rPr>
          <w:i/>
          <w:iCs/>
        </w:rPr>
        <w:t xml:space="preserve"> een landelijke klachtencommissie</w:t>
      </w:r>
    </w:p>
    <w:p w:rsidR="00FC741A" w:rsidP="00CA35E4" w:rsidRDefault="00F40873" w14:paraId="1A5E3E8C" w14:textId="74955503">
      <w:r>
        <w:t xml:space="preserve">Er </w:t>
      </w:r>
      <w:r w:rsidR="00FC741A">
        <w:t xml:space="preserve">worden </w:t>
      </w:r>
      <w:r>
        <w:t xml:space="preserve">vier wettelijke eisen </w:t>
      </w:r>
      <w:r w:rsidR="00FC741A">
        <w:t xml:space="preserve">gesteld </w:t>
      </w:r>
      <w:r>
        <w:t>aan een landelijk</w:t>
      </w:r>
      <w:r w:rsidR="00FC741A">
        <w:t>e</w:t>
      </w:r>
      <w:r>
        <w:t xml:space="preserve"> klachtencommissie </w:t>
      </w:r>
      <w:r w:rsidR="00FC741A">
        <w:t xml:space="preserve">in </w:t>
      </w:r>
      <w:r>
        <w:t xml:space="preserve">het </w:t>
      </w:r>
      <w:r w:rsidR="00FC741A">
        <w:t xml:space="preserve">voorliggende </w:t>
      </w:r>
      <w:r>
        <w:t xml:space="preserve">wetsvoorstel. </w:t>
      </w:r>
    </w:p>
    <w:p w:rsidR="00FC741A" w:rsidP="00CA35E4" w:rsidRDefault="00FC741A" w14:paraId="37BA1C95" w14:textId="77777777"/>
    <w:p w:rsidR="00F40873" w:rsidP="00CA35E4" w:rsidRDefault="00FC741A" w14:paraId="35C8C68F" w14:textId="63F724FA">
      <w:r>
        <w:t>De eerste eis is</w:t>
      </w:r>
      <w:r w:rsidR="00380C44">
        <w:t xml:space="preserve"> dat de klachtencommissie landelijk </w:t>
      </w:r>
      <w:r w:rsidR="00F40873">
        <w:t xml:space="preserve">dekkend </w:t>
      </w:r>
      <w:r w:rsidR="00380C44">
        <w:t>is. Dat houdt in dat zij zich niet beperkt tot één school of scho</w:t>
      </w:r>
      <w:r w:rsidR="0076644B">
        <w:t>olbestuur</w:t>
      </w:r>
      <w:r w:rsidR="00380C44">
        <w:t xml:space="preserve"> of een specifieke regio</w:t>
      </w:r>
      <w:r w:rsidR="005F2FAE">
        <w:rPr>
          <w:rStyle w:val="Voetnootmarkering"/>
        </w:rPr>
        <w:footnoteReference w:id="1"/>
      </w:r>
      <w:r w:rsidR="00380C44">
        <w:t xml:space="preserve">. </w:t>
      </w:r>
      <w:r w:rsidR="0076644B">
        <w:t xml:space="preserve">Een klachtencommissie kan er wel voor kiezen zich te richten tot een specifieke denominatie. </w:t>
      </w:r>
      <w:r w:rsidR="00F40873">
        <w:t xml:space="preserve">Overigens heeft ook de al bestaande Landelijke Klachtencommissie Onderwijs aandacht voor </w:t>
      </w:r>
      <w:r>
        <w:t xml:space="preserve">verschillen in </w:t>
      </w:r>
      <w:r w:rsidR="00F40873">
        <w:t xml:space="preserve">denominatie binnen de klachtprocedure. </w:t>
      </w:r>
    </w:p>
    <w:p w:rsidR="00F40873" w:rsidP="00CA35E4" w:rsidRDefault="00F40873" w14:paraId="40FA73BD" w14:textId="77777777"/>
    <w:p w:rsidR="00F40873" w:rsidP="00CA35E4" w:rsidRDefault="0076644B" w14:paraId="30600077" w14:textId="469ED5C3">
      <w:r>
        <w:t xml:space="preserve">Een </w:t>
      </w:r>
      <w:r w:rsidR="00F40873">
        <w:t>tweede</w:t>
      </w:r>
      <w:r>
        <w:t xml:space="preserve"> wettelijke eis waar</w:t>
      </w:r>
      <w:r w:rsidR="00D53174">
        <w:t xml:space="preserve">aan </w:t>
      </w:r>
      <w:r>
        <w:t>voldaan moet worden</w:t>
      </w:r>
      <w:r w:rsidR="00FC741A">
        <w:t>,</w:t>
      </w:r>
      <w:r>
        <w:t xml:space="preserve"> is dat</w:t>
      </w:r>
      <w:r w:rsidR="005E75B7">
        <w:t xml:space="preserve"> de </w:t>
      </w:r>
      <w:r w:rsidR="00380C44">
        <w:t xml:space="preserve">door de </w:t>
      </w:r>
      <w:r w:rsidR="005E75B7">
        <w:t xml:space="preserve">rechtspersoon </w:t>
      </w:r>
      <w:r w:rsidR="00380C44">
        <w:t>benoem</w:t>
      </w:r>
      <w:r w:rsidR="005E75B7">
        <w:t>de leden van de klachtencommissie</w:t>
      </w:r>
      <w:r w:rsidR="00380C44">
        <w:t xml:space="preserve"> voldoen aan de bij algemene maatregel van bestuur vastgelegde eisen met betrekking tot de deskundigheid</w:t>
      </w:r>
      <w:r>
        <w:t xml:space="preserve">. </w:t>
      </w:r>
    </w:p>
    <w:p w:rsidR="00F40873" w:rsidP="00CA35E4" w:rsidRDefault="00F40873" w14:paraId="43433716" w14:textId="77777777"/>
    <w:p w:rsidR="00F40873" w:rsidP="00CA35E4" w:rsidRDefault="00F40873" w14:paraId="1F2B3535" w14:textId="044340AC">
      <w:r>
        <w:t>Ten derde</w:t>
      </w:r>
      <w:r w:rsidR="005E75B7">
        <w:t xml:space="preserve"> moet er een werkwijze worden vastgesteld. In deze werkwijze moet worden vastgelegd hoe een klacht kan worden ingediend en welke procedure er wordt doorlopen. </w:t>
      </w:r>
      <w:r w:rsidR="00FC741A">
        <w:t xml:space="preserve">Hierbij moet </w:t>
      </w:r>
      <w:r w:rsidR="00380C44">
        <w:t xml:space="preserve">ten minimale de bij wet </w:t>
      </w:r>
      <w:r w:rsidR="00D53174">
        <w:t xml:space="preserve">en algemene maatregel van bestuur </w:t>
      </w:r>
      <w:r w:rsidR="00380C44">
        <w:t>vastgelegde voorschriften met betrekking tot de klachtbehandeling worden geborgd.</w:t>
      </w:r>
    </w:p>
    <w:p w:rsidR="00F40873" w:rsidP="00CA35E4" w:rsidRDefault="00F40873" w14:paraId="2581633E" w14:textId="77777777"/>
    <w:p w:rsidR="006056C2" w:rsidP="00CA35E4" w:rsidRDefault="00F40873" w14:paraId="10DCABD4" w14:textId="542C200B">
      <w:r>
        <w:t>Tot slot</w:t>
      </w:r>
      <w:r w:rsidR="005E75B7">
        <w:t xml:space="preserve"> moet de commissie een jaarlijks openbaar verslag uitbrengen. </w:t>
      </w:r>
    </w:p>
    <w:p w:rsidR="00F40873" w:rsidP="00CA35E4" w:rsidRDefault="00F40873" w14:paraId="0A6D8691" w14:textId="77777777"/>
    <w:p w:rsidR="00FC741A" w:rsidP="00CA35E4" w:rsidRDefault="00FC741A" w14:paraId="73AD207B" w14:textId="77777777"/>
    <w:p w:rsidR="00FC741A" w:rsidP="00CA35E4" w:rsidRDefault="00FC741A" w14:paraId="191813FF" w14:textId="77777777"/>
    <w:p w:rsidRPr="005F2FAE" w:rsidR="00FC741A" w:rsidP="00CA35E4" w:rsidRDefault="00FC741A" w14:paraId="7E5E22D8" w14:textId="500B13A3">
      <w:pPr>
        <w:rPr>
          <w:i/>
          <w:iCs/>
        </w:rPr>
      </w:pPr>
      <w:r w:rsidRPr="005F2FAE">
        <w:rPr>
          <w:i/>
          <w:iCs/>
        </w:rPr>
        <w:t xml:space="preserve">De aanwijzing van </w:t>
      </w:r>
      <w:r>
        <w:rPr>
          <w:i/>
          <w:iCs/>
        </w:rPr>
        <w:t>een landelijke</w:t>
      </w:r>
      <w:r w:rsidRPr="005F2FAE">
        <w:rPr>
          <w:i/>
          <w:iCs/>
        </w:rPr>
        <w:t xml:space="preserve"> klacht</w:t>
      </w:r>
      <w:r>
        <w:rPr>
          <w:i/>
          <w:iCs/>
        </w:rPr>
        <w:t>e</w:t>
      </w:r>
      <w:r w:rsidRPr="005F2FAE">
        <w:rPr>
          <w:i/>
          <w:iCs/>
        </w:rPr>
        <w:t>ncommissie</w:t>
      </w:r>
    </w:p>
    <w:p w:rsidR="00982704" w:rsidP="00F40873" w:rsidRDefault="00F40873" w14:paraId="2C3FC395" w14:textId="77777777">
      <w:r>
        <w:t>Met het wetsvoorstel wordt een bevoegdheid gecreëerd voor de bewindspersoon om een of meerdere rechtspersonen aan te wijzen die een klachtencommissie in stand houden</w:t>
      </w:r>
      <w:r w:rsidR="00DD5D53">
        <w:t>, wanneer deze voldoen aan de wettelijke eisen</w:t>
      </w:r>
      <w:r>
        <w:t xml:space="preserve">. Daarmee is beoogd een stelsel te creëren waarbinnen er ruimte is voor het bestaan van </w:t>
      </w:r>
      <w:r w:rsidR="00FC741A">
        <w:t xml:space="preserve">verschillende, </w:t>
      </w:r>
      <w:r>
        <w:t xml:space="preserve">denominatieve klachtencommissies. </w:t>
      </w:r>
    </w:p>
    <w:p w:rsidR="00982704" w:rsidP="00F40873" w:rsidRDefault="00982704" w14:paraId="03B73EF1" w14:textId="77777777"/>
    <w:p w:rsidRPr="00F40873" w:rsidR="00F40873" w:rsidP="00F40873" w:rsidRDefault="00982704" w14:paraId="062F9492" w14:textId="7EDA08F8">
      <w:r>
        <w:t xml:space="preserve">Dat bekent dat onder het beoogde stelsel nieuwe klachtencommissies kunnen worden opgericht. Als deze klachtencommissies voldoen aan de wettelijke eisen worden ze </w:t>
      </w:r>
      <w:r w:rsidR="002C3873">
        <w:t xml:space="preserve">als formaliteit </w:t>
      </w:r>
      <w:r>
        <w:t>door de minister aangewezen en</w:t>
      </w:r>
      <w:r w:rsidR="00C52E46">
        <w:t xml:space="preserve"> </w:t>
      </w:r>
      <w:r w:rsidR="002C11DA">
        <w:t xml:space="preserve">vanuit </w:t>
      </w:r>
      <w:r w:rsidRPr="00DA4B9B" w:rsidR="00F40873">
        <w:t>publieke middelen</w:t>
      </w:r>
      <w:r w:rsidR="00F40424">
        <w:t xml:space="preserve"> </w:t>
      </w:r>
      <w:r w:rsidRPr="00DA4B9B" w:rsidR="00F40873">
        <w:t>bekostigd</w:t>
      </w:r>
      <w:r w:rsidR="00F40873">
        <w:t>.</w:t>
      </w:r>
    </w:p>
    <w:p w:rsidR="00F40873" w:rsidP="00CA35E4" w:rsidRDefault="00F40873" w14:paraId="3375536F" w14:textId="77777777"/>
    <w:p w:rsidR="00DA4B9B" w:rsidP="00CA35E4" w:rsidRDefault="00DA4B9B" w14:paraId="280640C4" w14:textId="77777777"/>
    <w:p w:rsidR="0076644B" w:rsidP="00CA35E4" w:rsidRDefault="0076644B" w14:paraId="05804CF0" w14:textId="77777777"/>
    <w:p w:rsidR="007851C4" w:rsidP="00CA35E4" w:rsidRDefault="0076644B" w14:paraId="630731B4" w14:textId="6292CF34">
      <w:r w:rsidRPr="002C38DC">
        <w:t xml:space="preserve">Hoogachtend, </w:t>
      </w:r>
      <w:r w:rsidRPr="007851C4" w:rsidR="0056686C">
        <w:t xml:space="preserve"> </w:t>
      </w:r>
    </w:p>
    <w:p w:rsidR="007851C4" w:rsidP="00CA35E4" w:rsidRDefault="007851C4" w14:paraId="260AB3CA" w14:textId="77777777"/>
    <w:p w:rsidR="00820DDA" w:rsidP="00CA35E4" w:rsidRDefault="0056686C" w14:paraId="03A0075B" w14:textId="77777777">
      <w:r>
        <w:t>d</w:t>
      </w:r>
      <w:r w:rsidR="00745AE0">
        <w:t xml:space="preserve">e staatssecretaris </w:t>
      </w:r>
      <w:r w:rsidR="00535573">
        <w:t>van Onderwijs</w:t>
      </w:r>
      <w:r>
        <w:t xml:space="preserve"> en Emancipatie</w:t>
      </w:r>
      <w:r w:rsidR="00745AE0">
        <w:t>,</w:t>
      </w:r>
    </w:p>
    <w:p w:rsidR="00745AE0" w:rsidP="003A7160" w:rsidRDefault="00745AE0" w14:paraId="2D46DFAA" w14:textId="77777777"/>
    <w:p w:rsidR="00745AE0" w:rsidP="003A7160" w:rsidRDefault="00745AE0" w14:paraId="12FF39AD" w14:textId="77777777"/>
    <w:p w:rsidR="00745AE0" w:rsidP="003A7160" w:rsidRDefault="00745AE0" w14:paraId="64546F2C" w14:textId="77777777"/>
    <w:p w:rsidR="00745AE0" w:rsidP="003A7160" w:rsidRDefault="00745AE0" w14:paraId="1639D636" w14:textId="77777777"/>
    <w:p w:rsidR="00745AE0" w:rsidP="003A7160" w:rsidRDefault="00745AE0" w14:paraId="43DB8652" w14:textId="77777777"/>
    <w:p w:rsidR="00E93891" w:rsidP="00347221" w:rsidRDefault="00E93891" w14:paraId="57BCD42D" w14:textId="77777777"/>
    <w:p w:rsidRPr="00347221" w:rsidR="00697943" w:rsidP="000E04A1" w:rsidRDefault="0056686C" w14:paraId="02249AC4" w14:textId="77777777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p w:rsidR="00C7013F" w:rsidP="003A7160" w:rsidRDefault="00C7013F" w14:paraId="51521191" w14:textId="77777777"/>
    <w:p w:rsidR="00C7013F" w:rsidP="003A7160" w:rsidRDefault="00C7013F" w14:paraId="5478C2A4" w14:textId="77777777"/>
    <w:p w:rsidRPr="00820DDA" w:rsidR="00820DDA" w:rsidP="00215964" w:rsidRDefault="00820DDA" w14:paraId="37CFEBB0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9000" w14:textId="77777777" w:rsidR="001D144C" w:rsidRDefault="001D144C">
      <w:r>
        <w:separator/>
      </w:r>
    </w:p>
    <w:p w14:paraId="13B32BA4" w14:textId="77777777" w:rsidR="001D144C" w:rsidRDefault="001D144C"/>
  </w:endnote>
  <w:endnote w:type="continuationSeparator" w:id="0">
    <w:p w14:paraId="54670F0F" w14:textId="77777777" w:rsidR="001D144C" w:rsidRDefault="001D144C">
      <w:r>
        <w:continuationSeparator/>
      </w:r>
    </w:p>
    <w:p w14:paraId="10B989AB" w14:textId="77777777" w:rsidR="001D144C" w:rsidRDefault="001D1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2C6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8E1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50757" w14:paraId="200E5ACB" w14:textId="77777777" w:rsidTr="004C7E1D">
      <w:trPr>
        <w:trHeight w:hRule="exact" w:val="357"/>
      </w:trPr>
      <w:tc>
        <w:tcPr>
          <w:tcW w:w="7603" w:type="dxa"/>
        </w:tcPr>
        <w:p w14:paraId="49CCA98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B914B9B" w14:textId="7ADE76AF" w:rsidR="002F71BB" w:rsidRPr="004C7E1D" w:rsidRDefault="0056686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B2E0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1BDDD4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50757" w14:paraId="24DC3BBF" w14:textId="77777777" w:rsidTr="004C7E1D">
      <w:trPr>
        <w:trHeight w:hRule="exact" w:val="357"/>
      </w:trPr>
      <w:tc>
        <w:tcPr>
          <w:tcW w:w="7709" w:type="dxa"/>
        </w:tcPr>
        <w:p w14:paraId="348C0EA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C1AA295" w14:textId="21F8AD83" w:rsidR="00D17084" w:rsidRPr="004C7E1D" w:rsidRDefault="0056686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B2E0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FECCD8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71EA" w14:textId="77777777" w:rsidR="001D144C" w:rsidRDefault="001D144C">
      <w:r>
        <w:separator/>
      </w:r>
    </w:p>
    <w:p w14:paraId="600406FB" w14:textId="77777777" w:rsidR="001D144C" w:rsidRDefault="001D144C"/>
  </w:footnote>
  <w:footnote w:type="continuationSeparator" w:id="0">
    <w:p w14:paraId="5263E92A" w14:textId="77777777" w:rsidR="001D144C" w:rsidRDefault="001D144C">
      <w:r>
        <w:continuationSeparator/>
      </w:r>
    </w:p>
    <w:p w14:paraId="5DF4E3CC" w14:textId="77777777" w:rsidR="001D144C" w:rsidRDefault="001D144C"/>
  </w:footnote>
  <w:footnote w:id="1">
    <w:p w14:paraId="414D0ED6" w14:textId="5F3B7992" w:rsidR="005F2FAE" w:rsidRDefault="005F2FAE">
      <w:pPr>
        <w:pStyle w:val="Voetnoottekst"/>
      </w:pPr>
      <w:r>
        <w:rPr>
          <w:rStyle w:val="Voetnootmarkering"/>
        </w:rPr>
        <w:footnoteRef/>
      </w:r>
      <w:r>
        <w:t xml:space="preserve"> Met uitzondering van Caribisch Nederland, waarvoor het wetsvoorstel in een eigen stelsel voorziet.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099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50757" w14:paraId="729427B3" w14:textId="77777777" w:rsidTr="006D2D53">
      <w:trPr>
        <w:trHeight w:hRule="exact" w:val="400"/>
      </w:trPr>
      <w:tc>
        <w:tcPr>
          <w:tcW w:w="7518" w:type="dxa"/>
        </w:tcPr>
        <w:p w14:paraId="0E191054" w14:textId="77777777" w:rsidR="00527BD4" w:rsidRPr="00275984" w:rsidRDefault="00527BD4" w:rsidP="00BF4427">
          <w:pPr>
            <w:pStyle w:val="Huisstijl-Rubricering"/>
          </w:pPr>
        </w:p>
      </w:tc>
    </w:tr>
  </w:tbl>
  <w:p w14:paraId="38C3FF4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50757" w14:paraId="774A6289" w14:textId="77777777" w:rsidTr="003B528D">
      <w:tc>
        <w:tcPr>
          <w:tcW w:w="2160" w:type="dxa"/>
        </w:tcPr>
        <w:p w14:paraId="52252D5E" w14:textId="77777777" w:rsidR="002F71BB" w:rsidRPr="000407BB" w:rsidRDefault="0056686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50757" w14:paraId="2098B150" w14:textId="77777777" w:rsidTr="002F71BB">
      <w:trPr>
        <w:trHeight w:val="259"/>
      </w:trPr>
      <w:tc>
        <w:tcPr>
          <w:tcW w:w="2160" w:type="dxa"/>
        </w:tcPr>
        <w:p w14:paraId="7BB3177B" w14:textId="77777777" w:rsidR="00E35CF4" w:rsidRPr="005D283A" w:rsidRDefault="0056686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64756310</w:t>
          </w:r>
        </w:p>
      </w:tc>
    </w:tr>
  </w:tbl>
  <w:p w14:paraId="1CD705A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50757" w14:paraId="75CA96B5" w14:textId="77777777" w:rsidTr="001377D4">
      <w:trPr>
        <w:trHeight w:val="2636"/>
      </w:trPr>
      <w:tc>
        <w:tcPr>
          <w:tcW w:w="737" w:type="dxa"/>
        </w:tcPr>
        <w:p w14:paraId="4824800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B504A5C" w14:textId="77777777" w:rsidR="00704845" w:rsidRDefault="0056686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E98C8C" wp14:editId="6EC1BCA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417FA5" w14:textId="77777777" w:rsidR="00483ECA" w:rsidRDefault="00483ECA" w:rsidP="00D037A9"/>
      </w:tc>
    </w:tr>
  </w:tbl>
  <w:p w14:paraId="78049FA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50757" w14:paraId="0536B68B" w14:textId="77777777" w:rsidTr="0008539E">
      <w:trPr>
        <w:trHeight w:hRule="exact" w:val="572"/>
      </w:trPr>
      <w:tc>
        <w:tcPr>
          <w:tcW w:w="7520" w:type="dxa"/>
        </w:tcPr>
        <w:p w14:paraId="646EAED9" w14:textId="77777777" w:rsidR="00527BD4" w:rsidRPr="00963440" w:rsidRDefault="0056686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50757" w14:paraId="36193A80" w14:textId="77777777" w:rsidTr="00E776C6">
      <w:trPr>
        <w:cantSplit/>
        <w:trHeight w:hRule="exact" w:val="238"/>
      </w:trPr>
      <w:tc>
        <w:tcPr>
          <w:tcW w:w="7520" w:type="dxa"/>
        </w:tcPr>
        <w:p w14:paraId="1F05A1B4" w14:textId="77777777" w:rsidR="00093ABC" w:rsidRPr="00963440" w:rsidRDefault="00093ABC" w:rsidP="00963440"/>
      </w:tc>
    </w:tr>
    <w:tr w:rsidR="00950757" w14:paraId="173125E9" w14:textId="77777777" w:rsidTr="00E776C6">
      <w:trPr>
        <w:cantSplit/>
        <w:trHeight w:hRule="exact" w:val="1520"/>
      </w:trPr>
      <w:tc>
        <w:tcPr>
          <w:tcW w:w="7520" w:type="dxa"/>
        </w:tcPr>
        <w:p w14:paraId="00E61E9D" w14:textId="77777777" w:rsidR="00A604D3" w:rsidRPr="00963440" w:rsidRDefault="00A604D3" w:rsidP="00963440"/>
      </w:tc>
    </w:tr>
    <w:tr w:rsidR="00950757" w14:paraId="24F29E5C" w14:textId="77777777" w:rsidTr="00E776C6">
      <w:trPr>
        <w:trHeight w:hRule="exact" w:val="1077"/>
      </w:trPr>
      <w:tc>
        <w:tcPr>
          <w:tcW w:w="7520" w:type="dxa"/>
        </w:tcPr>
        <w:p w14:paraId="538809F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AB200F3" w14:textId="77777777" w:rsidR="006F273B" w:rsidRDefault="006F273B" w:rsidP="00BC4AE3">
    <w:pPr>
      <w:pStyle w:val="Koptekst"/>
    </w:pPr>
  </w:p>
  <w:p w14:paraId="69DB0F5D" w14:textId="77777777" w:rsidR="00153BD0" w:rsidRDefault="00153BD0" w:rsidP="00BC4AE3">
    <w:pPr>
      <w:pStyle w:val="Koptekst"/>
    </w:pPr>
  </w:p>
  <w:p w14:paraId="13E95F9E" w14:textId="77777777" w:rsidR="0044605E" w:rsidRDefault="0044605E" w:rsidP="00BC4AE3">
    <w:pPr>
      <w:pStyle w:val="Koptekst"/>
    </w:pPr>
  </w:p>
  <w:p w14:paraId="7B05FB66" w14:textId="77777777" w:rsidR="0044605E" w:rsidRDefault="0044605E" w:rsidP="00BC4AE3">
    <w:pPr>
      <w:pStyle w:val="Koptekst"/>
    </w:pPr>
  </w:p>
  <w:p w14:paraId="2F8A717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841C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227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9EB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27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863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346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63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040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24F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A561A3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790E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BA77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C7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81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F48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3A1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EB9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0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609550">
    <w:abstractNumId w:val="10"/>
  </w:num>
  <w:num w:numId="2" w16cid:durableId="1663046791">
    <w:abstractNumId w:val="7"/>
  </w:num>
  <w:num w:numId="3" w16cid:durableId="656766318">
    <w:abstractNumId w:val="6"/>
  </w:num>
  <w:num w:numId="4" w16cid:durableId="549269667">
    <w:abstractNumId w:val="5"/>
  </w:num>
  <w:num w:numId="5" w16cid:durableId="1525897794">
    <w:abstractNumId w:val="4"/>
  </w:num>
  <w:num w:numId="6" w16cid:durableId="1601255806">
    <w:abstractNumId w:val="8"/>
  </w:num>
  <w:num w:numId="7" w16cid:durableId="541675342">
    <w:abstractNumId w:val="3"/>
  </w:num>
  <w:num w:numId="8" w16cid:durableId="1454903967">
    <w:abstractNumId w:val="2"/>
  </w:num>
  <w:num w:numId="9" w16cid:durableId="1011680159">
    <w:abstractNumId w:val="1"/>
  </w:num>
  <w:num w:numId="10" w16cid:durableId="1406758913">
    <w:abstractNumId w:val="0"/>
  </w:num>
  <w:num w:numId="11" w16cid:durableId="977689149">
    <w:abstractNumId w:val="9"/>
  </w:num>
  <w:num w:numId="12" w16cid:durableId="2035422271">
    <w:abstractNumId w:val="11"/>
  </w:num>
  <w:num w:numId="13" w16cid:durableId="1033110668">
    <w:abstractNumId w:val="13"/>
  </w:num>
  <w:num w:numId="14" w16cid:durableId="4465843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377E0"/>
    <w:rsid w:val="000407BB"/>
    <w:rsid w:val="0005404B"/>
    <w:rsid w:val="0005447D"/>
    <w:rsid w:val="000546DE"/>
    <w:rsid w:val="0006024D"/>
    <w:rsid w:val="00062055"/>
    <w:rsid w:val="00065462"/>
    <w:rsid w:val="00065877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0F5FBC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26A4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52F"/>
    <w:rsid w:val="001D144C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11DA"/>
    <w:rsid w:val="002C26D0"/>
    <w:rsid w:val="002C2830"/>
    <w:rsid w:val="002C3873"/>
    <w:rsid w:val="002C38DC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05A"/>
    <w:rsid w:val="002E0F69"/>
    <w:rsid w:val="002E1572"/>
    <w:rsid w:val="002E2142"/>
    <w:rsid w:val="002E2DA3"/>
    <w:rsid w:val="002E2E5A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0C44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099B"/>
    <w:rsid w:val="003D39EC"/>
    <w:rsid w:val="003D40EA"/>
    <w:rsid w:val="003E3DD5"/>
    <w:rsid w:val="003F07C6"/>
    <w:rsid w:val="003F1F6B"/>
    <w:rsid w:val="003F3757"/>
    <w:rsid w:val="003F44B7"/>
    <w:rsid w:val="004008E9"/>
    <w:rsid w:val="00401010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495A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36492"/>
    <w:rsid w:val="005403C8"/>
    <w:rsid w:val="00541AD9"/>
    <w:rsid w:val="005429DC"/>
    <w:rsid w:val="005565F9"/>
    <w:rsid w:val="005639D2"/>
    <w:rsid w:val="00565739"/>
    <w:rsid w:val="0056686C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B54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E75B7"/>
    <w:rsid w:val="005F2FAE"/>
    <w:rsid w:val="005F62D3"/>
    <w:rsid w:val="005F6D11"/>
    <w:rsid w:val="00600CF0"/>
    <w:rsid w:val="006048F4"/>
    <w:rsid w:val="006056C2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7CD0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19B"/>
    <w:rsid w:val="006D17F2"/>
    <w:rsid w:val="006D2D53"/>
    <w:rsid w:val="006D4C4A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678B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32A8"/>
    <w:rsid w:val="00764585"/>
    <w:rsid w:val="0076644B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2BE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34CC0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06D9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285B"/>
    <w:rsid w:val="008E0B3F"/>
    <w:rsid w:val="008E1341"/>
    <w:rsid w:val="008E3932"/>
    <w:rsid w:val="008E49AD"/>
    <w:rsid w:val="008E698E"/>
    <w:rsid w:val="008F123F"/>
    <w:rsid w:val="008F2584"/>
    <w:rsid w:val="008F3246"/>
    <w:rsid w:val="008F38B1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6D6D"/>
    <w:rsid w:val="0094000D"/>
    <w:rsid w:val="00940206"/>
    <w:rsid w:val="00941B16"/>
    <w:rsid w:val="00946703"/>
    <w:rsid w:val="00950757"/>
    <w:rsid w:val="009528B2"/>
    <w:rsid w:val="0095400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2704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A72D5"/>
    <w:rsid w:val="009B0138"/>
    <w:rsid w:val="009B0FE9"/>
    <w:rsid w:val="009B173A"/>
    <w:rsid w:val="009B5846"/>
    <w:rsid w:val="009B601B"/>
    <w:rsid w:val="009C3F20"/>
    <w:rsid w:val="009C43D5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2B1C"/>
    <w:rsid w:val="00A20730"/>
    <w:rsid w:val="00A21E76"/>
    <w:rsid w:val="00A23BC8"/>
    <w:rsid w:val="00A2531F"/>
    <w:rsid w:val="00A30E68"/>
    <w:rsid w:val="00A31933"/>
    <w:rsid w:val="00A32073"/>
    <w:rsid w:val="00A346B6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4A84"/>
    <w:rsid w:val="00A773CC"/>
    <w:rsid w:val="00A77F6F"/>
    <w:rsid w:val="00A831FD"/>
    <w:rsid w:val="00A83352"/>
    <w:rsid w:val="00A850A2"/>
    <w:rsid w:val="00A91FA3"/>
    <w:rsid w:val="00A927D3"/>
    <w:rsid w:val="00A9429A"/>
    <w:rsid w:val="00A95A0D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1E05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6D82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4279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2E46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3174"/>
    <w:rsid w:val="00D53B4C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4B9B"/>
    <w:rsid w:val="00DA51B5"/>
    <w:rsid w:val="00DA58AF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5D53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2376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EC8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2E0A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424"/>
    <w:rsid w:val="00F40873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41A"/>
    <w:rsid w:val="00FC7F66"/>
    <w:rsid w:val="00FD5776"/>
    <w:rsid w:val="00FD6A55"/>
    <w:rsid w:val="00FD6CF9"/>
    <w:rsid w:val="00FE1CB6"/>
    <w:rsid w:val="00FE1EC7"/>
    <w:rsid w:val="00FE486B"/>
    <w:rsid w:val="00FE4F08"/>
    <w:rsid w:val="00FE5200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B9F14"/>
  <w15:docId w15:val="{52E9B979-67F9-4388-9EDF-4B9129EC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834CC0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FC74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C74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C741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C74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C741A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rsid w:val="005F2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400</ap:Words>
  <ap:Characters>2205</ap:Characters>
  <ap:DocSecurity>4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2026-06-22T08:47:00.0000000Z</dcterms:created>
  <dcterms:modified xsi:type="dcterms:W3CDTF">2026-06-22T08:47:00.0000000Z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O224VEL</vt:lpwstr>
  </property>
  <property fmtid="{D5CDD505-2E9C-101B-9397-08002B2CF9AE}" pid="3" name="Author">
    <vt:lpwstr>O224VEL</vt:lpwstr>
  </property>
  <property fmtid="{D5CDD505-2E9C-101B-9397-08002B2CF9AE}" pid="4" name="cs_objectid">
    <vt:lpwstr>64810265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Aanwijzen landelijke klachtencommissie in het kader van het Wetsvoorstel vrij en veilig onderwijs</vt:lpwstr>
  </property>
  <property fmtid="{D5CDD505-2E9C-101B-9397-08002B2CF9AE}" pid="9" name="ocw_directie">
    <vt:lpwstr>OVO/2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O224VEL</vt:lpwstr>
  </property>
</Properties>
</file>