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0A4" w:rsidR="008A0027" w:rsidP="00193FC8" w:rsidRDefault="008A0027" w14:paraId="305D1B39" w14:textId="77777777">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r w:rsidRPr="005B10A4">
        <w:rPr>
          <w:rFonts w:ascii="IBM Plex Sans" w:hAnsi="IBM Plex Sans" w:eastAsia="Times New Roman" w:cs="Times New Roman"/>
          <w:color w:val="auto"/>
          <w:sz w:val="20"/>
          <w:szCs w:val="20"/>
          <w:lang w:eastAsia="nl-NL"/>
        </w:rPr>
        <w:t>Tweede Kamer der Staten-Generaal</w:t>
      </w:r>
    </w:p>
    <w:p w:rsidRPr="005B10A4" w:rsidR="00585312" w:rsidP="00193FC8" w:rsidRDefault="00560636" w14:paraId="6A36E676" w14:textId="39009586">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r w:rsidRPr="005B10A4">
        <w:rPr>
          <w:rFonts w:ascii="IBM Plex Sans" w:hAnsi="IBM Plex Sans" w:eastAsia="Times New Roman" w:cs="Times New Roman"/>
          <w:color w:val="auto"/>
          <w:sz w:val="20"/>
          <w:szCs w:val="20"/>
          <w:lang w:eastAsia="nl-NL"/>
        </w:rPr>
        <w:t>Vaste commissie voor Sociale Zaken en werkgelegenheid</w:t>
      </w:r>
    </w:p>
    <w:p w:rsidRPr="005B10A4" w:rsidR="00560636" w:rsidP="00193FC8" w:rsidRDefault="00560636" w14:paraId="333A7A7E" w14:textId="076A16C0">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proofErr w:type="spellStart"/>
      <w:r w:rsidRPr="005B10A4">
        <w:rPr>
          <w:rFonts w:ascii="IBM Plex Sans" w:hAnsi="IBM Plex Sans" w:eastAsia="Times New Roman" w:cs="Times New Roman"/>
          <w:color w:val="auto"/>
          <w:sz w:val="20"/>
          <w:szCs w:val="20"/>
          <w:lang w:eastAsia="nl-NL"/>
        </w:rPr>
        <w:t>Bezuidenhoutseweg</w:t>
      </w:r>
      <w:proofErr w:type="spellEnd"/>
      <w:r w:rsidRPr="005B10A4">
        <w:rPr>
          <w:rFonts w:ascii="IBM Plex Sans" w:hAnsi="IBM Plex Sans" w:eastAsia="Times New Roman" w:cs="Times New Roman"/>
          <w:color w:val="auto"/>
          <w:sz w:val="20"/>
          <w:szCs w:val="20"/>
          <w:lang w:eastAsia="nl-NL"/>
        </w:rPr>
        <w:t xml:space="preserve"> 67</w:t>
      </w:r>
    </w:p>
    <w:p w:rsidRPr="005B10A4" w:rsidR="00560636" w:rsidP="00193FC8" w:rsidRDefault="00C572C4" w14:paraId="2EBCE838" w14:textId="272D28C5">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r w:rsidRPr="005B10A4">
        <w:rPr>
          <w:rFonts w:ascii="IBM Plex Sans" w:hAnsi="IBM Plex Sans" w:eastAsia="Times New Roman" w:cs="Times New Roman"/>
          <w:color w:val="auto"/>
          <w:sz w:val="20"/>
          <w:szCs w:val="20"/>
          <w:lang w:eastAsia="nl-NL"/>
        </w:rPr>
        <w:t>2594 AC Den Haag</w:t>
      </w:r>
    </w:p>
    <w:p w:rsidRPr="005B10A4" w:rsidR="006058C2" w:rsidP="00193FC8" w:rsidRDefault="006058C2" w14:paraId="43970819" w14:textId="504588CF">
      <w:pPr>
        <w:pStyle w:val="StyleLinespacingExactly15pt"/>
        <w:spacing w:line="276" w:lineRule="auto"/>
        <w:contextualSpacing/>
      </w:pPr>
    </w:p>
    <w:p w:rsidRPr="005B10A4" w:rsidR="006058C2" w:rsidP="00193FC8" w:rsidRDefault="006058C2" w14:paraId="141E6D85" w14:textId="29EBCD46">
      <w:pPr>
        <w:pStyle w:val="StyleLinespacingExactly15pt"/>
        <w:spacing w:line="276" w:lineRule="auto"/>
        <w:contextualSpacing/>
      </w:pPr>
    </w:p>
    <w:p w:rsidRPr="005B10A4" w:rsidR="006058C2" w:rsidP="00193FC8" w:rsidRDefault="006058C2" w14:paraId="6E5C30E6" w14:textId="36955845">
      <w:pPr>
        <w:pStyle w:val="StyleLinespacingExactly15pt"/>
        <w:spacing w:line="276" w:lineRule="auto"/>
        <w:contextualSpacing/>
      </w:pPr>
    </w:p>
    <w:p w:rsidRPr="005B10A4" w:rsidR="006058C2" w:rsidP="00193FC8" w:rsidRDefault="006058C2" w14:paraId="61CCE07D" w14:textId="77777777">
      <w:pPr>
        <w:pStyle w:val="StyleLinespacingExactly15pt"/>
        <w:spacing w:line="276" w:lineRule="auto"/>
        <w:contextualSpacing/>
      </w:pPr>
    </w:p>
    <w:tbl>
      <w:tblPr>
        <w:tblpPr w:leftFromText="141" w:rightFromText="141" w:vertAnchor="text" w:horzAnchor="margin" w:tblpY="372"/>
        <w:tblW w:w="0" w:type="auto"/>
        <w:tblLayout w:type="fixed"/>
        <w:tblLook w:val="00A0" w:firstRow="1" w:lastRow="0" w:firstColumn="1" w:lastColumn="0" w:noHBand="0" w:noVBand="0"/>
      </w:tblPr>
      <w:tblGrid>
        <w:gridCol w:w="1260"/>
        <w:gridCol w:w="4269"/>
        <w:gridCol w:w="992"/>
      </w:tblGrid>
      <w:tr w:rsidRPr="005B10A4" w:rsidR="0070768B" w:rsidTr="0070768B" w14:paraId="0F2B37CC" w14:textId="77777777">
        <w:tc>
          <w:tcPr>
            <w:tcW w:w="1260" w:type="dxa"/>
            <w:tcMar>
              <w:left w:w="0" w:type="dxa"/>
              <w:right w:w="0" w:type="dxa"/>
            </w:tcMar>
          </w:tcPr>
          <w:p w:rsidRPr="005B10A4" w:rsidR="0070768B" w:rsidP="00193FC8" w:rsidRDefault="0070768B" w14:paraId="70060ED2" w14:textId="6A4CD567">
            <w:pPr>
              <w:pStyle w:val="WispaNormal"/>
              <w:spacing w:line="276" w:lineRule="auto"/>
              <w:contextualSpacing/>
              <w:rPr>
                <w:i/>
                <w:iCs/>
                <w:color w:val="FE6A04"/>
              </w:rPr>
            </w:pPr>
          </w:p>
        </w:tc>
        <w:tc>
          <w:tcPr>
            <w:tcW w:w="4269" w:type="dxa"/>
            <w:tcMar>
              <w:left w:w="0" w:type="dxa"/>
              <w:right w:w="0" w:type="dxa"/>
            </w:tcMar>
          </w:tcPr>
          <w:p w:rsidRPr="005B10A4" w:rsidR="0070768B" w:rsidP="00193FC8" w:rsidRDefault="0070768B" w14:paraId="337380B5" w14:textId="4E533CB5">
            <w:pPr>
              <w:pStyle w:val="WispaNormal"/>
              <w:spacing w:line="276" w:lineRule="auto"/>
              <w:contextualSpacing/>
              <w:rPr>
                <w:sz w:val="18"/>
                <w:szCs w:val="18"/>
              </w:rPr>
            </w:pPr>
          </w:p>
        </w:tc>
        <w:tc>
          <w:tcPr>
            <w:tcW w:w="992" w:type="dxa"/>
          </w:tcPr>
          <w:p w:rsidRPr="005B10A4" w:rsidR="0070768B" w:rsidP="00193FC8" w:rsidRDefault="0070768B" w14:paraId="711D6150" w14:textId="77777777">
            <w:pPr>
              <w:pStyle w:val="DEPARTMENT"/>
              <w:spacing w:line="276" w:lineRule="auto"/>
              <w:contextualSpacing/>
            </w:pPr>
            <w:bookmarkStart w:name="blwstartplekvoorlogo" w:id="0"/>
            <w:bookmarkEnd w:id="0"/>
          </w:p>
        </w:tc>
      </w:tr>
      <w:tr w:rsidRPr="005B10A4" w:rsidR="0070768B" w:rsidTr="0070768B" w14:paraId="0D4CFC06" w14:textId="77777777">
        <w:tc>
          <w:tcPr>
            <w:tcW w:w="1260" w:type="dxa"/>
            <w:tcMar>
              <w:left w:w="0" w:type="dxa"/>
              <w:right w:w="0" w:type="dxa"/>
            </w:tcMar>
          </w:tcPr>
          <w:p w:rsidRPr="005B10A4" w:rsidR="0070768B" w:rsidP="00193FC8" w:rsidRDefault="0070768B" w14:paraId="080838CC" w14:textId="77777777">
            <w:pPr>
              <w:pStyle w:val="WispaNormal"/>
              <w:spacing w:line="276" w:lineRule="auto"/>
              <w:contextualSpacing/>
              <w:rPr>
                <w:i/>
                <w:iCs/>
                <w:color w:val="FE6A04"/>
              </w:rPr>
            </w:pPr>
            <w:r w:rsidRPr="005B10A4">
              <w:rPr>
                <w:i/>
                <w:iCs/>
                <w:color w:val="FE6A04"/>
              </w:rPr>
              <w:t>Betreft</w:t>
            </w:r>
            <w:r w:rsidRPr="005B10A4">
              <w:rPr>
                <w:i/>
                <w:iCs/>
                <w:color w:val="FE6A04"/>
              </w:rPr>
              <w:tab/>
            </w:r>
          </w:p>
        </w:tc>
        <w:tc>
          <w:tcPr>
            <w:tcW w:w="5261" w:type="dxa"/>
            <w:gridSpan w:val="2"/>
            <w:tcMar>
              <w:left w:w="0" w:type="dxa"/>
              <w:right w:w="0" w:type="dxa"/>
            </w:tcMar>
          </w:tcPr>
          <w:p w:rsidRPr="005B10A4" w:rsidR="0070768B" w:rsidP="00193FC8" w:rsidRDefault="00502A0F" w14:paraId="3E77999D" w14:textId="3A5376C7">
            <w:pPr>
              <w:pStyle w:val="WispaNormal"/>
              <w:spacing w:line="276" w:lineRule="auto"/>
              <w:contextualSpacing/>
            </w:pPr>
            <w:r w:rsidRPr="005B10A4">
              <w:t xml:space="preserve">Schriftelijke inbreng </w:t>
            </w:r>
            <w:r w:rsidRPr="005B10A4" w:rsidR="00C572C4">
              <w:t>Ronde</w:t>
            </w:r>
            <w:r w:rsidRPr="005B10A4">
              <w:t>tafelgesprek</w:t>
            </w:r>
            <w:r w:rsidRPr="005B10A4" w:rsidR="004C2612">
              <w:t xml:space="preserve"> </w:t>
            </w:r>
            <w:r w:rsidRPr="005B10A4" w:rsidR="004B69E6">
              <w:t>Stijging van de instroom in de WIA door mentale klachten</w:t>
            </w:r>
          </w:p>
        </w:tc>
      </w:tr>
      <w:tr w:rsidRPr="005B10A4" w:rsidR="0070768B" w:rsidTr="0070768B" w14:paraId="6ED6B999" w14:textId="77777777">
        <w:trPr>
          <w:trHeight w:val="104"/>
        </w:trPr>
        <w:tc>
          <w:tcPr>
            <w:tcW w:w="1260" w:type="dxa"/>
            <w:tcMar>
              <w:left w:w="0" w:type="dxa"/>
              <w:right w:w="0" w:type="dxa"/>
            </w:tcMar>
          </w:tcPr>
          <w:p w:rsidRPr="005B10A4" w:rsidR="0070768B" w:rsidP="00193FC8" w:rsidRDefault="0070768B" w14:paraId="5D6D1971" w14:textId="77777777">
            <w:pPr>
              <w:pStyle w:val="WispaNormal"/>
              <w:spacing w:line="276" w:lineRule="auto"/>
              <w:contextualSpacing/>
              <w:rPr>
                <w:i/>
                <w:iCs/>
                <w:color w:val="FE6A04"/>
              </w:rPr>
            </w:pPr>
            <w:r w:rsidRPr="005B10A4">
              <w:rPr>
                <w:i/>
                <w:iCs/>
                <w:color w:val="FE6A04"/>
              </w:rPr>
              <w:t>Datum</w:t>
            </w:r>
            <w:r w:rsidRPr="005B10A4">
              <w:rPr>
                <w:i/>
                <w:iCs/>
                <w:color w:val="FE6A04"/>
              </w:rPr>
              <w:tab/>
            </w:r>
          </w:p>
        </w:tc>
        <w:tc>
          <w:tcPr>
            <w:tcW w:w="5261" w:type="dxa"/>
            <w:gridSpan w:val="2"/>
            <w:tcMar>
              <w:left w:w="0" w:type="dxa"/>
              <w:right w:w="0" w:type="dxa"/>
            </w:tcMar>
          </w:tcPr>
          <w:p w:rsidRPr="005B10A4" w:rsidR="0070768B" w:rsidP="00193FC8" w:rsidRDefault="009903B7" w14:paraId="3D75E4C9" w14:textId="7E94BB08">
            <w:pPr>
              <w:pStyle w:val="WispaNormal"/>
              <w:spacing w:line="276" w:lineRule="auto"/>
              <w:contextualSpacing/>
            </w:pPr>
            <w:r w:rsidRPr="005B10A4">
              <w:t>1</w:t>
            </w:r>
            <w:r w:rsidR="00D543CB">
              <w:t>9</w:t>
            </w:r>
            <w:r w:rsidRPr="005B10A4" w:rsidR="0080011D">
              <w:t xml:space="preserve"> juni 2026</w:t>
            </w:r>
          </w:p>
        </w:tc>
      </w:tr>
    </w:tbl>
    <w:p w:rsidRPr="005B10A4" w:rsidR="006058C2" w:rsidP="00193FC8" w:rsidRDefault="006058C2" w14:paraId="0BCCFBD9" w14:textId="3F55C7BC">
      <w:pPr>
        <w:pStyle w:val="StyleLinespacingExactly15pt"/>
        <w:spacing w:line="276" w:lineRule="auto"/>
        <w:contextualSpacing/>
      </w:pPr>
    </w:p>
    <w:p w:rsidRPr="005B10A4" w:rsidR="00222368" w:rsidP="00193FC8" w:rsidRDefault="00222368" w14:paraId="137FE8F6" w14:textId="77777777">
      <w:pPr>
        <w:spacing w:line="276" w:lineRule="auto"/>
        <w:contextualSpacing/>
      </w:pPr>
    </w:p>
    <w:p w:rsidRPr="005B10A4" w:rsidR="0070768B" w:rsidP="00193FC8" w:rsidRDefault="0070768B" w14:paraId="34B770CF" w14:textId="77777777">
      <w:pPr>
        <w:spacing w:line="276" w:lineRule="auto"/>
        <w:contextualSpacing/>
      </w:pPr>
    </w:p>
    <w:p w:rsidRPr="005B10A4" w:rsidR="00222368" w:rsidP="00193FC8" w:rsidRDefault="00222368" w14:paraId="2D18E6C8" w14:textId="77777777">
      <w:pPr>
        <w:spacing w:line="276" w:lineRule="auto"/>
        <w:contextualSpacing/>
      </w:pPr>
    </w:p>
    <w:p w:rsidRPr="005B10A4" w:rsidR="006058C2" w:rsidP="00193FC8" w:rsidRDefault="006058C2" w14:paraId="36D82C45" w14:textId="77777777">
      <w:pPr>
        <w:pStyle w:val="StyleLinespacingExactly15pt"/>
        <w:spacing w:line="276" w:lineRule="auto"/>
        <w:contextualSpacing/>
      </w:pPr>
    </w:p>
    <w:p w:rsidRPr="005B10A4" w:rsidR="0070768B" w:rsidP="00193FC8" w:rsidRDefault="0070768B" w14:paraId="1C8F2CF0" w14:textId="77777777">
      <w:pPr>
        <w:pStyle w:val="StyleLinespacingExactly15pt"/>
        <w:spacing w:line="276" w:lineRule="auto"/>
        <w:contextualSpacing/>
      </w:pPr>
    </w:p>
    <w:p w:rsidRPr="005B10A4" w:rsidR="00FF06E8" w:rsidP="00193FC8" w:rsidRDefault="004A04E4" w14:paraId="2B2B13EE" w14:textId="65DA0D25">
      <w:pPr>
        <w:spacing w:line="276" w:lineRule="auto"/>
        <w:contextualSpacing/>
      </w:pPr>
      <w:r w:rsidRPr="005B10A4">
        <w:t>Geachte mevrouw van den Broek,</w:t>
      </w:r>
      <w:r w:rsidRPr="005B10A4" w:rsidR="0003697E">
        <w:t xml:space="preserve"> </w:t>
      </w:r>
    </w:p>
    <w:p w:rsidRPr="005B10A4" w:rsidR="0003697E" w:rsidP="00193FC8" w:rsidRDefault="0003697E" w14:paraId="3237448E" w14:textId="77777777">
      <w:pPr>
        <w:spacing w:line="276" w:lineRule="auto"/>
        <w:contextualSpacing/>
      </w:pPr>
    </w:p>
    <w:p w:rsidRPr="005B10A4" w:rsidR="0070768B" w:rsidP="00193FC8" w:rsidRDefault="004A04E4" w14:paraId="10F05F33" w14:textId="006AE821">
      <w:pPr>
        <w:spacing w:line="276" w:lineRule="auto"/>
        <w:contextualSpacing/>
      </w:pPr>
      <w:r w:rsidRPr="005B10A4">
        <w:t>Hierbij stuur ik u in</w:t>
      </w:r>
      <w:r w:rsidRPr="005B10A4" w:rsidR="00E447CB">
        <w:t xml:space="preserve"> de bijlage onze </w:t>
      </w:r>
      <w:proofErr w:type="spellStart"/>
      <w:r w:rsidRPr="005B10A4" w:rsidR="00E447CB">
        <w:t>position</w:t>
      </w:r>
      <w:proofErr w:type="spellEnd"/>
      <w:r w:rsidRPr="005B10A4" w:rsidR="00E447CB">
        <w:t xml:space="preserve"> paper voor het </w:t>
      </w:r>
      <w:r w:rsidRPr="005B10A4" w:rsidR="00971160">
        <w:t>Stijging van de instroom in de WIA door mentale klachten</w:t>
      </w:r>
      <w:r w:rsidRPr="005B10A4" w:rsidR="00364802">
        <w:t>.</w:t>
      </w:r>
    </w:p>
    <w:p w:rsidRPr="005B10A4" w:rsidR="00213F20" w:rsidP="00193FC8" w:rsidRDefault="00213F20" w14:paraId="14F38DDF" w14:textId="77777777">
      <w:pPr>
        <w:spacing w:line="276" w:lineRule="auto"/>
        <w:contextualSpacing/>
      </w:pPr>
    </w:p>
    <w:p w:rsidRPr="005B10A4" w:rsidR="00FF06E8" w:rsidP="00193FC8" w:rsidRDefault="00FF06E8" w14:paraId="2EA8659B" w14:textId="77777777">
      <w:pPr>
        <w:spacing w:line="276" w:lineRule="auto"/>
        <w:contextualSpacing/>
      </w:pPr>
      <w:r w:rsidRPr="005B10A4">
        <w:t>Vriendelijke groet,</w:t>
      </w:r>
    </w:p>
    <w:p w:rsidRPr="005B10A4" w:rsidR="007F55A6" w:rsidP="00193FC8" w:rsidRDefault="002C39DA" w14:paraId="2F2B0A08" w14:textId="7827BBDB">
      <w:pPr>
        <w:spacing w:line="276" w:lineRule="auto"/>
        <w:contextualSpacing/>
      </w:pPr>
      <w:r w:rsidRPr="005B10A4">
        <w:tab/>
      </w:r>
      <w:r w:rsidRPr="005B10A4">
        <w:tab/>
      </w:r>
      <w:r w:rsidRPr="005B10A4">
        <w:tab/>
      </w:r>
      <w:r w:rsidRPr="005B10A4">
        <w:tab/>
      </w:r>
    </w:p>
    <w:p w:rsidRPr="005B10A4" w:rsidR="005648C2" w:rsidP="00193FC8" w:rsidRDefault="002C39DA" w14:paraId="6E244A4F" w14:textId="731C0C66">
      <w:pPr>
        <w:spacing w:line="276" w:lineRule="auto"/>
        <w:contextualSpacing/>
      </w:pPr>
      <w:r w:rsidRPr="005B10A4">
        <w:tab/>
      </w:r>
      <w:r w:rsidRPr="005B10A4">
        <w:tab/>
      </w:r>
      <w:r w:rsidRPr="005B10A4">
        <w:tab/>
      </w:r>
      <w:r w:rsidRPr="005B10A4">
        <w:tab/>
      </w:r>
    </w:p>
    <w:p w:rsidRPr="005B10A4" w:rsidR="00F215C7" w:rsidP="00193FC8" w:rsidRDefault="002C39DA" w14:paraId="4D2D5B45" w14:textId="16149EF7">
      <w:pPr>
        <w:spacing w:line="276" w:lineRule="auto"/>
        <w:contextualSpacing/>
      </w:pPr>
      <w:r w:rsidRPr="005B10A4">
        <w:tab/>
      </w:r>
      <w:r w:rsidRPr="005B10A4">
        <w:tab/>
      </w:r>
      <w:r w:rsidRPr="005B10A4">
        <w:tab/>
      </w:r>
      <w:r w:rsidRPr="005B10A4">
        <w:tab/>
      </w:r>
    </w:p>
    <w:p w:rsidRPr="005B10A4" w:rsidR="006A61D2" w:rsidP="00193FC8" w:rsidRDefault="006A61D2" w14:paraId="6235CE93" w14:textId="77777777">
      <w:pPr>
        <w:spacing w:line="276" w:lineRule="auto"/>
        <w:contextualSpacing/>
      </w:pPr>
    </w:p>
    <w:p w:rsidRPr="005B10A4" w:rsidR="00F3635F" w:rsidP="00193FC8" w:rsidRDefault="00F3635F" w14:paraId="676F5E06" w14:textId="77777777">
      <w:pPr>
        <w:spacing w:line="276" w:lineRule="auto"/>
        <w:contextualSpacing/>
      </w:pPr>
    </w:p>
    <w:p w:rsidRPr="005B10A4" w:rsidR="007F55A6" w:rsidP="00193FC8" w:rsidRDefault="005648C2" w14:paraId="0A2938DF" w14:textId="513228C0">
      <w:pPr>
        <w:spacing w:line="276" w:lineRule="auto"/>
        <w:contextualSpacing/>
      </w:pPr>
      <w:r w:rsidRPr="005B10A4">
        <w:t>Karin Hoogteijling</w:t>
      </w:r>
      <w:r w:rsidRPr="005B10A4" w:rsidR="00220DB3">
        <w:tab/>
      </w:r>
      <w:r w:rsidRPr="005B10A4" w:rsidR="002C39DA">
        <w:tab/>
      </w:r>
      <w:r w:rsidRPr="005B10A4" w:rsidR="002C39DA">
        <w:tab/>
      </w:r>
      <w:r w:rsidRPr="005B10A4" w:rsidR="00220DB3">
        <w:tab/>
      </w:r>
      <w:r w:rsidRPr="005B10A4" w:rsidR="004305D7">
        <w:t>Sven Kelder</w:t>
      </w:r>
    </w:p>
    <w:p w:rsidRPr="005B10A4" w:rsidR="00770E08" w:rsidP="00193FC8" w:rsidRDefault="00770E08" w14:paraId="1E642411" w14:textId="45726CCA">
      <w:pPr>
        <w:spacing w:line="276" w:lineRule="auto"/>
        <w:contextualSpacing/>
      </w:pPr>
      <w:r w:rsidRPr="005B10A4">
        <w:t>Directeur OVAL</w:t>
      </w:r>
      <w:r w:rsidRPr="005B10A4" w:rsidR="004305D7">
        <w:tab/>
      </w:r>
      <w:r w:rsidRPr="005B10A4" w:rsidR="004305D7">
        <w:tab/>
      </w:r>
      <w:r w:rsidRPr="005B10A4" w:rsidR="004305D7">
        <w:tab/>
      </w:r>
      <w:r w:rsidRPr="005B10A4" w:rsidR="002C39DA">
        <w:tab/>
      </w:r>
      <w:r w:rsidRPr="005B10A4" w:rsidR="002C39DA">
        <w:tab/>
      </w:r>
      <w:r w:rsidRPr="005B10A4" w:rsidR="002F5DF3">
        <w:t>Vicevoorzitter</w:t>
      </w:r>
      <w:r w:rsidRPr="005B10A4" w:rsidR="004305D7">
        <w:t xml:space="preserve"> OVAL</w:t>
      </w:r>
    </w:p>
    <w:p w:rsidRPr="005B10A4" w:rsidR="0053189B" w:rsidP="00193FC8" w:rsidRDefault="0053189B" w14:paraId="37AEFE14" w14:textId="4F560D0C">
      <w:pPr>
        <w:spacing w:line="276" w:lineRule="auto"/>
        <w:contextualSpacing/>
      </w:pPr>
    </w:p>
    <w:p w:rsidRPr="005B10A4" w:rsidR="00E67E62" w:rsidP="00193FC8" w:rsidRDefault="00FF21EC" w14:paraId="77926E42" w14:textId="4B25A29E">
      <w:pPr>
        <w:spacing w:line="276" w:lineRule="auto"/>
        <w:contextualSpacing/>
      </w:pPr>
      <w:r w:rsidRPr="005B10A4">
        <w:rPr>
          <w:noProof/>
        </w:rPr>
        <mc:AlternateContent>
          <mc:Choice Requires="wps">
            <w:drawing>
              <wp:anchor distT="45720" distB="45720" distL="114300" distR="114300" simplePos="0" relativeHeight="251658241" behindDoc="0" locked="0" layoutInCell="1" allowOverlap="1" wp14:editId="0DAA4EE2" wp14:anchorId="7DDC7610">
                <wp:simplePos x="0" y="0"/>
                <wp:positionH relativeFrom="margin">
                  <wp:posOffset>0</wp:posOffset>
                </wp:positionH>
                <wp:positionV relativeFrom="paragraph">
                  <wp:posOffset>210185</wp:posOffset>
                </wp:positionV>
                <wp:extent cx="5327650" cy="1404620"/>
                <wp:effectExtent l="0" t="0" r="25400" b="17780"/>
                <wp:wrapSquare wrapText="bothSides"/>
                <wp:docPr id="14196117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1404620"/>
                        </a:xfrm>
                        <a:prstGeom prst="rect">
                          <a:avLst/>
                        </a:prstGeom>
                        <a:solidFill>
                          <a:srgbClr val="FFFFFF"/>
                        </a:solidFill>
                        <a:ln w="9525">
                          <a:solidFill>
                            <a:srgbClr val="000000"/>
                          </a:solidFill>
                          <a:miter lim="800000"/>
                          <a:headEnd/>
                          <a:tailEnd/>
                        </a:ln>
                      </wps:spPr>
                      <wps:txbx>
                        <w:txbxContent>
                          <w:p w:rsidR="00FF21EC" w:rsidP="00FF21EC" w:rsidRDefault="00FF21EC" w14:paraId="42A92654" w14:textId="241FB194">
                            <w:r w:rsidRPr="00CE0B5C">
                              <w:t>OVAL is de brancheorganisatie voor Arbodiensten;  Re-integratie- en interventiebedrijven,  Loopbaanadviseurs en jobcoaches.</w:t>
                            </w:r>
                            <w:r>
                              <w:t xml:space="preserve"> Het hoofddoel van de </w:t>
                            </w:r>
                            <w:r w:rsidRPr="00CE0B5C">
                              <w:t>OVAL is</w:t>
                            </w:r>
                            <w:r>
                              <w:t xml:space="preserve"> het </w:t>
                            </w:r>
                            <w:r w:rsidRPr="00CE0B5C">
                              <w:t>versterken van de positie van mensen op de arbeidsmarkt, zowel voor werkenden als voor mensen met een afstand tot de arbeidsmarkt.</w:t>
                            </w:r>
                            <w:r>
                              <w:t xml:space="preserve"> </w:t>
                            </w:r>
                            <w:r w:rsidR="00EC6D78">
                              <w:t>OVAL</w:t>
                            </w:r>
                            <w:r>
                              <w:t xml:space="preserve"> heeft de overtuiging dat de beste vorm van sociale zekerheid werken is en wanneer dit (tijdelijk) niet mogelijk is er een activerend vangnet moet zijn.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C7610">
                <v:stroke joinstyle="miter"/>
                <v:path gradientshapeok="t" o:connecttype="rect"/>
              </v:shapetype>
              <v:shape id="Tekstvak 2" style="position:absolute;margin-left:0;margin-top:16.55pt;width:419.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ql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">
                <v:textbox style="mso-fit-shape-to-text:t">
                  <w:txbxContent>
                    <w:p w:rsidR="00FF21EC" w:rsidP="00FF21EC" w:rsidRDefault="00FF21EC" w14:paraId="42A92654" w14:textId="241FB194">
                      <w:r w:rsidRPr="00CE0B5C">
                        <w:t>OVAL is de brancheorganisatie voor Arbodiensten;  Re-integratie- en interventiebedrijven,  Loopbaanadviseurs en jobcoaches.</w:t>
                      </w:r>
                      <w:r>
                        <w:t xml:space="preserve"> Het hoofddoel van de </w:t>
                      </w:r>
                      <w:r w:rsidRPr="00CE0B5C">
                        <w:t>OVAL is</w:t>
                      </w:r>
                      <w:r>
                        <w:t xml:space="preserve"> het </w:t>
                      </w:r>
                      <w:r w:rsidRPr="00CE0B5C">
                        <w:t>versterken van de positie van mensen op de arbeidsmarkt, zowel voor werkenden als voor mensen met een afstand tot de arbeidsmarkt.</w:t>
                      </w:r>
                      <w:r>
                        <w:t xml:space="preserve"> </w:t>
                      </w:r>
                      <w:r w:rsidR="00EC6D78">
                        <w:t>OVAL</w:t>
                      </w:r>
                      <w:r>
                        <w:t xml:space="preserve"> heeft de overtuiging dat de beste vorm van sociale zekerheid werken is en wanneer dit (tijdelijk) niet mogelijk is er een activerend vangnet moet zijn.</w:t>
                      </w:r>
                    </w:p>
                  </w:txbxContent>
                </v:textbox>
                <w10:wrap type="square" anchorx="margin"/>
              </v:shape>
            </w:pict>
          </mc:Fallback>
        </mc:AlternateContent>
      </w:r>
      <w:r w:rsidRPr="005B10A4" w:rsidR="00E67E62">
        <w:br w:type="page"/>
      </w:r>
    </w:p>
    <w:p w:rsidRPr="005B10A4" w:rsidR="001D7F81" w:rsidP="00193FC8" w:rsidRDefault="001D7F81" w14:paraId="0C3EB023" w14:textId="2363A2C4">
      <w:pPr>
        <w:spacing w:line="276" w:lineRule="auto"/>
        <w:contextualSpacing/>
        <w:rPr>
          <w:b/>
          <w:bCs/>
        </w:rPr>
      </w:pPr>
      <w:r w:rsidRPr="005B10A4">
        <w:rPr>
          <w:b/>
          <w:bCs/>
        </w:rPr>
        <w:lastRenderedPageBreak/>
        <w:t>Inleiding</w:t>
      </w:r>
    </w:p>
    <w:p w:rsidR="002C0B6F" w:rsidP="002C0B6F" w:rsidRDefault="002C0B6F" w14:paraId="47349482" w14:textId="77777777">
      <w:pPr>
        <w:spacing w:line="276" w:lineRule="auto"/>
        <w:contextualSpacing/>
      </w:pPr>
      <w:r>
        <w:t>De instroom in de WIA neemt toe. De beschikbare cijfers van UWV geven echter nog onvoldoende inzicht in de onderliggende oorzaken. Een substantieel deel van de instroom wordt geregistreerd met reden ‘onbekend’, onder andere doordat voorschotten worden verstrekt voordat een definitieve beoordeling heeft plaatsgevonden. Dit vertroebelt het beeld.</w:t>
      </w:r>
    </w:p>
    <w:p w:rsidRPr="005B10A4" w:rsidR="001E374D" w:rsidP="002C0B6F" w:rsidRDefault="002C0B6F" w14:paraId="5418B41C" w14:textId="473214B8">
      <w:pPr>
        <w:spacing w:line="276" w:lineRule="auto"/>
        <w:contextualSpacing/>
      </w:pPr>
      <w:r>
        <w:t>Voor een goed beleidsdebat is een nadere duiding van de cijfers noodzakelijk, met specifiek aandacht voor de rol van mentale klachten in de instroom.</w:t>
      </w:r>
    </w:p>
    <w:p w:rsidR="002C0B6F" w:rsidP="00193FC8" w:rsidRDefault="002C0B6F" w14:paraId="04887D2C" w14:textId="77777777">
      <w:pPr>
        <w:spacing w:line="276" w:lineRule="auto"/>
        <w:contextualSpacing/>
        <w:rPr>
          <w:b/>
          <w:bCs/>
        </w:rPr>
      </w:pPr>
    </w:p>
    <w:p w:rsidR="00A01E7C" w:rsidP="00193FC8" w:rsidRDefault="00A01E7C" w14:paraId="20E16D89" w14:textId="77777777">
      <w:pPr>
        <w:spacing w:line="276" w:lineRule="auto"/>
        <w:contextualSpacing/>
        <w:rPr>
          <w:b/>
          <w:bCs/>
        </w:rPr>
      </w:pPr>
      <w:r>
        <w:rPr>
          <w:b/>
          <w:bCs/>
        </w:rPr>
        <w:t>W</w:t>
      </w:r>
      <w:r w:rsidRPr="00A01E7C">
        <w:rPr>
          <w:b/>
          <w:bCs/>
        </w:rPr>
        <w:t>at verstaan we onder mentale klachten?</w:t>
      </w:r>
    </w:p>
    <w:p w:rsidR="00F50B8B" w:rsidP="00F50B8B" w:rsidRDefault="00F50B8B" w14:paraId="0739C9C3" w14:textId="77777777">
      <w:pPr>
        <w:spacing w:line="276" w:lineRule="auto"/>
        <w:contextualSpacing/>
      </w:pPr>
      <w:r>
        <w:t>Om de stijging van de instroom goed te kunnen duiden, is een scherpe afbakening van het begrip ‘mentale klachten’ nodig. De WIA is van oudsher ingericht op medische grondslagen die objectief vast te stellen en te onderbouwen zijn met informatie uit de curatieve sector. In die context kan relatief eenduidig worden vastgesteld wanneer sprake is van ‘ziekte’ en arbeidsongeschiktheid.</w:t>
      </w:r>
    </w:p>
    <w:p w:rsidR="00F50B8B" w:rsidP="00F50B8B" w:rsidRDefault="00F50B8B" w14:paraId="4EFDE7E0" w14:textId="77777777">
      <w:pPr>
        <w:spacing w:line="276" w:lineRule="auto"/>
        <w:contextualSpacing/>
      </w:pPr>
      <w:r>
        <w:t>Bij mentale klachten ligt dit fundamenteel anders. De belastbaarheid is minder goed objectiveerbaar, het herstelverloop is vaak grillig en contextafhankelijk, en de relatie tussen klachten en arbeid is minder eenduidig.</w:t>
      </w:r>
    </w:p>
    <w:p w:rsidR="00F50B8B" w:rsidP="00F50B8B" w:rsidRDefault="00F50B8B" w14:paraId="7DB55264" w14:textId="77777777">
      <w:pPr>
        <w:spacing w:line="276" w:lineRule="auto"/>
        <w:contextualSpacing/>
      </w:pPr>
      <w:r>
        <w:t>Tegelijkertijd is de wettelijke basis voor loondoorbetaling breed geformuleerd: werknemers hebben recht op loondoorbetaling wanneer zij hun arbeid niet kunnen verrichten als gevolg van ziekte. In de praktijk schuurt dit bij mentale problematiek, waar de grens tussen ziekte en verminderde belastbaarheid door stressoren in werk of privé diffuus is.</w:t>
      </w:r>
    </w:p>
    <w:p w:rsidR="00AE0372" w:rsidP="00F50B8B" w:rsidRDefault="00F50B8B" w14:paraId="077824CE" w14:textId="3026B440">
      <w:pPr>
        <w:spacing w:line="276" w:lineRule="auto"/>
        <w:contextualSpacing/>
      </w:pPr>
      <w:r>
        <w:t>Dit maakt dat de huidige systematiek onder druk komt te staan: een systeem dat is ingericht op objectieve medische vaststelling, moet omgaan met klachten die zich daar minder goed voor lenen.</w:t>
      </w:r>
    </w:p>
    <w:p w:rsidRPr="005B10A4" w:rsidR="00F50B8B" w:rsidP="00F50B8B" w:rsidRDefault="00F50B8B" w14:paraId="45BD87C0" w14:textId="77777777">
      <w:pPr>
        <w:spacing w:line="276" w:lineRule="auto"/>
        <w:contextualSpacing/>
        <w:rPr>
          <w:b/>
          <w:bCs/>
        </w:rPr>
      </w:pPr>
    </w:p>
    <w:p w:rsidR="00456362" w:rsidP="00193FC8" w:rsidRDefault="00456362" w14:paraId="6A779E91" w14:textId="355854DE">
      <w:pPr>
        <w:spacing w:line="276" w:lineRule="auto"/>
        <w:contextualSpacing/>
        <w:rPr>
          <w:b/>
          <w:bCs/>
        </w:rPr>
      </w:pPr>
      <w:r w:rsidRPr="005B10A4">
        <w:rPr>
          <w:b/>
          <w:bCs/>
        </w:rPr>
        <w:t>Concrete maatregelen</w:t>
      </w:r>
      <w:r w:rsidRPr="005B10A4" w:rsidR="008E3A6F">
        <w:rPr>
          <w:b/>
          <w:bCs/>
        </w:rPr>
        <w:t xml:space="preserve"> instroom mentaal verzuim</w:t>
      </w:r>
    </w:p>
    <w:p w:rsidRPr="005B10A4" w:rsidR="005C6873" w:rsidP="00193FC8" w:rsidRDefault="005C6873" w14:paraId="3AA22DD3" w14:textId="77777777">
      <w:pPr>
        <w:spacing w:line="276" w:lineRule="auto"/>
        <w:contextualSpacing/>
        <w:rPr>
          <w:b/>
          <w:bCs/>
        </w:rPr>
      </w:pPr>
    </w:p>
    <w:p w:rsidR="005C6873" w:rsidP="00BC4003" w:rsidRDefault="005C6873" w14:paraId="5076B0F9" w14:textId="54547412">
      <w:pPr>
        <w:pStyle w:val="Lijstalinea"/>
        <w:numPr>
          <w:ilvl w:val="0"/>
          <w:numId w:val="29"/>
        </w:numPr>
        <w:spacing w:line="276" w:lineRule="auto"/>
        <w:rPr>
          <w:rFonts w:ascii="IBM Plex Sans" w:hAnsi="IBM Plex Sans" w:eastAsia="Times New Roman" w:cs="Arial"/>
          <w:b/>
          <w:bCs/>
          <w:color w:val="auto"/>
          <w:sz w:val="20"/>
          <w:szCs w:val="20"/>
        </w:rPr>
      </w:pPr>
      <w:r w:rsidRPr="005C6873">
        <w:rPr>
          <w:rFonts w:ascii="IBM Plex Sans" w:hAnsi="IBM Plex Sans" w:eastAsia="Times New Roman" w:cs="Arial"/>
          <w:b/>
          <w:bCs/>
          <w:color w:val="auto"/>
          <w:sz w:val="20"/>
          <w:szCs w:val="20"/>
        </w:rPr>
        <w:t>Verruim PSA en versterk preventie</w:t>
      </w:r>
    </w:p>
    <w:p w:rsidRPr="00671CA2" w:rsidR="00671CA2" w:rsidP="00671CA2" w:rsidRDefault="00671CA2" w14:paraId="2C842E91" w14:textId="77777777">
      <w:pPr>
        <w:spacing w:line="276" w:lineRule="auto"/>
        <w:contextualSpacing/>
      </w:pPr>
      <w:r w:rsidRPr="00671CA2">
        <w:t>In de Arbowet wordt psychosociale arbeidsbelasting (PSA) gedefinieerd als werkgerelateerde stress als gevolg van hoge werkdruk en ongewenst gedrag. In de huidige praktijk is deze definitie te beperkt. Mentale uitval wordt in toenemende mate mede bepaald door factoren buiten het werk, zoals financiële problemen, mantelzorg en spanningen in de privésituatie.</w:t>
      </w:r>
    </w:p>
    <w:p w:rsidRPr="00671CA2" w:rsidR="00671CA2" w:rsidP="00671CA2" w:rsidRDefault="00671CA2" w14:paraId="65FB3143" w14:textId="77777777">
      <w:pPr>
        <w:spacing w:line="276" w:lineRule="auto"/>
        <w:contextualSpacing/>
      </w:pPr>
      <w:r w:rsidRPr="00671CA2">
        <w:t xml:space="preserve">De scheidslijn tussen werk en privé is daarmee vervaagd, terwijl het stelsel nog uitgaat van een primair </w:t>
      </w:r>
      <w:proofErr w:type="spellStart"/>
      <w:r w:rsidRPr="00671CA2">
        <w:t>werkgebonden</w:t>
      </w:r>
      <w:proofErr w:type="spellEnd"/>
      <w:r w:rsidRPr="00671CA2">
        <w:t xml:space="preserve"> benadering. Dit belemmert effectieve preventie. Juist de samenloop van werk- en privéfactoren bepaalt in belangrijke mate het risico op uitval én de mogelijkheden voor herstel.</w:t>
      </w:r>
    </w:p>
    <w:p w:rsidRPr="00671CA2" w:rsidR="00671CA2" w:rsidP="00671CA2" w:rsidRDefault="00671CA2" w14:paraId="709DC735" w14:textId="77777777">
      <w:pPr>
        <w:spacing w:line="276" w:lineRule="auto"/>
        <w:contextualSpacing/>
      </w:pPr>
      <w:r w:rsidRPr="00671CA2">
        <w:t xml:space="preserve">OVAL pleit daarom voor een bredere benadering van PSA, waarin ook de privécontext wordt meegenomen. Dit maakt het mogelijk om gerichter preventieve interventies in te zetten en uitval te voorkomen. Werkgevers moeten daarbij beter worden gefaciliteerd om dergelijke </w:t>
      </w:r>
      <w:r w:rsidRPr="00671CA2">
        <w:lastRenderedPageBreak/>
        <w:t>interventies aan te bieden, bijvoorbeeld op het gebied van leefstijl, mentale ondersteuning, financiële problematiek en mantelzorg. Het fiscaal aantrekkelijk maken van deze voorzieningen kan hieraan bijdragen.</w:t>
      </w:r>
    </w:p>
    <w:p w:rsidRPr="005B10A4" w:rsidR="00BF185F" w:rsidP="00671CA2" w:rsidRDefault="00671CA2" w14:paraId="7CF139C2" w14:textId="6FF01D5C">
      <w:pPr>
        <w:spacing w:line="276" w:lineRule="auto"/>
        <w:contextualSpacing/>
      </w:pPr>
      <w:r w:rsidRPr="00671CA2">
        <w:t>Daarnaast vraagt de toename van mentale klachten om een bredere maatschappelijke discussie over werkstress en de veranderende balans tussen werk en privé. Factoren zoals hybride werken, digitalisering en toenemende zorgtaken hebben grote invloed op mentale belasting. Initiatieven zoals de Week van de Werkstress laten zien dat hier aandacht voor is, maar de impact en schaal kunnen aanzienlijk worden vergroot om structureel effect te bereiken.</w:t>
      </w:r>
    </w:p>
    <w:p w:rsidRPr="005B10A4" w:rsidR="00CC4A34" w:rsidP="00193FC8" w:rsidRDefault="00CC4A34" w14:paraId="0FCD4E94" w14:textId="77777777">
      <w:pPr>
        <w:pStyle w:val="Lijstalinea"/>
        <w:spacing w:line="276" w:lineRule="auto"/>
        <w:ind w:left="360"/>
        <w:rPr>
          <w:rFonts w:ascii="IBM Plex Sans" w:hAnsi="IBM Plex Sans" w:eastAsia="Times New Roman" w:cs="Arial"/>
          <w:color w:val="auto"/>
          <w:sz w:val="20"/>
          <w:szCs w:val="20"/>
        </w:rPr>
      </w:pPr>
    </w:p>
    <w:p w:rsidRPr="005B10A4" w:rsidR="006669C6" w:rsidP="00BC4003" w:rsidRDefault="006669C6" w14:paraId="43094727" w14:textId="01CD183E">
      <w:pPr>
        <w:pStyle w:val="Lijstalinea"/>
        <w:numPr>
          <w:ilvl w:val="0"/>
          <w:numId w:val="29"/>
        </w:numPr>
        <w:spacing w:line="276" w:lineRule="auto"/>
        <w:rPr>
          <w:rFonts w:ascii="IBM Plex Sans" w:hAnsi="IBM Plex Sans" w:eastAsia="Times New Roman" w:cs="Arial"/>
          <w:b/>
          <w:bCs/>
          <w:color w:val="auto"/>
          <w:sz w:val="20"/>
          <w:szCs w:val="20"/>
        </w:rPr>
      </w:pPr>
      <w:r w:rsidRPr="005B10A4">
        <w:rPr>
          <w:rFonts w:ascii="IBM Plex Sans" w:hAnsi="IBM Plex Sans" w:eastAsia="Times New Roman" w:cs="Arial"/>
          <w:b/>
          <w:bCs/>
          <w:color w:val="auto"/>
          <w:sz w:val="20"/>
          <w:szCs w:val="20"/>
        </w:rPr>
        <w:t>Arbowetgeving</w:t>
      </w:r>
      <w:r w:rsidRPr="005B10A4" w:rsidR="00A133EE">
        <w:rPr>
          <w:rFonts w:ascii="IBM Plex Sans" w:hAnsi="IBM Plex Sans" w:eastAsia="Times New Roman" w:cs="Arial"/>
          <w:b/>
          <w:bCs/>
          <w:color w:val="auto"/>
          <w:sz w:val="20"/>
          <w:szCs w:val="20"/>
        </w:rPr>
        <w:t xml:space="preserve"> en handhaving</w:t>
      </w:r>
    </w:p>
    <w:p w:rsidR="005679C8" w:rsidP="005679C8" w:rsidRDefault="00226547" w14:paraId="5448DE4D" w14:textId="766FD551">
      <w:pPr>
        <w:spacing w:line="276" w:lineRule="auto"/>
      </w:pPr>
      <w:r w:rsidRPr="00226547">
        <w:t>De Arbowet biedt rond het thema psychosociale arbeidsbelasting met instrumenten zoals de RI&amp;E, PAGO en de inzet van preventiemedewerkers een solide basis om uitval te identificeren en te beperken.</w:t>
      </w:r>
      <w:r>
        <w:t xml:space="preserve"> </w:t>
      </w:r>
      <w:r w:rsidR="005679C8">
        <w:t>In de praktijk worden deze instrumenten echter nog onvoldoende benut, mede doordat de handhaving beperkt is. Zonder actieve inzet verliezen deze middelen hun effect.</w:t>
      </w:r>
    </w:p>
    <w:p w:rsidR="005679C8" w:rsidP="005679C8" w:rsidRDefault="005679C8" w14:paraId="0A851B80" w14:textId="77777777">
      <w:pPr>
        <w:spacing w:line="276" w:lineRule="auto"/>
      </w:pPr>
      <w:r>
        <w:t>Tegelijk bevat de Arbowet het uitgangspunt dat werknemers recht hebben op onafhankelijke begeleiding door de bedrijfsarts. In de huidige praktijk leidt dit, in combinatie met privacywetgeving en de toegenomen rol van privéproblematiek, tot onduidelijkheid in verantwoordelijkheden. Bedrijfsartsen richten zich primair op advisering en ervaren weinig ruimte om werknemers aan te spreken op hun inzet richting re-integratie, terwijl werkgevers hierin juist beperkt handelingsperspectief hebben.</w:t>
      </w:r>
    </w:p>
    <w:p w:rsidRPr="005B10A4" w:rsidR="00B11F22" w:rsidP="005679C8" w:rsidRDefault="005E75E4" w14:paraId="2B32BDE4" w14:textId="0722B055">
      <w:pPr>
        <w:spacing w:line="276" w:lineRule="auto"/>
      </w:pPr>
      <w:r w:rsidRPr="005E75E4">
        <w:t>Dit vraagt om beschrijving van de verantwoordelijkheid van de werknemer ten aanzien van de beschikbaarheid voor werk. Professionals zijn dan beter in staat om ook te wijzen op die verantwoordelijkheid.</w:t>
      </w:r>
      <w:r w:rsidRPr="005B10A4" w:rsidR="00AC1E32">
        <w:br/>
      </w:r>
    </w:p>
    <w:p w:rsidRPr="005B10A4" w:rsidR="007122A0" w:rsidP="008715A2" w:rsidRDefault="00C25D56" w14:paraId="032E018F" w14:textId="3C1D46EA">
      <w:pPr>
        <w:pStyle w:val="Lijstalinea"/>
        <w:numPr>
          <w:ilvl w:val="0"/>
          <w:numId w:val="29"/>
        </w:numPr>
        <w:spacing w:line="276" w:lineRule="auto"/>
        <w:rPr>
          <w:rFonts w:ascii="IBM Plex Sans" w:hAnsi="IBM Plex Sans" w:eastAsia="Times New Roman" w:cs="Arial"/>
          <w:b/>
          <w:bCs/>
          <w:color w:val="auto"/>
          <w:sz w:val="20"/>
          <w:szCs w:val="20"/>
        </w:rPr>
      </w:pPr>
      <w:r w:rsidRPr="005B10A4">
        <w:rPr>
          <w:rFonts w:ascii="IBM Plex Sans" w:hAnsi="IBM Plex Sans" w:eastAsia="Times New Roman" w:cs="Arial"/>
          <w:b/>
          <w:bCs/>
          <w:color w:val="auto"/>
          <w:sz w:val="20"/>
          <w:szCs w:val="20"/>
        </w:rPr>
        <w:t xml:space="preserve">Voorkomen van WIA instroom: </w:t>
      </w:r>
      <w:r w:rsidRPr="005B10A4" w:rsidR="000E271D">
        <w:rPr>
          <w:rFonts w:ascii="IBM Plex Sans" w:hAnsi="IBM Plex Sans" w:eastAsia="Times New Roman" w:cs="Arial"/>
          <w:b/>
          <w:bCs/>
          <w:color w:val="auto"/>
          <w:sz w:val="20"/>
          <w:szCs w:val="20"/>
        </w:rPr>
        <w:t>Activering</w:t>
      </w:r>
      <w:r w:rsidRPr="005B10A4" w:rsidR="00456362">
        <w:rPr>
          <w:rFonts w:ascii="IBM Plex Sans" w:hAnsi="IBM Plex Sans" w:eastAsia="Times New Roman" w:cs="Arial"/>
          <w:b/>
          <w:bCs/>
          <w:color w:val="auto"/>
          <w:sz w:val="20"/>
          <w:szCs w:val="20"/>
        </w:rPr>
        <w:t xml:space="preserve"> tweede jaar</w:t>
      </w:r>
      <w:r w:rsidRPr="005B10A4" w:rsidR="000E271D">
        <w:rPr>
          <w:rFonts w:ascii="IBM Plex Sans" w:hAnsi="IBM Plex Sans" w:eastAsia="Times New Roman" w:cs="Arial"/>
          <w:b/>
          <w:bCs/>
          <w:color w:val="auto"/>
          <w:sz w:val="20"/>
          <w:szCs w:val="20"/>
        </w:rPr>
        <w:t xml:space="preserve"> loondoorbetaling</w:t>
      </w:r>
    </w:p>
    <w:p w:rsidRPr="00905F98" w:rsidR="00905F98" w:rsidP="00905F98" w:rsidRDefault="00905F98" w14:paraId="790E2FD3" w14:textId="77777777">
      <w:pPr>
        <w:spacing w:line="300" w:lineRule="atLeast"/>
        <w:rPr>
          <w:rFonts w:ascii="Segoe UI" w:hAnsi="Segoe UI" w:cs="Segoe UI"/>
          <w:sz w:val="21"/>
          <w:szCs w:val="21"/>
        </w:rPr>
      </w:pPr>
      <w:r w:rsidRPr="00905F98">
        <w:rPr>
          <w:rFonts w:ascii="Segoe UI" w:hAnsi="Segoe UI" w:cs="Segoe UI"/>
          <w:sz w:val="21"/>
          <w:szCs w:val="21"/>
        </w:rPr>
        <w:t>Maak van het tweede jaar loondoorbetaling een mobiliteitsjaar met een mobiliteitsuitkering, gericht op werkhervatting bij een andere werkgever.</w:t>
      </w:r>
    </w:p>
    <w:p w:rsidR="00905F98" w:rsidP="00905F98" w:rsidRDefault="00905F98" w14:paraId="6ABE4600" w14:textId="77777777">
      <w:pPr>
        <w:spacing w:line="300" w:lineRule="atLeast"/>
        <w:rPr>
          <w:rFonts w:ascii="Segoe UI" w:hAnsi="Segoe UI" w:cs="Segoe UI"/>
          <w:sz w:val="21"/>
          <w:szCs w:val="21"/>
        </w:rPr>
      </w:pPr>
      <w:r w:rsidRPr="00905F98">
        <w:rPr>
          <w:rFonts w:ascii="Segoe UI" w:hAnsi="Segoe UI" w:cs="Segoe UI"/>
          <w:sz w:val="21"/>
          <w:szCs w:val="21"/>
        </w:rPr>
        <w:t>Alleen wanneer werkgever en werknemer daar vrijwillig voor kiezen, blijft ruimte om in te zetten op herstel en terugkeer in bestaande functie.</w:t>
      </w:r>
    </w:p>
    <w:p w:rsidRPr="00A14C67" w:rsidR="00A14C67" w:rsidP="00905F98" w:rsidRDefault="00A14C67" w14:paraId="653B13D2" w14:textId="0A4A9838">
      <w:pPr>
        <w:spacing w:line="300" w:lineRule="atLeast"/>
        <w:rPr>
          <w:rFonts w:ascii="Segoe UI" w:hAnsi="Segoe UI" w:cs="Segoe UI"/>
          <w:sz w:val="21"/>
          <w:szCs w:val="21"/>
        </w:rPr>
      </w:pPr>
      <w:r w:rsidRPr="00A14C67">
        <w:rPr>
          <w:rFonts w:ascii="Segoe UI" w:hAnsi="Segoe UI" w:cs="Segoe UI"/>
          <w:sz w:val="21"/>
          <w:szCs w:val="21"/>
        </w:rPr>
        <w:t>Ondersteun dit door de transitievergoeding na één jaar beschikbaar te maken en deze gericht in te zetten voor mobiliteit, bijvoorbeeld voor begeleiding naar ander werk. Dit stimuleert tijdig handelen en voorkomt afwachten.</w:t>
      </w:r>
    </w:p>
    <w:p w:rsidRPr="00A14C67" w:rsidR="00A14C67" w:rsidP="00A14C67" w:rsidRDefault="00A14C67" w14:paraId="26745C32" w14:textId="77777777">
      <w:pPr>
        <w:spacing w:line="300" w:lineRule="atLeast"/>
        <w:rPr>
          <w:rFonts w:ascii="Segoe UI" w:hAnsi="Segoe UI" w:cs="Segoe UI"/>
          <w:sz w:val="21"/>
          <w:szCs w:val="21"/>
        </w:rPr>
      </w:pPr>
      <w:r w:rsidRPr="00A14C67">
        <w:rPr>
          <w:rFonts w:ascii="Segoe UI" w:hAnsi="Segoe UI" w:cs="Segoe UI"/>
          <w:sz w:val="21"/>
          <w:szCs w:val="21"/>
        </w:rPr>
        <w:t>Deze aanpassing past binnen het bestaande stelsel en is relatief snel te realiseren. Het eerste ziektejaar kan worden benut voor herstel en het oplossen van werkgerelateerde problematiek. In het tweede jaar ligt de nadruk op perspectief en duurzame inzetbaarheid. Dit is met name van belang bij langdurige mentale klachten en in situaties waarin de arbeidsrelatie onder druk staat.</w:t>
      </w:r>
    </w:p>
    <w:p w:rsidR="00844543" w:rsidRDefault="00844543" w14:paraId="48ACA911" w14:textId="63B00F59">
      <w:pPr>
        <w:spacing w:line="240" w:lineRule="auto"/>
        <w:rPr>
          <w:b/>
          <w:bCs/>
        </w:rPr>
      </w:pPr>
      <w:r>
        <w:rPr>
          <w:b/>
          <w:bCs/>
        </w:rPr>
        <w:br w:type="page"/>
      </w:r>
    </w:p>
    <w:p w:rsidR="00456362" w:rsidP="003F460F" w:rsidRDefault="004F3C7D" w14:paraId="19CA1047" w14:textId="7EABD15F">
      <w:pPr>
        <w:pStyle w:val="Lijstalinea"/>
        <w:numPr>
          <w:ilvl w:val="0"/>
          <w:numId w:val="29"/>
        </w:numPr>
        <w:spacing w:line="276" w:lineRule="auto"/>
        <w:rPr>
          <w:rFonts w:ascii="IBM Plex Sans" w:hAnsi="IBM Plex Sans" w:eastAsia="Times New Roman" w:cs="Arial"/>
          <w:b/>
          <w:bCs/>
          <w:color w:val="auto"/>
          <w:sz w:val="20"/>
          <w:szCs w:val="20"/>
        </w:rPr>
      </w:pPr>
      <w:r w:rsidRPr="005B10A4">
        <w:rPr>
          <w:rFonts w:ascii="IBM Plex Sans" w:hAnsi="IBM Plex Sans" w:eastAsia="Times New Roman" w:cs="Arial"/>
          <w:b/>
          <w:bCs/>
          <w:color w:val="auto"/>
          <w:sz w:val="20"/>
          <w:szCs w:val="20"/>
        </w:rPr>
        <w:lastRenderedPageBreak/>
        <w:t>B</w:t>
      </w:r>
      <w:r w:rsidRPr="005B10A4" w:rsidR="009F5AEF">
        <w:rPr>
          <w:rFonts w:ascii="IBM Plex Sans" w:hAnsi="IBM Plex Sans" w:eastAsia="Times New Roman" w:cs="Arial"/>
          <w:b/>
          <w:bCs/>
          <w:color w:val="auto"/>
          <w:sz w:val="20"/>
          <w:szCs w:val="20"/>
        </w:rPr>
        <w:t xml:space="preserve">eoordelingscriteria WIA  </w:t>
      </w:r>
    </w:p>
    <w:p w:rsidRPr="003F460F" w:rsidR="003F460F" w:rsidP="003F460F" w:rsidRDefault="003F460F" w14:paraId="00ACEEFF" w14:textId="77777777">
      <w:pPr>
        <w:spacing w:line="276" w:lineRule="auto"/>
        <w:ind w:left="360"/>
        <w:rPr>
          <w:b/>
          <w:bCs/>
        </w:rPr>
      </w:pPr>
    </w:p>
    <w:p w:rsidR="00206E44" w:rsidP="00206E44" w:rsidRDefault="00206E44" w14:paraId="3F52202B" w14:textId="77777777">
      <w:pPr>
        <w:spacing w:line="276" w:lineRule="auto"/>
      </w:pPr>
      <w:r>
        <w:t>De WIA-beoordeling is gebaseerd op het medisch arbeidsongeschiktheidscriterium (MAOC), waarin is vastgelegd dat arbeidsongeschiktheid het gevolg moet zijn van ziekte of gebrek, en niet van factoren zoals werkloosheid of onvoldoende kwalificaties.</w:t>
      </w:r>
    </w:p>
    <w:p w:rsidR="00206E44" w:rsidP="00206E44" w:rsidRDefault="00206E44" w14:paraId="4CA8E8D6" w14:textId="77777777">
      <w:pPr>
        <w:spacing w:line="276" w:lineRule="auto"/>
      </w:pPr>
      <w:r>
        <w:t>In de praktijk staat dit uitgangspunt onder druk. Met name bij moeilijk objectiveerbare mentale klachten wordt de relatie met ziekte minder eenduidig vastgesteld, zeker in een context van lange wachttijden en beperkte beoordelingscapaciteit.</w:t>
      </w:r>
    </w:p>
    <w:p w:rsidR="00206E44" w:rsidP="00206E44" w:rsidRDefault="00206E44" w14:paraId="06F94412" w14:textId="77777777">
      <w:pPr>
        <w:spacing w:line="276" w:lineRule="auto"/>
      </w:pPr>
      <w:r>
        <w:t>Dit is niet alleen een vraagstuk van uitvoering, maar raakt ook de werking van het stelsel. Instroom in de WIA zonder duidelijke medische grondslag biedt mensen op de langere termijn weinig perspectief en kan leiden tot verdere afstand tot de arbeidsmarkt.</w:t>
      </w:r>
    </w:p>
    <w:p w:rsidRPr="005B10A4" w:rsidR="009F5AEF" w:rsidP="00206E44" w:rsidRDefault="00206E44" w14:paraId="2A4FB6B3" w14:textId="23B5105A">
      <w:pPr>
        <w:spacing w:line="276" w:lineRule="auto"/>
      </w:pPr>
      <w:r>
        <w:t>OVAL pleit daarom voor een herijking van de toepassing van het MAOC, met als doel scherper te duiden wanneer sprake is van arbeidsongeschiktheid door ziekte en wanneer andere factoren bepalend zijn. Dit is noodzakelijk om onbedoelde instroom te beperken en het stelsel houdbaar te houden.</w:t>
      </w:r>
    </w:p>
    <w:sectPr w:rsidRPr="005B10A4" w:rsidR="009F5AEF" w:rsidSect="00632C2F">
      <w:headerReference w:type="even" r:id="rId13"/>
      <w:headerReference w:type="default" r:id="rId14"/>
      <w:headerReference w:type="first" r:id="rId15"/>
      <w:footerReference w:type="first" r:id="rId16"/>
      <w:pgSz w:w="11907" w:h="16840" w:code="9"/>
      <w:pgMar w:top="2268" w:right="1417" w:bottom="2268" w:left="2268" w:header="1134" w:footer="709" w:gutter="0"/>
      <w:pgNumType w:start="1"/>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55F3" w14:textId="77777777" w:rsidR="008C44C4" w:rsidRDefault="008C44C4" w:rsidP="007453F9">
      <w:r>
        <w:separator/>
      </w:r>
    </w:p>
  </w:endnote>
  <w:endnote w:type="continuationSeparator" w:id="0">
    <w:p w14:paraId="040F8989" w14:textId="77777777" w:rsidR="008C44C4" w:rsidRDefault="008C44C4" w:rsidP="0074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3636" w14:textId="0390D782" w:rsidR="00D43ABE" w:rsidRPr="00A66A2A" w:rsidRDefault="00D43ABE" w:rsidP="00CE299F">
    <w:pP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D596" w14:textId="77777777" w:rsidR="008C44C4" w:rsidRDefault="008C44C4" w:rsidP="007453F9">
      <w:r>
        <w:separator/>
      </w:r>
    </w:p>
  </w:footnote>
  <w:footnote w:type="continuationSeparator" w:id="0">
    <w:p w14:paraId="2D7F74DB" w14:textId="77777777" w:rsidR="008C44C4" w:rsidRDefault="008C44C4" w:rsidP="0074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79D9" w14:textId="77777777" w:rsidR="002F250E" w:rsidRDefault="00362D42" w:rsidP="007453F9">
    <w:pPr>
      <w:pStyle w:val="Koptekst"/>
    </w:pPr>
    <w:r>
      <w:t>Fout! Verwijzingsbron niet gevonden.</w:t>
    </w:r>
    <w:r w:rsidR="002F250E">
      <w:t xml:space="preserve">- </w:t>
    </w:r>
    <w:r w:rsidR="00860738">
      <w:rPr>
        <w:rStyle w:val="Paginanummer"/>
      </w:rPr>
      <w:fldChar w:fldCharType="begin"/>
    </w:r>
    <w:r w:rsidR="002F250E">
      <w:rPr>
        <w:rStyle w:val="Paginanummer"/>
      </w:rPr>
      <w:instrText xml:space="preserve"> PAGE </w:instrText>
    </w:r>
    <w:r w:rsidR="00860738">
      <w:rPr>
        <w:rStyle w:val="Paginanummer"/>
      </w:rPr>
      <w:fldChar w:fldCharType="separate"/>
    </w:r>
    <w:r w:rsidR="002F250E">
      <w:rPr>
        <w:rStyle w:val="Paginanummer"/>
        <w:noProof/>
      </w:rPr>
      <w:t>2</w:t>
    </w:r>
    <w:r w:rsidR="00860738">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1744" w14:textId="601E2157" w:rsidR="000077A4" w:rsidRDefault="000077A4">
    <w:pPr>
      <w:pStyle w:val="Koptekst"/>
    </w:pPr>
    <w:r>
      <w:rPr>
        <w:noProof/>
      </w:rPr>
      <w:drawing>
        <wp:anchor distT="0" distB="0" distL="114300" distR="114300" simplePos="0" relativeHeight="251658241" behindDoc="1" locked="0" layoutInCell="1" allowOverlap="1" wp14:anchorId="7EF1F545" wp14:editId="60B6AF73">
          <wp:simplePos x="0" y="0"/>
          <wp:positionH relativeFrom="column">
            <wp:posOffset>3244850</wp:posOffset>
          </wp:positionH>
          <wp:positionV relativeFrom="paragraph">
            <wp:posOffset>-362585</wp:posOffset>
          </wp:positionV>
          <wp:extent cx="2540635" cy="752475"/>
          <wp:effectExtent l="0" t="0" r="0" b="0"/>
          <wp:wrapTight wrapText="bothSides">
            <wp:wrapPolygon edited="0">
              <wp:start x="18463" y="0"/>
              <wp:lineTo x="7774" y="3828"/>
              <wp:lineTo x="5831" y="4922"/>
              <wp:lineTo x="5831" y="13671"/>
              <wp:lineTo x="7936" y="17499"/>
              <wp:lineTo x="0" y="18592"/>
              <wp:lineTo x="0" y="21327"/>
              <wp:lineTo x="18301" y="21327"/>
              <wp:lineTo x="18463" y="19686"/>
              <wp:lineTo x="16520" y="18592"/>
              <wp:lineTo x="21379" y="15858"/>
              <wp:lineTo x="21379" y="2187"/>
              <wp:lineTo x="20731" y="0"/>
              <wp:lineTo x="18463" y="0"/>
            </wp:wrapPolygon>
          </wp:wrapTight>
          <wp:docPr id="1333491401"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0634" name="Afbeelding 1" descr="Afbeelding met tekst, Graphics, Lettertype, grafische vormgeving&#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1F60" w14:textId="4A12D20C" w:rsidR="00BD65A8" w:rsidRDefault="00BD65A8" w:rsidP="007453F9">
    <w:pPr>
      <w:pStyle w:val="Koptekst"/>
    </w:pPr>
    <w:r>
      <w:rPr>
        <w:noProof/>
      </w:rPr>
      <w:drawing>
        <wp:anchor distT="0" distB="0" distL="114300" distR="114300" simplePos="0" relativeHeight="251658240" behindDoc="1" locked="0" layoutInCell="1" allowOverlap="1" wp14:anchorId="50FF390C" wp14:editId="5E880D1B">
          <wp:simplePos x="0" y="0"/>
          <wp:positionH relativeFrom="column">
            <wp:posOffset>3305175</wp:posOffset>
          </wp:positionH>
          <wp:positionV relativeFrom="paragraph">
            <wp:posOffset>-505460</wp:posOffset>
          </wp:positionV>
          <wp:extent cx="2540635" cy="752475"/>
          <wp:effectExtent l="0" t="0" r="0" b="0"/>
          <wp:wrapTight wrapText="bothSides">
            <wp:wrapPolygon edited="0">
              <wp:start x="18463" y="0"/>
              <wp:lineTo x="7774" y="3828"/>
              <wp:lineTo x="5831" y="4922"/>
              <wp:lineTo x="5831" y="13671"/>
              <wp:lineTo x="7936" y="17499"/>
              <wp:lineTo x="0" y="18592"/>
              <wp:lineTo x="0" y="21327"/>
              <wp:lineTo x="18301" y="21327"/>
              <wp:lineTo x="18463" y="19686"/>
              <wp:lineTo x="16520" y="18592"/>
              <wp:lineTo x="21379" y="15858"/>
              <wp:lineTo x="21379" y="2187"/>
              <wp:lineTo x="20731" y="0"/>
              <wp:lineTo x="18463" y="0"/>
            </wp:wrapPolygon>
          </wp:wrapTight>
          <wp:docPr id="1922642831"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0634" name="Afbeelding 1" descr="Afbeelding met tekst, Graphics, Lettertype, grafische vormgeving&#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752475"/>
                  </a:xfrm>
                  <a:prstGeom prst="rect">
                    <a:avLst/>
                  </a:prstGeom>
                </pic:spPr>
              </pic:pic>
            </a:graphicData>
          </a:graphic>
          <wp14:sizeRelH relativeFrom="margin">
            <wp14:pctWidth>0</wp14:pctWidth>
          </wp14:sizeRelH>
          <wp14:sizeRelV relativeFrom="margin">
            <wp14:pctHeight>0</wp14:pctHeight>
          </wp14:sizeRelV>
        </wp:anchor>
      </w:drawing>
    </w:r>
  </w:p>
  <w:p w14:paraId="1BADEA4C" w14:textId="77777777" w:rsidR="00BD65A8" w:rsidRDefault="00BD65A8" w:rsidP="007453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6C"/>
    <w:multiLevelType w:val="multilevel"/>
    <w:tmpl w:val="421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39A3"/>
    <w:multiLevelType w:val="hybridMultilevel"/>
    <w:tmpl w:val="CB922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C1DBA"/>
    <w:multiLevelType w:val="hybridMultilevel"/>
    <w:tmpl w:val="27AA2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A27110"/>
    <w:multiLevelType w:val="hybridMultilevel"/>
    <w:tmpl w:val="BCF831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125ED0"/>
    <w:multiLevelType w:val="multilevel"/>
    <w:tmpl w:val="1A7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155D1"/>
    <w:multiLevelType w:val="hybridMultilevel"/>
    <w:tmpl w:val="F91EB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6C5F98"/>
    <w:multiLevelType w:val="multilevel"/>
    <w:tmpl w:val="0632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F347B"/>
    <w:multiLevelType w:val="hybridMultilevel"/>
    <w:tmpl w:val="0A104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A055AE"/>
    <w:multiLevelType w:val="hybridMultilevel"/>
    <w:tmpl w:val="6E1A35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9D63712"/>
    <w:multiLevelType w:val="multilevel"/>
    <w:tmpl w:val="0B7A9DFA"/>
    <w:lvl w:ilvl="0">
      <w:start w:val="1"/>
      <w:numFmt w:val="decimal"/>
      <w:lvlText w:val="%1."/>
      <w:lvlJc w:val="left"/>
      <w:pPr>
        <w:tabs>
          <w:tab w:val="num" w:pos="1738"/>
        </w:tabs>
        <w:ind w:left="1738" w:hanging="360"/>
      </w:pPr>
      <w:rPr>
        <w:rFonts w:hint="default"/>
      </w:rPr>
    </w:lvl>
    <w:lvl w:ilvl="1">
      <w:start w:val="1"/>
      <w:numFmt w:val="decimal"/>
      <w:pStyle w:val="niveau2"/>
      <w:lvlText w:val="%1.%2."/>
      <w:lvlJc w:val="left"/>
      <w:pPr>
        <w:tabs>
          <w:tab w:val="num" w:pos="2458"/>
        </w:tabs>
        <w:ind w:left="2170" w:hanging="432"/>
      </w:pPr>
      <w:rPr>
        <w:rFonts w:hint="default"/>
      </w:rPr>
    </w:lvl>
    <w:lvl w:ilvl="2">
      <w:start w:val="1"/>
      <w:numFmt w:val="decimal"/>
      <w:pStyle w:val="Niveau3"/>
      <w:lvlText w:val="%1.%2.%3."/>
      <w:lvlJc w:val="left"/>
      <w:pPr>
        <w:tabs>
          <w:tab w:val="num" w:pos="2818"/>
        </w:tabs>
        <w:ind w:left="2602" w:hanging="504"/>
      </w:pPr>
      <w:rPr>
        <w:rFonts w:hint="default"/>
      </w:rPr>
    </w:lvl>
    <w:lvl w:ilvl="3">
      <w:start w:val="1"/>
      <w:numFmt w:val="decimal"/>
      <w:lvlText w:val="%1.%2.%3.%4."/>
      <w:lvlJc w:val="left"/>
      <w:pPr>
        <w:tabs>
          <w:tab w:val="num" w:pos="3538"/>
        </w:tabs>
        <w:ind w:left="3106" w:hanging="648"/>
      </w:pPr>
      <w:rPr>
        <w:rFonts w:hint="default"/>
      </w:rPr>
    </w:lvl>
    <w:lvl w:ilvl="4">
      <w:start w:val="1"/>
      <w:numFmt w:val="decimal"/>
      <w:lvlText w:val="%1.%2.%3.%4.%5."/>
      <w:lvlJc w:val="left"/>
      <w:pPr>
        <w:tabs>
          <w:tab w:val="num" w:pos="4258"/>
        </w:tabs>
        <w:ind w:left="3610" w:hanging="792"/>
      </w:pPr>
      <w:rPr>
        <w:rFonts w:hint="default"/>
      </w:rPr>
    </w:lvl>
    <w:lvl w:ilvl="5">
      <w:start w:val="1"/>
      <w:numFmt w:val="decimal"/>
      <w:lvlText w:val="%1.%2.%3.%4.%5.%6."/>
      <w:lvlJc w:val="left"/>
      <w:pPr>
        <w:tabs>
          <w:tab w:val="num" w:pos="4618"/>
        </w:tabs>
        <w:ind w:left="4114" w:hanging="936"/>
      </w:pPr>
      <w:rPr>
        <w:rFonts w:hint="default"/>
      </w:rPr>
    </w:lvl>
    <w:lvl w:ilvl="6">
      <w:start w:val="1"/>
      <w:numFmt w:val="decimal"/>
      <w:lvlText w:val="%1.%2.%3.%4.%5.%6.%7."/>
      <w:lvlJc w:val="left"/>
      <w:pPr>
        <w:tabs>
          <w:tab w:val="num" w:pos="5338"/>
        </w:tabs>
        <w:ind w:left="4618" w:hanging="1080"/>
      </w:pPr>
      <w:rPr>
        <w:rFonts w:hint="default"/>
      </w:rPr>
    </w:lvl>
    <w:lvl w:ilvl="7">
      <w:start w:val="1"/>
      <w:numFmt w:val="decimal"/>
      <w:lvlText w:val="%1.%2.%3.%4.%5.%6.%7.%8."/>
      <w:lvlJc w:val="left"/>
      <w:pPr>
        <w:tabs>
          <w:tab w:val="num" w:pos="6058"/>
        </w:tabs>
        <w:ind w:left="5122" w:hanging="1224"/>
      </w:pPr>
      <w:rPr>
        <w:rFonts w:hint="default"/>
      </w:rPr>
    </w:lvl>
    <w:lvl w:ilvl="8">
      <w:start w:val="1"/>
      <w:numFmt w:val="decimal"/>
      <w:lvlText w:val="%1.%2.%3.%4.%5.%6.%7.%8.%9."/>
      <w:lvlJc w:val="left"/>
      <w:pPr>
        <w:tabs>
          <w:tab w:val="num" w:pos="6418"/>
        </w:tabs>
        <w:ind w:left="5698" w:hanging="1440"/>
      </w:pPr>
      <w:rPr>
        <w:rFonts w:hint="default"/>
      </w:rPr>
    </w:lvl>
  </w:abstractNum>
  <w:abstractNum w:abstractNumId="10" w15:restartNumberingAfterBreak="0">
    <w:nsid w:val="2A5D5FCE"/>
    <w:multiLevelType w:val="multilevel"/>
    <w:tmpl w:val="750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A02C0"/>
    <w:multiLevelType w:val="multilevel"/>
    <w:tmpl w:val="6B749A0C"/>
    <w:lvl w:ilvl="0">
      <w:start w:val="1"/>
      <w:numFmt w:val="decimal"/>
      <w:pStyle w:val="Niveau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FA625FC"/>
    <w:multiLevelType w:val="hybridMultilevel"/>
    <w:tmpl w:val="F69C8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1F0AB0"/>
    <w:multiLevelType w:val="hybridMultilevel"/>
    <w:tmpl w:val="B614D2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59004F1"/>
    <w:multiLevelType w:val="hybridMultilevel"/>
    <w:tmpl w:val="094AD3E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6521BD3"/>
    <w:multiLevelType w:val="multilevel"/>
    <w:tmpl w:val="442002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AEC0DFB"/>
    <w:multiLevelType w:val="hybridMultilevel"/>
    <w:tmpl w:val="C3FE6C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B26326E"/>
    <w:multiLevelType w:val="multilevel"/>
    <w:tmpl w:val="B29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734C5"/>
    <w:multiLevelType w:val="multilevel"/>
    <w:tmpl w:val="61D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56C65"/>
    <w:multiLevelType w:val="hybridMultilevel"/>
    <w:tmpl w:val="3CFE6F2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A326EB1"/>
    <w:multiLevelType w:val="multilevel"/>
    <w:tmpl w:val="840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03AB8"/>
    <w:multiLevelType w:val="hybridMultilevel"/>
    <w:tmpl w:val="C9A8AFFE"/>
    <w:lvl w:ilvl="0" w:tplc="0AB03B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9D22B4"/>
    <w:multiLevelType w:val="singleLevel"/>
    <w:tmpl w:val="969097D4"/>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8D3117"/>
    <w:multiLevelType w:val="hybridMultilevel"/>
    <w:tmpl w:val="DC6C9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726590"/>
    <w:multiLevelType w:val="multilevel"/>
    <w:tmpl w:val="2CB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C54A3"/>
    <w:multiLevelType w:val="hybridMultilevel"/>
    <w:tmpl w:val="487E8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D9D393E"/>
    <w:multiLevelType w:val="hybridMultilevel"/>
    <w:tmpl w:val="8CBEE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250185"/>
    <w:multiLevelType w:val="multilevel"/>
    <w:tmpl w:val="0AE4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43422">
    <w:abstractNumId w:val="11"/>
  </w:num>
  <w:num w:numId="2" w16cid:durableId="1402286661">
    <w:abstractNumId w:val="9"/>
  </w:num>
  <w:num w:numId="3" w16cid:durableId="734547829">
    <w:abstractNumId w:val="9"/>
  </w:num>
  <w:num w:numId="4" w16cid:durableId="505638524">
    <w:abstractNumId w:val="22"/>
  </w:num>
  <w:num w:numId="5" w16cid:durableId="1443184691">
    <w:abstractNumId w:val="21"/>
  </w:num>
  <w:num w:numId="6" w16cid:durableId="359596828">
    <w:abstractNumId w:val="26"/>
  </w:num>
  <w:num w:numId="7" w16cid:durableId="2145853991">
    <w:abstractNumId w:val="23"/>
  </w:num>
  <w:num w:numId="8" w16cid:durableId="1039664127">
    <w:abstractNumId w:val="2"/>
  </w:num>
  <w:num w:numId="9" w16cid:durableId="444933713">
    <w:abstractNumId w:val="15"/>
  </w:num>
  <w:num w:numId="10" w16cid:durableId="1506705149">
    <w:abstractNumId w:val="10"/>
  </w:num>
  <w:num w:numId="11" w16cid:durableId="384649557">
    <w:abstractNumId w:val="1"/>
  </w:num>
  <w:num w:numId="12" w16cid:durableId="874998169">
    <w:abstractNumId w:val="4"/>
  </w:num>
  <w:num w:numId="13" w16cid:durableId="1406953655">
    <w:abstractNumId w:val="20"/>
  </w:num>
  <w:num w:numId="14" w16cid:durableId="2042702143">
    <w:abstractNumId w:val="27"/>
  </w:num>
  <w:num w:numId="15" w16cid:durableId="1984189829">
    <w:abstractNumId w:val="0"/>
  </w:num>
  <w:num w:numId="16" w16cid:durableId="1690645760">
    <w:abstractNumId w:val="6"/>
  </w:num>
  <w:num w:numId="17" w16cid:durableId="1244946240">
    <w:abstractNumId w:val="24"/>
  </w:num>
  <w:num w:numId="18" w16cid:durableId="1666203482">
    <w:abstractNumId w:val="18"/>
  </w:num>
  <w:num w:numId="19" w16cid:durableId="2106533627">
    <w:abstractNumId w:val="25"/>
  </w:num>
  <w:num w:numId="20" w16cid:durableId="782846811">
    <w:abstractNumId w:val="8"/>
  </w:num>
  <w:num w:numId="21" w16cid:durableId="1162508874">
    <w:abstractNumId w:val="19"/>
  </w:num>
  <w:num w:numId="22" w16cid:durableId="1839223422">
    <w:abstractNumId w:val="16"/>
  </w:num>
  <w:num w:numId="23" w16cid:durableId="924798307">
    <w:abstractNumId w:val="14"/>
  </w:num>
  <w:num w:numId="24" w16cid:durableId="1068572549">
    <w:abstractNumId w:val="13"/>
  </w:num>
  <w:num w:numId="25" w16cid:durableId="1714815496">
    <w:abstractNumId w:val="17"/>
  </w:num>
  <w:num w:numId="26" w16cid:durableId="1475640252">
    <w:abstractNumId w:val="7"/>
  </w:num>
  <w:num w:numId="27" w16cid:durableId="1150829730">
    <w:abstractNumId w:val="12"/>
  </w:num>
  <w:num w:numId="28" w16cid:durableId="446198774">
    <w:abstractNumId w:val="5"/>
  </w:num>
  <w:num w:numId="29" w16cid:durableId="418602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aam" w:val="G\'5c'5c'5c'5c'5c'5c'5c'5c'5c'5c'5c\'5c'5c'5c'5c'5c'5c'5c'5c'5c'5c\'5c'5c'5c'5c'5c'5c'5c'5c'5c\'5c'5c'5c'5c'5c'5c'5c'5c\'5c'5c'5c'5c'5c'5c'5c\'5c'5c'5c'5c'5c'5c\'5c'5c'5c'5c'5c\'5c'5c'5c'5c\'5c'5c'5c\'5c'5c\'5c\:\'5c'5c'5c'5c'5c'5c'5c'5c'5c'5c'5c'5cDSV-SAB\'5c'5c'5c'5c'5c'5c'5c'5c'5c'5c'5c'5cVSR\'5c'5c'5c'5c'5c'5c'5c'5c'5c'5c'5c'5cBRI\'5c'5c'5c'5c'5c'5c'5c'5c'5c'5c'5c'5c1000964.DOC"/>
    <w:docVar w:name="Kenmerk" w:val="VSR.BRI.964"/>
  </w:docVars>
  <w:rsids>
    <w:rsidRoot w:val="005E3281"/>
    <w:rsid w:val="00003DBB"/>
    <w:rsid w:val="000077A4"/>
    <w:rsid w:val="0001180A"/>
    <w:rsid w:val="0001444E"/>
    <w:rsid w:val="00014537"/>
    <w:rsid w:val="00014552"/>
    <w:rsid w:val="00014E66"/>
    <w:rsid w:val="00017216"/>
    <w:rsid w:val="00017304"/>
    <w:rsid w:val="00017DCC"/>
    <w:rsid w:val="00022912"/>
    <w:rsid w:val="00025B70"/>
    <w:rsid w:val="00026267"/>
    <w:rsid w:val="000312EF"/>
    <w:rsid w:val="000314B0"/>
    <w:rsid w:val="00036225"/>
    <w:rsid w:val="0003697E"/>
    <w:rsid w:val="00045807"/>
    <w:rsid w:val="0005146B"/>
    <w:rsid w:val="00053AD7"/>
    <w:rsid w:val="000569AB"/>
    <w:rsid w:val="000618B4"/>
    <w:rsid w:val="000649FE"/>
    <w:rsid w:val="00066BCC"/>
    <w:rsid w:val="00067D49"/>
    <w:rsid w:val="00072EE6"/>
    <w:rsid w:val="000731A0"/>
    <w:rsid w:val="0007492C"/>
    <w:rsid w:val="00075D0C"/>
    <w:rsid w:val="00076A81"/>
    <w:rsid w:val="00082D7C"/>
    <w:rsid w:val="000856E2"/>
    <w:rsid w:val="00094838"/>
    <w:rsid w:val="00095802"/>
    <w:rsid w:val="000958F6"/>
    <w:rsid w:val="00097F02"/>
    <w:rsid w:val="000A1C0E"/>
    <w:rsid w:val="000A3603"/>
    <w:rsid w:val="000B19C5"/>
    <w:rsid w:val="000B4600"/>
    <w:rsid w:val="000B5251"/>
    <w:rsid w:val="000B7C4E"/>
    <w:rsid w:val="000C0F7C"/>
    <w:rsid w:val="000C1414"/>
    <w:rsid w:val="000C7D67"/>
    <w:rsid w:val="000D0942"/>
    <w:rsid w:val="000D1559"/>
    <w:rsid w:val="000D38A5"/>
    <w:rsid w:val="000D6A79"/>
    <w:rsid w:val="000E271D"/>
    <w:rsid w:val="000F5122"/>
    <w:rsid w:val="000F77CA"/>
    <w:rsid w:val="001029BD"/>
    <w:rsid w:val="0010365C"/>
    <w:rsid w:val="001037BD"/>
    <w:rsid w:val="00103EE5"/>
    <w:rsid w:val="00110B7F"/>
    <w:rsid w:val="00111E91"/>
    <w:rsid w:val="0011291F"/>
    <w:rsid w:val="00112FDB"/>
    <w:rsid w:val="0012561E"/>
    <w:rsid w:val="0013227B"/>
    <w:rsid w:val="001328EE"/>
    <w:rsid w:val="00137933"/>
    <w:rsid w:val="00146005"/>
    <w:rsid w:val="00147B19"/>
    <w:rsid w:val="001510CA"/>
    <w:rsid w:val="00152F49"/>
    <w:rsid w:val="00156C28"/>
    <w:rsid w:val="00157DBF"/>
    <w:rsid w:val="00163C25"/>
    <w:rsid w:val="0017127F"/>
    <w:rsid w:val="00176B3C"/>
    <w:rsid w:val="00182234"/>
    <w:rsid w:val="00183920"/>
    <w:rsid w:val="00185DD2"/>
    <w:rsid w:val="00193724"/>
    <w:rsid w:val="00193FC8"/>
    <w:rsid w:val="0019595F"/>
    <w:rsid w:val="001A0F48"/>
    <w:rsid w:val="001A0F76"/>
    <w:rsid w:val="001A28AA"/>
    <w:rsid w:val="001A55CD"/>
    <w:rsid w:val="001B1D0B"/>
    <w:rsid w:val="001C04C3"/>
    <w:rsid w:val="001D20E8"/>
    <w:rsid w:val="001D34D9"/>
    <w:rsid w:val="001D3FD6"/>
    <w:rsid w:val="001D52D0"/>
    <w:rsid w:val="001D66F0"/>
    <w:rsid w:val="001D768C"/>
    <w:rsid w:val="001D7F81"/>
    <w:rsid w:val="001E107B"/>
    <w:rsid w:val="001E26ED"/>
    <w:rsid w:val="001E3695"/>
    <w:rsid w:val="001E374D"/>
    <w:rsid w:val="001E4211"/>
    <w:rsid w:val="001F2DBA"/>
    <w:rsid w:val="001F3D79"/>
    <w:rsid w:val="00201F22"/>
    <w:rsid w:val="0020435F"/>
    <w:rsid w:val="00206E44"/>
    <w:rsid w:val="00213F20"/>
    <w:rsid w:val="00220DB3"/>
    <w:rsid w:val="00222368"/>
    <w:rsid w:val="0022518D"/>
    <w:rsid w:val="00225220"/>
    <w:rsid w:val="00226547"/>
    <w:rsid w:val="002330DE"/>
    <w:rsid w:val="00244B80"/>
    <w:rsid w:val="002540EF"/>
    <w:rsid w:val="00261088"/>
    <w:rsid w:val="0028187C"/>
    <w:rsid w:val="00284605"/>
    <w:rsid w:val="002854CB"/>
    <w:rsid w:val="002917B6"/>
    <w:rsid w:val="00297457"/>
    <w:rsid w:val="002A6813"/>
    <w:rsid w:val="002B3D48"/>
    <w:rsid w:val="002C0B6F"/>
    <w:rsid w:val="002C144E"/>
    <w:rsid w:val="002C39DA"/>
    <w:rsid w:val="002F250E"/>
    <w:rsid w:val="002F3EB8"/>
    <w:rsid w:val="002F50CE"/>
    <w:rsid w:val="002F5DF3"/>
    <w:rsid w:val="00306A2A"/>
    <w:rsid w:val="0031163C"/>
    <w:rsid w:val="003120F7"/>
    <w:rsid w:val="00316511"/>
    <w:rsid w:val="00327827"/>
    <w:rsid w:val="0033425B"/>
    <w:rsid w:val="003445F7"/>
    <w:rsid w:val="00344916"/>
    <w:rsid w:val="00346C17"/>
    <w:rsid w:val="0035365F"/>
    <w:rsid w:val="00356ADA"/>
    <w:rsid w:val="00357355"/>
    <w:rsid w:val="00362D42"/>
    <w:rsid w:val="00362F1E"/>
    <w:rsid w:val="00362F5D"/>
    <w:rsid w:val="003644B3"/>
    <w:rsid w:val="00364802"/>
    <w:rsid w:val="00367FA5"/>
    <w:rsid w:val="00377384"/>
    <w:rsid w:val="00377D9F"/>
    <w:rsid w:val="00377EA1"/>
    <w:rsid w:val="003823E8"/>
    <w:rsid w:val="00383875"/>
    <w:rsid w:val="00384861"/>
    <w:rsid w:val="003951CC"/>
    <w:rsid w:val="00395605"/>
    <w:rsid w:val="003A4107"/>
    <w:rsid w:val="003A6DD7"/>
    <w:rsid w:val="003B3DC0"/>
    <w:rsid w:val="003B671A"/>
    <w:rsid w:val="003C5C06"/>
    <w:rsid w:val="003C5EE6"/>
    <w:rsid w:val="003C6CF2"/>
    <w:rsid w:val="003D3C69"/>
    <w:rsid w:val="003D5428"/>
    <w:rsid w:val="003D793E"/>
    <w:rsid w:val="003D7C41"/>
    <w:rsid w:val="003E2481"/>
    <w:rsid w:val="003E430E"/>
    <w:rsid w:val="003E6C4E"/>
    <w:rsid w:val="003E7F90"/>
    <w:rsid w:val="003F1A8A"/>
    <w:rsid w:val="003F460F"/>
    <w:rsid w:val="0040366B"/>
    <w:rsid w:val="00404990"/>
    <w:rsid w:val="00406832"/>
    <w:rsid w:val="004102EC"/>
    <w:rsid w:val="004153B5"/>
    <w:rsid w:val="00415692"/>
    <w:rsid w:val="00422E6E"/>
    <w:rsid w:val="0042321B"/>
    <w:rsid w:val="00424D31"/>
    <w:rsid w:val="004305D7"/>
    <w:rsid w:val="00434249"/>
    <w:rsid w:val="00456362"/>
    <w:rsid w:val="00460783"/>
    <w:rsid w:val="00464A9F"/>
    <w:rsid w:val="00465F5B"/>
    <w:rsid w:val="0046731F"/>
    <w:rsid w:val="00471F65"/>
    <w:rsid w:val="0048300E"/>
    <w:rsid w:val="00486AFF"/>
    <w:rsid w:val="004A04E4"/>
    <w:rsid w:val="004B0AB1"/>
    <w:rsid w:val="004B69E6"/>
    <w:rsid w:val="004B7F88"/>
    <w:rsid w:val="004C2612"/>
    <w:rsid w:val="004C2A70"/>
    <w:rsid w:val="004C5EB0"/>
    <w:rsid w:val="004C69F2"/>
    <w:rsid w:val="004D09C9"/>
    <w:rsid w:val="004D0CF3"/>
    <w:rsid w:val="004D7567"/>
    <w:rsid w:val="004E4F3B"/>
    <w:rsid w:val="004E61FF"/>
    <w:rsid w:val="004F13FC"/>
    <w:rsid w:val="004F3C7D"/>
    <w:rsid w:val="00502A0F"/>
    <w:rsid w:val="005100F2"/>
    <w:rsid w:val="00513D3A"/>
    <w:rsid w:val="0051559B"/>
    <w:rsid w:val="0052524D"/>
    <w:rsid w:val="00525F11"/>
    <w:rsid w:val="0053189B"/>
    <w:rsid w:val="00542B60"/>
    <w:rsid w:val="005431EB"/>
    <w:rsid w:val="00545B33"/>
    <w:rsid w:val="00545CD0"/>
    <w:rsid w:val="005516CC"/>
    <w:rsid w:val="00553202"/>
    <w:rsid w:val="00560636"/>
    <w:rsid w:val="005648C2"/>
    <w:rsid w:val="005664AE"/>
    <w:rsid w:val="005668E8"/>
    <w:rsid w:val="00567311"/>
    <w:rsid w:val="005679C8"/>
    <w:rsid w:val="00567BB4"/>
    <w:rsid w:val="00572E41"/>
    <w:rsid w:val="00574D32"/>
    <w:rsid w:val="0057597D"/>
    <w:rsid w:val="00582CD7"/>
    <w:rsid w:val="00585312"/>
    <w:rsid w:val="00586CE1"/>
    <w:rsid w:val="00590166"/>
    <w:rsid w:val="00590E0A"/>
    <w:rsid w:val="005914A1"/>
    <w:rsid w:val="005949B1"/>
    <w:rsid w:val="005A2378"/>
    <w:rsid w:val="005A5C49"/>
    <w:rsid w:val="005B10A4"/>
    <w:rsid w:val="005B17B5"/>
    <w:rsid w:val="005B7427"/>
    <w:rsid w:val="005C0005"/>
    <w:rsid w:val="005C63B1"/>
    <w:rsid w:val="005C6873"/>
    <w:rsid w:val="005C78E6"/>
    <w:rsid w:val="005D2497"/>
    <w:rsid w:val="005D4F30"/>
    <w:rsid w:val="005D60BA"/>
    <w:rsid w:val="005E2BFE"/>
    <w:rsid w:val="005E3281"/>
    <w:rsid w:val="005E75E4"/>
    <w:rsid w:val="005F03CA"/>
    <w:rsid w:val="005F4CE6"/>
    <w:rsid w:val="00601DCB"/>
    <w:rsid w:val="006058C2"/>
    <w:rsid w:val="00606DB9"/>
    <w:rsid w:val="00610EE3"/>
    <w:rsid w:val="00611804"/>
    <w:rsid w:val="006136AB"/>
    <w:rsid w:val="00614B56"/>
    <w:rsid w:val="00614BB3"/>
    <w:rsid w:val="00615A41"/>
    <w:rsid w:val="006163B2"/>
    <w:rsid w:val="006165C1"/>
    <w:rsid w:val="0062006E"/>
    <w:rsid w:val="00620A56"/>
    <w:rsid w:val="00626595"/>
    <w:rsid w:val="00626ADD"/>
    <w:rsid w:val="0063068B"/>
    <w:rsid w:val="0063286C"/>
    <w:rsid w:val="00632C2F"/>
    <w:rsid w:val="00637868"/>
    <w:rsid w:val="00642021"/>
    <w:rsid w:val="006424B7"/>
    <w:rsid w:val="0064726D"/>
    <w:rsid w:val="006503C9"/>
    <w:rsid w:val="00652A07"/>
    <w:rsid w:val="00656462"/>
    <w:rsid w:val="00656F69"/>
    <w:rsid w:val="00657925"/>
    <w:rsid w:val="006669C6"/>
    <w:rsid w:val="00671CA2"/>
    <w:rsid w:val="0067342B"/>
    <w:rsid w:val="00675C31"/>
    <w:rsid w:val="0068320C"/>
    <w:rsid w:val="00685AD1"/>
    <w:rsid w:val="00687552"/>
    <w:rsid w:val="00695E4E"/>
    <w:rsid w:val="006A14A9"/>
    <w:rsid w:val="006A61D2"/>
    <w:rsid w:val="006A6774"/>
    <w:rsid w:val="006B275E"/>
    <w:rsid w:val="006B38C5"/>
    <w:rsid w:val="006C684A"/>
    <w:rsid w:val="006D2DA8"/>
    <w:rsid w:val="006D5E46"/>
    <w:rsid w:val="006E052C"/>
    <w:rsid w:val="006E339A"/>
    <w:rsid w:val="006E33B3"/>
    <w:rsid w:val="006E4C51"/>
    <w:rsid w:val="006E5532"/>
    <w:rsid w:val="006F03DE"/>
    <w:rsid w:val="006F0778"/>
    <w:rsid w:val="006F5EBF"/>
    <w:rsid w:val="00700673"/>
    <w:rsid w:val="00700C01"/>
    <w:rsid w:val="00704537"/>
    <w:rsid w:val="00705978"/>
    <w:rsid w:val="0070768B"/>
    <w:rsid w:val="007077A0"/>
    <w:rsid w:val="007122A0"/>
    <w:rsid w:val="00713BB8"/>
    <w:rsid w:val="00713C92"/>
    <w:rsid w:val="007251A8"/>
    <w:rsid w:val="00726C67"/>
    <w:rsid w:val="007327AB"/>
    <w:rsid w:val="00732BDC"/>
    <w:rsid w:val="0073401E"/>
    <w:rsid w:val="00737C46"/>
    <w:rsid w:val="00743B23"/>
    <w:rsid w:val="007453F9"/>
    <w:rsid w:val="00750683"/>
    <w:rsid w:val="0075115B"/>
    <w:rsid w:val="0075227C"/>
    <w:rsid w:val="00756430"/>
    <w:rsid w:val="00756566"/>
    <w:rsid w:val="00770E08"/>
    <w:rsid w:val="00783A45"/>
    <w:rsid w:val="00784AF1"/>
    <w:rsid w:val="0078561D"/>
    <w:rsid w:val="0078629D"/>
    <w:rsid w:val="00790B71"/>
    <w:rsid w:val="007969B5"/>
    <w:rsid w:val="007A2FB9"/>
    <w:rsid w:val="007A4BB4"/>
    <w:rsid w:val="007A677E"/>
    <w:rsid w:val="007A6B93"/>
    <w:rsid w:val="007B2CCE"/>
    <w:rsid w:val="007B4E4A"/>
    <w:rsid w:val="007B5488"/>
    <w:rsid w:val="007C6C3B"/>
    <w:rsid w:val="007C74A9"/>
    <w:rsid w:val="007E1D83"/>
    <w:rsid w:val="007E3A2C"/>
    <w:rsid w:val="007E56A3"/>
    <w:rsid w:val="007E6FCF"/>
    <w:rsid w:val="007E747B"/>
    <w:rsid w:val="007F55A6"/>
    <w:rsid w:val="007F5C26"/>
    <w:rsid w:val="0080011D"/>
    <w:rsid w:val="00805A0F"/>
    <w:rsid w:val="00812B82"/>
    <w:rsid w:val="008170C6"/>
    <w:rsid w:val="0081799D"/>
    <w:rsid w:val="00826295"/>
    <w:rsid w:val="00826DDF"/>
    <w:rsid w:val="008346D7"/>
    <w:rsid w:val="00835A0A"/>
    <w:rsid w:val="00836989"/>
    <w:rsid w:val="00842B48"/>
    <w:rsid w:val="00844543"/>
    <w:rsid w:val="008459B9"/>
    <w:rsid w:val="00846A4C"/>
    <w:rsid w:val="00853D6B"/>
    <w:rsid w:val="00860738"/>
    <w:rsid w:val="00862B96"/>
    <w:rsid w:val="00866E45"/>
    <w:rsid w:val="008715A2"/>
    <w:rsid w:val="00876DF6"/>
    <w:rsid w:val="008777AF"/>
    <w:rsid w:val="0088378B"/>
    <w:rsid w:val="008906E9"/>
    <w:rsid w:val="00890879"/>
    <w:rsid w:val="0089226A"/>
    <w:rsid w:val="00894C08"/>
    <w:rsid w:val="008A0027"/>
    <w:rsid w:val="008A018E"/>
    <w:rsid w:val="008A2376"/>
    <w:rsid w:val="008A63BE"/>
    <w:rsid w:val="008A646A"/>
    <w:rsid w:val="008A6B87"/>
    <w:rsid w:val="008B09C3"/>
    <w:rsid w:val="008C44C4"/>
    <w:rsid w:val="008C4705"/>
    <w:rsid w:val="008C5359"/>
    <w:rsid w:val="008C58AA"/>
    <w:rsid w:val="008D2627"/>
    <w:rsid w:val="008D42BB"/>
    <w:rsid w:val="008D52FC"/>
    <w:rsid w:val="008E1244"/>
    <w:rsid w:val="008E19B7"/>
    <w:rsid w:val="008E3A6F"/>
    <w:rsid w:val="008E3FD7"/>
    <w:rsid w:val="008F2C03"/>
    <w:rsid w:val="008F2D16"/>
    <w:rsid w:val="008F41C1"/>
    <w:rsid w:val="008F7557"/>
    <w:rsid w:val="00900E50"/>
    <w:rsid w:val="00905F98"/>
    <w:rsid w:val="009140B1"/>
    <w:rsid w:val="009147B0"/>
    <w:rsid w:val="00916D9E"/>
    <w:rsid w:val="00917F0E"/>
    <w:rsid w:val="0092574E"/>
    <w:rsid w:val="00926EA9"/>
    <w:rsid w:val="00933588"/>
    <w:rsid w:val="00933687"/>
    <w:rsid w:val="009360AE"/>
    <w:rsid w:val="00936EA3"/>
    <w:rsid w:val="00943D06"/>
    <w:rsid w:val="0095167B"/>
    <w:rsid w:val="009625BA"/>
    <w:rsid w:val="0096439C"/>
    <w:rsid w:val="009653C6"/>
    <w:rsid w:val="00971160"/>
    <w:rsid w:val="009809BD"/>
    <w:rsid w:val="009839FF"/>
    <w:rsid w:val="00986173"/>
    <w:rsid w:val="009903B7"/>
    <w:rsid w:val="0099594F"/>
    <w:rsid w:val="00996617"/>
    <w:rsid w:val="009A03F5"/>
    <w:rsid w:val="009A30BC"/>
    <w:rsid w:val="009A3810"/>
    <w:rsid w:val="009C03F8"/>
    <w:rsid w:val="009C37C2"/>
    <w:rsid w:val="009C5A5E"/>
    <w:rsid w:val="009C6A7A"/>
    <w:rsid w:val="009D07FD"/>
    <w:rsid w:val="009D640D"/>
    <w:rsid w:val="009D6E36"/>
    <w:rsid w:val="009E2513"/>
    <w:rsid w:val="009E5667"/>
    <w:rsid w:val="009E5C77"/>
    <w:rsid w:val="009F472C"/>
    <w:rsid w:val="009F5AEF"/>
    <w:rsid w:val="00A01E7C"/>
    <w:rsid w:val="00A077B5"/>
    <w:rsid w:val="00A133EE"/>
    <w:rsid w:val="00A14C67"/>
    <w:rsid w:val="00A2043E"/>
    <w:rsid w:val="00A21063"/>
    <w:rsid w:val="00A27699"/>
    <w:rsid w:val="00A4154D"/>
    <w:rsid w:val="00A418CE"/>
    <w:rsid w:val="00A43F45"/>
    <w:rsid w:val="00A45868"/>
    <w:rsid w:val="00A47D6E"/>
    <w:rsid w:val="00A60C08"/>
    <w:rsid w:val="00A61966"/>
    <w:rsid w:val="00A61D9F"/>
    <w:rsid w:val="00A62E11"/>
    <w:rsid w:val="00A656EC"/>
    <w:rsid w:val="00A66A2A"/>
    <w:rsid w:val="00A673BF"/>
    <w:rsid w:val="00A73CB3"/>
    <w:rsid w:val="00A80792"/>
    <w:rsid w:val="00A85D54"/>
    <w:rsid w:val="00A90078"/>
    <w:rsid w:val="00A915DE"/>
    <w:rsid w:val="00A92D9A"/>
    <w:rsid w:val="00A96B36"/>
    <w:rsid w:val="00AB1C64"/>
    <w:rsid w:val="00AB4B0C"/>
    <w:rsid w:val="00AB732B"/>
    <w:rsid w:val="00AC1E32"/>
    <w:rsid w:val="00AD003B"/>
    <w:rsid w:val="00AD5070"/>
    <w:rsid w:val="00AE0372"/>
    <w:rsid w:val="00AF0C48"/>
    <w:rsid w:val="00AF48F7"/>
    <w:rsid w:val="00B0133F"/>
    <w:rsid w:val="00B05BE4"/>
    <w:rsid w:val="00B06691"/>
    <w:rsid w:val="00B10A35"/>
    <w:rsid w:val="00B11F22"/>
    <w:rsid w:val="00B1432F"/>
    <w:rsid w:val="00B20AA3"/>
    <w:rsid w:val="00B24DE1"/>
    <w:rsid w:val="00B261A1"/>
    <w:rsid w:val="00B308DB"/>
    <w:rsid w:val="00B35D60"/>
    <w:rsid w:val="00B36D08"/>
    <w:rsid w:val="00B41AD9"/>
    <w:rsid w:val="00B43AA4"/>
    <w:rsid w:val="00B47578"/>
    <w:rsid w:val="00B56A5E"/>
    <w:rsid w:val="00B6341A"/>
    <w:rsid w:val="00B67733"/>
    <w:rsid w:val="00B72CDC"/>
    <w:rsid w:val="00B852E1"/>
    <w:rsid w:val="00B93302"/>
    <w:rsid w:val="00B95A9C"/>
    <w:rsid w:val="00B95DA8"/>
    <w:rsid w:val="00BA22A1"/>
    <w:rsid w:val="00BA4594"/>
    <w:rsid w:val="00BA6AE3"/>
    <w:rsid w:val="00BB226D"/>
    <w:rsid w:val="00BB716F"/>
    <w:rsid w:val="00BC0525"/>
    <w:rsid w:val="00BC17B1"/>
    <w:rsid w:val="00BC4003"/>
    <w:rsid w:val="00BC7BE0"/>
    <w:rsid w:val="00BD26D2"/>
    <w:rsid w:val="00BD2C4A"/>
    <w:rsid w:val="00BD65A8"/>
    <w:rsid w:val="00BE1BDC"/>
    <w:rsid w:val="00BE4357"/>
    <w:rsid w:val="00BF1211"/>
    <w:rsid w:val="00BF185F"/>
    <w:rsid w:val="00BF7BC7"/>
    <w:rsid w:val="00C024BA"/>
    <w:rsid w:val="00C03645"/>
    <w:rsid w:val="00C133EE"/>
    <w:rsid w:val="00C14ED0"/>
    <w:rsid w:val="00C174E1"/>
    <w:rsid w:val="00C21D04"/>
    <w:rsid w:val="00C220B7"/>
    <w:rsid w:val="00C25D56"/>
    <w:rsid w:val="00C306D6"/>
    <w:rsid w:val="00C44226"/>
    <w:rsid w:val="00C5102F"/>
    <w:rsid w:val="00C5445E"/>
    <w:rsid w:val="00C572C4"/>
    <w:rsid w:val="00C6188C"/>
    <w:rsid w:val="00C6395E"/>
    <w:rsid w:val="00C64E24"/>
    <w:rsid w:val="00C72A5A"/>
    <w:rsid w:val="00C75F24"/>
    <w:rsid w:val="00C76451"/>
    <w:rsid w:val="00C85527"/>
    <w:rsid w:val="00C864E4"/>
    <w:rsid w:val="00C87392"/>
    <w:rsid w:val="00C91117"/>
    <w:rsid w:val="00CA0CB4"/>
    <w:rsid w:val="00CB0F84"/>
    <w:rsid w:val="00CB172C"/>
    <w:rsid w:val="00CB1D1B"/>
    <w:rsid w:val="00CC11A5"/>
    <w:rsid w:val="00CC4A34"/>
    <w:rsid w:val="00CD022D"/>
    <w:rsid w:val="00CD7C92"/>
    <w:rsid w:val="00CE0B5C"/>
    <w:rsid w:val="00CE299F"/>
    <w:rsid w:val="00CE7D75"/>
    <w:rsid w:val="00CF098D"/>
    <w:rsid w:val="00CF1543"/>
    <w:rsid w:val="00CF1CD3"/>
    <w:rsid w:val="00CF22A8"/>
    <w:rsid w:val="00CF5165"/>
    <w:rsid w:val="00D0139A"/>
    <w:rsid w:val="00D0350A"/>
    <w:rsid w:val="00D134C0"/>
    <w:rsid w:val="00D16082"/>
    <w:rsid w:val="00D265BF"/>
    <w:rsid w:val="00D324C5"/>
    <w:rsid w:val="00D32A88"/>
    <w:rsid w:val="00D32B2D"/>
    <w:rsid w:val="00D43ABE"/>
    <w:rsid w:val="00D5242D"/>
    <w:rsid w:val="00D543CB"/>
    <w:rsid w:val="00D57164"/>
    <w:rsid w:val="00D709DF"/>
    <w:rsid w:val="00D715FC"/>
    <w:rsid w:val="00D76C53"/>
    <w:rsid w:val="00D808F6"/>
    <w:rsid w:val="00D8761A"/>
    <w:rsid w:val="00D9041C"/>
    <w:rsid w:val="00D91402"/>
    <w:rsid w:val="00D93CF3"/>
    <w:rsid w:val="00D976E3"/>
    <w:rsid w:val="00DA2A75"/>
    <w:rsid w:val="00DA2FD9"/>
    <w:rsid w:val="00DA559D"/>
    <w:rsid w:val="00DA55C8"/>
    <w:rsid w:val="00DB0791"/>
    <w:rsid w:val="00DB2709"/>
    <w:rsid w:val="00DB76DE"/>
    <w:rsid w:val="00DB797C"/>
    <w:rsid w:val="00DC6061"/>
    <w:rsid w:val="00DD20B5"/>
    <w:rsid w:val="00DD210A"/>
    <w:rsid w:val="00DD5D49"/>
    <w:rsid w:val="00DE195D"/>
    <w:rsid w:val="00DE2346"/>
    <w:rsid w:val="00DE2EAE"/>
    <w:rsid w:val="00DE5F46"/>
    <w:rsid w:val="00DE7F19"/>
    <w:rsid w:val="00DF0602"/>
    <w:rsid w:val="00DF6088"/>
    <w:rsid w:val="00DF7BA3"/>
    <w:rsid w:val="00E05D18"/>
    <w:rsid w:val="00E06789"/>
    <w:rsid w:val="00E1044B"/>
    <w:rsid w:val="00E10540"/>
    <w:rsid w:val="00E1260E"/>
    <w:rsid w:val="00E1610E"/>
    <w:rsid w:val="00E1615E"/>
    <w:rsid w:val="00E17BE4"/>
    <w:rsid w:val="00E22E52"/>
    <w:rsid w:val="00E26875"/>
    <w:rsid w:val="00E32306"/>
    <w:rsid w:val="00E40DCD"/>
    <w:rsid w:val="00E43475"/>
    <w:rsid w:val="00E447CB"/>
    <w:rsid w:val="00E44F11"/>
    <w:rsid w:val="00E44F2E"/>
    <w:rsid w:val="00E46919"/>
    <w:rsid w:val="00E507FC"/>
    <w:rsid w:val="00E524A8"/>
    <w:rsid w:val="00E53885"/>
    <w:rsid w:val="00E553E8"/>
    <w:rsid w:val="00E64FE7"/>
    <w:rsid w:val="00E66950"/>
    <w:rsid w:val="00E67639"/>
    <w:rsid w:val="00E67E62"/>
    <w:rsid w:val="00E70373"/>
    <w:rsid w:val="00E713D2"/>
    <w:rsid w:val="00E73F8A"/>
    <w:rsid w:val="00E81019"/>
    <w:rsid w:val="00E86CF2"/>
    <w:rsid w:val="00E96CFF"/>
    <w:rsid w:val="00EA2885"/>
    <w:rsid w:val="00EA3CB4"/>
    <w:rsid w:val="00EA59B6"/>
    <w:rsid w:val="00EA5F70"/>
    <w:rsid w:val="00EC5987"/>
    <w:rsid w:val="00EC6D78"/>
    <w:rsid w:val="00ED255D"/>
    <w:rsid w:val="00ED3252"/>
    <w:rsid w:val="00ED4368"/>
    <w:rsid w:val="00EE2D08"/>
    <w:rsid w:val="00EE3AC6"/>
    <w:rsid w:val="00EE65FC"/>
    <w:rsid w:val="00EF0704"/>
    <w:rsid w:val="00EF30F7"/>
    <w:rsid w:val="00EF569F"/>
    <w:rsid w:val="00F015CE"/>
    <w:rsid w:val="00F02113"/>
    <w:rsid w:val="00F02E6F"/>
    <w:rsid w:val="00F04E23"/>
    <w:rsid w:val="00F04F36"/>
    <w:rsid w:val="00F05341"/>
    <w:rsid w:val="00F07C74"/>
    <w:rsid w:val="00F121F5"/>
    <w:rsid w:val="00F215C7"/>
    <w:rsid w:val="00F25215"/>
    <w:rsid w:val="00F33233"/>
    <w:rsid w:val="00F3635F"/>
    <w:rsid w:val="00F41E3E"/>
    <w:rsid w:val="00F47F4B"/>
    <w:rsid w:val="00F50B8B"/>
    <w:rsid w:val="00F51DC5"/>
    <w:rsid w:val="00F52FB8"/>
    <w:rsid w:val="00F61505"/>
    <w:rsid w:val="00F62731"/>
    <w:rsid w:val="00F6651D"/>
    <w:rsid w:val="00F66B48"/>
    <w:rsid w:val="00F72DBD"/>
    <w:rsid w:val="00F77AD6"/>
    <w:rsid w:val="00F939EC"/>
    <w:rsid w:val="00F953A5"/>
    <w:rsid w:val="00FA7C10"/>
    <w:rsid w:val="00FB0F2A"/>
    <w:rsid w:val="00FB5A4B"/>
    <w:rsid w:val="00FD26AE"/>
    <w:rsid w:val="00FD2AF9"/>
    <w:rsid w:val="00FD7645"/>
    <w:rsid w:val="00FD7A84"/>
    <w:rsid w:val="00FE2F30"/>
    <w:rsid w:val="00FE73AD"/>
    <w:rsid w:val="00FF06E8"/>
    <w:rsid w:val="00FF21EC"/>
    <w:rsid w:val="00FF3E03"/>
    <w:rsid w:val="00FF482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15D91"/>
  <w15:docId w15:val="{4FCE6BD3-ABE8-4B75-B10E-DE5EA963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53F9"/>
    <w:pPr>
      <w:spacing w:line="312" w:lineRule="auto"/>
    </w:pPr>
    <w:rPr>
      <w:rFonts w:ascii="IBM Plex Sans" w:hAnsi="IBM Plex Sans" w:cs="Arial"/>
    </w:rPr>
  </w:style>
  <w:style w:type="paragraph" w:styleId="Kop1">
    <w:name w:val="heading 1"/>
    <w:basedOn w:val="Standaard"/>
    <w:next w:val="Standaard"/>
    <w:qFormat/>
    <w:rsid w:val="0070768B"/>
    <w:pPr>
      <w:spacing w:line="360" w:lineRule="auto"/>
      <w:outlineLvl w:val="0"/>
    </w:pPr>
    <w:rPr>
      <w:rFonts w:cs="Times New Roman"/>
      <w:color w:val="FE6A04"/>
      <w:sz w:val="36"/>
      <w:szCs w:val="36"/>
    </w:rPr>
  </w:style>
  <w:style w:type="paragraph" w:styleId="Kop2">
    <w:name w:val="heading 2"/>
    <w:basedOn w:val="Standaard"/>
    <w:next w:val="Standaard"/>
    <w:qFormat/>
    <w:rsid w:val="0070768B"/>
    <w:pPr>
      <w:spacing w:line="360" w:lineRule="auto"/>
      <w:outlineLvl w:val="1"/>
    </w:pPr>
    <w:rPr>
      <w:rFonts w:cs="Times New Roman"/>
      <w:color w:val="148EB2"/>
      <w:sz w:val="28"/>
      <w:szCs w:val="28"/>
    </w:rPr>
  </w:style>
  <w:style w:type="paragraph" w:styleId="Kop3">
    <w:name w:val="heading 3"/>
    <w:basedOn w:val="Standaard"/>
    <w:next w:val="Standaard"/>
    <w:qFormat/>
    <w:rsid w:val="0070768B"/>
    <w:pPr>
      <w:spacing w:line="360" w:lineRule="auto"/>
      <w:outlineLvl w:val="2"/>
    </w:pPr>
    <w:rPr>
      <w:rFonts w:cs="Times New Roman"/>
      <w:b/>
      <w:bCs/>
      <w:sz w:val="24"/>
      <w:szCs w:val="24"/>
    </w:rPr>
  </w:style>
  <w:style w:type="paragraph" w:styleId="Kop4">
    <w:name w:val="heading 4"/>
    <w:basedOn w:val="Kop3"/>
    <w:next w:val="Standaard"/>
    <w:qFormat/>
    <w:rsid w:val="00147B19"/>
    <w:pPr>
      <w:outlineLvl w:val="3"/>
    </w:pPr>
    <w:rPr>
      <w:i/>
    </w:rPr>
  </w:style>
  <w:style w:type="paragraph" w:styleId="Kop5">
    <w:name w:val="heading 5"/>
    <w:basedOn w:val="Standaard"/>
    <w:next w:val="Standaard"/>
    <w:qFormat/>
    <w:rsid w:val="00147B19"/>
    <w:pPr>
      <w:spacing w:before="240" w:after="60"/>
      <w:outlineLvl w:val="4"/>
    </w:pPr>
    <w:rPr>
      <w:rFonts w:ascii="Palatino" w:hAnsi="Palatino"/>
    </w:rPr>
  </w:style>
  <w:style w:type="paragraph" w:styleId="Kop6">
    <w:name w:val="heading 6"/>
    <w:basedOn w:val="Standaard"/>
    <w:next w:val="Standaard"/>
    <w:qFormat/>
    <w:rsid w:val="00147B19"/>
    <w:pPr>
      <w:spacing w:before="240" w:after="60"/>
      <w:outlineLvl w:val="5"/>
    </w:pPr>
    <w:rPr>
      <w:rFonts w:ascii="Palatino" w:hAnsi="Palatino"/>
      <w:i/>
    </w:rPr>
  </w:style>
  <w:style w:type="paragraph" w:styleId="Kop7">
    <w:name w:val="heading 7"/>
    <w:basedOn w:val="Standaard"/>
    <w:next w:val="Standaard"/>
    <w:qFormat/>
    <w:rsid w:val="00147B19"/>
    <w:pPr>
      <w:spacing w:before="240" w:after="60"/>
      <w:outlineLvl w:val="6"/>
    </w:pPr>
    <w:rPr>
      <w:rFonts w:ascii="Palatino" w:hAnsi="Palatino"/>
    </w:rPr>
  </w:style>
  <w:style w:type="paragraph" w:styleId="Kop8">
    <w:name w:val="heading 8"/>
    <w:basedOn w:val="Standaard"/>
    <w:next w:val="Standaard"/>
    <w:qFormat/>
    <w:rsid w:val="00147B19"/>
    <w:pPr>
      <w:spacing w:before="240" w:after="60"/>
      <w:outlineLvl w:val="7"/>
    </w:pPr>
    <w:rPr>
      <w:rFonts w:ascii="Palatino" w:hAnsi="Palatino"/>
      <w:i/>
    </w:rPr>
  </w:style>
  <w:style w:type="paragraph" w:styleId="Kop9">
    <w:name w:val="heading 9"/>
    <w:basedOn w:val="Standaard"/>
    <w:next w:val="Standaard"/>
    <w:qFormat/>
    <w:rsid w:val="00147B19"/>
    <w:pPr>
      <w:spacing w:before="240" w:after="60"/>
      <w:outlineLvl w:val="8"/>
    </w:pPr>
    <w:rPr>
      <w:rFonts w:ascii="Palatino" w:hAnsi="Palatino"/>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47B19"/>
    <w:pPr>
      <w:tabs>
        <w:tab w:val="center" w:pos="4536"/>
        <w:tab w:val="right" w:pos="9072"/>
      </w:tabs>
      <w:ind w:hanging="1247"/>
    </w:pPr>
    <w:rPr>
      <w:rFonts w:ascii="Palatino" w:hAnsi="Palatino"/>
      <w:i/>
      <w:sz w:val="18"/>
    </w:rPr>
  </w:style>
  <w:style w:type="paragraph" w:styleId="Voettekst">
    <w:name w:val="footer"/>
    <w:basedOn w:val="Standaard"/>
    <w:rsid w:val="00147B19"/>
    <w:pPr>
      <w:tabs>
        <w:tab w:val="center" w:pos="4536"/>
        <w:tab w:val="right" w:pos="9072"/>
      </w:tabs>
    </w:pPr>
  </w:style>
  <w:style w:type="character" w:styleId="Paginanummer">
    <w:name w:val="page number"/>
    <w:rsid w:val="00147B19"/>
    <w:rPr>
      <w:rFonts w:ascii="Palatino" w:hAnsi="Palatino"/>
    </w:rPr>
  </w:style>
  <w:style w:type="paragraph" w:customStyle="1" w:styleId="INSPRING1">
    <w:name w:val="INSPRING1"/>
    <w:basedOn w:val="Standaard"/>
    <w:rsid w:val="00147B19"/>
    <w:pPr>
      <w:spacing w:line="260" w:lineRule="exact"/>
      <w:ind w:left="425" w:hanging="425"/>
    </w:pPr>
  </w:style>
  <w:style w:type="paragraph" w:customStyle="1" w:styleId="INSPRING2">
    <w:name w:val="INSPRING2"/>
    <w:basedOn w:val="INSPRING1"/>
    <w:rsid w:val="00147B19"/>
    <w:pPr>
      <w:ind w:left="850"/>
    </w:pPr>
  </w:style>
  <w:style w:type="paragraph" w:customStyle="1" w:styleId="INSPRING3">
    <w:name w:val="INSPRING3"/>
    <w:basedOn w:val="INSPRING2"/>
    <w:rsid w:val="00147B19"/>
    <w:pPr>
      <w:ind w:left="1276"/>
    </w:pPr>
  </w:style>
  <w:style w:type="paragraph" w:customStyle="1" w:styleId="INSPRING4">
    <w:name w:val="INSPRING4"/>
    <w:basedOn w:val="INSPRING3"/>
    <w:rsid w:val="00147B19"/>
    <w:pPr>
      <w:ind w:left="1701"/>
    </w:pPr>
  </w:style>
  <w:style w:type="paragraph" w:customStyle="1" w:styleId="Ballontekst1">
    <w:name w:val="Ballontekst1"/>
    <w:basedOn w:val="Standaard"/>
    <w:semiHidden/>
    <w:rsid w:val="00147B19"/>
    <w:rPr>
      <w:rFonts w:ascii="Tahoma" w:hAnsi="Tahoma" w:cs="Tahoma"/>
      <w:sz w:val="16"/>
      <w:szCs w:val="16"/>
    </w:rPr>
  </w:style>
  <w:style w:type="paragraph" w:customStyle="1" w:styleId="Agenda1">
    <w:name w:val="Agenda 1"/>
    <w:basedOn w:val="Standaard"/>
    <w:next w:val="Standaard"/>
    <w:rsid w:val="00147B19"/>
    <w:pPr>
      <w:spacing w:after="260" w:line="260" w:lineRule="exact"/>
      <w:ind w:left="425" w:hanging="425"/>
    </w:pPr>
    <w:rPr>
      <w:b/>
    </w:rPr>
  </w:style>
  <w:style w:type="paragraph" w:customStyle="1" w:styleId="Agenda2">
    <w:name w:val="Agenda 2"/>
    <w:basedOn w:val="Standaard"/>
    <w:next w:val="Standaard"/>
    <w:rsid w:val="00147B19"/>
    <w:pPr>
      <w:spacing w:line="260" w:lineRule="exact"/>
      <w:ind w:left="850" w:hanging="425"/>
    </w:pPr>
  </w:style>
  <w:style w:type="paragraph" w:customStyle="1" w:styleId="Agenda3">
    <w:name w:val="Agenda 3"/>
    <w:basedOn w:val="Standaard"/>
    <w:next w:val="Standaard"/>
    <w:rsid w:val="00147B19"/>
    <w:pPr>
      <w:spacing w:line="260" w:lineRule="exact"/>
      <w:ind w:left="1276" w:hanging="425"/>
    </w:pPr>
  </w:style>
  <w:style w:type="paragraph" w:styleId="Plattetekstinspringen">
    <w:name w:val="Body Text Indent"/>
    <w:basedOn w:val="Standaard"/>
    <w:rsid w:val="00147B19"/>
    <w:pPr>
      <w:tabs>
        <w:tab w:val="left" w:pos="-1247"/>
        <w:tab w:val="num" w:pos="567"/>
        <w:tab w:val="left" w:pos="7513"/>
      </w:tabs>
      <w:ind w:left="567"/>
    </w:pPr>
    <w:rPr>
      <w:sz w:val="18"/>
    </w:rPr>
  </w:style>
  <w:style w:type="paragraph" w:customStyle="1" w:styleId="DEPARTMENT">
    <w:name w:val="DEPARTMENT"/>
    <w:basedOn w:val="Standaard"/>
    <w:rsid w:val="00147B19"/>
  </w:style>
  <w:style w:type="character" w:styleId="Hyperlink">
    <w:name w:val="Hyperlink"/>
    <w:rsid w:val="00147B19"/>
    <w:rPr>
      <w:color w:val="0000FF"/>
      <w:u w:val="single"/>
    </w:rPr>
  </w:style>
  <w:style w:type="paragraph" w:customStyle="1" w:styleId="WispaNormal">
    <w:name w:val="Wispa_Normal"/>
    <w:basedOn w:val="Standaard"/>
    <w:rsid w:val="00B308DB"/>
  </w:style>
  <w:style w:type="paragraph" w:customStyle="1" w:styleId="Niveau1">
    <w:name w:val="Niveau1"/>
    <w:basedOn w:val="WispaNormal"/>
    <w:next w:val="niveau1vervolg"/>
    <w:rsid w:val="00147B19"/>
    <w:pPr>
      <w:numPr>
        <w:numId w:val="1"/>
      </w:numPr>
      <w:tabs>
        <w:tab w:val="left" w:pos="-1247"/>
        <w:tab w:val="left" w:pos="7513"/>
      </w:tabs>
    </w:pPr>
    <w:rPr>
      <w:b/>
    </w:rPr>
  </w:style>
  <w:style w:type="paragraph" w:customStyle="1" w:styleId="niveau1vervolg">
    <w:name w:val="niveau1vervolg"/>
    <w:basedOn w:val="WispaNormal"/>
    <w:rsid w:val="00147B19"/>
    <w:pPr>
      <w:ind w:left="357"/>
    </w:pPr>
  </w:style>
  <w:style w:type="paragraph" w:customStyle="1" w:styleId="niveau2">
    <w:name w:val="niveau2"/>
    <w:basedOn w:val="WispaNormal"/>
    <w:next w:val="Niveau2vervolg"/>
    <w:rsid w:val="00147B19"/>
    <w:pPr>
      <w:numPr>
        <w:ilvl w:val="1"/>
        <w:numId w:val="3"/>
      </w:numPr>
      <w:tabs>
        <w:tab w:val="clear" w:pos="2458"/>
        <w:tab w:val="left" w:pos="1134"/>
      </w:tabs>
      <w:ind w:left="357" w:firstLine="0"/>
    </w:pPr>
    <w:rPr>
      <w:b/>
    </w:rPr>
  </w:style>
  <w:style w:type="paragraph" w:customStyle="1" w:styleId="Niveau2vervolg">
    <w:name w:val="Niveau2vervolg"/>
    <w:basedOn w:val="WispaNormal"/>
    <w:rsid w:val="00147B19"/>
    <w:pPr>
      <w:ind w:left="1134"/>
    </w:pPr>
  </w:style>
  <w:style w:type="character" w:customStyle="1" w:styleId="Niveau2vervolgChar">
    <w:name w:val="Niveau2vervolg Char"/>
    <w:rsid w:val="00147B19"/>
    <w:rPr>
      <w:rFonts w:ascii="Arial" w:hAnsi="Arial"/>
      <w:lang w:val="nl-NL" w:eastAsia="nl-NL" w:bidi="ar-SA"/>
    </w:rPr>
  </w:style>
  <w:style w:type="paragraph" w:customStyle="1" w:styleId="Niveau3">
    <w:name w:val="Niveau3"/>
    <w:basedOn w:val="WispaNormal"/>
    <w:next w:val="Niveau3vervolg"/>
    <w:rsid w:val="00147B19"/>
    <w:pPr>
      <w:numPr>
        <w:ilvl w:val="2"/>
        <w:numId w:val="3"/>
      </w:numPr>
      <w:tabs>
        <w:tab w:val="clear" w:pos="2818"/>
        <w:tab w:val="left" w:pos="1985"/>
      </w:tabs>
      <w:ind w:left="1639" w:hanging="505"/>
    </w:pPr>
    <w:rPr>
      <w:b/>
    </w:rPr>
  </w:style>
  <w:style w:type="character" w:customStyle="1" w:styleId="OpmaakprofielNiveau2vervolgLinks175cm1Char">
    <w:name w:val="Opmaakprofiel Niveau2vervolg + Links:  175 cm1 Char"/>
    <w:basedOn w:val="Niveau2vervolgChar"/>
    <w:rsid w:val="00147B19"/>
    <w:rPr>
      <w:rFonts w:ascii="Arial" w:hAnsi="Arial"/>
      <w:lang w:val="nl-NL" w:eastAsia="nl-NL" w:bidi="ar-SA"/>
    </w:rPr>
  </w:style>
  <w:style w:type="character" w:customStyle="1" w:styleId="Niveau3Char">
    <w:name w:val="Niveau3 Char"/>
    <w:rsid w:val="00147B19"/>
    <w:rPr>
      <w:rFonts w:ascii="Arial" w:hAnsi="Arial"/>
      <w:b/>
      <w:lang w:val="nl-NL" w:eastAsia="nl-NL" w:bidi="ar-SA"/>
    </w:rPr>
  </w:style>
  <w:style w:type="paragraph" w:customStyle="1" w:styleId="Niveau3vervolg">
    <w:name w:val="Niveau3vervolg"/>
    <w:basedOn w:val="WispaNormal"/>
    <w:rsid w:val="00147B19"/>
    <w:pPr>
      <w:ind w:left="1985"/>
    </w:pPr>
  </w:style>
  <w:style w:type="paragraph" w:customStyle="1" w:styleId="OpmaakprofielNiveau2vervolgLinks175cm">
    <w:name w:val="Opmaakprofiel Niveau2vervolg + Links:  175 cm"/>
    <w:basedOn w:val="Niveau2vervolg"/>
    <w:rsid w:val="00147B19"/>
    <w:pPr>
      <w:ind w:left="992"/>
    </w:pPr>
  </w:style>
  <w:style w:type="paragraph" w:customStyle="1" w:styleId="OpmaakprofielNiveau2vervolgLinks175cm1">
    <w:name w:val="Opmaakprofiel Niveau2vervolg + Links:  175 cm1"/>
    <w:basedOn w:val="Niveau2vervolg"/>
    <w:rsid w:val="00147B19"/>
    <w:pPr>
      <w:ind w:left="1021"/>
    </w:pPr>
  </w:style>
  <w:style w:type="paragraph" w:customStyle="1" w:styleId="Opsomteken">
    <w:name w:val="Opsomteken"/>
    <w:basedOn w:val="Standaard"/>
    <w:next w:val="Standaard"/>
    <w:rsid w:val="00147B19"/>
    <w:pPr>
      <w:tabs>
        <w:tab w:val="left" w:pos="425"/>
      </w:tabs>
      <w:ind w:left="227" w:hanging="227"/>
    </w:pPr>
    <w:rPr>
      <w:lang w:val="nl"/>
    </w:rPr>
  </w:style>
  <w:style w:type="character" w:customStyle="1" w:styleId="WispaNormalChar">
    <w:name w:val="Wispa_Normal Char"/>
    <w:rsid w:val="00147B19"/>
    <w:rPr>
      <w:rFonts w:ascii="Arial" w:hAnsi="Arial"/>
      <w:lang w:val="nl-NL" w:eastAsia="nl-NL" w:bidi="ar-SA"/>
    </w:rPr>
  </w:style>
  <w:style w:type="paragraph" w:customStyle="1" w:styleId="StyleLinespacingExactly15pt">
    <w:name w:val="Style Line spacing:  Exactly 15 pt"/>
    <w:basedOn w:val="Standaard"/>
    <w:rsid w:val="00163C25"/>
  </w:style>
  <w:style w:type="paragraph" w:styleId="Ballontekst">
    <w:name w:val="Balloon Text"/>
    <w:basedOn w:val="Standaard"/>
    <w:link w:val="BallontekstChar"/>
    <w:rsid w:val="00A077B5"/>
    <w:rPr>
      <w:rFonts w:ascii="Tahoma" w:hAnsi="Tahoma" w:cs="Tahoma"/>
      <w:sz w:val="16"/>
      <w:szCs w:val="16"/>
    </w:rPr>
  </w:style>
  <w:style w:type="character" w:customStyle="1" w:styleId="BallontekstChar">
    <w:name w:val="Ballontekst Char"/>
    <w:basedOn w:val="Standaardalinea-lettertype"/>
    <w:link w:val="Ballontekst"/>
    <w:rsid w:val="00A077B5"/>
    <w:rPr>
      <w:rFonts w:ascii="Tahoma" w:hAnsi="Tahoma" w:cs="Tahoma"/>
      <w:sz w:val="16"/>
      <w:szCs w:val="16"/>
    </w:rPr>
  </w:style>
  <w:style w:type="character" w:styleId="Tekstvantijdelijkeaanduiding">
    <w:name w:val="Placeholder Text"/>
    <w:basedOn w:val="Standaardalinea-lettertype"/>
    <w:uiPriority w:val="99"/>
    <w:semiHidden/>
    <w:rsid w:val="008906E9"/>
    <w:rPr>
      <w:color w:val="80808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B0AB1"/>
    <w:pPr>
      <w:autoSpaceDN w:val="0"/>
      <w:spacing w:line="240" w:lineRule="atLeast"/>
      <w:ind w:left="720"/>
      <w:contextualSpacing/>
      <w:textAlignment w:val="baseline"/>
    </w:pPr>
    <w:rPr>
      <w:rFonts w:ascii="Verdana" w:eastAsia="DejaVu Sans" w:hAnsi="Verdana" w:cs="Lohit Hindi"/>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B0AB1"/>
    <w:rPr>
      <w:rFonts w:ascii="Verdana" w:eastAsia="DejaVu Sans" w:hAnsi="Verdana" w:cs="Lohit Hindi"/>
      <w:color w:val="000000"/>
      <w:sz w:val="18"/>
      <w:szCs w:val="18"/>
    </w:rPr>
  </w:style>
  <w:style w:type="paragraph" w:styleId="Eindnoottekst">
    <w:name w:val="endnote text"/>
    <w:basedOn w:val="Standaard"/>
    <w:link w:val="EindnoottekstChar"/>
    <w:uiPriority w:val="99"/>
    <w:semiHidden/>
    <w:unhideWhenUsed/>
    <w:rsid w:val="004B0AB1"/>
    <w:pPr>
      <w:autoSpaceDN w:val="0"/>
      <w:spacing w:line="240" w:lineRule="auto"/>
      <w:textAlignment w:val="baseline"/>
    </w:pPr>
    <w:rPr>
      <w:rFonts w:ascii="Verdana" w:eastAsia="DejaVu Sans" w:hAnsi="Verdana" w:cs="Lohit Hindi"/>
      <w:color w:val="000000"/>
    </w:rPr>
  </w:style>
  <w:style w:type="character" w:customStyle="1" w:styleId="EindnoottekstChar">
    <w:name w:val="Eindnoottekst Char"/>
    <w:basedOn w:val="Standaardalinea-lettertype"/>
    <w:link w:val="Eindnoottekst"/>
    <w:uiPriority w:val="99"/>
    <w:semiHidden/>
    <w:rsid w:val="004B0AB1"/>
    <w:rPr>
      <w:rFonts w:ascii="Verdana" w:eastAsia="DejaVu Sans" w:hAnsi="Verdana" w:cs="Lohit Hindi"/>
      <w:color w:val="000000"/>
    </w:rPr>
  </w:style>
  <w:style w:type="character" w:styleId="Eindnootmarkering">
    <w:name w:val="endnote reference"/>
    <w:basedOn w:val="Standaardalinea-lettertype"/>
    <w:uiPriority w:val="99"/>
    <w:semiHidden/>
    <w:unhideWhenUsed/>
    <w:rsid w:val="004B0AB1"/>
    <w:rPr>
      <w:vertAlign w:val="superscript"/>
    </w:rPr>
  </w:style>
  <w:style w:type="paragraph" w:styleId="Voetnoottekst">
    <w:name w:val="footnote text"/>
    <w:basedOn w:val="Standaard"/>
    <w:link w:val="VoetnoottekstChar"/>
    <w:semiHidden/>
    <w:unhideWhenUsed/>
    <w:rsid w:val="00C133EE"/>
    <w:pPr>
      <w:spacing w:line="240" w:lineRule="auto"/>
    </w:pPr>
  </w:style>
  <w:style w:type="character" w:customStyle="1" w:styleId="VoetnoottekstChar">
    <w:name w:val="Voetnoottekst Char"/>
    <w:basedOn w:val="Standaardalinea-lettertype"/>
    <w:link w:val="Voetnoottekst"/>
    <w:semiHidden/>
    <w:rsid w:val="00C133EE"/>
    <w:rPr>
      <w:rFonts w:ascii="Arial" w:hAnsi="Arial"/>
    </w:rPr>
  </w:style>
  <w:style w:type="character" w:styleId="Voetnootmarkering">
    <w:name w:val="footnote reference"/>
    <w:basedOn w:val="Standaardalinea-lettertype"/>
    <w:semiHidden/>
    <w:unhideWhenUsed/>
    <w:rsid w:val="00C133EE"/>
    <w:rPr>
      <w:vertAlign w:val="superscript"/>
    </w:rPr>
  </w:style>
  <w:style w:type="paragraph" w:customStyle="1" w:styleId="Default">
    <w:name w:val="Default"/>
    <w:rsid w:val="000618B4"/>
    <w:pPr>
      <w:autoSpaceDE w:val="0"/>
      <w:autoSpaceDN w:val="0"/>
      <w:adjustRightInd w:val="0"/>
    </w:pPr>
    <w:rPr>
      <w:rFonts w:ascii="Arial" w:eastAsiaTheme="minorHAnsi" w:hAnsi="Arial" w:cs="Arial"/>
      <w:color w:val="000000"/>
      <w:sz w:val="24"/>
      <w:szCs w:val="24"/>
      <w:lang w:eastAsia="en-US"/>
    </w:rPr>
  </w:style>
  <w:style w:type="character" w:customStyle="1" w:styleId="KoptekstChar">
    <w:name w:val="Koptekst Char"/>
    <w:basedOn w:val="Standaardalinea-lettertype"/>
    <w:link w:val="Koptekst"/>
    <w:uiPriority w:val="99"/>
    <w:rsid w:val="00BD65A8"/>
    <w:rPr>
      <w:rFonts w:ascii="Palatino" w:hAnsi="Palatino"/>
      <w:i/>
      <w:sz w:val="18"/>
    </w:rPr>
  </w:style>
  <w:style w:type="character" w:styleId="Onopgelostemelding">
    <w:name w:val="Unresolved Mention"/>
    <w:basedOn w:val="Standaardalinea-lettertype"/>
    <w:uiPriority w:val="99"/>
    <w:semiHidden/>
    <w:unhideWhenUsed/>
    <w:rsid w:val="00CE0B5C"/>
    <w:rPr>
      <w:color w:val="605E5C"/>
      <w:shd w:val="clear" w:color="auto" w:fill="E1DFDD"/>
    </w:rPr>
  </w:style>
  <w:style w:type="paragraph" w:styleId="Revisie">
    <w:name w:val="Revision"/>
    <w:hidden/>
    <w:uiPriority w:val="99"/>
    <w:semiHidden/>
    <w:rsid w:val="00193724"/>
    <w:rPr>
      <w:rFonts w:ascii="IBM Plex Sans" w:hAnsi="IBM Plex Sans" w:cs="Arial"/>
    </w:rPr>
  </w:style>
  <w:style w:type="character" w:styleId="Verwijzingopmerking">
    <w:name w:val="annotation reference"/>
    <w:basedOn w:val="Standaardalinea-lettertype"/>
    <w:semiHidden/>
    <w:unhideWhenUsed/>
    <w:rsid w:val="0068320C"/>
    <w:rPr>
      <w:sz w:val="16"/>
      <w:szCs w:val="16"/>
    </w:rPr>
  </w:style>
  <w:style w:type="paragraph" w:styleId="Tekstopmerking">
    <w:name w:val="annotation text"/>
    <w:basedOn w:val="Standaard"/>
    <w:link w:val="TekstopmerkingChar"/>
    <w:unhideWhenUsed/>
    <w:rsid w:val="0068320C"/>
    <w:pPr>
      <w:spacing w:line="240" w:lineRule="auto"/>
    </w:pPr>
  </w:style>
  <w:style w:type="character" w:customStyle="1" w:styleId="TekstopmerkingChar">
    <w:name w:val="Tekst opmerking Char"/>
    <w:basedOn w:val="Standaardalinea-lettertype"/>
    <w:link w:val="Tekstopmerking"/>
    <w:rsid w:val="0068320C"/>
    <w:rPr>
      <w:rFonts w:ascii="IBM Plex Sans" w:hAnsi="IBM Plex Sans" w:cs="Arial"/>
    </w:rPr>
  </w:style>
  <w:style w:type="paragraph" w:styleId="Onderwerpvanopmerking">
    <w:name w:val="annotation subject"/>
    <w:basedOn w:val="Tekstopmerking"/>
    <w:next w:val="Tekstopmerking"/>
    <w:link w:val="OnderwerpvanopmerkingChar"/>
    <w:semiHidden/>
    <w:unhideWhenUsed/>
    <w:rsid w:val="0068320C"/>
    <w:rPr>
      <w:b/>
      <w:bCs/>
    </w:rPr>
  </w:style>
  <w:style w:type="character" w:customStyle="1" w:styleId="OnderwerpvanopmerkingChar">
    <w:name w:val="Onderwerp van opmerking Char"/>
    <w:basedOn w:val="TekstopmerkingChar"/>
    <w:link w:val="Onderwerpvanopmerking"/>
    <w:semiHidden/>
    <w:rsid w:val="0068320C"/>
    <w:rPr>
      <w:rFonts w:ascii="IBM Plex Sans" w:hAnsi="IBM Plex San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877">
      <w:bodyDiv w:val="1"/>
      <w:marLeft w:val="0"/>
      <w:marRight w:val="0"/>
      <w:marTop w:val="0"/>
      <w:marBottom w:val="0"/>
      <w:divBdr>
        <w:top w:val="none" w:sz="0" w:space="0" w:color="auto"/>
        <w:left w:val="none" w:sz="0" w:space="0" w:color="auto"/>
        <w:bottom w:val="none" w:sz="0" w:space="0" w:color="auto"/>
        <w:right w:val="none" w:sz="0" w:space="0" w:color="auto"/>
      </w:divBdr>
    </w:div>
    <w:div w:id="9237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eader" Target="head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969e3d2-5ddb-4b70-9e5a-0156915c0093}" enabled="0" method="" siteId="{2969e3d2-5ddb-4b70-9e5a-0156915c0093}" removed="1"/>
  <clbl:label id="{719d0ce0-ec7b-4682-b711-4e6f8e4dd141}" enabled="0" method="" siteId="{719d0ce0-ec7b-4682-b711-4e6f8e4dd141}" removed="1"/>
  <clbl:label id="{b3113788-2673-4ef4-833c-ef7ab5eeec8a}" enabled="0" method="" siteId="{b3113788-2673-4ef4-833c-ef7ab5eeec8a}" removed="1"/>
</clbl:labelList>
</file>

<file path=docProps/app.xml><?xml version="1.0" encoding="utf-8"?>
<ap:Properties xmlns:vt="http://schemas.openxmlformats.org/officeDocument/2006/docPropsVTypes" xmlns:ap="http://schemas.openxmlformats.org/officeDocument/2006/extended-properties">
  <ap:Pages>4</ap:Pages>
  <ap:Words>1002</ap:Words>
  <ap:Characters>5996</ap:Characters>
  <ap:DocSecurity>0</ap:DocSecurity>
  <ap:Lines>136</ap:Lines>
  <ap:Paragraphs>46</ap:Paragraphs>
  <ap:ScaleCrop>false</ap:ScaleCrop>
  <ap:HeadingPairs>
    <vt:vector baseType="variant" size="2">
      <vt:variant>
        <vt:lpstr>Titel</vt:lpstr>
      </vt:variant>
      <vt:variant>
        <vt:i4>1</vt:i4>
      </vt:variant>
    </vt:vector>
  </ap:HeadingPairs>
  <ap:TitlesOfParts>
    <vt:vector baseType="lpstr" size="1">
      <vt:lpstr>Letter of Intent inzake Wegwijzer in samenwerking gericht op preventieve arbozorg</vt:lpstr>
    </vt:vector>
  </ap:TitlesOfParts>
  <ap:LinksUpToDate>false</ap:LinksUpToDate>
  <ap:CharactersWithSpaces>6952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2005-06-08T04:31:00.0000000Z</lastPrinted>
  <dcterms:created xsi:type="dcterms:W3CDTF">2026-06-16T01:05:00.0000000Z</dcterms:created>
  <dcterms:modified xsi:type="dcterms:W3CDTF">2026-06-21T17:00:00.0000000Z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x_documentnummer">
    <vt:r8>14400993</vt:r8>
  </property>
  <property fmtid="{D5CDD505-2E9C-101B-9397-08002B2CF9AE}" pid="3" name="MSIP_Label_d2dc6f62-bb58-4b94-b6ca-9af54699d31b_Application">
    <vt:lpwstr>Microsoft Azure Information Protection</vt:lpwstr>
  </property>
  <property fmtid="{D5CDD505-2E9C-101B-9397-08002B2CF9AE}" pid="4" name="MSIP_Label_d2dc6f62-bb58-4b94-b6ca-9af54699d31b_SiteId">
    <vt:lpwstr>00000000-0000-0000-0000-000000000000</vt:lpwstr>
  </property>
  <property fmtid="{D5CDD505-2E9C-101B-9397-08002B2CF9AE}" pid="5" name="MSIP_Label_d2dc6f62-bb58-4b94-b6ca-9af54699d31b_ActionId">
    <vt:lpwstr>0f7a4c8c-4353-40eb-a4dc-6a99ba1f0530</vt:lpwstr>
  </property>
  <property fmtid="{D5CDD505-2E9C-101B-9397-08002B2CF9AE}" pid="6" name="Sensitivity">
    <vt:lpwstr>Intern gebruik</vt:lpwstr>
  </property>
  <property fmtid="{D5CDD505-2E9C-101B-9397-08002B2CF9AE}" pid="7" name="MSIP_Label_d2dc6f62-bb58-4b94-b6ca-9af54699d31b_Owner">
    <vt:lpwstr>pieter.vandenakker@kpn.com</vt:lpwstr>
  </property>
  <property fmtid="{D5CDD505-2E9C-101B-9397-08002B2CF9AE}" pid="8" name="MSIP_Label_d2dc6f62-bb58-4b94-b6ca-9af54699d31b_Enabled">
    <vt:lpwstr>True</vt:lpwstr>
  </property>
  <property fmtid="{D5CDD505-2E9C-101B-9397-08002B2CF9AE}" pid="9" name="MSIP_Label_d2dc6f62-bb58-4b94-b6ca-9af54699d31b_Name">
    <vt:lpwstr>Intern gebruik</vt:lpwstr>
  </property>
  <property fmtid="{D5CDD505-2E9C-101B-9397-08002B2CF9AE}" pid="10" name="Datum volgende vergadering">
    <vt:lpwstr>2022-03-16T20:03:51Z</vt:lpwstr>
  </property>
  <property fmtid="{D5CDD505-2E9C-101B-9397-08002B2CF9AE}" pid="11" name="Datum vergadering">
    <vt:lpwstr>2022-03-16T20:03:51Z</vt:lpwstr>
  </property>
  <property fmtid="{D5CDD505-2E9C-101B-9397-08002B2CF9AE}" pid="12" name="ContentTypeId">
    <vt:lpwstr>0x010100A439A13CE07A5F45961BB01973085C25</vt:lpwstr>
  </property>
  <property fmtid="{D5CDD505-2E9C-101B-9397-08002B2CF9AE}" pid="13" name="_dlc_DocIdItemGuid">
    <vt:lpwstr>77736b0c-95fa-4697-8fe7-bec09b674804</vt:lpwstr>
  </property>
</Properties>
</file>