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9C2" w:rsidP="009A5269" w:rsidRDefault="009A5269" w14:paraId="4003BEEE" w14:textId="571CB9F9">
      <w:pPr>
        <w:pStyle w:val="Title"/>
      </w:pPr>
      <w:bookmarkStart w:name="_GoBack" w:id="0"/>
      <w:bookmarkEnd w:id="0"/>
      <w:r>
        <w:t>Landelijk dashboard indirecte lozingen</w:t>
      </w:r>
    </w:p>
    <w:p w:rsidR="009A5269" w:rsidP="009A5269" w:rsidRDefault="00C57291" w14:paraId="69B4FFF3" w14:textId="32BCDFC9">
      <w:pPr>
        <w:pStyle w:val="Subtitle"/>
      </w:pPr>
      <w:r>
        <w:t>5</w:t>
      </w:r>
      <w:r w:rsidR="00370237">
        <w:t xml:space="preserve"> </w:t>
      </w:r>
      <w:r w:rsidR="007A0B90">
        <w:t>maart</w:t>
      </w:r>
      <w:r w:rsidR="00370237">
        <w:t xml:space="preserve"> </w:t>
      </w:r>
      <w:r w:rsidR="009A5269">
        <w:t xml:space="preserve">2026 – </w:t>
      </w:r>
      <w:r w:rsidR="007A0B90">
        <w:t>definitief</w:t>
      </w:r>
      <w:r w:rsidR="00370237">
        <w:t xml:space="preserve"> </w:t>
      </w:r>
    </w:p>
    <w:p w:rsidRPr="009A5269" w:rsidR="009A5269" w:rsidP="009A5269" w:rsidRDefault="009A5269" w14:paraId="5F612056" w14:textId="30B45349">
      <w:pPr>
        <w:pStyle w:val="Heading1"/>
      </w:pPr>
      <w:r>
        <w:t>Achtergrond</w:t>
      </w:r>
    </w:p>
    <w:p w:rsidR="009A5269" w:rsidP="009A5269" w:rsidRDefault="009A5269" w14:paraId="4501D75F" w14:textId="3DEBC453">
      <w:pPr>
        <w:spacing w:line="240" w:lineRule="auto"/>
        <w:rPr>
          <w:rFonts w:eastAsia="Times New Roman"/>
        </w:rPr>
      </w:pPr>
      <w:r w:rsidRPr="00C318F3">
        <w:rPr>
          <w:rFonts w:eastAsia="Times New Roman"/>
        </w:rPr>
        <w:t>De minister van I</w:t>
      </w:r>
      <w:r>
        <w:rPr>
          <w:rFonts w:eastAsia="Times New Roman"/>
        </w:rPr>
        <w:t xml:space="preserve">enW heeft in het Commissiedebat Water van 24 september 2025 aan de Tweede Kamer toegezegd </w:t>
      </w:r>
      <w:r w:rsidRPr="00C318F3">
        <w:rPr>
          <w:rFonts w:eastAsia="Times New Roman"/>
        </w:rPr>
        <w:t xml:space="preserve">het </w:t>
      </w:r>
      <w:r>
        <w:rPr>
          <w:rFonts w:eastAsia="Times New Roman"/>
        </w:rPr>
        <w:t>bestuurlijk overleg Kaderrichtlijn Water (</w:t>
      </w:r>
      <w:r w:rsidRPr="00C318F3">
        <w:rPr>
          <w:rFonts w:eastAsia="Times New Roman"/>
        </w:rPr>
        <w:t>B</w:t>
      </w:r>
      <w:r>
        <w:rPr>
          <w:rFonts w:eastAsia="Times New Roman"/>
        </w:rPr>
        <w:t xml:space="preserve">O KRW) </w:t>
      </w:r>
      <w:r w:rsidRPr="00C318F3">
        <w:rPr>
          <w:rFonts w:eastAsia="Times New Roman"/>
        </w:rPr>
        <w:t xml:space="preserve">te vragen om een dashboard in te richten ten aanzien van de indirecte </w:t>
      </w:r>
      <w:r>
        <w:rPr>
          <w:rFonts w:eastAsia="Times New Roman"/>
        </w:rPr>
        <w:t xml:space="preserve">lozingen en de Kamer hier in mei 2026 nader over te informeren. In het BO KRW van 3 december is afgesproken dat de deelnemers zich inzetten om de gevraagde informatie aan te leveren. </w:t>
      </w:r>
    </w:p>
    <w:p w:rsidR="009A5269" w:rsidP="009A5269" w:rsidRDefault="009A5269" w14:paraId="250CFF5A" w14:textId="1C8080DF">
      <w:pPr>
        <w:rPr>
          <w:rFonts w:eastAsia="Times New Roman"/>
        </w:rPr>
      </w:pPr>
      <w:r w:rsidRPr="00E77258">
        <w:t>Het landelijk dashboard indirecte lozingen (verder ‘dashboard’) is nadrukkelijk een dashboard op hoofdlijnen</w:t>
      </w:r>
      <w:r>
        <w:t xml:space="preserve"> en </w:t>
      </w:r>
      <w:r w:rsidR="00FE622B">
        <w:t>is</w:t>
      </w:r>
      <w:r>
        <w:t xml:space="preserve"> kwalitatief van aard</w:t>
      </w:r>
      <w:r w:rsidRPr="00E77258">
        <w:t xml:space="preserve">. </w:t>
      </w:r>
      <w:r>
        <w:rPr>
          <w:rFonts w:eastAsia="Times New Roman"/>
        </w:rPr>
        <w:t xml:space="preserve">Het dashboard is een middel en geen doel op zich. </w:t>
      </w:r>
    </w:p>
    <w:p w:rsidR="009A5269" w:rsidP="009A5269" w:rsidRDefault="009A5269" w14:paraId="685FCAA9" w14:textId="1A25875F">
      <w:r w:rsidRPr="00E77258">
        <w:t xml:space="preserve">Het dashboard </w:t>
      </w:r>
      <w:r>
        <w:t xml:space="preserve">gaat in op </w:t>
      </w:r>
      <w:r w:rsidRPr="00E77258">
        <w:t>3 hoofdvragen</w:t>
      </w:r>
      <w:r>
        <w:t>:</w:t>
      </w:r>
    </w:p>
    <w:p w:rsidR="009A5269" w:rsidP="009A5269" w:rsidRDefault="009A5269" w14:paraId="3DEE9A8C" w14:textId="3B5CE2EB">
      <w:pPr>
        <w:pStyle w:val="ListParagraph"/>
        <w:numPr>
          <w:ilvl w:val="0"/>
          <w:numId w:val="1"/>
        </w:numPr>
      </w:pPr>
      <w:r w:rsidRPr="00EA14F7">
        <w:t>Omvang: zijn de indirecte lozingen in kaart?</w:t>
      </w:r>
    </w:p>
    <w:p w:rsidR="009A5269" w:rsidP="009A5269" w:rsidRDefault="009A5269" w14:paraId="05ABCEF2" w14:textId="69D9DE41">
      <w:pPr>
        <w:pStyle w:val="ListParagraph"/>
        <w:numPr>
          <w:ilvl w:val="0"/>
          <w:numId w:val="1"/>
        </w:numPr>
      </w:pPr>
      <w:r w:rsidRPr="00EA14F7">
        <w:t>Aanpak: is er een aanpak om de indirecte lozingen KRW-proof te krijgen?</w:t>
      </w:r>
    </w:p>
    <w:p w:rsidR="009A5269" w:rsidP="009A5269" w:rsidRDefault="009A5269" w14:paraId="2B2EC47A" w14:textId="176B1148">
      <w:pPr>
        <w:pStyle w:val="ListParagraph"/>
        <w:numPr>
          <w:ilvl w:val="0"/>
          <w:numId w:val="1"/>
        </w:numPr>
      </w:pPr>
      <w:r w:rsidRPr="00EA14F7">
        <w:t xml:space="preserve">Wat is de voortgang van </w:t>
      </w:r>
      <w:r>
        <w:t xml:space="preserve">relevante </w:t>
      </w:r>
      <w:r w:rsidRPr="00EA14F7">
        <w:t>landelijke trajecten?</w:t>
      </w:r>
    </w:p>
    <w:p w:rsidR="00547EAA" w:rsidP="009A5269" w:rsidRDefault="00FE439D" w14:paraId="0F92ADEB" w14:textId="362FAAED">
      <w:r>
        <w:rPr>
          <w:noProof/>
          <w:lang w:val="en-GB" w:eastAsia="en-GB"/>
        </w:rPr>
        <mc:AlternateContent>
          <mc:Choice Requires="wps">
            <w:drawing>
              <wp:anchor distT="45720" distB="45720" distL="114300" distR="114300" simplePos="0" relativeHeight="251659264" behindDoc="0" locked="0" layoutInCell="1" allowOverlap="1" wp14:editId="476DA6C0" wp14:anchorId="57D5B2B4">
                <wp:simplePos x="0" y="0"/>
                <wp:positionH relativeFrom="column">
                  <wp:posOffset>20320</wp:posOffset>
                </wp:positionH>
                <wp:positionV relativeFrom="paragraph">
                  <wp:posOffset>972820</wp:posOffset>
                </wp:positionV>
                <wp:extent cx="5676900" cy="3026410"/>
                <wp:effectExtent l="0" t="0" r="19050" b="215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026410"/>
                        </a:xfrm>
                        <a:prstGeom prst="rect">
                          <a:avLst/>
                        </a:prstGeom>
                        <a:solidFill>
                          <a:srgbClr val="FFFFFF"/>
                        </a:solidFill>
                        <a:ln w="9525">
                          <a:solidFill>
                            <a:srgbClr val="000000"/>
                          </a:solidFill>
                          <a:miter lim="800000"/>
                          <a:headEnd/>
                          <a:tailEnd/>
                        </a:ln>
                      </wps:spPr>
                      <wps:txbx>
                        <w:txbxContent>
                          <w:p w:rsidRPr="00FE439D" w:rsidR="00FE439D" w:rsidP="00FE439D" w:rsidRDefault="00FE439D" w14:paraId="1C5A8257" w14:textId="5CB32726">
                            <w:pPr>
                              <w:spacing w:line="240" w:lineRule="auto"/>
                              <w:rPr>
                                <w:b/>
                                <w:bCs/>
                              </w:rPr>
                            </w:pPr>
                            <w:r>
                              <w:rPr>
                                <w:b/>
                                <w:bCs/>
                              </w:rPr>
                              <w:t>Indirecte lozingen</w:t>
                            </w:r>
                          </w:p>
                          <w:p w:rsidR="00FE439D" w:rsidP="00FE439D" w:rsidRDefault="00FE439D" w14:paraId="7018A665" w14:textId="59B58A8C">
                            <w:pPr>
                              <w:spacing w:line="240" w:lineRule="auto"/>
                            </w:pPr>
                            <w:r>
                              <w:t>In deze notitie wordt met de term ‘indirecte lozing’ de volgende type lozingen en bijbehorende bevoegde gezagen (BG) bedoeld:</w:t>
                            </w:r>
                          </w:p>
                          <w:p w:rsidR="00FE439D" w:rsidP="00FE439D" w:rsidRDefault="00FE439D" w14:paraId="7CB4511F" w14:textId="77777777">
                            <w:pPr>
                              <w:pStyle w:val="ListParagraph"/>
                              <w:numPr>
                                <w:ilvl w:val="0"/>
                                <w:numId w:val="3"/>
                              </w:numPr>
                              <w:spacing w:line="240" w:lineRule="auto"/>
                            </w:pPr>
                            <w:r>
                              <w:t>Lozing op openbaar riool (gemeente BG, provincie BG voor complexe bedrijven);</w:t>
                            </w:r>
                          </w:p>
                          <w:p w:rsidR="00FE439D" w:rsidP="00FE439D" w:rsidRDefault="00FE439D" w14:paraId="2C9909C6" w14:textId="77777777">
                            <w:pPr>
                              <w:pStyle w:val="ListParagraph"/>
                              <w:numPr>
                                <w:ilvl w:val="0"/>
                                <w:numId w:val="3"/>
                              </w:numPr>
                              <w:spacing w:line="240" w:lineRule="auto"/>
                            </w:pPr>
                            <w:r>
                              <w:t>Lozing op openbaar riool via riool van een ander bedrijf (gemeente BG, provincie BG voor complexe bedrijven);</w:t>
                            </w:r>
                          </w:p>
                          <w:p w:rsidR="00FE439D" w:rsidP="00FE439D" w:rsidRDefault="00FE439D" w14:paraId="0618BFFC" w14:textId="399D0943">
                            <w:pPr>
                              <w:pStyle w:val="ListParagraph"/>
                              <w:numPr>
                                <w:ilvl w:val="0"/>
                                <w:numId w:val="3"/>
                              </w:numPr>
                              <w:spacing w:line="240" w:lineRule="auto"/>
                            </w:pPr>
                            <w:r>
                              <w:t>Lozing op openbaar riool via eigen zuivering of zuiveringsbedrijf (gemeente BG, provincie BG voor complexe bedrijven).</w:t>
                            </w:r>
                          </w:p>
                          <w:p w:rsidRPr="00E77258" w:rsidR="00FE439D" w:rsidP="00FE439D" w:rsidRDefault="00FE439D" w14:paraId="7E89CBDC" w14:textId="38000404">
                            <w:r>
                              <w:t>Afhankelijk van de activiteit, is er sprake van vergunningplicht, meldplicht of kan worden volstaan met algemene regels. Toezicht en handhaving is bij alle indirecte lozingen aan de orde, dus ook wanneer er onder algemene regels wordt geloosd (zoals een garagebedrijf).</w:t>
                            </w:r>
                            <w:r w:rsidRPr="00CE7CE6" w:rsidR="00CE7CE6">
                              <w:t xml:space="preserve"> </w:t>
                            </w:r>
                            <w:r w:rsidR="00CE7CE6">
                              <w:t>In de praktijk voeren de 28 omgevingsdiensten de taken in opdracht van het BG uit.</w:t>
                            </w:r>
                          </w:p>
                          <w:p w:rsidR="00FE439D" w:rsidRDefault="00FE439D" w14:paraId="44A91994" w14:textId="48087D31">
                            <w:r>
                              <w:t xml:space="preserve">Voor meer informatie over rollen en bevoegdheden bij indirecte lozingen, zie de </w:t>
                            </w:r>
                            <w:bookmarkStart w:name="_Hlk220340323" w:id="1"/>
                            <w:r>
                              <w:fldChar w:fldCharType="begin"/>
                            </w:r>
                            <w:r>
                              <w:instrText>HYPERLINK "https://www.stowa.nl/publicaties/factsheet-indirecte-lozingen-de-omgevingswet-taken-bevoegd-gezag-en-advies"</w:instrText>
                            </w:r>
                            <w:r>
                              <w:fldChar w:fldCharType="separate"/>
                            </w:r>
                            <w:r w:rsidRPr="00FE439D">
                              <w:rPr>
                                <w:rStyle w:val="Hyperlink"/>
                              </w:rPr>
                              <w:t>factsheet van STOWA (2025)</w:t>
                            </w:r>
                            <w:bookmarkEnd w:id="1"/>
                            <w:r>
                              <w:fldChar w:fldCharType="end"/>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D5B2B4">
                <v:stroke joinstyle="miter"/>
                <v:path gradientshapeok="t" o:connecttype="rect"/>
              </v:shapetype>
              <v:shape id="Tekstvak 2" style="position:absolute;margin-left:1.6pt;margin-top:76.6pt;width:447pt;height:23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">
                <v:textbox>
                  <w:txbxContent>
                    <w:p w:rsidRPr="00FE439D" w:rsidR="00FE439D" w:rsidP="00FE439D" w:rsidRDefault="00FE439D" w14:paraId="1C5A8257" w14:textId="5CB32726">
                      <w:pPr>
                        <w:spacing w:line="240" w:lineRule="auto"/>
                        <w:rPr>
                          <w:b/>
                          <w:bCs/>
                        </w:rPr>
                      </w:pPr>
                      <w:r>
                        <w:rPr>
                          <w:b/>
                          <w:bCs/>
                        </w:rPr>
                        <w:t>Indirecte lozingen</w:t>
                      </w:r>
                    </w:p>
                    <w:p w:rsidR="00FE439D" w:rsidP="00FE439D" w:rsidRDefault="00FE439D" w14:paraId="7018A665" w14:textId="59B58A8C">
                      <w:pPr>
                        <w:spacing w:line="240" w:lineRule="auto"/>
                      </w:pPr>
                      <w:r>
                        <w:t>In deze notitie wordt met de term ‘indirecte lozing’ de volgende type lozingen en bijbehorende bevoegde gezagen (BG) bedoeld:</w:t>
                      </w:r>
                    </w:p>
                    <w:p w:rsidR="00FE439D" w:rsidP="00FE439D" w:rsidRDefault="00FE439D" w14:paraId="7CB4511F" w14:textId="77777777">
                      <w:pPr>
                        <w:pStyle w:val="ListParagraph"/>
                        <w:numPr>
                          <w:ilvl w:val="0"/>
                          <w:numId w:val="3"/>
                        </w:numPr>
                        <w:spacing w:line="240" w:lineRule="auto"/>
                      </w:pPr>
                      <w:r>
                        <w:t>Lozing op openbaar riool (gemeente BG, provincie BG voor complexe bedrijven);</w:t>
                      </w:r>
                    </w:p>
                    <w:p w:rsidR="00FE439D" w:rsidP="00FE439D" w:rsidRDefault="00FE439D" w14:paraId="2C9909C6" w14:textId="77777777">
                      <w:pPr>
                        <w:pStyle w:val="ListParagraph"/>
                        <w:numPr>
                          <w:ilvl w:val="0"/>
                          <w:numId w:val="3"/>
                        </w:numPr>
                        <w:spacing w:line="240" w:lineRule="auto"/>
                      </w:pPr>
                      <w:r>
                        <w:t>Lozing op openbaar riool via riool van een ander bedrijf (gemeente BG, provincie BG voor complexe bedrijven);</w:t>
                      </w:r>
                    </w:p>
                    <w:p w:rsidR="00FE439D" w:rsidP="00FE439D" w:rsidRDefault="00FE439D" w14:paraId="0618BFFC" w14:textId="399D0943">
                      <w:pPr>
                        <w:pStyle w:val="ListParagraph"/>
                        <w:numPr>
                          <w:ilvl w:val="0"/>
                          <w:numId w:val="3"/>
                        </w:numPr>
                        <w:spacing w:line="240" w:lineRule="auto"/>
                      </w:pPr>
                      <w:r>
                        <w:t>Lozing op openbaar riool via eigen zuivering of zuiveringsbedrijf (gemeente BG, provincie BG voor complexe bedrijven).</w:t>
                      </w:r>
                    </w:p>
                    <w:p w:rsidRPr="00E77258" w:rsidR="00FE439D" w:rsidP="00FE439D" w:rsidRDefault="00FE439D" w14:paraId="7E89CBDC" w14:textId="38000404">
                      <w:r>
                        <w:t>Afhankelijk van de activiteit, is er sprake van vergunningplicht, meldplicht of kan worden volstaan met algemene regels. Toezicht en handhaving is bij alle indirecte lozingen aan de orde, dus ook wanneer er onder algemene regels wordt geloosd (zoals een garagebedrijf).</w:t>
                      </w:r>
                      <w:r w:rsidRPr="00CE7CE6" w:rsidR="00CE7CE6">
                        <w:t xml:space="preserve"> </w:t>
                      </w:r>
                      <w:r w:rsidR="00CE7CE6">
                        <w:t>In de praktijk voeren de 28 omgevingsdiensten de taken in opdracht van het BG uit.</w:t>
                      </w:r>
                    </w:p>
                    <w:p w:rsidR="00FE439D" w:rsidRDefault="00FE439D" w14:paraId="44A91994" w14:textId="48087D31">
                      <w:r>
                        <w:t xml:space="preserve">Voor meer informatie over rollen en bevoegdheden bij indirecte lozingen, zie de </w:t>
                      </w:r>
                      <w:bookmarkStart w:name="_Hlk220340323" w:id="2"/>
                      <w:r>
                        <w:fldChar w:fldCharType="begin"/>
                      </w:r>
                      <w:r>
                        <w:instrText>HYPERLINK "https://www.stowa.nl/publicaties/factsheet-indirecte-lozingen-de-omgevingswet-taken-bevoegd-gezag-en-advies"</w:instrText>
                      </w:r>
                      <w:r>
                        <w:fldChar w:fldCharType="separate"/>
                      </w:r>
                      <w:r w:rsidRPr="00FE439D">
                        <w:rPr>
                          <w:rStyle w:val="Hyperlink"/>
                        </w:rPr>
                        <w:t>factsheet van STOWA (2025)</w:t>
                      </w:r>
                      <w:bookmarkEnd w:id="2"/>
                      <w:r>
                        <w:fldChar w:fldCharType="end"/>
                      </w:r>
                      <w:r>
                        <w:t>.</w:t>
                      </w:r>
                    </w:p>
                  </w:txbxContent>
                </v:textbox>
                <w10:wrap type="square"/>
              </v:shape>
            </w:pict>
          </mc:Fallback>
        </mc:AlternateContent>
      </w:r>
      <w:r w:rsidRPr="00E77258" w:rsidR="009A5269">
        <w:t xml:space="preserve">De provincies </w:t>
      </w:r>
      <w:r w:rsidR="009A5269">
        <w:t>is</w:t>
      </w:r>
      <w:r w:rsidRPr="00E77258" w:rsidR="009A5269">
        <w:t xml:space="preserve"> gevraagd informatie aan te leveren voor hoofdvragen 1 en 2.</w:t>
      </w:r>
      <w:r w:rsidRPr="00663093" w:rsidR="009A5269">
        <w:t xml:space="preserve"> </w:t>
      </w:r>
      <w:r w:rsidR="00C57291">
        <w:rPr>
          <w:rFonts w:eastAsia="Times New Roman"/>
        </w:rPr>
        <w:t xml:space="preserve">Een groot deel van de informatie was al aangeleverd ten behoeve van de voorbereiding van de gesprekken tussen de minister en de individuele watergedeputeerden. </w:t>
      </w:r>
      <w:r w:rsidR="00CE7CE6">
        <w:t xml:space="preserve">Hoofdvraag 3 is beantwoord door IenW, in afstemming met de </w:t>
      </w:r>
      <w:r w:rsidRPr="00E77258" w:rsidR="009A5269">
        <w:t>ambtelijke werkgroep indirecte lozingen.</w:t>
      </w:r>
    </w:p>
    <w:p w:rsidR="00FE439D" w:rsidRDefault="00FE439D" w14:paraId="3B90C6E2" w14:textId="77777777">
      <w:pPr>
        <w:rPr>
          <w:rFonts w:asciiTheme="majorHAnsi" w:hAnsiTheme="majorHAnsi" w:eastAsiaTheme="majorEastAsia" w:cstheme="majorBidi"/>
          <w:color w:val="0F4761" w:themeColor="accent1" w:themeShade="BF"/>
          <w:sz w:val="40"/>
          <w:szCs w:val="40"/>
        </w:rPr>
      </w:pPr>
      <w:r>
        <w:br w:type="page"/>
      </w:r>
    </w:p>
    <w:p w:rsidR="009A5269" w:rsidP="00324B43" w:rsidRDefault="00324B43" w14:paraId="05DD3D81" w14:textId="58792BC3">
      <w:pPr>
        <w:pStyle w:val="Heading1"/>
      </w:pPr>
      <w:r>
        <w:lastRenderedPageBreak/>
        <w:t>Algemeen beeld</w:t>
      </w:r>
    </w:p>
    <w:p w:rsidR="00EF2604" w:rsidP="00EF2604" w:rsidRDefault="00CE7CE6" w14:paraId="4E866A2B" w14:textId="2D9D1DDF">
      <w:r>
        <w:t>Om grip te krijgen op de</w:t>
      </w:r>
      <w:r w:rsidRPr="009520BF" w:rsidR="00324B43">
        <w:t xml:space="preserve"> indirecte lozingen </w:t>
      </w:r>
      <w:r>
        <w:t>zijn</w:t>
      </w:r>
      <w:r w:rsidR="00324B43">
        <w:t xml:space="preserve"> inmiddels in </w:t>
      </w:r>
      <w:r>
        <w:t>alle</w:t>
      </w:r>
      <w:r w:rsidR="00324B43">
        <w:t xml:space="preserve"> regio’s </w:t>
      </w:r>
      <w:r w:rsidRPr="009520BF" w:rsidR="00324B43">
        <w:t xml:space="preserve">(vanuit provincies, waterschappen, omgevingsdiensten, gemeenten) </w:t>
      </w:r>
      <w:r w:rsidR="00324B43">
        <w:t xml:space="preserve">en op nationaal niveau </w:t>
      </w:r>
      <w:r w:rsidR="00FE439D">
        <w:t xml:space="preserve">(IPO, VNG, ODNL, IenW) </w:t>
      </w:r>
      <w:r w:rsidRPr="009520BF" w:rsidR="00324B43">
        <w:t>een groot aantal projecten</w:t>
      </w:r>
      <w:r w:rsidR="00324B43">
        <w:t xml:space="preserve">, </w:t>
      </w:r>
      <w:r w:rsidRPr="009520BF" w:rsidR="00324B43">
        <w:t>pilots</w:t>
      </w:r>
      <w:r w:rsidR="00324B43">
        <w:t xml:space="preserve"> en </w:t>
      </w:r>
      <w:r w:rsidRPr="009520BF" w:rsidR="00324B43">
        <w:t>samenwerkingsverbanden gestart</w:t>
      </w:r>
      <w:r w:rsidR="00324B43">
        <w:t>.</w:t>
      </w:r>
      <w:r w:rsidRPr="000E0215" w:rsidR="00324B43">
        <w:t xml:space="preserve"> </w:t>
      </w:r>
      <w:r w:rsidR="00FE439D">
        <w:t xml:space="preserve">Zowel ambtelijk als ook bestuurlijk is de aandacht </w:t>
      </w:r>
      <w:r w:rsidR="009D44E0">
        <w:t xml:space="preserve">voor de bijdrage van indirecte lozingen op waterkwaliteit </w:t>
      </w:r>
      <w:r w:rsidR="00FE439D">
        <w:t>toegenomen.</w:t>
      </w:r>
      <w:r w:rsidR="00EF2604">
        <w:t xml:space="preserve"> Er wordt hard gewerkt aan het verkrijgen van inzicht in de opgave</w:t>
      </w:r>
      <w:r w:rsidR="00FE439D">
        <w:t xml:space="preserve">, en aan </w:t>
      </w:r>
      <w:r w:rsidR="009D44E0">
        <w:t xml:space="preserve">het uitwerken van </w:t>
      </w:r>
      <w:r w:rsidR="00FE439D">
        <w:t xml:space="preserve">aanpakken om grip te krijgen op indirecte lozingen. </w:t>
      </w:r>
    </w:p>
    <w:p w:rsidR="00324B43" w:rsidP="00324B43" w:rsidRDefault="00324B43" w14:paraId="1B969E50" w14:textId="3ECD52C3">
      <w:pPr>
        <w:pStyle w:val="Heading1"/>
      </w:pPr>
      <w:r>
        <w:t xml:space="preserve">1. </w:t>
      </w:r>
      <w:r w:rsidRPr="00EA14F7">
        <w:t>Omvang: zijn de indirecte lozingen in kaart?</w:t>
      </w:r>
    </w:p>
    <w:tbl>
      <w:tblPr>
        <w:tblW w:w="8709" w:type="dxa"/>
        <w:tblCellMar>
          <w:left w:w="70" w:type="dxa"/>
          <w:right w:w="70" w:type="dxa"/>
        </w:tblCellMar>
        <w:tblLook w:val="04A0" w:firstRow="1" w:lastRow="0" w:firstColumn="1" w:lastColumn="0" w:noHBand="0" w:noVBand="1"/>
      </w:tblPr>
      <w:tblGrid>
        <w:gridCol w:w="324"/>
        <w:gridCol w:w="2674"/>
        <w:gridCol w:w="482"/>
        <w:gridCol w:w="482"/>
        <w:gridCol w:w="482"/>
        <w:gridCol w:w="482"/>
        <w:gridCol w:w="482"/>
        <w:gridCol w:w="482"/>
        <w:gridCol w:w="482"/>
        <w:gridCol w:w="482"/>
        <w:gridCol w:w="482"/>
        <w:gridCol w:w="482"/>
        <w:gridCol w:w="482"/>
        <w:gridCol w:w="482"/>
      </w:tblGrid>
      <w:tr w:rsidRPr="00AD311F" w:rsidR="00AD311F" w:rsidTr="00AD311F" w14:paraId="1B291D2A" w14:textId="77777777">
        <w:trPr>
          <w:trHeight w:val="1236"/>
        </w:trPr>
        <w:tc>
          <w:tcPr>
            <w:tcW w:w="25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D311F" w:rsidR="00AD311F" w:rsidP="00AD311F" w:rsidRDefault="00AD311F" w14:paraId="21E4D336"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2674" w:type="dxa"/>
            <w:tcBorders>
              <w:top w:val="single" w:color="auto" w:sz="4" w:space="0"/>
              <w:left w:val="nil"/>
              <w:bottom w:val="single" w:color="auto" w:sz="4" w:space="0"/>
              <w:right w:val="single" w:color="auto" w:sz="4" w:space="0"/>
            </w:tcBorders>
            <w:shd w:val="clear" w:color="auto" w:fill="auto"/>
            <w:noWrap/>
            <w:vAlign w:val="bottom"/>
            <w:hideMark/>
          </w:tcPr>
          <w:p w:rsidRPr="00AD311F" w:rsidR="00AD311F" w:rsidP="00AD311F" w:rsidRDefault="00AD311F" w14:paraId="628794D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06669863"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Drenthe</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28F0C6FD"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Flevoland</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380E9427"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Friesland</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22567782"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Gelderland</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6A3379CF"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Groningen</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53D4F442"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Limburg</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2BAB5DB2"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Noord-Brabant</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683647B5"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Noord-Holland</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0569E6FD"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Overijssel</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4ACF3188"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Utrecht</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09ABFC0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Zeeland</w:t>
            </w:r>
          </w:p>
        </w:tc>
        <w:tc>
          <w:tcPr>
            <w:tcW w:w="482"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AD311F" w:rsidR="00AD311F" w:rsidP="00AD311F" w:rsidRDefault="00AD311F" w14:paraId="25F09FA4"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Zuid-Holland</w:t>
            </w:r>
          </w:p>
        </w:tc>
      </w:tr>
      <w:tr w:rsidRPr="00AD311F" w:rsidR="00AD311F" w:rsidTr="008E4DE2" w14:paraId="092B3458" w14:textId="77777777">
        <w:trPr>
          <w:trHeight w:val="453"/>
        </w:trPr>
        <w:tc>
          <w:tcPr>
            <w:tcW w:w="251" w:type="dxa"/>
            <w:tcBorders>
              <w:top w:val="nil"/>
              <w:left w:val="single" w:color="auto" w:sz="4" w:space="0"/>
              <w:bottom w:val="single" w:color="auto" w:sz="4" w:space="0"/>
              <w:right w:val="single" w:color="auto" w:sz="4" w:space="0"/>
            </w:tcBorders>
            <w:shd w:val="clear" w:color="auto" w:fill="auto"/>
            <w:noWrap/>
            <w:hideMark/>
          </w:tcPr>
          <w:p w:rsidRPr="00AD311F" w:rsidR="00AD311F" w:rsidP="00AD311F" w:rsidRDefault="00AD311F" w14:paraId="13508BC8"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1a</w:t>
            </w:r>
          </w:p>
        </w:tc>
        <w:tc>
          <w:tcPr>
            <w:tcW w:w="2674" w:type="dxa"/>
            <w:tcBorders>
              <w:top w:val="nil"/>
              <w:left w:val="nil"/>
              <w:bottom w:val="single" w:color="auto" w:sz="4" w:space="0"/>
              <w:right w:val="single" w:color="auto" w:sz="4" w:space="0"/>
            </w:tcBorders>
            <w:shd w:val="clear" w:color="auto" w:fill="auto"/>
            <w:hideMark/>
          </w:tcPr>
          <w:p w:rsidRPr="00AD311F" w:rsidR="00AD311F" w:rsidP="00AD311F" w:rsidRDefault="00AD311F" w14:paraId="140F41FD"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xml:space="preserve">Is de omvang van de opgave in beeld? </w:t>
            </w:r>
            <w:r w:rsidRPr="00AD311F">
              <w:rPr>
                <w:rFonts w:ascii="Aptos Narrow" w:hAnsi="Aptos Narrow" w:eastAsia="Times New Roman" w:cs="Times New Roman"/>
                <w:i/>
                <w:iCs/>
                <w:color w:val="000000"/>
                <w:kern w:val="0"/>
                <w:sz w:val="18"/>
                <w:szCs w:val="18"/>
                <w:lang w:eastAsia="nl-NL"/>
                <w14:ligatures w14:val="none"/>
              </w:rPr>
              <w:t>Bevoegd gezag = provincie</w:t>
            </w:r>
          </w:p>
        </w:tc>
        <w:tc>
          <w:tcPr>
            <w:tcW w:w="482" w:type="dxa"/>
            <w:tcBorders>
              <w:top w:val="nil"/>
              <w:left w:val="nil"/>
              <w:bottom w:val="single" w:color="auto" w:sz="4" w:space="0"/>
              <w:right w:val="single" w:color="auto" w:sz="4" w:space="0"/>
            </w:tcBorders>
            <w:shd w:val="clear" w:color="000000" w:fill="00B050"/>
            <w:noWrap/>
            <w:vAlign w:val="bottom"/>
            <w:hideMark/>
          </w:tcPr>
          <w:p w:rsidRPr="00AD311F" w:rsidR="00AD311F" w:rsidP="00AD311F" w:rsidRDefault="00AD311F" w14:paraId="28634195"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02D7AD3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00B050"/>
            <w:noWrap/>
            <w:vAlign w:val="bottom"/>
            <w:hideMark/>
          </w:tcPr>
          <w:p w:rsidRPr="00AD311F" w:rsidR="00AD311F" w:rsidP="00AD311F" w:rsidRDefault="00AD311F" w14:paraId="271D311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00B050"/>
            <w:noWrap/>
            <w:vAlign w:val="bottom"/>
            <w:hideMark/>
          </w:tcPr>
          <w:p w:rsidRPr="00AD311F" w:rsidR="00AD311F" w:rsidP="00AD311F" w:rsidRDefault="00AD311F" w14:paraId="25F1CB01"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92D050"/>
            <w:noWrap/>
            <w:vAlign w:val="bottom"/>
            <w:hideMark/>
          </w:tcPr>
          <w:p w:rsidRPr="00AD311F" w:rsidR="00AD311F" w:rsidP="00AD311F" w:rsidRDefault="00AD311F" w14:paraId="4805A8F3"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1C2F45F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5C9C372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auto" w:fill="92D050"/>
            <w:noWrap/>
            <w:vAlign w:val="bottom"/>
            <w:hideMark/>
          </w:tcPr>
          <w:p w:rsidRPr="00AD311F" w:rsidR="00AD311F" w:rsidP="00AD311F" w:rsidRDefault="00AD311F" w14:paraId="6FFD8B64"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00B050"/>
            <w:noWrap/>
            <w:vAlign w:val="bottom"/>
            <w:hideMark/>
          </w:tcPr>
          <w:p w:rsidRPr="00AD311F" w:rsidR="00AD311F" w:rsidP="00AD311F" w:rsidRDefault="00AD311F" w14:paraId="6CD9778F"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00B050"/>
            <w:noWrap/>
            <w:vAlign w:val="bottom"/>
            <w:hideMark/>
          </w:tcPr>
          <w:p w:rsidRPr="00AD311F" w:rsidR="00AD311F" w:rsidP="00AD311F" w:rsidRDefault="00AD311F" w14:paraId="6DCC8914"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00B050"/>
            <w:noWrap/>
            <w:vAlign w:val="bottom"/>
            <w:hideMark/>
          </w:tcPr>
          <w:p w:rsidRPr="00AD311F" w:rsidR="00AD311F" w:rsidP="00AD311F" w:rsidRDefault="00AD311F" w14:paraId="5AB3C644"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00B050"/>
            <w:noWrap/>
            <w:vAlign w:val="bottom"/>
            <w:hideMark/>
          </w:tcPr>
          <w:p w:rsidRPr="00AD311F" w:rsidR="00AD311F" w:rsidP="00AD311F" w:rsidRDefault="00AD311F" w14:paraId="3DC9FE3D"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r>
      <w:tr w:rsidRPr="00AD311F" w:rsidR="00AD311F" w:rsidTr="008E4DE2" w14:paraId="4F4C9481" w14:textId="77777777">
        <w:trPr>
          <w:trHeight w:val="453"/>
        </w:trPr>
        <w:tc>
          <w:tcPr>
            <w:tcW w:w="251" w:type="dxa"/>
            <w:tcBorders>
              <w:top w:val="nil"/>
              <w:left w:val="single" w:color="auto" w:sz="4" w:space="0"/>
              <w:bottom w:val="single" w:color="auto" w:sz="4" w:space="0"/>
              <w:right w:val="single" w:color="auto" w:sz="4" w:space="0"/>
            </w:tcBorders>
            <w:shd w:val="clear" w:color="auto" w:fill="auto"/>
            <w:noWrap/>
            <w:hideMark/>
          </w:tcPr>
          <w:p w:rsidRPr="00AD311F" w:rsidR="00AD311F" w:rsidP="00AD311F" w:rsidRDefault="00AD311F" w14:paraId="5983C0B3"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1b</w:t>
            </w:r>
          </w:p>
        </w:tc>
        <w:tc>
          <w:tcPr>
            <w:tcW w:w="2674" w:type="dxa"/>
            <w:tcBorders>
              <w:top w:val="nil"/>
              <w:left w:val="nil"/>
              <w:bottom w:val="single" w:color="auto" w:sz="4" w:space="0"/>
              <w:right w:val="single" w:color="auto" w:sz="4" w:space="0"/>
            </w:tcBorders>
            <w:shd w:val="clear" w:color="auto" w:fill="auto"/>
            <w:hideMark/>
          </w:tcPr>
          <w:p w:rsidRPr="00AD311F" w:rsidR="00AD311F" w:rsidP="00AD311F" w:rsidRDefault="00AD311F" w14:paraId="2E847DB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xml:space="preserve">Is de omvang van de opgave in beeld? </w:t>
            </w:r>
            <w:r w:rsidRPr="00AD311F">
              <w:rPr>
                <w:rFonts w:ascii="Aptos Narrow" w:hAnsi="Aptos Narrow" w:eastAsia="Times New Roman" w:cs="Times New Roman"/>
                <w:i/>
                <w:iCs/>
                <w:color w:val="000000"/>
                <w:kern w:val="0"/>
                <w:sz w:val="18"/>
                <w:szCs w:val="18"/>
                <w:lang w:eastAsia="nl-NL"/>
                <w14:ligatures w14:val="none"/>
              </w:rPr>
              <w:t>Bevoegd gezag = gemeente</w:t>
            </w:r>
          </w:p>
        </w:tc>
        <w:tc>
          <w:tcPr>
            <w:tcW w:w="482" w:type="dxa"/>
            <w:tcBorders>
              <w:top w:val="nil"/>
              <w:left w:val="nil"/>
              <w:bottom w:val="single" w:color="auto" w:sz="4" w:space="0"/>
              <w:right w:val="single" w:color="auto" w:sz="4" w:space="0"/>
            </w:tcBorders>
            <w:shd w:val="clear" w:color="auto" w:fill="D9F2D0" w:themeFill="accent6" w:themeFillTint="33"/>
            <w:noWrap/>
            <w:vAlign w:val="bottom"/>
            <w:hideMark/>
          </w:tcPr>
          <w:p w:rsidRPr="00AD311F" w:rsidR="00AD311F" w:rsidP="00AD311F" w:rsidRDefault="00AD311F" w14:paraId="2BD8153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1BB2FE95"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00B050"/>
            <w:noWrap/>
            <w:vAlign w:val="bottom"/>
            <w:hideMark/>
          </w:tcPr>
          <w:p w:rsidRPr="00AD311F" w:rsidR="00AD311F" w:rsidP="00AD311F" w:rsidRDefault="00AD311F" w14:paraId="3CDD498F"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105BCBF8"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2CAC947B"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73C8ECAD"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7E2C9950"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auto" w:fill="D9F2D0" w:themeFill="accent6" w:themeFillTint="33"/>
            <w:noWrap/>
            <w:vAlign w:val="bottom"/>
            <w:hideMark/>
          </w:tcPr>
          <w:p w:rsidRPr="00AD311F" w:rsidR="00AD311F" w:rsidP="00AD311F" w:rsidRDefault="00AD311F" w14:paraId="100284A2"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4BA6E3FD"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5C853008"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000000" w:fill="DAF2D0"/>
            <w:noWrap/>
            <w:vAlign w:val="bottom"/>
            <w:hideMark/>
          </w:tcPr>
          <w:p w:rsidRPr="00AD311F" w:rsidR="00AD311F" w:rsidP="00AD311F" w:rsidRDefault="00AD311F" w14:paraId="7C909BE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482" w:type="dxa"/>
            <w:tcBorders>
              <w:top w:val="nil"/>
              <w:left w:val="nil"/>
              <w:bottom w:val="single" w:color="auto" w:sz="4" w:space="0"/>
              <w:right w:val="single" w:color="auto" w:sz="4" w:space="0"/>
            </w:tcBorders>
            <w:shd w:val="clear" w:color="auto" w:fill="00B050"/>
            <w:noWrap/>
            <w:vAlign w:val="bottom"/>
            <w:hideMark/>
          </w:tcPr>
          <w:p w:rsidRPr="00AD311F" w:rsidR="00AD311F" w:rsidP="00AD311F" w:rsidRDefault="00AD311F" w14:paraId="52BA4742"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r>
    </w:tbl>
    <w:p w:rsidR="00AD311F" w:rsidP="00324B43" w:rsidRDefault="00AD311F" w14:paraId="1A779ADA" w14:textId="77777777"/>
    <w:tbl>
      <w:tblPr>
        <w:tblW w:w="2972" w:type="dxa"/>
        <w:tblCellMar>
          <w:left w:w="70" w:type="dxa"/>
          <w:right w:w="70" w:type="dxa"/>
        </w:tblCellMar>
        <w:tblLook w:val="04A0" w:firstRow="1" w:lastRow="0" w:firstColumn="1" w:lastColumn="0" w:noHBand="0" w:noVBand="1"/>
      </w:tblPr>
      <w:tblGrid>
        <w:gridCol w:w="340"/>
        <w:gridCol w:w="2632"/>
      </w:tblGrid>
      <w:tr w:rsidRPr="00AD311F" w:rsidR="00AD311F" w:rsidTr="00AD311F" w14:paraId="03B83180" w14:textId="77777777">
        <w:trPr>
          <w:trHeight w:val="290"/>
        </w:trPr>
        <w:tc>
          <w:tcPr>
            <w:tcW w:w="340" w:type="dxa"/>
            <w:tcBorders>
              <w:top w:val="single" w:color="auto" w:sz="4" w:space="0"/>
              <w:left w:val="single" w:color="auto" w:sz="4" w:space="0"/>
              <w:bottom w:val="single" w:color="auto" w:sz="4" w:space="0"/>
              <w:right w:val="single" w:color="auto" w:sz="4" w:space="0"/>
            </w:tcBorders>
            <w:shd w:val="clear" w:color="000000" w:fill="00B050"/>
            <w:noWrap/>
            <w:vAlign w:val="bottom"/>
            <w:hideMark/>
          </w:tcPr>
          <w:p w:rsidRPr="00AD311F" w:rsidR="00AD311F" w:rsidP="00AD311F" w:rsidRDefault="00AD311F" w14:paraId="34C7C54F"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2632" w:type="dxa"/>
            <w:tcBorders>
              <w:top w:val="single" w:color="auto" w:sz="4" w:space="0"/>
              <w:left w:val="nil"/>
              <w:bottom w:val="single" w:color="auto" w:sz="4" w:space="0"/>
              <w:right w:val="single" w:color="auto" w:sz="4" w:space="0"/>
            </w:tcBorders>
            <w:shd w:val="clear" w:color="auto" w:fill="auto"/>
            <w:hideMark/>
          </w:tcPr>
          <w:p w:rsidRPr="00AD311F" w:rsidR="00AD311F" w:rsidP="00AD311F" w:rsidRDefault="00AD311F" w14:paraId="6EE9358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Ja, in hoge mate van detail</w:t>
            </w:r>
          </w:p>
        </w:tc>
      </w:tr>
      <w:tr w:rsidRPr="00AD311F" w:rsidR="00AD311F" w:rsidTr="00AD311F" w14:paraId="24678F1B" w14:textId="77777777">
        <w:trPr>
          <w:trHeight w:val="290"/>
        </w:trPr>
        <w:tc>
          <w:tcPr>
            <w:tcW w:w="340" w:type="dxa"/>
            <w:tcBorders>
              <w:top w:val="nil"/>
              <w:left w:val="single" w:color="auto" w:sz="4" w:space="0"/>
              <w:bottom w:val="single" w:color="auto" w:sz="4" w:space="0"/>
              <w:right w:val="single" w:color="auto" w:sz="4" w:space="0"/>
            </w:tcBorders>
            <w:shd w:val="clear" w:color="000000" w:fill="92D050"/>
            <w:noWrap/>
            <w:vAlign w:val="bottom"/>
            <w:hideMark/>
          </w:tcPr>
          <w:p w:rsidRPr="00AD311F" w:rsidR="00AD311F" w:rsidP="00AD311F" w:rsidRDefault="00AD311F" w14:paraId="4C4FB5DE"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2632" w:type="dxa"/>
            <w:tcBorders>
              <w:top w:val="nil"/>
              <w:left w:val="nil"/>
              <w:bottom w:val="single" w:color="auto" w:sz="4" w:space="0"/>
              <w:right w:val="single" w:color="auto" w:sz="4" w:space="0"/>
            </w:tcBorders>
            <w:shd w:val="clear" w:color="auto" w:fill="auto"/>
            <w:hideMark/>
          </w:tcPr>
          <w:p w:rsidRPr="00AD311F" w:rsidR="00AD311F" w:rsidP="00AD311F" w:rsidRDefault="00AD311F" w14:paraId="2900F29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Ja, op hoofdlijnen / deels</w:t>
            </w:r>
          </w:p>
        </w:tc>
      </w:tr>
      <w:tr w:rsidRPr="00AD311F" w:rsidR="00AD311F" w:rsidTr="00AD311F" w14:paraId="744C95D7" w14:textId="77777777">
        <w:trPr>
          <w:trHeight w:val="290"/>
        </w:trPr>
        <w:tc>
          <w:tcPr>
            <w:tcW w:w="340" w:type="dxa"/>
            <w:tcBorders>
              <w:top w:val="nil"/>
              <w:left w:val="single" w:color="auto" w:sz="4" w:space="0"/>
              <w:bottom w:val="single" w:color="auto" w:sz="4" w:space="0"/>
              <w:right w:val="single" w:color="auto" w:sz="4" w:space="0"/>
            </w:tcBorders>
            <w:shd w:val="clear" w:color="000000" w:fill="DAF2D0"/>
            <w:noWrap/>
            <w:vAlign w:val="bottom"/>
            <w:hideMark/>
          </w:tcPr>
          <w:p w:rsidRPr="00AD311F" w:rsidR="00AD311F" w:rsidP="00AD311F" w:rsidRDefault="00AD311F" w14:paraId="33E9C923"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2632" w:type="dxa"/>
            <w:tcBorders>
              <w:top w:val="nil"/>
              <w:left w:val="nil"/>
              <w:bottom w:val="single" w:color="auto" w:sz="4" w:space="0"/>
              <w:right w:val="single" w:color="auto" w:sz="4" w:space="0"/>
            </w:tcBorders>
            <w:shd w:val="clear" w:color="auto" w:fill="auto"/>
            <w:hideMark/>
          </w:tcPr>
          <w:p w:rsidRPr="00AD311F" w:rsidR="00AD311F" w:rsidP="00AD311F" w:rsidRDefault="00AD311F" w14:paraId="2AD624C0"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Wordt aan gewerkt</w:t>
            </w:r>
          </w:p>
        </w:tc>
      </w:tr>
    </w:tbl>
    <w:p w:rsidR="00040FBA" w:rsidP="00324B43" w:rsidRDefault="00040FBA" w14:paraId="3FE9A03F" w14:textId="01C37F60">
      <w:pPr>
        <w:rPr>
          <w:i/>
          <w:iCs/>
        </w:rPr>
      </w:pPr>
    </w:p>
    <w:p w:rsidR="00040FBA" w:rsidP="00064FA7" w:rsidRDefault="00981A45" w14:paraId="373A2F51" w14:textId="67867E03">
      <w:r>
        <w:t xml:space="preserve">De provincies zijn bevoegd gezag </w:t>
      </w:r>
      <w:r w:rsidR="00064FA7">
        <w:t>voor ‘complexe bedrijven’</w:t>
      </w:r>
      <w:r>
        <w:t xml:space="preserve">. Deze (provinciale) indirecte </w:t>
      </w:r>
      <w:r w:rsidR="00AD311F">
        <w:t xml:space="preserve">lozingen zijn voor een </w:t>
      </w:r>
      <w:r w:rsidR="00A85B5F">
        <w:t>groot deel in kaart</w:t>
      </w:r>
      <w:r w:rsidR="00312767">
        <w:t>, of worden nog meer gedetailleerd in kaart gebracht.</w:t>
      </w:r>
      <w:r w:rsidR="00A85B5F">
        <w:t xml:space="preserve"> </w:t>
      </w:r>
      <w:r w:rsidR="00040FBA">
        <w:t xml:space="preserve">De </w:t>
      </w:r>
      <w:r>
        <w:t xml:space="preserve">(overige) </w:t>
      </w:r>
      <w:r w:rsidR="00040FBA">
        <w:t>indirecte lozingen waarvoor de gemeenten het bevoegd gezag zijn, zijn veel beperkter in beeld.</w:t>
      </w:r>
      <w:r w:rsidRPr="00040FBA" w:rsidR="00040FBA">
        <w:t xml:space="preserve"> </w:t>
      </w:r>
      <w:r w:rsidR="00064FA7">
        <w:t xml:space="preserve">Om een beeld te krijgen, maakt een aantal provincies </w:t>
      </w:r>
      <w:r w:rsidR="00040FBA">
        <w:t>gebruik van tools (zoals Hydrex en Deconcern), waarmee door het slim koppelen van databases een (risico)inschatting kan worden gedaan van het aantal voor de KRW relevante indirecte lozingen (vergunningen, meldingen en algemene regels).</w:t>
      </w:r>
      <w:r w:rsidR="00865568">
        <w:t xml:space="preserve"> </w:t>
      </w:r>
      <w:r>
        <w:t>Friesland en Zuid-Holland hebben het meet gedetailleerde beeld van de door gemeenten vergunde indirecte lozingen. Melding</w:t>
      </w:r>
      <w:r w:rsidR="009D44E0">
        <w:t>splichtige indirecte lozingen</w:t>
      </w:r>
      <w:r>
        <w:t xml:space="preserve"> en indirecte lozingen onder algemene regels zijn alleen op hoofdlijnen in beeld.  </w:t>
      </w:r>
    </w:p>
    <w:p w:rsidR="00C57291" w:rsidRDefault="00C57291" w14:paraId="65DFF316" w14:textId="77777777">
      <w:pPr>
        <w:rPr>
          <w:rFonts w:asciiTheme="majorHAnsi" w:hAnsiTheme="majorHAnsi" w:eastAsiaTheme="majorEastAsia" w:cstheme="majorBidi"/>
          <w:color w:val="0F4761" w:themeColor="accent1" w:themeShade="BF"/>
          <w:sz w:val="40"/>
          <w:szCs w:val="40"/>
        </w:rPr>
      </w:pPr>
      <w:r>
        <w:br w:type="page"/>
      </w:r>
    </w:p>
    <w:p w:rsidR="00324B43" w:rsidP="00324B43" w:rsidRDefault="00324B43" w14:paraId="7C442020" w14:textId="4FC579D6">
      <w:pPr>
        <w:pStyle w:val="Heading1"/>
      </w:pPr>
      <w:r>
        <w:t xml:space="preserve">2. </w:t>
      </w:r>
      <w:r w:rsidRPr="00EA14F7">
        <w:t xml:space="preserve">Aanpak </w:t>
      </w:r>
      <w:r w:rsidR="00865568">
        <w:t xml:space="preserve">voor </w:t>
      </w:r>
      <w:r w:rsidRPr="00EA14F7">
        <w:t>indirecte lozingen KRW-proof</w:t>
      </w:r>
    </w:p>
    <w:tbl>
      <w:tblPr>
        <w:tblW w:w="8881" w:type="dxa"/>
        <w:tblInd w:w="-5" w:type="dxa"/>
        <w:tblCellMar>
          <w:left w:w="70" w:type="dxa"/>
          <w:right w:w="70" w:type="dxa"/>
        </w:tblCellMar>
        <w:tblLook w:val="04A0" w:firstRow="1" w:lastRow="0" w:firstColumn="1" w:lastColumn="0" w:noHBand="0" w:noVBand="1"/>
      </w:tblPr>
      <w:tblGrid>
        <w:gridCol w:w="386"/>
        <w:gridCol w:w="3447"/>
        <w:gridCol w:w="419"/>
        <w:gridCol w:w="419"/>
        <w:gridCol w:w="439"/>
        <w:gridCol w:w="419"/>
        <w:gridCol w:w="419"/>
        <w:gridCol w:w="419"/>
        <w:gridCol w:w="419"/>
        <w:gridCol w:w="419"/>
        <w:gridCol w:w="419"/>
        <w:gridCol w:w="419"/>
        <w:gridCol w:w="419"/>
        <w:gridCol w:w="419"/>
      </w:tblGrid>
      <w:tr w:rsidRPr="00865568" w:rsidR="00865568" w:rsidTr="009D44E0" w14:paraId="76A67531" w14:textId="77777777">
        <w:trPr>
          <w:trHeight w:val="1292"/>
        </w:trPr>
        <w:tc>
          <w:tcPr>
            <w:tcW w:w="38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65568" w:rsidR="00865568" w:rsidP="00865568" w:rsidRDefault="00865568" w14:paraId="12370FA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3447" w:type="dxa"/>
            <w:tcBorders>
              <w:top w:val="single" w:color="auto" w:sz="4" w:space="0"/>
              <w:left w:val="nil"/>
              <w:bottom w:val="single" w:color="auto" w:sz="4" w:space="0"/>
              <w:right w:val="single" w:color="auto" w:sz="4" w:space="0"/>
            </w:tcBorders>
            <w:shd w:val="clear" w:color="auto" w:fill="auto"/>
            <w:noWrap/>
            <w:vAlign w:val="bottom"/>
            <w:hideMark/>
          </w:tcPr>
          <w:p w:rsidRPr="00865568" w:rsidR="00865568" w:rsidP="00865568" w:rsidRDefault="00865568" w14:paraId="6560F8C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5435969B"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Drenthe</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26DF92C0"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Flevoland</w:t>
            </w:r>
          </w:p>
        </w:tc>
        <w:tc>
          <w:tcPr>
            <w:tcW w:w="43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6A0D8C71"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Friesland</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24D1A9D6"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Gelderland</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1A6D47F8"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Groningen</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6D6EA4A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Limburg</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48B04170"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Noord-Brabant</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2CCB2F58"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Noord-Holland</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09E40BA7"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Overijssel</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0C9FC07D"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Utrecht</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67A84570"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Zeeland</w:t>
            </w:r>
          </w:p>
        </w:tc>
        <w:tc>
          <w:tcPr>
            <w:tcW w:w="41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865568" w:rsidR="00865568" w:rsidP="00865568" w:rsidRDefault="00865568" w14:paraId="3D7CC536"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Zuid-Holland</w:t>
            </w:r>
          </w:p>
        </w:tc>
      </w:tr>
      <w:tr w:rsidRPr="00865568" w:rsidR="00865568" w:rsidTr="008E4DE2" w14:paraId="13C375BC" w14:textId="77777777">
        <w:trPr>
          <w:trHeight w:val="402"/>
        </w:trPr>
        <w:tc>
          <w:tcPr>
            <w:tcW w:w="386" w:type="dxa"/>
            <w:tcBorders>
              <w:top w:val="nil"/>
              <w:left w:val="single" w:color="auto" w:sz="4" w:space="0"/>
              <w:bottom w:val="single" w:color="auto" w:sz="4" w:space="0"/>
              <w:right w:val="single" w:color="auto" w:sz="4" w:space="0"/>
            </w:tcBorders>
            <w:shd w:val="clear" w:color="auto" w:fill="auto"/>
            <w:noWrap/>
            <w:hideMark/>
          </w:tcPr>
          <w:p w:rsidRPr="00865568" w:rsidR="00865568" w:rsidP="00865568" w:rsidRDefault="00865568" w14:paraId="6AEACB10"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2a</w:t>
            </w:r>
          </w:p>
        </w:tc>
        <w:tc>
          <w:tcPr>
            <w:tcW w:w="3447" w:type="dxa"/>
            <w:tcBorders>
              <w:top w:val="nil"/>
              <w:left w:val="nil"/>
              <w:bottom w:val="single" w:color="auto" w:sz="4" w:space="0"/>
              <w:right w:val="single" w:color="auto" w:sz="4" w:space="0"/>
            </w:tcBorders>
            <w:shd w:val="clear" w:color="auto" w:fill="auto"/>
            <w:hideMark/>
          </w:tcPr>
          <w:p w:rsidRPr="00865568" w:rsidR="00865568" w:rsidP="00865568" w:rsidRDefault="00865568" w14:paraId="4C7D252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Is er een aanpak voor indirecte lozingen?</w:t>
            </w:r>
          </w:p>
        </w:tc>
        <w:tc>
          <w:tcPr>
            <w:tcW w:w="419" w:type="dxa"/>
            <w:tcBorders>
              <w:top w:val="nil"/>
              <w:left w:val="nil"/>
              <w:bottom w:val="single" w:color="auto" w:sz="4" w:space="0"/>
              <w:right w:val="single" w:color="auto" w:sz="4" w:space="0"/>
            </w:tcBorders>
            <w:shd w:val="clear" w:color="000000" w:fill="DAF2D0"/>
            <w:noWrap/>
            <w:vAlign w:val="bottom"/>
            <w:hideMark/>
          </w:tcPr>
          <w:p w:rsidRPr="00865568" w:rsidR="00865568" w:rsidP="00865568" w:rsidRDefault="00865568" w14:paraId="78079BF0"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56F644A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39" w:type="dxa"/>
            <w:tcBorders>
              <w:top w:val="nil"/>
              <w:left w:val="nil"/>
              <w:bottom w:val="single" w:color="auto" w:sz="4" w:space="0"/>
              <w:right w:val="single" w:color="auto" w:sz="4" w:space="0"/>
            </w:tcBorders>
            <w:shd w:val="clear" w:color="000000" w:fill="00B050"/>
            <w:noWrap/>
            <w:vAlign w:val="bottom"/>
            <w:hideMark/>
          </w:tcPr>
          <w:p w:rsidRPr="00865568" w:rsidR="00865568" w:rsidP="00865568" w:rsidRDefault="00865568" w14:paraId="40B51EF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DAF2D0"/>
            <w:noWrap/>
            <w:vAlign w:val="bottom"/>
            <w:hideMark/>
          </w:tcPr>
          <w:p w:rsidRPr="00865568" w:rsidR="00865568" w:rsidP="00865568" w:rsidRDefault="00865568" w14:paraId="7F7221E7"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588B86E3"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7BC2A8E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75D76C9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auto" w:fill="92D050"/>
            <w:noWrap/>
            <w:vAlign w:val="bottom"/>
            <w:hideMark/>
          </w:tcPr>
          <w:p w:rsidRPr="00865568" w:rsidR="00865568" w:rsidP="00865568" w:rsidRDefault="00865568" w14:paraId="646E4E5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76C096A7"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55607B34"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71636184"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00B050"/>
            <w:noWrap/>
            <w:vAlign w:val="bottom"/>
            <w:hideMark/>
          </w:tcPr>
          <w:p w:rsidRPr="00865568" w:rsidR="00865568" w:rsidP="00865568" w:rsidRDefault="00865568" w14:paraId="0CA0E6D0"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r>
      <w:tr w:rsidRPr="00865568" w:rsidR="00865568" w:rsidTr="008E4DE2" w14:paraId="1EE48C98" w14:textId="77777777">
        <w:trPr>
          <w:trHeight w:val="422"/>
        </w:trPr>
        <w:tc>
          <w:tcPr>
            <w:tcW w:w="386" w:type="dxa"/>
            <w:tcBorders>
              <w:top w:val="nil"/>
              <w:left w:val="single" w:color="auto" w:sz="4" w:space="0"/>
              <w:bottom w:val="single" w:color="auto" w:sz="4" w:space="0"/>
              <w:right w:val="single" w:color="auto" w:sz="4" w:space="0"/>
            </w:tcBorders>
            <w:shd w:val="clear" w:color="auto" w:fill="auto"/>
            <w:noWrap/>
            <w:hideMark/>
          </w:tcPr>
          <w:p w:rsidRPr="00865568" w:rsidR="00865568" w:rsidP="00865568" w:rsidRDefault="00865568" w14:paraId="4C885B4D"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2b</w:t>
            </w:r>
          </w:p>
        </w:tc>
        <w:tc>
          <w:tcPr>
            <w:tcW w:w="3447" w:type="dxa"/>
            <w:tcBorders>
              <w:top w:val="nil"/>
              <w:left w:val="nil"/>
              <w:bottom w:val="single" w:color="auto" w:sz="4" w:space="0"/>
              <w:right w:val="single" w:color="auto" w:sz="4" w:space="0"/>
            </w:tcBorders>
            <w:shd w:val="clear" w:color="auto" w:fill="auto"/>
            <w:hideMark/>
          </w:tcPr>
          <w:p w:rsidRPr="00865568" w:rsidR="00865568" w:rsidP="00865568" w:rsidRDefault="00865568" w14:paraId="2623870B"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Is waterkwaliteit expliciet onderdeel van opdracht aan omgevingsdiensten?</w:t>
            </w:r>
          </w:p>
        </w:tc>
        <w:tc>
          <w:tcPr>
            <w:tcW w:w="419" w:type="dxa"/>
            <w:tcBorders>
              <w:top w:val="nil"/>
              <w:left w:val="nil"/>
              <w:bottom w:val="single" w:color="auto" w:sz="4" w:space="0"/>
              <w:right w:val="single" w:color="auto" w:sz="4" w:space="0"/>
            </w:tcBorders>
            <w:shd w:val="clear" w:color="000000" w:fill="DAF2D0"/>
            <w:noWrap/>
            <w:vAlign w:val="bottom"/>
            <w:hideMark/>
          </w:tcPr>
          <w:p w:rsidRPr="00865568" w:rsidR="00865568" w:rsidP="00865568" w:rsidRDefault="00865568" w14:paraId="3C008451"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7AE0F0A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39" w:type="dxa"/>
            <w:tcBorders>
              <w:top w:val="nil"/>
              <w:left w:val="nil"/>
              <w:bottom w:val="single" w:color="auto" w:sz="4" w:space="0"/>
              <w:right w:val="single" w:color="auto" w:sz="4" w:space="0"/>
            </w:tcBorders>
            <w:shd w:val="clear" w:color="000000" w:fill="00B050"/>
            <w:noWrap/>
            <w:vAlign w:val="bottom"/>
            <w:hideMark/>
          </w:tcPr>
          <w:p w:rsidRPr="00865568" w:rsidR="00865568" w:rsidP="00865568" w:rsidRDefault="00865568" w14:paraId="227D906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92D050"/>
            <w:noWrap/>
            <w:vAlign w:val="bottom"/>
            <w:hideMark/>
          </w:tcPr>
          <w:p w:rsidRPr="00865568" w:rsidR="00865568" w:rsidP="00865568" w:rsidRDefault="00865568" w14:paraId="4619E04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A6A6A6"/>
            <w:noWrap/>
            <w:vAlign w:val="bottom"/>
            <w:hideMark/>
          </w:tcPr>
          <w:p w:rsidRPr="00865568" w:rsidR="00865568" w:rsidP="00865568" w:rsidRDefault="00865568" w14:paraId="69BE500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DAF2D0"/>
            <w:noWrap/>
            <w:vAlign w:val="bottom"/>
            <w:hideMark/>
          </w:tcPr>
          <w:p w:rsidRPr="00865568" w:rsidR="00865568" w:rsidP="00865568" w:rsidRDefault="00865568" w14:paraId="4511BC0B"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DAF2D0"/>
            <w:noWrap/>
            <w:vAlign w:val="bottom"/>
            <w:hideMark/>
          </w:tcPr>
          <w:p w:rsidRPr="00865568" w:rsidR="00865568" w:rsidP="00865568" w:rsidRDefault="00865568" w14:paraId="5467CA1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auto" w:fill="92D050"/>
            <w:noWrap/>
            <w:vAlign w:val="bottom"/>
            <w:hideMark/>
          </w:tcPr>
          <w:p w:rsidRPr="00865568" w:rsidR="00865568" w:rsidP="00865568" w:rsidRDefault="00865568" w14:paraId="2CC18564"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DAF2D0"/>
            <w:noWrap/>
            <w:vAlign w:val="bottom"/>
            <w:hideMark/>
          </w:tcPr>
          <w:p w:rsidRPr="00865568" w:rsidR="00865568" w:rsidP="00865568" w:rsidRDefault="00865568" w14:paraId="1727126A"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00B050"/>
            <w:noWrap/>
            <w:vAlign w:val="bottom"/>
            <w:hideMark/>
          </w:tcPr>
          <w:p w:rsidRPr="00865568" w:rsidR="00865568" w:rsidP="00865568" w:rsidRDefault="00865568" w14:paraId="50FA321E"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B5E6A2"/>
            <w:noWrap/>
            <w:vAlign w:val="bottom"/>
            <w:hideMark/>
          </w:tcPr>
          <w:p w:rsidRPr="00865568" w:rsidR="00865568" w:rsidP="00865568" w:rsidRDefault="00865568" w14:paraId="296178E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c>
          <w:tcPr>
            <w:tcW w:w="419" w:type="dxa"/>
            <w:tcBorders>
              <w:top w:val="nil"/>
              <w:left w:val="nil"/>
              <w:bottom w:val="single" w:color="auto" w:sz="4" w:space="0"/>
              <w:right w:val="single" w:color="auto" w:sz="4" w:space="0"/>
            </w:tcBorders>
            <w:shd w:val="clear" w:color="000000" w:fill="00B050"/>
            <w:noWrap/>
            <w:vAlign w:val="bottom"/>
            <w:hideMark/>
          </w:tcPr>
          <w:p w:rsidRPr="00865568" w:rsidR="00865568" w:rsidP="00865568" w:rsidRDefault="00865568" w14:paraId="1B68CF47"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865568">
              <w:rPr>
                <w:rFonts w:ascii="Aptos Narrow" w:hAnsi="Aptos Narrow" w:eastAsia="Times New Roman" w:cs="Times New Roman"/>
                <w:color w:val="000000"/>
                <w:kern w:val="0"/>
                <w:sz w:val="18"/>
                <w:szCs w:val="18"/>
                <w:lang w:eastAsia="nl-NL"/>
                <w14:ligatures w14:val="none"/>
              </w:rPr>
              <w:t> </w:t>
            </w:r>
          </w:p>
        </w:tc>
      </w:tr>
    </w:tbl>
    <w:p w:rsidR="00865568" w:rsidP="00324B43" w:rsidRDefault="00865568" w14:paraId="708B32E8" w14:textId="77777777"/>
    <w:tbl>
      <w:tblPr>
        <w:tblW w:w="3539" w:type="dxa"/>
        <w:tblCellMar>
          <w:left w:w="70" w:type="dxa"/>
          <w:right w:w="70" w:type="dxa"/>
        </w:tblCellMar>
        <w:tblLook w:val="04A0" w:firstRow="1" w:lastRow="0" w:firstColumn="1" w:lastColumn="0" w:noHBand="0" w:noVBand="1"/>
      </w:tblPr>
      <w:tblGrid>
        <w:gridCol w:w="340"/>
        <w:gridCol w:w="3199"/>
      </w:tblGrid>
      <w:tr w:rsidRPr="00AD311F" w:rsidR="00865568" w:rsidTr="00865568" w14:paraId="21161123" w14:textId="77777777">
        <w:trPr>
          <w:trHeight w:val="290"/>
        </w:trPr>
        <w:tc>
          <w:tcPr>
            <w:tcW w:w="340" w:type="dxa"/>
            <w:tcBorders>
              <w:top w:val="single" w:color="auto" w:sz="4" w:space="0"/>
              <w:left w:val="single" w:color="auto" w:sz="4" w:space="0"/>
              <w:bottom w:val="single" w:color="auto" w:sz="4" w:space="0"/>
              <w:right w:val="single" w:color="auto" w:sz="4" w:space="0"/>
            </w:tcBorders>
            <w:shd w:val="clear" w:color="000000" w:fill="00B050"/>
            <w:noWrap/>
            <w:vAlign w:val="bottom"/>
            <w:hideMark/>
          </w:tcPr>
          <w:p w:rsidRPr="00AD311F" w:rsidR="00865568" w:rsidP="00327610" w:rsidRDefault="00865568" w14:paraId="2CA4FD4B"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3199" w:type="dxa"/>
            <w:tcBorders>
              <w:top w:val="single" w:color="auto" w:sz="4" w:space="0"/>
              <w:left w:val="nil"/>
              <w:bottom w:val="single" w:color="auto" w:sz="4" w:space="0"/>
              <w:right w:val="single" w:color="auto" w:sz="4" w:space="0"/>
            </w:tcBorders>
            <w:shd w:val="clear" w:color="auto" w:fill="auto"/>
            <w:hideMark/>
          </w:tcPr>
          <w:p w:rsidRPr="00AD311F" w:rsidR="00865568" w:rsidP="00327610" w:rsidRDefault="00865568" w14:paraId="5095E243"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Ja, in hoge mate van detail</w:t>
            </w:r>
          </w:p>
        </w:tc>
      </w:tr>
      <w:tr w:rsidRPr="00AD311F" w:rsidR="00865568" w:rsidTr="00865568" w14:paraId="148465CD" w14:textId="77777777">
        <w:trPr>
          <w:trHeight w:val="290"/>
        </w:trPr>
        <w:tc>
          <w:tcPr>
            <w:tcW w:w="340" w:type="dxa"/>
            <w:tcBorders>
              <w:top w:val="nil"/>
              <w:left w:val="single" w:color="auto" w:sz="4" w:space="0"/>
              <w:bottom w:val="single" w:color="auto" w:sz="4" w:space="0"/>
              <w:right w:val="single" w:color="auto" w:sz="4" w:space="0"/>
            </w:tcBorders>
            <w:shd w:val="clear" w:color="000000" w:fill="92D050"/>
            <w:noWrap/>
            <w:vAlign w:val="bottom"/>
            <w:hideMark/>
          </w:tcPr>
          <w:p w:rsidRPr="00AD311F" w:rsidR="00865568" w:rsidP="00327610" w:rsidRDefault="00865568" w14:paraId="669C3BA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3199" w:type="dxa"/>
            <w:tcBorders>
              <w:top w:val="nil"/>
              <w:left w:val="nil"/>
              <w:bottom w:val="single" w:color="auto" w:sz="4" w:space="0"/>
              <w:right w:val="single" w:color="auto" w:sz="4" w:space="0"/>
            </w:tcBorders>
            <w:shd w:val="clear" w:color="auto" w:fill="auto"/>
            <w:hideMark/>
          </w:tcPr>
          <w:p w:rsidRPr="00AD311F" w:rsidR="00865568" w:rsidP="00327610" w:rsidRDefault="00865568" w14:paraId="12A9BB55"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Ja, op hoofdlijnen / deels</w:t>
            </w:r>
          </w:p>
        </w:tc>
      </w:tr>
      <w:tr w:rsidRPr="00AD311F" w:rsidR="00865568" w:rsidTr="00865568" w14:paraId="1EE621D1" w14:textId="77777777">
        <w:trPr>
          <w:trHeight w:val="290"/>
        </w:trPr>
        <w:tc>
          <w:tcPr>
            <w:tcW w:w="340" w:type="dxa"/>
            <w:tcBorders>
              <w:top w:val="nil"/>
              <w:left w:val="single" w:color="auto" w:sz="4" w:space="0"/>
              <w:bottom w:val="single" w:color="auto" w:sz="4" w:space="0"/>
              <w:right w:val="single" w:color="auto" w:sz="4" w:space="0"/>
            </w:tcBorders>
            <w:shd w:val="clear" w:color="000000" w:fill="DAF2D0"/>
            <w:noWrap/>
            <w:vAlign w:val="bottom"/>
            <w:hideMark/>
          </w:tcPr>
          <w:p w:rsidRPr="00AD311F" w:rsidR="00865568" w:rsidP="00327610" w:rsidRDefault="00865568" w14:paraId="36422C9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3199" w:type="dxa"/>
            <w:tcBorders>
              <w:top w:val="nil"/>
              <w:left w:val="nil"/>
              <w:bottom w:val="single" w:color="auto" w:sz="4" w:space="0"/>
              <w:right w:val="single" w:color="auto" w:sz="4" w:space="0"/>
            </w:tcBorders>
            <w:shd w:val="clear" w:color="auto" w:fill="auto"/>
            <w:hideMark/>
          </w:tcPr>
          <w:p w:rsidRPr="00AD311F" w:rsidR="00865568" w:rsidP="00327610" w:rsidRDefault="00865568" w14:paraId="23B62CEC"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Wordt aan gewerkt</w:t>
            </w:r>
          </w:p>
        </w:tc>
      </w:tr>
      <w:tr w:rsidRPr="00AD311F" w:rsidR="00865568" w:rsidTr="00865568" w14:paraId="2179D56B" w14:textId="77777777">
        <w:trPr>
          <w:trHeight w:val="290"/>
        </w:trPr>
        <w:tc>
          <w:tcPr>
            <w:tcW w:w="340" w:type="dxa"/>
            <w:tcBorders>
              <w:top w:val="nil"/>
              <w:left w:val="single" w:color="auto" w:sz="4" w:space="0"/>
              <w:bottom w:val="single" w:color="auto" w:sz="4" w:space="0"/>
              <w:right w:val="single" w:color="auto" w:sz="4" w:space="0"/>
            </w:tcBorders>
            <w:shd w:val="clear" w:color="auto" w:fill="A6A6A6" w:themeFill="background1" w:themeFillShade="A6"/>
            <w:noWrap/>
            <w:vAlign w:val="bottom"/>
            <w:hideMark/>
          </w:tcPr>
          <w:p w:rsidRPr="00AD311F" w:rsidR="00865568" w:rsidP="00327610" w:rsidRDefault="00865568" w14:paraId="7DAC1EB9" w14:textId="77777777">
            <w:pPr>
              <w:spacing w:after="0" w:line="240" w:lineRule="auto"/>
              <w:rPr>
                <w:rFonts w:ascii="Aptos Narrow" w:hAnsi="Aptos Narrow" w:eastAsia="Times New Roman" w:cs="Times New Roman"/>
                <w:color w:val="000000"/>
                <w:kern w:val="0"/>
                <w:sz w:val="18"/>
                <w:szCs w:val="18"/>
                <w:lang w:eastAsia="nl-NL"/>
                <w14:ligatures w14:val="none"/>
              </w:rPr>
            </w:pPr>
            <w:r w:rsidRPr="00AD311F">
              <w:rPr>
                <w:rFonts w:ascii="Aptos Narrow" w:hAnsi="Aptos Narrow" w:eastAsia="Times New Roman" w:cs="Times New Roman"/>
                <w:color w:val="000000"/>
                <w:kern w:val="0"/>
                <w:sz w:val="18"/>
                <w:szCs w:val="18"/>
                <w:lang w:eastAsia="nl-NL"/>
                <w14:ligatures w14:val="none"/>
              </w:rPr>
              <w:t> </w:t>
            </w:r>
          </w:p>
        </w:tc>
        <w:tc>
          <w:tcPr>
            <w:tcW w:w="3199" w:type="dxa"/>
            <w:tcBorders>
              <w:top w:val="nil"/>
              <w:left w:val="nil"/>
              <w:bottom w:val="single" w:color="auto" w:sz="4" w:space="0"/>
              <w:right w:val="single" w:color="auto" w:sz="4" w:space="0"/>
            </w:tcBorders>
            <w:shd w:val="clear" w:color="auto" w:fill="auto"/>
            <w:hideMark/>
          </w:tcPr>
          <w:p w:rsidRPr="00AD311F" w:rsidR="00865568" w:rsidP="00327610" w:rsidRDefault="00865568" w14:paraId="4F238A34" w14:textId="4401A9FF">
            <w:pPr>
              <w:spacing w:after="0" w:line="240" w:lineRule="auto"/>
              <w:rPr>
                <w:rFonts w:ascii="Aptos Narrow" w:hAnsi="Aptos Narrow" w:eastAsia="Times New Roman" w:cs="Times New Roman"/>
                <w:color w:val="000000"/>
                <w:kern w:val="0"/>
                <w:sz w:val="18"/>
                <w:szCs w:val="18"/>
                <w:lang w:eastAsia="nl-NL"/>
                <w14:ligatures w14:val="none"/>
              </w:rPr>
            </w:pPr>
            <w:r>
              <w:rPr>
                <w:rFonts w:ascii="Aptos Narrow" w:hAnsi="Aptos Narrow" w:eastAsia="Times New Roman" w:cs="Times New Roman"/>
                <w:color w:val="000000"/>
                <w:kern w:val="0"/>
                <w:sz w:val="18"/>
                <w:szCs w:val="18"/>
                <w:lang w:eastAsia="nl-NL"/>
                <w14:ligatures w14:val="none"/>
              </w:rPr>
              <w:t xml:space="preserve">Onbekend </w:t>
            </w:r>
          </w:p>
        </w:tc>
      </w:tr>
    </w:tbl>
    <w:p w:rsidR="00865568" w:rsidP="00324B43" w:rsidRDefault="00865568" w14:paraId="7F7B772C" w14:textId="77777777"/>
    <w:p w:rsidRPr="00324B43" w:rsidR="00324B43" w:rsidP="00324B43" w:rsidRDefault="00064FA7" w14:paraId="6DC1889B" w14:textId="48A21F7A">
      <w:r>
        <w:t xml:space="preserve">In alle provincies zijn samenwerkingen gestart </w:t>
      </w:r>
      <w:r w:rsidR="009D44E0">
        <w:t xml:space="preserve">om de indirecte lozingen aan te pakken </w:t>
      </w:r>
      <w:r>
        <w:t xml:space="preserve">en/of worden gemeenten en omgevingsdiensten door de provincies (en waterschappen) betrokken bij het uitwerken en uitvoeren van een aanpak op indirecte lozingen. </w:t>
      </w:r>
      <w:r w:rsidR="00981A45">
        <w:t xml:space="preserve">Hieronder volgt per provincie een korte beschrijving. Noord-Holland heeft geen informatie aangeleverd, en is daarom niet opgenomen in dit overzicht. </w:t>
      </w:r>
    </w:p>
    <w:p w:rsidR="00865568" w:rsidP="00865568" w:rsidRDefault="00981A45" w14:paraId="65542B46" w14:textId="1AFB96F5">
      <w:pPr>
        <w:pStyle w:val="ListParagraph"/>
        <w:numPr>
          <w:ilvl w:val="0"/>
          <w:numId w:val="4"/>
        </w:numPr>
      </w:pPr>
      <w:r w:rsidRPr="00040FBA">
        <w:rPr>
          <w:b/>
          <w:bCs/>
        </w:rPr>
        <w:t>Drenthe</w:t>
      </w:r>
      <w:r>
        <w:rPr>
          <w:b/>
          <w:bCs/>
        </w:rPr>
        <w:t xml:space="preserve">: </w:t>
      </w:r>
      <w:r w:rsidRPr="00981A45">
        <w:t>o</w:t>
      </w:r>
      <w:r>
        <w:t xml:space="preserve">nder regie van de provincie wordt samen </w:t>
      </w:r>
      <w:r w:rsidR="00865568">
        <w:t>met betrokken overheden en omgevingsdiensten</w:t>
      </w:r>
      <w:r>
        <w:t xml:space="preserve"> een aanpak geformuleerd (gereed in 2026). </w:t>
      </w:r>
      <w:r w:rsidRPr="00981A45">
        <w:t>Acties richten zich op het vergroten van inzicht in de risico’s van afzonderlijke lozingen, het actualiseren van vergunningvoorschriften en inzetten van toezicht en handhaving bij de meest risicovolle bedrijfstakken.</w:t>
      </w:r>
      <w:r>
        <w:t xml:space="preserve"> Op basis van de aanpak zal een inschatting worden gemaakt van de benodigde capaciteit en middelen.</w:t>
      </w:r>
    </w:p>
    <w:p w:rsidRPr="00865568" w:rsidR="00981A45" w:rsidP="00981A45" w:rsidRDefault="00981A45" w14:paraId="2FD44330" w14:textId="205CFE37">
      <w:pPr>
        <w:pStyle w:val="ListParagraph"/>
        <w:numPr>
          <w:ilvl w:val="0"/>
          <w:numId w:val="4"/>
        </w:numPr>
        <w:rPr>
          <w:b/>
          <w:bCs/>
        </w:rPr>
      </w:pPr>
      <w:r w:rsidRPr="00865568">
        <w:rPr>
          <w:b/>
          <w:bCs/>
        </w:rPr>
        <w:t>Flevoland</w:t>
      </w:r>
      <w:r w:rsidR="00025F9B">
        <w:rPr>
          <w:b/>
          <w:bCs/>
        </w:rPr>
        <w:t>:</w:t>
      </w:r>
      <w:r w:rsidRPr="00865568">
        <w:rPr>
          <w:b/>
          <w:bCs/>
        </w:rPr>
        <w:t xml:space="preserve"> </w:t>
      </w:r>
      <w:r w:rsidR="00025F9B">
        <w:t xml:space="preserve">in 2025 is een samenwerking gestart tussen de betrokken overheden en omgevingsdienst. Er is een gezamenlijke aanpak geformuleerd. De aanpak richt zich enerzijds op bronnenonderzoek (waaronder emissie-analyse bij rwzi’s), als ook het actualiseren van (provinciale) vergunningen (streven uiterlijk 2027) en verbeteren van toezicht en handhaving. In 2025 is het budget voor de omgevingsdienst verhoogd. </w:t>
      </w:r>
    </w:p>
    <w:p w:rsidR="00981A45" w:rsidP="00981A45" w:rsidRDefault="00981A45" w14:paraId="1CA6EE85" w14:textId="0AC7455E">
      <w:pPr>
        <w:pStyle w:val="ListParagraph"/>
        <w:numPr>
          <w:ilvl w:val="0"/>
          <w:numId w:val="4"/>
        </w:numPr>
      </w:pPr>
      <w:r w:rsidRPr="00040FBA">
        <w:rPr>
          <w:b/>
          <w:bCs/>
        </w:rPr>
        <w:t>Friesland</w:t>
      </w:r>
      <w:r w:rsidR="00025F9B">
        <w:rPr>
          <w:b/>
          <w:bCs/>
        </w:rPr>
        <w:t xml:space="preserve">: </w:t>
      </w:r>
      <w:r w:rsidR="00025F9B">
        <w:t>in Friesland is het wetterskip in 2018 gestart met het verbeteren van de samenwerking met de omgevingsdienst, specifiek voor indirecte lozingen. Er is een gerichte aanpak</w:t>
      </w:r>
      <w:r w:rsidR="009D44E0">
        <w:t xml:space="preserve"> voor de provinciale vergunningen</w:t>
      </w:r>
      <w:r w:rsidR="00025F9B">
        <w:t>: e</w:t>
      </w:r>
      <w:r w:rsidRPr="00025F9B" w:rsidR="00025F9B">
        <w:t>r vindt jaarlijks (mba/Seveso) controle plaats bij elk bedrijf op de provinciale lijst. Toezicht op de indirecte lozingen worden op basis van risico analyses uitgevoerd. Toezicht en handhaving bij de gemeenten ligt een stuk complexer.</w:t>
      </w:r>
      <w:r w:rsidR="00025F9B">
        <w:t xml:space="preserve"> Om hier een </w:t>
      </w:r>
      <w:r w:rsidR="004938D6">
        <w:t xml:space="preserve">aanpak te formuleren, is een pilot uitgevoerd. Planning is om de aanpak medio 2026 structureel te maken. </w:t>
      </w:r>
    </w:p>
    <w:p w:rsidR="004938D6" w:rsidP="00865568" w:rsidRDefault="004938D6" w14:paraId="47A8F1F3" w14:textId="46F4B4A5">
      <w:pPr>
        <w:pStyle w:val="ListParagraph"/>
        <w:numPr>
          <w:ilvl w:val="0"/>
          <w:numId w:val="4"/>
        </w:numPr>
      </w:pPr>
      <w:r>
        <w:rPr>
          <w:b/>
          <w:bCs/>
        </w:rPr>
        <w:t xml:space="preserve">Gelderland: </w:t>
      </w:r>
      <w:r>
        <w:t>de p</w:t>
      </w:r>
      <w:r w:rsidRPr="004938D6">
        <w:t>rovincie is bezig een programma Indirecte Lozingen vorm te geven. Hiervoor is een kernteam samengesteld</w:t>
      </w:r>
      <w:r w:rsidR="009D44E0">
        <w:t xml:space="preserve"> met deelnemers</w:t>
      </w:r>
      <w:r w:rsidRPr="004938D6">
        <w:t xml:space="preserve"> van waterschappen, R</w:t>
      </w:r>
      <w:r>
        <w:t>ijkswaterstaat</w:t>
      </w:r>
      <w:r w:rsidRPr="004938D6">
        <w:t xml:space="preserve">, gemeenten, </w:t>
      </w:r>
      <w:r>
        <w:t>omgevingsdiensten</w:t>
      </w:r>
      <w:r w:rsidRPr="004938D6">
        <w:t xml:space="preserve"> en provincie.</w:t>
      </w:r>
      <w:r>
        <w:t xml:space="preserve"> De omgevingsdiensten hebben van de provincie </w:t>
      </w:r>
      <w:r w:rsidRPr="004938D6">
        <w:t>opdracht ge</w:t>
      </w:r>
      <w:r>
        <w:t xml:space="preserve">kregen om de </w:t>
      </w:r>
      <w:r w:rsidR="009D44E0">
        <w:t xml:space="preserve">provinciale </w:t>
      </w:r>
      <w:r w:rsidRPr="004938D6">
        <w:t>vergunningen KRW-proof te maken.</w:t>
      </w:r>
    </w:p>
    <w:p w:rsidR="00A74CD6" w:rsidP="00865568" w:rsidRDefault="00A74CD6" w14:paraId="174E18B2" w14:textId="11C73890">
      <w:pPr>
        <w:pStyle w:val="ListParagraph"/>
        <w:numPr>
          <w:ilvl w:val="0"/>
          <w:numId w:val="4"/>
        </w:numPr>
      </w:pPr>
      <w:r>
        <w:rPr>
          <w:b/>
          <w:bCs/>
        </w:rPr>
        <w:t xml:space="preserve">Groningen: </w:t>
      </w:r>
      <w:r>
        <w:t xml:space="preserve">de </w:t>
      </w:r>
      <w:r w:rsidR="009D44E0">
        <w:t>aanpak voor indirecte lozingen is gekoppeld aan twee moties. H</w:t>
      </w:r>
      <w:r w:rsidRPr="00A74CD6">
        <w:t>et plan van aanpak voor motie 'vergroten capaciteit milieuzaken') ziet toe de een bredere context van o.a. bedrijven met potentieel grote milieu-impact op de waterkwaliteit, die onder de bevoegdheid van GS vallen. De uitvoering van motie 'onderzoek lozingen en vergunningen' ziet o.a. toe op het actualiseren van vergunningen van bedrijven die hun bedrijfsafvalwater op de Veenkoloniale afwaterleiding lozen, en het doen van onderzoek naar de effecten van o.a. deze indirecte lozingen.</w:t>
      </w:r>
      <w:r>
        <w:t xml:space="preserve"> Voor indirecte lozingen onder bevoegdheid van gemeenten </w:t>
      </w:r>
      <w:r w:rsidR="009D44E0">
        <w:t xml:space="preserve">is bij de provincie geen aanpak bekend. </w:t>
      </w:r>
    </w:p>
    <w:p w:rsidR="009929B4" w:rsidP="009929B4" w:rsidRDefault="00A74CD6" w14:paraId="24AF8CBA" w14:textId="179C0772">
      <w:pPr>
        <w:pStyle w:val="ListParagraph"/>
        <w:numPr>
          <w:ilvl w:val="0"/>
          <w:numId w:val="4"/>
        </w:numPr>
      </w:pPr>
      <w:r>
        <w:rPr>
          <w:b/>
          <w:bCs/>
        </w:rPr>
        <w:t xml:space="preserve">Limburg en Noord-Brabant: </w:t>
      </w:r>
      <w:r w:rsidR="009D44E0">
        <w:t xml:space="preserve">onder het samenwerkingsverband Schone Maaswaterketen is een </w:t>
      </w:r>
      <w:r w:rsidRPr="00A74CD6">
        <w:t>Maasbreed werkende Werkgroep Indirecte Lozingen</w:t>
      </w:r>
      <w:r w:rsidR="009D44E0">
        <w:t xml:space="preserve"> opgericht. Hierin nemen naast de partners ook de omgevingsdiensten aan deel. E</w:t>
      </w:r>
      <w:r w:rsidR="00946E17">
        <w:t>r</w:t>
      </w:r>
      <w:r w:rsidR="009D44E0">
        <w:t xml:space="preserve"> wordt uitvoering gegeven aan het </w:t>
      </w:r>
      <w:r>
        <w:t>plan van aanpak voor VTH.</w:t>
      </w:r>
      <w:r w:rsidRPr="006F157D" w:rsidR="006F157D">
        <w:t xml:space="preserve"> Met de KRW-impuls Brabant wordt </w:t>
      </w:r>
      <w:r w:rsidR="006F157D">
        <w:t>in Noord-Brabant</w:t>
      </w:r>
      <w:r w:rsidRPr="006F157D" w:rsidR="006F157D">
        <w:t xml:space="preserve"> extra inzet gepleegd om alle bestaande vergunningen voor indirecte lozingen te bezien en herzien. </w:t>
      </w:r>
      <w:r w:rsidR="00946E17">
        <w:t xml:space="preserve">Er is gestart </w:t>
      </w:r>
      <w:r w:rsidRPr="006F157D" w:rsidR="006F157D">
        <w:t xml:space="preserve">met een pilot </w:t>
      </w:r>
      <w:r w:rsidR="00946E17">
        <w:t>met vijf</w:t>
      </w:r>
      <w:r w:rsidRPr="006F157D" w:rsidR="006F157D">
        <w:t xml:space="preserve"> bedrijven</w:t>
      </w:r>
      <w:r w:rsidR="00946E17">
        <w:t>.</w:t>
      </w:r>
      <w:r w:rsidRPr="006F157D" w:rsidR="006F157D">
        <w:t xml:space="preserve"> Op basis </w:t>
      </w:r>
      <w:r w:rsidR="00946E17">
        <w:t xml:space="preserve">hiervan wordt een </w:t>
      </w:r>
      <w:r w:rsidRPr="006F157D" w:rsidR="006F157D">
        <w:t>vervolgplan van aanpak voor de overige vergunningen</w:t>
      </w:r>
      <w:r w:rsidR="00946E17">
        <w:t xml:space="preserve"> gemaakt</w:t>
      </w:r>
      <w:r w:rsidRPr="006F157D" w:rsidR="006F157D">
        <w:t xml:space="preserve">. </w:t>
      </w:r>
    </w:p>
    <w:p w:rsidRPr="00BC3A03" w:rsidR="006E4728" w:rsidP="009E4BB1" w:rsidRDefault="006E4728" w14:paraId="3E8A9266" w14:textId="55C14306">
      <w:pPr>
        <w:pStyle w:val="ListParagraph"/>
        <w:numPr>
          <w:ilvl w:val="0"/>
          <w:numId w:val="4"/>
        </w:numPr>
      </w:pPr>
      <w:r>
        <w:rPr>
          <w:b/>
          <w:bCs/>
        </w:rPr>
        <w:t xml:space="preserve">Noord-Holland </w:t>
      </w:r>
      <w:r>
        <w:t xml:space="preserve">heeft een plan van aanpak en er is in Hollands Noorderkwartier een pilot uitgevoerd. Momenteel wordt vanuit een brancheaanpak de opgave in beeld gebracht. De regionale projectleiding ligt bij een omgevingsdienst. Er is een stuurgroep met deelnemers van de betrokken overheden en </w:t>
      </w:r>
      <w:r w:rsidRPr="006E4728">
        <w:t>omgevingsdiensten</w:t>
      </w:r>
      <w:r>
        <w:t>.</w:t>
      </w:r>
    </w:p>
    <w:p w:rsidR="009929B4" w:rsidP="009E4BB1" w:rsidRDefault="009929B4" w14:paraId="25157076" w14:textId="59D43F3B">
      <w:pPr>
        <w:pStyle w:val="ListParagraph"/>
        <w:numPr>
          <w:ilvl w:val="0"/>
          <w:numId w:val="4"/>
        </w:numPr>
      </w:pPr>
      <w:r w:rsidRPr="009929B4">
        <w:rPr>
          <w:b/>
          <w:bCs/>
        </w:rPr>
        <w:t xml:space="preserve">Overijssel: </w:t>
      </w:r>
      <w:r w:rsidRPr="00C70AFE">
        <w:t>De provincie heeft met actieve betrokkenheid van de drie omgevingsdiensten, waterschappen en vier gemeenten</w:t>
      </w:r>
      <w:r w:rsidR="006666CB">
        <w:t xml:space="preserve"> een </w:t>
      </w:r>
      <w:r w:rsidRPr="00C70AFE">
        <w:t>“Aanpak indirecte lozingen Bedrijsafvalwater Overijssel”</w:t>
      </w:r>
      <w:r w:rsidR="006666CB">
        <w:t xml:space="preserve"> opgesteld</w:t>
      </w:r>
      <w:r w:rsidRPr="00C70AFE">
        <w:t>.</w:t>
      </w:r>
      <w:r>
        <w:t xml:space="preserve"> Er wordt gestart bij de vergunningplichtige bedrijven. </w:t>
      </w:r>
      <w:r w:rsidRPr="00C70AFE">
        <w:t>De ervaring die hiermee wordt opgedaan kan worden ingezet om vervolgens grip te krijgen op de meldingsplichtige indirecte lozingen</w:t>
      </w:r>
      <w:r>
        <w:t xml:space="preserve"> en lozingen onder algemene regels</w:t>
      </w:r>
      <w:r w:rsidRPr="00C70AFE">
        <w:t>.</w:t>
      </w:r>
      <w:r>
        <w:t xml:space="preserve"> </w:t>
      </w:r>
      <w:r w:rsidRPr="00C70AFE">
        <w:t xml:space="preserve">De omgevingsdiensten betrekken Toezicht en Handhaving actief bij het actualisatieproces. </w:t>
      </w:r>
    </w:p>
    <w:p w:rsidRPr="009929B4" w:rsidR="009929B4" w:rsidP="009E4BB1" w:rsidRDefault="009929B4" w14:paraId="5E5463A7" w14:textId="701A6FA7">
      <w:pPr>
        <w:pStyle w:val="ListParagraph"/>
        <w:numPr>
          <w:ilvl w:val="0"/>
          <w:numId w:val="4"/>
        </w:numPr>
      </w:pPr>
      <w:r>
        <w:rPr>
          <w:b/>
          <w:bCs/>
        </w:rPr>
        <w:t xml:space="preserve">Utrecht: </w:t>
      </w:r>
      <w:r w:rsidRPr="009929B4">
        <w:t>In oktober 2025 is het Actieprogramma 2025-2027 ‘Grip op indirecte lozingen in provincie Utrecht</w:t>
      </w:r>
      <w:r w:rsidR="006666CB">
        <w:t>’ met een uitvoeringsagenda</w:t>
      </w:r>
      <w:r w:rsidRPr="009929B4">
        <w:t xml:space="preserve"> vastgesteld. </w:t>
      </w:r>
      <w:r w:rsidR="006666CB">
        <w:t xml:space="preserve">Betrokken zijn </w:t>
      </w:r>
      <w:r w:rsidRPr="009929B4">
        <w:t>provincie, waterschappen, omgevingsdiensten, Rijkswaterstaat en een aantal gemeenten. De nadruk van het programma ligt op de vergunningsplichtige lozingen.</w:t>
      </w:r>
      <w:r>
        <w:t xml:space="preserve"> Voornemen is om in 2026 een intentieverklaring te tekenen om de betrokken partijen te </w:t>
      </w:r>
      <w:r w:rsidRPr="00496FAA">
        <w:t>conformeren aan het actieprogramma.</w:t>
      </w:r>
    </w:p>
    <w:p w:rsidRPr="00921284" w:rsidR="00921284" w:rsidP="00865568" w:rsidRDefault="00921284" w14:paraId="4DB8E9CD" w14:textId="03945CAE">
      <w:pPr>
        <w:pStyle w:val="ListParagraph"/>
        <w:numPr>
          <w:ilvl w:val="0"/>
          <w:numId w:val="4"/>
        </w:numPr>
      </w:pPr>
      <w:r>
        <w:rPr>
          <w:b/>
          <w:bCs/>
        </w:rPr>
        <w:t xml:space="preserve">Zeeland: </w:t>
      </w:r>
      <w:r w:rsidRPr="00921284">
        <w:t xml:space="preserve">Actualisatie door de omgevingsdiensten vindt plaats op basis van afgesproken VTH beleid. Specifiek t.a.v. indirecte lozingen voor PFAS en KRW-stoffen </w:t>
      </w:r>
      <w:r w:rsidR="006666CB">
        <w:t xml:space="preserve">is in 2024/2025 </w:t>
      </w:r>
      <w:r w:rsidRPr="00921284">
        <w:t>reguliere monstername-programma uitgebreid. Op basis van bedrijfsactiviteiten vindt een selectie plaats waar vanaf 2026 extra monsternames en analyses zullen plaatsvinden bij bedrijven waar provincie BG is. Voor KRW wordt in een bredere aanpak voorzien i.s.m. gemeenten, R</w:t>
      </w:r>
      <w:r w:rsidR="006666CB">
        <w:t>ijkswaterstaat</w:t>
      </w:r>
      <w:r w:rsidRPr="00921284">
        <w:t xml:space="preserve">, </w:t>
      </w:r>
      <w:r w:rsidR="006666CB">
        <w:t>waterschap</w:t>
      </w:r>
      <w:r w:rsidRPr="00921284">
        <w:t xml:space="preserve"> </w:t>
      </w:r>
      <w:r w:rsidR="006666CB">
        <w:t xml:space="preserve">op basis van een </w:t>
      </w:r>
      <w:r w:rsidRPr="00921284">
        <w:t>hotspotanalyse.</w:t>
      </w:r>
    </w:p>
    <w:p w:rsidRPr="00324B43" w:rsidR="00324B43" w:rsidP="00324B43" w:rsidRDefault="009929B4" w14:paraId="3E63E948" w14:textId="036B34B7">
      <w:pPr>
        <w:pStyle w:val="ListParagraph"/>
        <w:numPr>
          <w:ilvl w:val="0"/>
          <w:numId w:val="4"/>
        </w:numPr>
      </w:pPr>
      <w:r>
        <w:rPr>
          <w:b/>
          <w:bCs/>
        </w:rPr>
        <w:t xml:space="preserve">Zuid-Holland: </w:t>
      </w:r>
      <w:r w:rsidRPr="00921284" w:rsidR="00921284">
        <w:t xml:space="preserve">de provincie </w:t>
      </w:r>
      <w:r w:rsidR="00CE7CE6">
        <w:t xml:space="preserve">werkt aan </w:t>
      </w:r>
      <w:r w:rsidRPr="00921284" w:rsidR="00921284">
        <w:t xml:space="preserve">een bredere aanpak op indirecte lozingen met de ketenpartijen, waaronder de gemeenten. Dit heeft geleid tot een Convenant “grip krijgen op indirecte lozingen” en bijbehorende </w:t>
      </w:r>
      <w:r w:rsidR="006666CB">
        <w:t>u</w:t>
      </w:r>
      <w:r w:rsidRPr="00921284" w:rsidR="00921284">
        <w:t xml:space="preserve">itvoeringsagenda. </w:t>
      </w:r>
      <w:r w:rsidR="00CE7CE6">
        <w:t xml:space="preserve">Er is een plan van aanpak voor het bezien en herzien van alle provinciale vergunningen (uiterlijk in 2027). Met een aantal koplopergemeenten is een bredere aanpak geformuleerd voor de gemeentelijke indirecte lozingen. </w:t>
      </w:r>
    </w:p>
    <w:p w:rsidR="00324B43" w:rsidP="00324B43" w:rsidRDefault="00324B43" w14:paraId="5C916D40" w14:textId="1DD50215">
      <w:pPr>
        <w:pStyle w:val="Heading1"/>
      </w:pPr>
      <w:r>
        <w:t xml:space="preserve">3. </w:t>
      </w:r>
      <w:r w:rsidR="00865568">
        <w:t>V</w:t>
      </w:r>
      <w:r w:rsidRPr="00EA14F7">
        <w:t xml:space="preserve">oortgang van </w:t>
      </w:r>
      <w:r>
        <w:t xml:space="preserve">relevante </w:t>
      </w:r>
      <w:r w:rsidRPr="00EA14F7">
        <w:t>landelijke trajecten</w:t>
      </w:r>
    </w:p>
    <w:p w:rsidR="00182B27" w:rsidP="00182B27" w:rsidRDefault="00182B27" w14:paraId="382F7E33" w14:textId="77777777">
      <w:pPr>
        <w:pStyle w:val="Heading3"/>
      </w:pPr>
      <w:r>
        <w:t>Organisatie en proces</w:t>
      </w:r>
    </w:p>
    <w:p w:rsidR="00B95D2C" w:rsidP="00B95D2C" w:rsidRDefault="00B95D2C" w14:paraId="7790DCCA" w14:textId="77777777">
      <w:r>
        <w:t xml:space="preserve">In 2025 is </w:t>
      </w:r>
      <w:r w:rsidRPr="0036035C">
        <w:t xml:space="preserve">onder leiding van IPO een ambtelijke werkgroep </w:t>
      </w:r>
      <w:r>
        <w:t xml:space="preserve">indirecte lozingen </w:t>
      </w:r>
      <w:r w:rsidRPr="0036035C">
        <w:t>gestart. Deelnemers zijn IPO, IenW, Unie van Waterschappen, VNG, Omgevingsdienst NL.</w:t>
      </w:r>
      <w:r>
        <w:t xml:space="preserve"> De ambtelijke werkgroep werkt in opdracht van het BO KRW een aantal concrete acties uit te werken waarmee meer regie kan worden verkregen op indirecte lozingen. </w:t>
      </w:r>
    </w:p>
    <w:p w:rsidR="00F1061D" w:rsidP="00B95D2C" w:rsidRDefault="00F1061D" w14:paraId="5AA1229A" w14:textId="378FF66A">
      <w:r>
        <w:t>Een aantal afgeronde of ingeregelde zaken zijn:</w:t>
      </w:r>
    </w:p>
    <w:p w:rsidR="00B95D2C" w:rsidP="00983198" w:rsidRDefault="00F1061D" w14:paraId="2B65B300" w14:textId="3BDF4F3B">
      <w:pPr>
        <w:pStyle w:val="ListParagraph"/>
        <w:numPr>
          <w:ilvl w:val="0"/>
          <w:numId w:val="4"/>
        </w:numPr>
      </w:pPr>
      <w:r>
        <w:t xml:space="preserve">Evaluatie bevoegdheden: </w:t>
      </w:r>
      <w:r w:rsidR="00B95D2C">
        <w:t xml:space="preserve">VNG heeft een </w:t>
      </w:r>
      <w:r w:rsidR="000921DA">
        <w:t xml:space="preserve">quick-scan </w:t>
      </w:r>
      <w:r w:rsidR="00B95D2C">
        <w:t xml:space="preserve"> uitgevoerd </w:t>
      </w:r>
      <w:r w:rsidR="000921DA">
        <w:t>naar</w:t>
      </w:r>
      <w:r w:rsidR="00B95D2C">
        <w:t xml:space="preserve"> de</w:t>
      </w:r>
      <w:r w:rsidR="000921DA">
        <w:t xml:space="preserve"> (eventuele overdracht van)</w:t>
      </w:r>
      <w:r w:rsidR="00B95D2C">
        <w:t xml:space="preserve"> bevoegdheden bij indirecte lozingen </w:t>
      </w:r>
      <w:r w:rsidR="000921DA">
        <w:t xml:space="preserve">Na recent overleg met UvW krijgt het </w:t>
      </w:r>
      <w:r w:rsidRPr="000921DA" w:rsidR="000921DA">
        <w:t>bespreekstuk nog een vervolguitwerking</w:t>
      </w:r>
      <w:r w:rsidR="000921DA">
        <w:t xml:space="preserve">; </w:t>
      </w:r>
      <w:r w:rsidRPr="000921DA" w:rsidR="000921DA">
        <w:t>er zitten een aantal (kwalitatieve) aspecten in die met kwantitatieve onderbouwing wat meer duiding kunnen geven over de verdere versterking van het geheel</w:t>
      </w:r>
      <w:r w:rsidR="000921DA">
        <w:t xml:space="preserve"> (denk aan o</w:t>
      </w:r>
      <w:r w:rsidRPr="000921DA" w:rsidR="000921DA">
        <w:t>mvang</w:t>
      </w:r>
      <w:r w:rsidR="00983198">
        <w:t xml:space="preserve"> (1</w:t>
      </w:r>
      <w:r w:rsidRPr="00983198" w:rsidR="00983198">
        <w:rPr>
          <w:vertAlign w:val="superscript"/>
        </w:rPr>
        <w:t>e</w:t>
      </w:r>
      <w:r w:rsidR="00983198">
        <w:t xml:space="preserve"> hoofdvraag)</w:t>
      </w:r>
      <w:r w:rsidRPr="000921DA" w:rsidR="000921DA">
        <w:t>: zijn de indirecte lozingen in kaart</w:t>
      </w:r>
      <w:r w:rsidR="00983198">
        <w:t>?).</w:t>
      </w:r>
      <w:r w:rsidR="000921DA">
        <w:t xml:space="preserve"> E</w:t>
      </w:r>
      <w:r w:rsidRPr="000921DA" w:rsidR="000921DA">
        <w:t>r komt dus nog een aanvulling</w:t>
      </w:r>
      <w:r w:rsidR="000921DA">
        <w:t xml:space="preserve"> en </w:t>
      </w:r>
      <w:r w:rsidRPr="000921DA" w:rsidR="000921DA">
        <w:t>om die reden blijft dit nog bespreekstuk</w:t>
      </w:r>
      <w:r w:rsidR="000921DA">
        <w:t xml:space="preserve">. </w:t>
      </w:r>
    </w:p>
    <w:p w:rsidR="00F1061D" w:rsidP="00F1061D" w:rsidRDefault="00370237" w14:paraId="39E8E54D" w14:textId="51AB7A3B">
      <w:pPr>
        <w:pStyle w:val="ListParagraph"/>
        <w:numPr>
          <w:ilvl w:val="0"/>
          <w:numId w:val="4"/>
        </w:numPr>
      </w:pPr>
      <w:r w:rsidRPr="00370237">
        <w:t xml:space="preserve">STOWA en Omgevingsdienst NL </w:t>
      </w:r>
      <w:r>
        <w:t xml:space="preserve">hebben </w:t>
      </w:r>
      <w:r w:rsidRPr="00370237">
        <w:t>met input van samenwerkingspartners</w:t>
      </w:r>
      <w:r w:rsidR="00F1061D">
        <w:t xml:space="preserve"> een </w:t>
      </w:r>
      <w:hyperlink w:history="1" r:id="rId8">
        <w:r w:rsidRPr="00F1061D" w:rsidR="00F1061D">
          <w:rPr>
            <w:rStyle w:val="Hyperlink"/>
          </w:rPr>
          <w:t>factsheet over de rollen en bevoegdheden bij indirecte lozingen</w:t>
        </w:r>
      </w:hyperlink>
      <w:r w:rsidR="00F1061D">
        <w:t xml:space="preserve"> ontwikkeld en gepubliceerd. Er is een aantal webinars georganiseerd om de factsheet toe te lichten en vragen te beantwoorden. </w:t>
      </w:r>
    </w:p>
    <w:p w:rsidR="00F1061D" w:rsidP="00F1061D" w:rsidRDefault="00F1061D" w14:paraId="0193F4DE" w14:textId="1249F280">
      <w:pPr>
        <w:pStyle w:val="ListParagraph"/>
        <w:numPr>
          <w:ilvl w:val="0"/>
          <w:numId w:val="4"/>
        </w:numPr>
      </w:pPr>
      <w:r>
        <w:t xml:space="preserve">Zowel vanuit STOWA als Omgevingsdienst NL wordt kennisuitwisseling over indirecte lozingen gefaciliteerd via een community of practice of kennisnetwerk. </w:t>
      </w:r>
    </w:p>
    <w:p w:rsidR="00B95D2C" w:rsidP="00370237" w:rsidRDefault="00370237" w14:paraId="1D1421D0" w14:textId="7CDFB9CA">
      <w:pPr>
        <w:pStyle w:val="ListParagraph"/>
        <w:numPr>
          <w:ilvl w:val="0"/>
          <w:numId w:val="4"/>
        </w:numPr>
      </w:pPr>
      <w:r w:rsidRPr="00370237">
        <w:t xml:space="preserve">Omgevingsdienst NL is nagenoeg gereed met een verkenning naar de organisatie, projecten en inzet voor indirecte lozingen per Omgevingsdienst. </w:t>
      </w:r>
    </w:p>
    <w:p w:rsidR="00182B27" w:rsidP="00182B27" w:rsidRDefault="00182B27" w14:paraId="7EA81C89" w14:textId="77777777">
      <w:pPr>
        <w:pStyle w:val="Heading3"/>
      </w:pPr>
      <w:r>
        <w:t>Landelijke inhoudelijk trajecten</w:t>
      </w:r>
    </w:p>
    <w:p w:rsidR="00F1061D" w:rsidP="006827D7" w:rsidRDefault="006827D7" w14:paraId="243F5924" w14:textId="3DB4B88D">
      <w:r>
        <w:t xml:space="preserve">IenW en de Unie van Waterschappen werken gezamenlijk een programmatische aanpak voor de afvalwaterketen uit. Als onderdeel hiervan wordt bij alle </w:t>
      </w:r>
      <w:r w:rsidR="000C59C1">
        <w:t>rioolwaterzuiveringsinstallaties (</w:t>
      </w:r>
      <w:r>
        <w:t>rwzi’s</w:t>
      </w:r>
      <w:r w:rsidR="000C59C1">
        <w:t>)</w:t>
      </w:r>
      <w:r>
        <w:t xml:space="preserve"> een emissieanalyse uitgevoerd. </w:t>
      </w:r>
      <w:r w:rsidR="00F1061D">
        <w:t>De voorgenomen werkwijze hiervoor is beschreven in een handreiking en zal worden gebruikt in een aantal pilots. De pilots zijn n</w:t>
      </w:r>
      <w:r>
        <w:t xml:space="preserve">aar verwachting Q2 2026 </w:t>
      </w:r>
      <w:r w:rsidR="00F1061D">
        <w:t xml:space="preserve">gereed. De handreiking kan op basis van de ervaringen worden aangepast. Streven is om begin 2027 voor alle rwzi’s een emissieanalyse uitgevoerd te hebben. Mede op basis vanuit de emissieanalyses verkregen inzichten, kan de aanpak op indirecte lozingen verder worden vormgegeven. </w:t>
      </w:r>
    </w:p>
    <w:p w:rsidRPr="00370237" w:rsidR="00182B27" w:rsidP="00F1061D" w:rsidRDefault="00F1061D" w14:paraId="4308C126" w14:textId="7F55B864">
      <w:r>
        <w:t xml:space="preserve">IenW beziet de algemene regels uit het </w:t>
      </w:r>
      <w:r w:rsidRPr="002923CC" w:rsidR="00182B27">
        <w:t>Besluit activiteiten leefomgeving</w:t>
      </w:r>
      <w:r>
        <w:t xml:space="preserve">. Dit is ingewikkeld en omvangrijk. Inzichten uit de emissieanalyses en andere projecten kunnen gebruikt worden om te </w:t>
      </w:r>
      <w:r w:rsidRPr="00370237">
        <w:t xml:space="preserve">bepalen welke algemene regels met prioriteit geactualiseerd moeten worden. </w:t>
      </w:r>
    </w:p>
    <w:p w:rsidRPr="00370237" w:rsidR="00370237" w:rsidP="00370237" w:rsidRDefault="00370237" w14:paraId="0CFD9923" w14:textId="77777777">
      <w:r w:rsidRPr="00370237">
        <w:t xml:space="preserve">Omgevingsdienst NL heeft een actief Kennisnetwerk Waterkwaliteit dat met een Kennisplan werkt aan het versterken van kennis voor de VTH-uitvoering. Vanuit dit kennisplan wordt onder andere gewerkt aan standaardteksten voor lozingsvoorschriften. </w:t>
      </w:r>
    </w:p>
    <w:p w:rsidRPr="00324B43" w:rsidR="00370237" w:rsidP="00370237" w:rsidRDefault="002B453E" w14:paraId="77E881A5" w14:textId="63B6CF78">
      <w:r w:rsidRPr="002B453E">
        <w:t>NVWA, ILT, UvW, RWS en Omgevingsdiensten versterken de samenwerking t.a.v. het toezicht op de waterkwaliteit. In dat kader worden diverse VTH</w:t>
      </w:r>
      <w:r>
        <w:t>-</w:t>
      </w:r>
      <w:r w:rsidRPr="002B453E">
        <w:t>pilots voor schoon water uitgevoerd. RWS neemt – vanwege onderbezetting – alleen deel aan de intentieverklaring voor wat betreft de uitwisseling van informatie, kennis- en data-uitwisseling.</w:t>
      </w:r>
      <w:r w:rsidRPr="00370237" w:rsidR="00370237">
        <w:t xml:space="preserve"> </w:t>
      </w:r>
    </w:p>
    <w:p w:rsidR="0036035C" w:rsidP="00182B27" w:rsidRDefault="00182B27" w14:paraId="773E37D4" w14:textId="785D5EB1">
      <w:pPr>
        <w:pStyle w:val="Heading3"/>
      </w:pPr>
      <w:r>
        <w:t>Overig</w:t>
      </w:r>
    </w:p>
    <w:p w:rsidRPr="00324B43" w:rsidR="000C59C1" w:rsidRDefault="000C59C1" w14:paraId="4EFD99C7" w14:textId="11E0DBD3">
      <w:r>
        <w:t xml:space="preserve">VNO NCW en MKB Nederland voeren – met subsidie van IenW – een actieplan KRW uit. Als onderdeel hiervan wordt ingezet op het vergroten van de kennis over KRW onder het bedrijven. </w:t>
      </w:r>
      <w:r w:rsidR="008B4756">
        <w:t>Als onderdeel hiervan is d</w:t>
      </w:r>
      <w:r>
        <w:t xml:space="preserve">e website </w:t>
      </w:r>
      <w:hyperlink w:history="1" r:id="rId9">
        <w:r w:rsidRPr="008C4036" w:rsidR="0036035C">
          <w:rPr>
            <w:rStyle w:val="Hyperlink"/>
          </w:rPr>
          <w:t>www.ondernemen.nl/krw</w:t>
        </w:r>
      </w:hyperlink>
      <w:r>
        <w:t xml:space="preserve"> </w:t>
      </w:r>
      <w:r w:rsidR="008B4756">
        <w:t>gelanceerd</w:t>
      </w:r>
      <w:r>
        <w:t xml:space="preserve"> en is een self assesment </w:t>
      </w:r>
      <w:r w:rsidR="008B4756">
        <w:t>voor (in)directe lozingen ontwikkeld</w:t>
      </w:r>
      <w:r w:rsidR="0036035C">
        <w:t>.</w:t>
      </w:r>
      <w:r w:rsidR="008B4756">
        <w:t xml:space="preserve"> Bedrijven kunnen contact opnemen met een helpdesk. Ook zijn meerdere bijeenkomsten voor bedrijven en branches georganiseerd. </w:t>
      </w:r>
    </w:p>
    <w:sectPr w:rsidRPr="00324B43" w:rsidR="000C59C1">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E6E95" w14:textId="77777777" w:rsidR="00825974" w:rsidRDefault="00825974" w:rsidP="00547EAA">
      <w:pPr>
        <w:spacing w:after="0" w:line="240" w:lineRule="auto"/>
      </w:pPr>
      <w:r>
        <w:separator/>
      </w:r>
    </w:p>
  </w:endnote>
  <w:endnote w:type="continuationSeparator" w:id="0">
    <w:p w14:paraId="27244C2C" w14:textId="77777777" w:rsidR="00825974" w:rsidRDefault="00825974" w:rsidP="0054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46542"/>
      <w:docPartObj>
        <w:docPartGallery w:val="Page Numbers (Bottom of Page)"/>
        <w:docPartUnique/>
      </w:docPartObj>
    </w:sdtPr>
    <w:sdtEndPr/>
    <w:sdtContent>
      <w:p w14:paraId="530E0248" w14:textId="7D7EBEA3" w:rsidR="00946E17" w:rsidRDefault="00946E17">
        <w:pPr>
          <w:pStyle w:val="Footer"/>
          <w:jc w:val="right"/>
        </w:pPr>
        <w:r>
          <w:fldChar w:fldCharType="begin"/>
        </w:r>
        <w:r>
          <w:instrText>PAGE   \* MERGEFORMAT</w:instrText>
        </w:r>
        <w:r>
          <w:fldChar w:fldCharType="separate"/>
        </w:r>
        <w:r w:rsidR="005C0AD5">
          <w:rPr>
            <w:noProof/>
          </w:rPr>
          <w:t>1</w:t>
        </w:r>
        <w:r>
          <w:fldChar w:fldCharType="end"/>
        </w:r>
      </w:p>
    </w:sdtContent>
  </w:sdt>
  <w:p w14:paraId="58BD83AC" w14:textId="77777777" w:rsidR="00946E17" w:rsidRDefault="00946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23AF" w14:textId="77777777" w:rsidR="00825974" w:rsidRDefault="00825974" w:rsidP="00547EAA">
      <w:pPr>
        <w:spacing w:after="0" w:line="240" w:lineRule="auto"/>
      </w:pPr>
      <w:r>
        <w:separator/>
      </w:r>
    </w:p>
  </w:footnote>
  <w:footnote w:type="continuationSeparator" w:id="0">
    <w:p w14:paraId="154C5FB2" w14:textId="77777777" w:rsidR="00825974" w:rsidRDefault="00825974" w:rsidP="00547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EAD"/>
    <w:multiLevelType w:val="hybridMultilevel"/>
    <w:tmpl w:val="ADD8A1EC"/>
    <w:lvl w:ilvl="0" w:tplc="86AA8B7C">
      <w:start w:val="1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37759A"/>
    <w:multiLevelType w:val="hybridMultilevel"/>
    <w:tmpl w:val="E4A8BBF6"/>
    <w:lvl w:ilvl="0" w:tplc="7F5667C6">
      <w:start w:val="1"/>
      <w:numFmt w:val="bullet"/>
      <w:lvlText w:val="-"/>
      <w:lvlJc w:val="left"/>
      <w:pPr>
        <w:ind w:left="360" w:hanging="360"/>
      </w:pPr>
      <w:rPr>
        <w:rFonts w:ascii="Verdana" w:eastAsia="Verdana"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87A5478"/>
    <w:multiLevelType w:val="hybridMultilevel"/>
    <w:tmpl w:val="523A0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B31910"/>
    <w:multiLevelType w:val="hybridMultilevel"/>
    <w:tmpl w:val="523A04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56"/>
    <w:rsid w:val="00025F9B"/>
    <w:rsid w:val="00040FBA"/>
    <w:rsid w:val="00054677"/>
    <w:rsid w:val="00064FA7"/>
    <w:rsid w:val="000921DA"/>
    <w:rsid w:val="000C59C1"/>
    <w:rsid w:val="000C6598"/>
    <w:rsid w:val="00153BD5"/>
    <w:rsid w:val="00180656"/>
    <w:rsid w:val="00182B27"/>
    <w:rsid w:val="0028025E"/>
    <w:rsid w:val="002B453E"/>
    <w:rsid w:val="002B4F36"/>
    <w:rsid w:val="00312767"/>
    <w:rsid w:val="00324B43"/>
    <w:rsid w:val="0036035C"/>
    <w:rsid w:val="00370237"/>
    <w:rsid w:val="004254F0"/>
    <w:rsid w:val="004938D6"/>
    <w:rsid w:val="00523B31"/>
    <w:rsid w:val="00547EAA"/>
    <w:rsid w:val="0055570C"/>
    <w:rsid w:val="005B4F6A"/>
    <w:rsid w:val="005C0AD5"/>
    <w:rsid w:val="005C5412"/>
    <w:rsid w:val="00651C52"/>
    <w:rsid w:val="006666CB"/>
    <w:rsid w:val="006827D7"/>
    <w:rsid w:val="006E4728"/>
    <w:rsid w:val="006F157D"/>
    <w:rsid w:val="006F3DEC"/>
    <w:rsid w:val="0073767C"/>
    <w:rsid w:val="007A0B90"/>
    <w:rsid w:val="007D30BE"/>
    <w:rsid w:val="00825974"/>
    <w:rsid w:val="00865568"/>
    <w:rsid w:val="0086683F"/>
    <w:rsid w:val="008B4756"/>
    <w:rsid w:val="008E45C4"/>
    <w:rsid w:val="008E4DE2"/>
    <w:rsid w:val="008F1F6A"/>
    <w:rsid w:val="00921284"/>
    <w:rsid w:val="00946E17"/>
    <w:rsid w:val="00981A45"/>
    <w:rsid w:val="00983198"/>
    <w:rsid w:val="009929B4"/>
    <w:rsid w:val="009A5269"/>
    <w:rsid w:val="009D44E0"/>
    <w:rsid w:val="00A74CD6"/>
    <w:rsid w:val="00A85B5F"/>
    <w:rsid w:val="00AD311F"/>
    <w:rsid w:val="00B6090C"/>
    <w:rsid w:val="00B95D2C"/>
    <w:rsid w:val="00BC3A03"/>
    <w:rsid w:val="00C57291"/>
    <w:rsid w:val="00C874CB"/>
    <w:rsid w:val="00CE7CE6"/>
    <w:rsid w:val="00D32BC9"/>
    <w:rsid w:val="00D86EE3"/>
    <w:rsid w:val="00DA7621"/>
    <w:rsid w:val="00E409C2"/>
    <w:rsid w:val="00E51B91"/>
    <w:rsid w:val="00E538B5"/>
    <w:rsid w:val="00E556FD"/>
    <w:rsid w:val="00EF2604"/>
    <w:rsid w:val="00F1061D"/>
    <w:rsid w:val="00F94A21"/>
    <w:rsid w:val="00FB266F"/>
    <w:rsid w:val="00FE439D"/>
    <w:rsid w:val="00FE62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F8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0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0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656"/>
    <w:rPr>
      <w:rFonts w:eastAsiaTheme="majorEastAsia" w:cstheme="majorBidi"/>
      <w:color w:val="272727" w:themeColor="text1" w:themeTint="D8"/>
    </w:rPr>
  </w:style>
  <w:style w:type="paragraph" w:styleId="Title">
    <w:name w:val="Title"/>
    <w:basedOn w:val="Normal"/>
    <w:next w:val="Normal"/>
    <w:link w:val="TitleChar"/>
    <w:uiPriority w:val="10"/>
    <w:qFormat/>
    <w:rsid w:val="0018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656"/>
    <w:pPr>
      <w:spacing w:before="160"/>
      <w:jc w:val="center"/>
    </w:pPr>
    <w:rPr>
      <w:i/>
      <w:iCs/>
      <w:color w:val="404040" w:themeColor="text1" w:themeTint="BF"/>
    </w:rPr>
  </w:style>
  <w:style w:type="character" w:customStyle="1" w:styleId="QuoteChar">
    <w:name w:val="Quote Char"/>
    <w:basedOn w:val="DefaultParagraphFont"/>
    <w:link w:val="Quote"/>
    <w:uiPriority w:val="29"/>
    <w:rsid w:val="00180656"/>
    <w:rPr>
      <w:i/>
      <w:iCs/>
      <w:color w:val="404040" w:themeColor="text1" w:themeTint="BF"/>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180656"/>
    <w:pPr>
      <w:ind w:left="720"/>
      <w:contextualSpacing/>
    </w:pPr>
  </w:style>
  <w:style w:type="character" w:styleId="IntenseEmphasis">
    <w:name w:val="Intense Emphasis"/>
    <w:basedOn w:val="DefaultParagraphFont"/>
    <w:uiPriority w:val="21"/>
    <w:qFormat/>
    <w:rsid w:val="00180656"/>
    <w:rPr>
      <w:i/>
      <w:iCs/>
      <w:color w:val="0F4761" w:themeColor="accent1" w:themeShade="BF"/>
    </w:rPr>
  </w:style>
  <w:style w:type="paragraph" w:styleId="IntenseQuote">
    <w:name w:val="Intense Quote"/>
    <w:basedOn w:val="Normal"/>
    <w:next w:val="Normal"/>
    <w:link w:val="IntenseQuoteChar"/>
    <w:uiPriority w:val="30"/>
    <w:qFormat/>
    <w:rsid w:val="0018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656"/>
    <w:rPr>
      <w:i/>
      <w:iCs/>
      <w:color w:val="0F4761" w:themeColor="accent1" w:themeShade="BF"/>
    </w:rPr>
  </w:style>
  <w:style w:type="character" w:styleId="IntenseReference">
    <w:name w:val="Intense Reference"/>
    <w:basedOn w:val="DefaultParagraphFont"/>
    <w:uiPriority w:val="32"/>
    <w:qFormat/>
    <w:rsid w:val="00180656"/>
    <w:rPr>
      <w:b/>
      <w:bCs/>
      <w:smallCaps/>
      <w:color w:val="0F4761" w:themeColor="accent1" w:themeShade="BF"/>
      <w:spacing w:val="5"/>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9A5269"/>
  </w:style>
  <w:style w:type="character" w:styleId="CommentReference">
    <w:name w:val="annotation reference"/>
    <w:basedOn w:val="DefaultParagraphFont"/>
    <w:uiPriority w:val="99"/>
    <w:semiHidden/>
    <w:unhideWhenUsed/>
    <w:rsid w:val="009A5269"/>
    <w:rPr>
      <w:sz w:val="16"/>
      <w:szCs w:val="16"/>
    </w:rPr>
  </w:style>
  <w:style w:type="paragraph" w:styleId="CommentText">
    <w:name w:val="annotation text"/>
    <w:basedOn w:val="Normal"/>
    <w:link w:val="CommentTextChar"/>
    <w:uiPriority w:val="99"/>
    <w:unhideWhenUsed/>
    <w:rsid w:val="009A5269"/>
    <w:pPr>
      <w:spacing w:line="240" w:lineRule="auto"/>
    </w:pPr>
    <w:rPr>
      <w:sz w:val="20"/>
      <w:szCs w:val="20"/>
    </w:rPr>
  </w:style>
  <w:style w:type="character" w:customStyle="1" w:styleId="CommentTextChar">
    <w:name w:val="Comment Text Char"/>
    <w:basedOn w:val="DefaultParagraphFont"/>
    <w:link w:val="CommentText"/>
    <w:uiPriority w:val="99"/>
    <w:rsid w:val="009A5269"/>
    <w:rPr>
      <w:sz w:val="20"/>
      <w:szCs w:val="20"/>
    </w:rPr>
  </w:style>
  <w:style w:type="paragraph" w:styleId="CommentSubject">
    <w:name w:val="annotation subject"/>
    <w:basedOn w:val="CommentText"/>
    <w:next w:val="CommentText"/>
    <w:link w:val="CommentSubjectChar"/>
    <w:uiPriority w:val="99"/>
    <w:semiHidden/>
    <w:unhideWhenUsed/>
    <w:rsid w:val="009A5269"/>
    <w:rPr>
      <w:b/>
      <w:bCs/>
    </w:rPr>
  </w:style>
  <w:style w:type="character" w:customStyle="1" w:styleId="CommentSubjectChar">
    <w:name w:val="Comment Subject Char"/>
    <w:basedOn w:val="CommentTextChar"/>
    <w:link w:val="CommentSubject"/>
    <w:uiPriority w:val="99"/>
    <w:semiHidden/>
    <w:rsid w:val="009A5269"/>
    <w:rPr>
      <w:b/>
      <w:bCs/>
      <w:sz w:val="20"/>
      <w:szCs w:val="20"/>
    </w:rPr>
  </w:style>
  <w:style w:type="paragraph" w:styleId="FootnoteText">
    <w:name w:val="footnote text"/>
    <w:basedOn w:val="Normal"/>
    <w:link w:val="FootnoteTextChar"/>
    <w:uiPriority w:val="99"/>
    <w:semiHidden/>
    <w:unhideWhenUsed/>
    <w:rsid w:val="00547E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EAA"/>
    <w:rPr>
      <w:sz w:val="20"/>
      <w:szCs w:val="20"/>
    </w:rPr>
  </w:style>
  <w:style w:type="character" w:styleId="FootnoteReference">
    <w:name w:val="footnote reference"/>
    <w:basedOn w:val="DefaultParagraphFont"/>
    <w:uiPriority w:val="99"/>
    <w:semiHidden/>
    <w:unhideWhenUsed/>
    <w:rsid w:val="00547EAA"/>
    <w:rPr>
      <w:vertAlign w:val="superscript"/>
    </w:rPr>
  </w:style>
  <w:style w:type="character" w:styleId="Hyperlink">
    <w:name w:val="Hyperlink"/>
    <w:basedOn w:val="DefaultParagraphFont"/>
    <w:uiPriority w:val="99"/>
    <w:unhideWhenUsed/>
    <w:rsid w:val="00FE439D"/>
    <w:rPr>
      <w:color w:val="467886" w:themeColor="hyperlink"/>
      <w:u w:val="single"/>
    </w:rPr>
  </w:style>
  <w:style w:type="character" w:customStyle="1" w:styleId="UnresolvedMention">
    <w:name w:val="Unresolved Mention"/>
    <w:basedOn w:val="DefaultParagraphFont"/>
    <w:uiPriority w:val="99"/>
    <w:semiHidden/>
    <w:unhideWhenUsed/>
    <w:rsid w:val="00FE439D"/>
    <w:rPr>
      <w:color w:val="605E5C"/>
      <w:shd w:val="clear" w:color="auto" w:fill="E1DFDD"/>
    </w:rPr>
  </w:style>
  <w:style w:type="paragraph" w:styleId="Header">
    <w:name w:val="header"/>
    <w:basedOn w:val="Normal"/>
    <w:link w:val="HeaderChar"/>
    <w:uiPriority w:val="99"/>
    <w:unhideWhenUsed/>
    <w:rsid w:val="00946E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6E17"/>
  </w:style>
  <w:style w:type="paragraph" w:styleId="Footer">
    <w:name w:val="footer"/>
    <w:basedOn w:val="Normal"/>
    <w:link w:val="FooterChar"/>
    <w:uiPriority w:val="99"/>
    <w:unhideWhenUsed/>
    <w:rsid w:val="00946E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E17"/>
  </w:style>
  <w:style w:type="paragraph" w:styleId="Revision">
    <w:name w:val="Revision"/>
    <w:hidden/>
    <w:uiPriority w:val="99"/>
    <w:semiHidden/>
    <w:rsid w:val="00092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05009">
      <w:bodyDiv w:val="1"/>
      <w:marLeft w:val="0"/>
      <w:marRight w:val="0"/>
      <w:marTop w:val="0"/>
      <w:marBottom w:val="0"/>
      <w:divBdr>
        <w:top w:val="none" w:sz="0" w:space="0" w:color="auto"/>
        <w:left w:val="none" w:sz="0" w:space="0" w:color="auto"/>
        <w:bottom w:val="none" w:sz="0" w:space="0" w:color="auto"/>
        <w:right w:val="none" w:sz="0" w:space="0" w:color="auto"/>
      </w:divBdr>
    </w:div>
    <w:div w:id="1178813766">
      <w:bodyDiv w:val="1"/>
      <w:marLeft w:val="0"/>
      <w:marRight w:val="0"/>
      <w:marTop w:val="0"/>
      <w:marBottom w:val="0"/>
      <w:divBdr>
        <w:top w:val="none" w:sz="0" w:space="0" w:color="auto"/>
        <w:left w:val="none" w:sz="0" w:space="0" w:color="auto"/>
        <w:bottom w:val="none" w:sz="0" w:space="0" w:color="auto"/>
        <w:right w:val="none" w:sz="0" w:space="0" w:color="auto"/>
      </w:divBdr>
    </w:div>
    <w:div w:id="13129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stowa.nl/publicaties/factsheet-indirecte-lozingen-de-omgevingswet-taken-bevoegd-gezag-en-advie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ondernemen.nl/krw"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1899</ap:Words>
  <ap:Characters>10825</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2026-06-19T14:56:00.0000000Z</dcterms:created>
  <dcterms:modified xsi:type="dcterms:W3CDTF">2026-06-19T14:56:00.0000000Z</dcterms:modified>
  <version/>
  <category/>
</coreProperties>
</file>