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971" w:rsidP="008E5971" w:rsidRDefault="008E5971" w14:paraId="3924AAF8" w14:textId="77777777">
      <w:bookmarkStart w:name="_GoBack" w:id="0"/>
      <w:bookmarkEnd w:id="0"/>
      <w:r>
        <w:t>Geachte voorzitter,</w:t>
      </w:r>
      <w:bookmarkStart w:name="_Toc213594054" w:id="1"/>
    </w:p>
    <w:p w:rsidR="008E5971" w:rsidP="008E5971" w:rsidRDefault="008E5971" w14:paraId="5FCD3965" w14:textId="77777777"/>
    <w:bookmarkEnd w:id="1"/>
    <w:p w:rsidR="00822EBB" w:rsidP="00F32706" w:rsidRDefault="00363F41" w14:paraId="69D5B2A7" w14:textId="5883C21F">
      <w:r w:rsidRPr="00363F41">
        <w:t xml:space="preserve">Met deze brief informeer ik </w:t>
      </w:r>
      <w:r w:rsidR="0074526B">
        <w:t>de</w:t>
      </w:r>
      <w:r w:rsidRPr="00363F41">
        <w:t xml:space="preserve"> Kamer</w:t>
      </w:r>
      <w:r>
        <w:t xml:space="preserve"> </w:t>
      </w:r>
      <w:r w:rsidR="00E216B9">
        <w:t xml:space="preserve">over de stand van zaken rondom </w:t>
      </w:r>
      <w:r w:rsidRPr="00363F41">
        <w:t>de normering van de</w:t>
      </w:r>
      <w:r w:rsidR="003214D4">
        <w:t xml:space="preserve"> primaire waterkeringen</w:t>
      </w:r>
      <w:r w:rsidR="00D56542">
        <w:t>. Daarbij wordt specifiek ingegaan</w:t>
      </w:r>
      <w:r w:rsidR="003214D4">
        <w:t xml:space="preserve"> op de</w:t>
      </w:r>
      <w:r w:rsidRPr="00363F41">
        <w:t xml:space="preserve"> Waddeneilanden</w:t>
      </w:r>
      <w:r w:rsidR="00934A4C">
        <w:t>,</w:t>
      </w:r>
      <w:r w:rsidRPr="00363F41">
        <w:t xml:space="preserve"> </w:t>
      </w:r>
      <w:r w:rsidR="00E216B9">
        <w:t xml:space="preserve">de twee moties van </w:t>
      </w:r>
      <w:r w:rsidR="0074526B">
        <w:t>het lid</w:t>
      </w:r>
      <w:r w:rsidR="00E216B9">
        <w:t xml:space="preserve"> Vellinga-Beemsterboer</w:t>
      </w:r>
      <w:r w:rsidR="003214D4">
        <w:t xml:space="preserve"> over dit onderwerp</w:t>
      </w:r>
      <w:r w:rsidR="00E216B9">
        <w:t xml:space="preserve">, en </w:t>
      </w:r>
      <w:r w:rsidRPr="00363F41">
        <w:t>het project 1EILAUN</w:t>
      </w:r>
      <w:r>
        <w:t xml:space="preserve"> op Schiermonnikoog</w:t>
      </w:r>
      <w:r w:rsidR="00E216B9">
        <w:t>.</w:t>
      </w:r>
    </w:p>
    <w:p w:rsidR="00363F41" w:rsidP="00363F41" w:rsidRDefault="00363F41" w14:paraId="4473B3CF" w14:textId="0FB87BD5"/>
    <w:p w:rsidRPr="0044143F" w:rsidR="00EB4BEB" w:rsidP="00363F41" w:rsidRDefault="00EB4BEB" w14:paraId="4341B47B" w14:textId="3B3DDE0F">
      <w:pPr>
        <w:rPr>
          <w:i/>
          <w:iCs/>
        </w:rPr>
      </w:pPr>
      <w:r w:rsidRPr="0044143F">
        <w:rPr>
          <w:i/>
          <w:iCs/>
        </w:rPr>
        <w:t>Laaggelegen</w:t>
      </w:r>
      <w:r w:rsidR="00DD1947">
        <w:rPr>
          <w:i/>
          <w:iCs/>
        </w:rPr>
        <w:t xml:space="preserve"> kwetsbare</w:t>
      </w:r>
      <w:r w:rsidRPr="0044143F">
        <w:rPr>
          <w:i/>
          <w:iCs/>
        </w:rPr>
        <w:t xml:space="preserve"> delta</w:t>
      </w:r>
    </w:p>
    <w:p w:rsidR="0074526B" w:rsidP="00363F41" w:rsidRDefault="00E216B9" w14:paraId="22746B7D" w14:textId="77777777">
      <w:r w:rsidRPr="00E216B9">
        <w:t>Nederland is voor een groot deel kwetsbaar voor overstromingen, daarom gelden wettelijke normen voor primaire waterkeringen, gebaseerd op het uitgangspunt dat de kans om door een overstroming te overlijden niet groter mag zijn dan 1 op 100.000 per jaar</w:t>
      </w:r>
      <w:r>
        <w:t>, het zogenoemde basisbeschermingsniveau</w:t>
      </w:r>
      <w:r w:rsidRPr="00E216B9">
        <w:t xml:space="preserve">. Bij het vaststellen van deze normen wordt ook rekening gehouden met economische schade, het aantal mogelijke slachtoffers en de </w:t>
      </w:r>
      <w:r w:rsidR="00D351D5">
        <w:t xml:space="preserve">(kosten van) </w:t>
      </w:r>
      <w:r w:rsidRPr="00E216B9">
        <w:t>bescherming van vitale infrastructuur</w:t>
      </w:r>
      <w:r w:rsidR="00F957C7">
        <w:t xml:space="preserve"> in het achterliggend gebied</w:t>
      </w:r>
      <w:r w:rsidRPr="00E216B9">
        <w:t xml:space="preserve">. </w:t>
      </w:r>
      <w:r w:rsidR="00D351D5">
        <w:t>De normen variëren daarom sterk per dijktraject</w:t>
      </w:r>
      <w:r w:rsidR="0074526B">
        <w:t>,</w:t>
      </w:r>
      <w:r w:rsidR="00D351D5">
        <w:t xml:space="preserve"> afhankelijk van de aard en kenmerken van het achterliggend gebied. </w:t>
      </w:r>
      <w:r w:rsidRPr="00E216B9">
        <w:t>De normen zijn toekomstbestendig, door rekening te houden met bevolkingsgroei, economische ontwikkeling en klimaatveranderingen tot 2050. Dan moeten alle primaire waterkeringen voldoen aan de norm.</w:t>
      </w:r>
      <w:r>
        <w:t xml:space="preserve"> </w:t>
      </w:r>
    </w:p>
    <w:p w:rsidR="00E216B9" w:rsidP="00363F41" w:rsidRDefault="00E216B9" w14:paraId="68060D2C" w14:textId="37F8C81D">
      <w:r w:rsidRPr="00E216B9">
        <w:t>Een uniforme landelijke aanpak is belangrijk om waterveiligheidsprojecten doelmatig te prioriteren en beschikbare middelen effectief in te zetten, zodat alle noodzakelijke dijkversterkingen in het H</w:t>
      </w:r>
      <w:r w:rsidR="006835C4">
        <w:t xml:space="preserve">oogwaterbeschermingsprogramma (HWBP) </w:t>
      </w:r>
      <w:r w:rsidRPr="00E216B9">
        <w:t xml:space="preserve">tijdig kunnen worden uitgevoerd. Het </w:t>
      </w:r>
      <w:r w:rsidR="00F957C7">
        <w:t>waterveiligheids</w:t>
      </w:r>
      <w:r w:rsidRPr="00E216B9">
        <w:t>beleid gaat uit van het principe van meerlaagsveiligheid</w:t>
      </w:r>
      <w:r w:rsidR="00D351D5">
        <w:t>:</w:t>
      </w:r>
      <w:r w:rsidR="0044143F">
        <w:t xml:space="preserve"> </w:t>
      </w:r>
      <w:r w:rsidR="00D351D5">
        <w:t>naast preventie voor overstromingen met dijken, duinen en dammen, betreft dit de ruimtelijke inrichting</w:t>
      </w:r>
      <w:r w:rsidR="00BC5D35">
        <w:t xml:space="preserve">, </w:t>
      </w:r>
      <w:r w:rsidR="00D351D5">
        <w:t>crisisbeheersing</w:t>
      </w:r>
      <w:r w:rsidR="00BC5D35">
        <w:t xml:space="preserve"> en herstel na een overstroming</w:t>
      </w:r>
      <w:r w:rsidR="00D351D5">
        <w:t xml:space="preserve">. </w:t>
      </w:r>
      <w:r w:rsidRPr="00E216B9">
        <w:t xml:space="preserve">Aandacht voor </w:t>
      </w:r>
      <w:r w:rsidR="00BC5D35">
        <w:t>alle lagen</w:t>
      </w:r>
      <w:r w:rsidR="008920B3">
        <w:t xml:space="preserve"> </w:t>
      </w:r>
      <w:r w:rsidRPr="00E216B9">
        <w:t>is</w:t>
      </w:r>
      <w:r w:rsidR="0074526B">
        <w:t xml:space="preserve"> -</w:t>
      </w:r>
      <w:r w:rsidRPr="00E216B9">
        <w:t xml:space="preserve"> los van de norm</w:t>
      </w:r>
      <w:r w:rsidR="0074526B">
        <w:t xml:space="preserve"> -</w:t>
      </w:r>
      <w:r w:rsidRPr="00E216B9">
        <w:t xml:space="preserve"> altijd van belang</w:t>
      </w:r>
      <w:r w:rsidR="0074526B">
        <w:t>:</w:t>
      </w:r>
      <w:r w:rsidRPr="00E216B9">
        <w:t xml:space="preserve"> </w:t>
      </w:r>
      <w:r w:rsidR="0074526B">
        <w:t>het</w:t>
      </w:r>
      <w:r w:rsidR="006835C4">
        <w:t xml:space="preserve"> risico op een</w:t>
      </w:r>
      <w:r w:rsidRPr="00E216B9">
        <w:t xml:space="preserve"> overstroming </w:t>
      </w:r>
      <w:r w:rsidR="006835C4">
        <w:t>is immers nooit nul</w:t>
      </w:r>
      <w:r>
        <w:t>.</w:t>
      </w:r>
      <w:r w:rsidR="00BC5D35">
        <w:t xml:space="preserve"> </w:t>
      </w:r>
    </w:p>
    <w:p w:rsidR="00E216B9" w:rsidP="00363F41" w:rsidRDefault="00E216B9" w14:paraId="366F3385" w14:textId="77777777"/>
    <w:p w:rsidRPr="0044143F" w:rsidR="00EB4BEB" w:rsidP="00E216B9" w:rsidRDefault="00EB4BEB" w14:paraId="379C2311" w14:textId="06EAF321">
      <w:pPr>
        <w:rPr>
          <w:i/>
          <w:iCs/>
        </w:rPr>
      </w:pPr>
      <w:r w:rsidRPr="0044143F">
        <w:rPr>
          <w:i/>
          <w:iCs/>
        </w:rPr>
        <w:t>Aanpassing normering waterveiligheid</w:t>
      </w:r>
      <w:r w:rsidR="00DD1947">
        <w:rPr>
          <w:i/>
          <w:iCs/>
        </w:rPr>
        <w:t xml:space="preserve"> en gesprekken</w:t>
      </w:r>
      <w:r>
        <w:rPr>
          <w:i/>
          <w:iCs/>
        </w:rPr>
        <w:t xml:space="preserve"> </w:t>
      </w:r>
      <w:r w:rsidR="0044143F">
        <w:rPr>
          <w:i/>
          <w:iCs/>
        </w:rPr>
        <w:t>W</w:t>
      </w:r>
      <w:r>
        <w:rPr>
          <w:i/>
          <w:iCs/>
        </w:rPr>
        <w:t>addeneilanden</w:t>
      </w:r>
    </w:p>
    <w:p w:rsidR="00EF13CC" w:rsidP="00E216B9" w:rsidRDefault="00E216B9" w14:paraId="7A7AE8D3" w14:textId="737E434F">
      <w:r w:rsidRPr="00F32706">
        <w:t xml:space="preserve">In de </w:t>
      </w:r>
      <w:r w:rsidR="0074526B">
        <w:t>Kamer</w:t>
      </w:r>
      <w:r w:rsidRPr="00F32706">
        <w:t>brief van 27 januari jl.</w:t>
      </w:r>
      <w:r w:rsidR="00BD26A9">
        <w:rPr>
          <w:rStyle w:val="FootnoteReference"/>
        </w:rPr>
        <w:footnoteReference w:id="1"/>
      </w:r>
      <w:r w:rsidR="00D56542">
        <w:t xml:space="preserve"> </w:t>
      </w:r>
      <w:r w:rsidRPr="00F32706">
        <w:t>is de Kamer geïnformeerd over de dijktrajecten</w:t>
      </w:r>
      <w:r>
        <w:t xml:space="preserve"> </w:t>
      </w:r>
      <w:r w:rsidRPr="00F32706">
        <w:t xml:space="preserve">waarvoor op basis van de evaluatie een normaanpassing </w:t>
      </w:r>
      <w:r>
        <w:t xml:space="preserve">aan de orde </w:t>
      </w:r>
      <w:r w:rsidRPr="00F32706">
        <w:t>is</w:t>
      </w:r>
      <w:r w:rsidR="00F957C7">
        <w:t xml:space="preserve">. Voor </w:t>
      </w:r>
      <w:r w:rsidR="00D56542">
        <w:t xml:space="preserve">de trajecten op de Waddeneilanden </w:t>
      </w:r>
      <w:r w:rsidR="00F957C7">
        <w:t>geldt dat n</w:t>
      </w:r>
      <w:r>
        <w:t xml:space="preserve">ieuwe inzichten </w:t>
      </w:r>
      <w:r w:rsidRPr="00F32706">
        <w:t xml:space="preserve">in het verloop van overstromingen </w:t>
      </w:r>
      <w:r>
        <w:t xml:space="preserve">laten </w:t>
      </w:r>
      <w:r w:rsidRPr="00F32706">
        <w:t>zien dat de kans op dodelijke slachtoffers</w:t>
      </w:r>
      <w:r>
        <w:t xml:space="preserve"> </w:t>
      </w:r>
      <w:r w:rsidRPr="00F32706">
        <w:t>lager is dan</w:t>
      </w:r>
      <w:r w:rsidR="00F957C7">
        <w:t xml:space="preserve"> </w:t>
      </w:r>
      <w:r w:rsidR="006835C4">
        <w:t>bij het opstellen van de huidige normering</w:t>
      </w:r>
      <w:r w:rsidRPr="00F32706">
        <w:t xml:space="preserve"> werd aangenomen</w:t>
      </w:r>
      <w:r>
        <w:t xml:space="preserve">. </w:t>
      </w:r>
    </w:p>
    <w:p w:rsidR="0074526B" w:rsidP="00E216B9" w:rsidRDefault="00E216B9" w14:paraId="132AA69B" w14:textId="77777777">
      <w:r>
        <w:lastRenderedPageBreak/>
        <w:t xml:space="preserve">Daarnaast is er destijds gerekend met zeer conservatieve </w:t>
      </w:r>
      <w:r w:rsidRPr="00F32706">
        <w:t>aannames over de evacuatiemogelijkheden</w:t>
      </w:r>
      <w:r>
        <w:rPr>
          <w:rStyle w:val="FootnoteReference"/>
        </w:rPr>
        <w:footnoteReference w:id="2"/>
      </w:r>
      <w:r>
        <w:t xml:space="preserve">. </w:t>
      </w:r>
    </w:p>
    <w:p w:rsidR="0074526B" w:rsidP="00E216B9" w:rsidRDefault="0074526B" w14:paraId="3310D5EC" w14:textId="77777777"/>
    <w:p w:rsidR="00295181" w:rsidP="00E216B9" w:rsidRDefault="008756AE" w14:paraId="5C3ED41D" w14:textId="0F1210FF">
      <w:r>
        <w:t xml:space="preserve">Deze voorgenomen wijziging heeft geleid tot onrust bij de regio </w:t>
      </w:r>
      <w:r w:rsidR="00D351D5">
        <w:t xml:space="preserve">en vragen van </w:t>
      </w:r>
      <w:r w:rsidR="0074526B">
        <w:t>de</w:t>
      </w:r>
      <w:r>
        <w:t xml:space="preserve"> Kamer. </w:t>
      </w:r>
      <w:r w:rsidR="00D351D5">
        <w:t>Zowel mijn voorganger als ikzelf hebben aangegeven</w:t>
      </w:r>
      <w:r>
        <w:t xml:space="preserve"> de zorgen uit de regio serieus te nemen </w:t>
      </w:r>
      <w:r w:rsidR="00D351D5">
        <w:t>en in gesprek te gaan hierover. Ook heb ik aangegeven</w:t>
      </w:r>
      <w:r w:rsidR="00D95737">
        <w:t xml:space="preserve"> er waarde aan </w:t>
      </w:r>
      <w:r w:rsidR="00D351D5">
        <w:t xml:space="preserve">te hechten </w:t>
      </w:r>
      <w:r w:rsidR="00D95737">
        <w:t xml:space="preserve">om de situatie </w:t>
      </w:r>
      <w:r w:rsidR="00D351D5">
        <w:t xml:space="preserve">ter plekke </w:t>
      </w:r>
      <w:r w:rsidR="00D95737">
        <w:t xml:space="preserve">te bekijken. </w:t>
      </w:r>
      <w:r>
        <w:t xml:space="preserve">Het werkbezoek op 11 mei jl. </w:t>
      </w:r>
      <w:r w:rsidR="00295181">
        <w:t xml:space="preserve">op Schiermonnikoog </w:t>
      </w:r>
      <w:r>
        <w:t xml:space="preserve">gaf </w:t>
      </w:r>
      <w:r w:rsidR="00295181">
        <w:t xml:space="preserve">mij </w:t>
      </w:r>
      <w:r>
        <w:t>een duidelijk beeld van de problematiek</w:t>
      </w:r>
      <w:r w:rsidR="00295181">
        <w:t xml:space="preserve"> en inzicht in de samenhang van verschillende onderwerpen die spelen op </w:t>
      </w:r>
      <w:r w:rsidR="00BC5D35">
        <w:t>de Wadden</w:t>
      </w:r>
      <w:r w:rsidR="00295181">
        <w:t>eiland</w:t>
      </w:r>
      <w:r w:rsidR="00BC5D35">
        <w:t>en</w:t>
      </w:r>
      <w:r w:rsidR="00295181">
        <w:t xml:space="preserve">, mede in de context van het project </w:t>
      </w:r>
      <w:r w:rsidR="0074526B">
        <w:t>1EILAUN</w:t>
      </w:r>
      <w:r w:rsidR="00BC5D35">
        <w:t xml:space="preserve"> specifiek voor Schiermonnikoog</w:t>
      </w:r>
      <w:r w:rsidR="00295181">
        <w:t xml:space="preserve">. </w:t>
      </w:r>
      <w:r>
        <w:t xml:space="preserve">Ter plaatse zijn </w:t>
      </w:r>
      <w:r w:rsidR="00295181">
        <w:t>constructieve</w:t>
      </w:r>
      <w:r>
        <w:t xml:space="preserve"> gesprekken gevoerd met de betrokken</w:t>
      </w:r>
      <w:r w:rsidR="0008524A">
        <w:t>en.</w:t>
      </w:r>
      <w:r>
        <w:t xml:space="preserve"> </w:t>
      </w:r>
      <w:r w:rsidR="00295181">
        <w:t xml:space="preserve">De Deltacommissaris was hierbij aanwezig en heeft op 22 mei jl. nog een apart werkbezoek gebracht aan Schiermonnikoog waar nog is doorgesproken over deze onderwerpen. </w:t>
      </w:r>
    </w:p>
    <w:p w:rsidR="00E216B9" w:rsidP="00363F41" w:rsidRDefault="00E216B9" w14:paraId="5B976484" w14:textId="77777777"/>
    <w:p w:rsidR="008019F8" w:rsidP="00363F41" w:rsidRDefault="00D95737" w14:paraId="4FEE354F" w14:textId="742B167A">
      <w:pPr>
        <w:rPr>
          <w:rFonts w:eastAsiaTheme="minorHAnsi" w:cstheme="minorBidi"/>
          <w:color w:val="auto"/>
          <w:kern w:val="2"/>
          <w:lang w:eastAsia="en-US"/>
          <w14:ligatures w14:val="standardContextual"/>
        </w:rPr>
      </w:pPr>
      <w:r>
        <w:t>Op 3 juni jl. is er in het vervolg van het werkbezoek een bestuurlijk overleg geweest met de regio</w:t>
      </w:r>
      <w:r w:rsidR="00DD1947">
        <w:t xml:space="preserve">, te weten de gedeputeerde van de </w:t>
      </w:r>
      <w:r w:rsidR="0044143F">
        <w:t>provincie</w:t>
      </w:r>
      <w:r w:rsidR="00DD1947">
        <w:t xml:space="preserve"> Fryslân, de burgemeester van de gemeente Schiermonnikoog en de bestuurder van het </w:t>
      </w:r>
      <w:r w:rsidR="0008524A">
        <w:t>W</w:t>
      </w:r>
      <w:r w:rsidR="00DD1947">
        <w:t>etterskip Fryslân.</w:t>
      </w:r>
      <w:r w:rsidR="0049076E">
        <w:t xml:space="preserve"> Hierbij was ook de Deltacommissaris aanwezig</w:t>
      </w:r>
      <w:r w:rsidR="00EE5E12">
        <w:t>.</w:t>
      </w:r>
      <w:r>
        <w:t xml:space="preserve"> </w:t>
      </w:r>
      <w:r w:rsidRPr="008019F8" w:rsidR="008019F8">
        <w:rPr>
          <w:rFonts w:eastAsiaTheme="minorHAnsi" w:cstheme="minorBidi"/>
          <w:color w:val="auto"/>
          <w:kern w:val="2"/>
          <w:lang w:eastAsia="en-US"/>
          <w14:ligatures w14:val="standardContextual"/>
        </w:rPr>
        <w:t xml:space="preserve">Besproken is dat de technische-inhoudelijke normering niet ter discussie wordt gesteld, de verantwoordelijkheid voor de </w:t>
      </w:r>
      <w:r w:rsidR="008019F8">
        <w:rPr>
          <w:rFonts w:eastAsiaTheme="minorHAnsi" w:cstheme="minorBidi"/>
          <w:color w:val="auto"/>
          <w:kern w:val="2"/>
          <w:lang w:eastAsia="en-US"/>
          <w14:ligatures w14:val="standardContextual"/>
        </w:rPr>
        <w:t>berekening</w:t>
      </w:r>
      <w:r w:rsidRPr="008019F8" w:rsidR="008019F8">
        <w:rPr>
          <w:rFonts w:eastAsiaTheme="minorHAnsi" w:cstheme="minorBidi"/>
          <w:color w:val="auto"/>
          <w:kern w:val="2"/>
          <w:lang w:eastAsia="en-US"/>
          <w14:ligatures w14:val="standardContextual"/>
        </w:rPr>
        <w:t xml:space="preserve"> daarvan ligt bij experts</w:t>
      </w:r>
      <w:r w:rsidR="008019F8">
        <w:rPr>
          <w:rFonts w:eastAsiaTheme="minorHAnsi" w:cstheme="minorBidi"/>
          <w:color w:val="auto"/>
          <w:kern w:val="2"/>
          <w:lang w:eastAsia="en-US"/>
          <w14:ligatures w14:val="standardContextual"/>
        </w:rPr>
        <w:t xml:space="preserve">. Dit vormt de </w:t>
      </w:r>
      <w:r w:rsidRPr="008019F8" w:rsidR="008019F8">
        <w:rPr>
          <w:rFonts w:eastAsiaTheme="minorHAnsi" w:cstheme="minorBidi"/>
          <w:color w:val="auto"/>
          <w:kern w:val="2"/>
          <w:lang w:eastAsia="en-US"/>
          <w14:ligatures w14:val="standardContextual"/>
        </w:rPr>
        <w:t xml:space="preserve">grondslag voor het waterveiligheidsbeleid in Nederland. </w:t>
      </w:r>
    </w:p>
    <w:p w:rsidRPr="0074526B" w:rsidR="002D58AE" w:rsidP="00363F41" w:rsidRDefault="00852C70" w14:paraId="6E3586C4" w14:textId="4F216A0C">
      <w:pPr>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Crisisbeheersing vergt maatwerk</w:t>
      </w:r>
      <w:r w:rsidR="0074526B">
        <w:rPr>
          <w:rFonts w:eastAsiaTheme="minorHAnsi" w:cstheme="minorBidi"/>
          <w:color w:val="auto"/>
          <w:kern w:val="2"/>
          <w:lang w:eastAsia="en-US"/>
          <w14:ligatures w14:val="standardContextual"/>
        </w:rPr>
        <w:t>:</w:t>
      </w:r>
      <w:r>
        <w:rPr>
          <w:rFonts w:eastAsiaTheme="minorHAnsi" w:cstheme="minorBidi"/>
          <w:color w:val="auto"/>
          <w:kern w:val="2"/>
          <w:lang w:eastAsia="en-US"/>
          <w14:ligatures w14:val="standardContextual"/>
        </w:rPr>
        <w:t xml:space="preserve"> </w:t>
      </w:r>
      <w:r w:rsidR="0074526B">
        <w:rPr>
          <w:rFonts w:eastAsiaTheme="minorHAnsi" w:cstheme="minorBidi"/>
          <w:color w:val="auto"/>
          <w:kern w:val="2"/>
          <w:lang w:eastAsia="en-US"/>
          <w14:ligatures w14:val="standardContextual"/>
        </w:rPr>
        <w:t>i</w:t>
      </w:r>
      <w:r>
        <w:rPr>
          <w:rFonts w:eastAsiaTheme="minorHAnsi" w:cstheme="minorBidi"/>
          <w:color w:val="auto"/>
          <w:kern w:val="2"/>
          <w:lang w:eastAsia="en-US"/>
          <w14:ligatures w14:val="standardContextual"/>
        </w:rPr>
        <w:t>n het rivierengebied gaat het</w:t>
      </w:r>
      <w:r w:rsidR="0074526B">
        <w:rPr>
          <w:rFonts w:eastAsiaTheme="minorHAnsi" w:cstheme="minorBidi"/>
          <w:color w:val="auto"/>
          <w:kern w:val="2"/>
          <w:lang w:eastAsia="en-US"/>
          <w14:ligatures w14:val="standardContextual"/>
        </w:rPr>
        <w:t xml:space="preserve"> bijvoorbeeld</w:t>
      </w:r>
      <w:r>
        <w:rPr>
          <w:rFonts w:eastAsiaTheme="minorHAnsi" w:cstheme="minorBidi"/>
          <w:color w:val="auto"/>
          <w:kern w:val="2"/>
          <w:lang w:eastAsia="en-US"/>
          <w14:ligatures w14:val="standardContextual"/>
        </w:rPr>
        <w:t xml:space="preserve"> om grote aantallen mensen die moeten worden vervoerd en opgevangen, de Waddeneilanden moeten zorgen voor relatief veel toeristen en zijn </w:t>
      </w:r>
      <w:r w:rsidR="002A3772">
        <w:rPr>
          <w:rFonts w:eastAsiaTheme="minorHAnsi" w:cstheme="minorBidi"/>
          <w:color w:val="auto"/>
          <w:kern w:val="2"/>
          <w:lang w:eastAsia="en-US"/>
          <w14:ligatures w14:val="standardContextual"/>
        </w:rPr>
        <w:t xml:space="preserve">bijvoorbeeld </w:t>
      </w:r>
      <w:r>
        <w:rPr>
          <w:rFonts w:eastAsiaTheme="minorHAnsi" w:cstheme="minorBidi"/>
          <w:color w:val="auto"/>
          <w:kern w:val="2"/>
          <w:lang w:eastAsia="en-US"/>
          <w14:ligatures w14:val="standardContextual"/>
        </w:rPr>
        <w:t>aangewe</w:t>
      </w:r>
      <w:r w:rsidR="002A3772">
        <w:rPr>
          <w:rFonts w:eastAsiaTheme="minorHAnsi" w:cstheme="minorBidi"/>
          <w:color w:val="auto"/>
          <w:kern w:val="2"/>
          <w:lang w:eastAsia="en-US"/>
          <w14:ligatures w14:val="standardContextual"/>
        </w:rPr>
        <w:t>zen</w:t>
      </w:r>
      <w:r>
        <w:rPr>
          <w:rFonts w:eastAsiaTheme="minorHAnsi" w:cstheme="minorBidi"/>
          <w:color w:val="auto"/>
          <w:kern w:val="2"/>
          <w:lang w:eastAsia="en-US"/>
          <w14:ligatures w14:val="standardContextual"/>
        </w:rPr>
        <w:t xml:space="preserve"> op een bootverbinding als het gaat om bevoorrading.</w:t>
      </w:r>
      <w:r w:rsidR="002A3772">
        <w:rPr>
          <w:rFonts w:eastAsiaTheme="minorHAnsi" w:cstheme="minorBidi"/>
          <w:color w:val="auto"/>
          <w:kern w:val="2"/>
          <w:lang w:eastAsia="en-US"/>
          <w14:ligatures w14:val="standardContextual"/>
        </w:rPr>
        <w:t xml:space="preserve"> </w:t>
      </w:r>
      <w:r w:rsidR="00DD1947">
        <w:rPr>
          <w:rFonts w:eastAsiaTheme="minorHAnsi" w:cstheme="minorBidi"/>
          <w:color w:val="auto"/>
          <w:kern w:val="2"/>
          <w:lang w:eastAsia="en-US"/>
          <w14:ligatures w14:val="standardContextual"/>
        </w:rPr>
        <w:t xml:space="preserve">Geconstateerd is </w:t>
      </w:r>
      <w:r w:rsidR="002A3772">
        <w:rPr>
          <w:rFonts w:eastAsiaTheme="minorHAnsi" w:cstheme="minorBidi"/>
          <w:color w:val="auto"/>
          <w:kern w:val="2"/>
          <w:lang w:eastAsia="en-US"/>
          <w14:ligatures w14:val="standardContextual"/>
        </w:rPr>
        <w:t xml:space="preserve">daarom </w:t>
      </w:r>
      <w:r w:rsidR="00DD1947">
        <w:rPr>
          <w:rFonts w:eastAsiaTheme="minorHAnsi" w:cstheme="minorBidi"/>
          <w:color w:val="auto"/>
          <w:kern w:val="2"/>
          <w:lang w:eastAsia="en-US"/>
          <w14:ligatures w14:val="standardContextual"/>
        </w:rPr>
        <w:t xml:space="preserve">dat het belangrijk is dat er wordt gewerkt aan </w:t>
      </w:r>
      <w:r w:rsidR="00D95737">
        <w:rPr>
          <w:rFonts w:eastAsiaTheme="minorHAnsi" w:cstheme="minorBidi"/>
          <w:color w:val="auto"/>
          <w:kern w:val="2"/>
          <w:lang w:eastAsia="en-US"/>
          <w14:ligatures w14:val="standardContextual"/>
        </w:rPr>
        <w:t>de</w:t>
      </w:r>
      <w:r w:rsidRPr="00D95737" w:rsidR="00D95737">
        <w:rPr>
          <w:rFonts w:eastAsiaTheme="minorHAnsi" w:cstheme="minorBidi"/>
          <w:color w:val="auto"/>
          <w:kern w:val="2"/>
          <w:lang w:eastAsia="en-US"/>
          <w14:ligatures w14:val="standardContextual"/>
        </w:rPr>
        <w:t xml:space="preserve"> </w:t>
      </w:r>
      <w:r w:rsidR="00D95737">
        <w:rPr>
          <w:rFonts w:eastAsiaTheme="minorHAnsi" w:cstheme="minorBidi"/>
          <w:color w:val="auto"/>
          <w:kern w:val="2"/>
          <w:lang w:eastAsia="en-US"/>
          <w14:ligatures w14:val="standardContextual"/>
        </w:rPr>
        <w:t xml:space="preserve">integrale </w:t>
      </w:r>
      <w:r w:rsidRPr="00D95737" w:rsidR="00D95737">
        <w:rPr>
          <w:rFonts w:eastAsiaTheme="minorHAnsi" w:cstheme="minorBidi"/>
          <w:color w:val="auto"/>
          <w:kern w:val="2"/>
          <w:lang w:eastAsia="en-US"/>
          <w14:ligatures w14:val="standardContextual"/>
        </w:rPr>
        <w:t>veiligheidsstrategie</w:t>
      </w:r>
      <w:r w:rsidR="00DD1947">
        <w:rPr>
          <w:rFonts w:eastAsiaTheme="minorHAnsi" w:cstheme="minorBidi"/>
          <w:color w:val="auto"/>
          <w:kern w:val="2"/>
          <w:lang w:eastAsia="en-US"/>
          <w14:ligatures w14:val="standardContextual"/>
        </w:rPr>
        <w:t xml:space="preserve"> en de uitwerking daarvan naar een uitvoeringsplan</w:t>
      </w:r>
      <w:r w:rsidR="00D95737">
        <w:rPr>
          <w:rFonts w:eastAsiaTheme="minorHAnsi" w:cstheme="minorBidi"/>
          <w:color w:val="auto"/>
          <w:kern w:val="2"/>
          <w:lang w:eastAsia="en-US"/>
          <w14:ligatures w14:val="standardContextual"/>
        </w:rPr>
        <w:t xml:space="preserve">. </w:t>
      </w:r>
      <w:r w:rsidR="0049076E">
        <w:rPr>
          <w:rFonts w:eastAsiaTheme="minorHAnsi" w:cstheme="minorBidi"/>
          <w:color w:val="auto"/>
          <w:kern w:val="2"/>
          <w:lang w:eastAsia="en-US"/>
          <w14:ligatures w14:val="standardContextual"/>
        </w:rPr>
        <w:t xml:space="preserve">Op verzoek van de </w:t>
      </w:r>
      <w:r w:rsidR="0008524A">
        <w:rPr>
          <w:rFonts w:eastAsiaTheme="minorHAnsi" w:cstheme="minorBidi"/>
          <w:color w:val="auto"/>
          <w:kern w:val="2"/>
          <w:lang w:eastAsia="en-US"/>
          <w14:ligatures w14:val="standardContextual"/>
        </w:rPr>
        <w:t>Waddeneiland</w:t>
      </w:r>
      <w:r w:rsidR="0049076E">
        <w:rPr>
          <w:rFonts w:eastAsiaTheme="minorHAnsi" w:cstheme="minorBidi"/>
          <w:color w:val="auto"/>
          <w:kern w:val="2"/>
          <w:lang w:eastAsia="en-US"/>
          <w14:ligatures w14:val="standardContextual"/>
        </w:rPr>
        <w:t>gemeente</w:t>
      </w:r>
      <w:r w:rsidR="0008524A">
        <w:rPr>
          <w:rFonts w:eastAsiaTheme="minorHAnsi" w:cstheme="minorBidi"/>
          <w:color w:val="auto"/>
          <w:kern w:val="2"/>
          <w:lang w:eastAsia="en-US"/>
          <w14:ligatures w14:val="standardContextual"/>
        </w:rPr>
        <w:t>n</w:t>
      </w:r>
      <w:r w:rsidR="0049076E">
        <w:rPr>
          <w:rFonts w:eastAsiaTheme="minorHAnsi" w:cstheme="minorBidi"/>
          <w:color w:val="auto"/>
          <w:kern w:val="2"/>
          <w:lang w:eastAsia="en-US"/>
          <w14:ligatures w14:val="standardContextual"/>
        </w:rPr>
        <w:t xml:space="preserve"> zal</w:t>
      </w:r>
      <w:r w:rsidR="005C0323">
        <w:t xml:space="preserve"> het Rijk de regio ondersteunen met onafhankelijke externe capaciteit</w:t>
      </w:r>
      <w:r w:rsidR="00EE5E12">
        <w:t>, i</w:t>
      </w:r>
      <w:r w:rsidR="005C0323">
        <w:t>n de vorm van een procesbegeleider, voor het uitwerken van deze strategie</w:t>
      </w:r>
      <w:r w:rsidR="0049076E">
        <w:t xml:space="preserve"> en de vertaling naar uitvoering</w:t>
      </w:r>
      <w:r w:rsidR="005C0323">
        <w:t xml:space="preserve">. </w:t>
      </w:r>
      <w:r w:rsidR="005C0323">
        <w:rPr>
          <w:rFonts w:eastAsiaTheme="minorHAnsi" w:cstheme="minorBidi"/>
          <w:color w:val="auto"/>
          <w:kern w:val="2"/>
          <w:lang w:eastAsia="en-US"/>
          <w14:ligatures w14:val="standardContextual"/>
        </w:rPr>
        <w:t>Deze uitwerking zal worden gedaan in het kader van het Deltaprogramma Wadden</w:t>
      </w:r>
      <w:r w:rsidR="0008524A">
        <w:rPr>
          <w:rFonts w:eastAsiaTheme="minorHAnsi" w:cstheme="minorBidi"/>
          <w:color w:val="auto"/>
          <w:kern w:val="2"/>
          <w:lang w:eastAsia="en-US"/>
          <w14:ligatures w14:val="standardContextual"/>
        </w:rPr>
        <w:t>gebied</w:t>
      </w:r>
      <w:r w:rsidR="005C0323">
        <w:rPr>
          <w:rFonts w:eastAsiaTheme="minorHAnsi" w:cstheme="minorBidi"/>
          <w:color w:val="auto"/>
          <w:kern w:val="2"/>
          <w:lang w:eastAsia="en-US"/>
          <w14:ligatures w14:val="standardContextual"/>
        </w:rPr>
        <w:t xml:space="preserve"> met betrokkenheid van de Deltacommissaris.</w:t>
      </w:r>
      <w:r w:rsidR="0049076E">
        <w:rPr>
          <w:rFonts w:eastAsiaTheme="minorHAnsi" w:cstheme="minorBidi"/>
          <w:color w:val="auto"/>
          <w:kern w:val="2"/>
          <w:lang w:eastAsia="en-US"/>
          <w14:ligatures w14:val="standardContextual"/>
        </w:rPr>
        <w:t xml:space="preserve"> </w:t>
      </w:r>
      <w:r w:rsidR="005C0323">
        <w:t xml:space="preserve">Afgesproken is dat de integrale veiligheidsstrategieën voor alle eilanden worden uitgewerkt, waarbij die van Schiermonnikoog prioriteit heeft. </w:t>
      </w:r>
      <w:r w:rsidR="002D58AE">
        <w:rPr>
          <w:rFonts w:eastAsiaTheme="minorHAnsi" w:cstheme="minorBidi"/>
          <w:color w:val="auto"/>
          <w:kern w:val="2"/>
          <w:lang w:eastAsia="en-US"/>
          <w14:ligatures w14:val="standardContextual"/>
        </w:rPr>
        <w:t xml:space="preserve">Daarbij is afgesproken de uitwerking parallel plaats te laten vinden aan het proces van juridische verankering van de normaanpassing. </w:t>
      </w:r>
      <w:r w:rsidR="005C0323">
        <w:t>Eind 2026 moet inzichtelijk zijn welke maatregelen, met bijbehorende kosten, volgen uit de uitgewerkte strategie</w:t>
      </w:r>
      <w:r w:rsidR="002D58AE">
        <w:t xml:space="preserve"> en hoe deze zich verhouden tot de kosten van een dijkversterking</w:t>
      </w:r>
      <w:r w:rsidR="005C0323">
        <w:t xml:space="preserve">. Aan het einde van 2026 kan deze informatie dan nog worden gewogen in het kader van de </w:t>
      </w:r>
      <w:r w:rsidR="0049076E">
        <w:t xml:space="preserve">juridische </w:t>
      </w:r>
      <w:r w:rsidR="005C0323">
        <w:t>normaanpassing.</w:t>
      </w:r>
      <w:r w:rsidR="008871DD">
        <w:t xml:space="preserve"> </w:t>
      </w:r>
    </w:p>
    <w:p w:rsidR="002D58AE" w:rsidP="00363F41" w:rsidRDefault="002D58AE" w14:paraId="55420EDA" w14:textId="77777777"/>
    <w:p w:rsidRPr="000F29C0" w:rsidR="00852C70" w:rsidP="002D58AE" w:rsidRDefault="002D58AE" w14:paraId="10922818" w14:textId="0B6E0AF5">
      <w:r>
        <w:rPr>
          <w:rFonts w:eastAsia="Times New Roman"/>
        </w:rPr>
        <w:t>In het bestuurlijke overleg heeft de regio aangegeven dat door het wegvallen van het dijkversterkingsproject</w:t>
      </w:r>
      <w:r w:rsidR="0008524A">
        <w:rPr>
          <w:rFonts w:eastAsia="Times New Roman"/>
        </w:rPr>
        <w:t xml:space="preserve"> Schiermonnikoog</w:t>
      </w:r>
      <w:r>
        <w:rPr>
          <w:rFonts w:eastAsia="Times New Roman"/>
        </w:rPr>
        <w:t xml:space="preserve"> ook de synergievoordelen voor de meekoppelkansen wegvallen. </w:t>
      </w:r>
      <w:bookmarkStart w:name="_Hlk231758057" w:id="2"/>
      <w:r>
        <w:rPr>
          <w:rFonts w:eastAsia="Times New Roman"/>
        </w:rPr>
        <w:t xml:space="preserve">Deze </w:t>
      </w:r>
      <w:r w:rsidR="0008524A">
        <w:rPr>
          <w:rFonts w:eastAsia="Times New Roman"/>
        </w:rPr>
        <w:t>gaan vooral</w:t>
      </w:r>
      <w:r>
        <w:rPr>
          <w:rFonts w:eastAsia="Times New Roman"/>
        </w:rPr>
        <w:t xml:space="preserve"> over het projectmanagement, inzet van (groot)</w:t>
      </w:r>
      <w:r w:rsidR="0074526B">
        <w:rPr>
          <w:rFonts w:eastAsia="Times New Roman"/>
        </w:rPr>
        <w:t xml:space="preserve"> </w:t>
      </w:r>
      <w:r>
        <w:rPr>
          <w:rFonts w:eastAsia="Times New Roman"/>
        </w:rPr>
        <w:t>materieel en vergunningsprocedures.</w:t>
      </w:r>
      <w:r w:rsidRPr="008871DD">
        <w:rPr>
          <w:rFonts w:eastAsia="Times New Roman"/>
        </w:rPr>
        <w:t xml:space="preserve"> </w:t>
      </w:r>
      <w:bookmarkEnd w:id="2"/>
      <w:r w:rsidR="0008524A">
        <w:rPr>
          <w:rFonts w:eastAsia="Times New Roman"/>
        </w:rPr>
        <w:t>Daarnaast zijn er ook meekoppelkansen die wegvallen d</w:t>
      </w:r>
      <w:r w:rsidR="008177D1">
        <w:rPr>
          <w:rFonts w:eastAsia="Times New Roman"/>
        </w:rPr>
        <w:t>oor de</w:t>
      </w:r>
      <w:r w:rsidR="0008524A">
        <w:rPr>
          <w:rFonts w:eastAsia="Times New Roman"/>
        </w:rPr>
        <w:t xml:space="preserve"> direct</w:t>
      </w:r>
      <w:r w:rsidR="00E52A32">
        <w:rPr>
          <w:rFonts w:eastAsia="Times New Roman"/>
        </w:rPr>
        <w:t>e</w:t>
      </w:r>
      <w:r w:rsidR="0008524A">
        <w:rPr>
          <w:rFonts w:eastAsia="Times New Roman"/>
        </w:rPr>
        <w:t xml:space="preserve"> </w:t>
      </w:r>
      <w:r w:rsidR="008177D1">
        <w:rPr>
          <w:rFonts w:eastAsia="Times New Roman"/>
        </w:rPr>
        <w:t>link</w:t>
      </w:r>
      <w:r w:rsidR="0008524A">
        <w:rPr>
          <w:rFonts w:eastAsia="Times New Roman"/>
        </w:rPr>
        <w:t xml:space="preserve"> aan de dijkversterking. </w:t>
      </w:r>
      <w:r w:rsidRPr="005C0323">
        <w:t>In het bestuurlijk overleg is besproken dat er ook bij een gewijzigde norm een HWBP-opgave overblijft</w:t>
      </w:r>
      <w:r>
        <w:t>, die veel beperkter is maar</w:t>
      </w:r>
      <w:r w:rsidRPr="005C0323">
        <w:t xml:space="preserve"> waaraan</w:t>
      </w:r>
      <w:r w:rsidR="000F29C0">
        <w:t xml:space="preserve"> nog steeds</w:t>
      </w:r>
      <w:r w:rsidRPr="005C0323">
        <w:t xml:space="preserve"> kan worden ‘meegekoppeld’. </w:t>
      </w:r>
      <w:r w:rsidR="008177D1">
        <w:t>Voor meekoppelkansen geldt</w:t>
      </w:r>
      <w:r w:rsidR="000F29C0">
        <w:t xml:space="preserve"> wel</w:t>
      </w:r>
      <w:r w:rsidR="008177D1">
        <w:t xml:space="preserve"> dat ze pas met toezegging van financiële dekking kunnen worden meegenomen in de planuitwerkingsfase van het HWBP.</w:t>
      </w:r>
      <w:r>
        <w:rPr>
          <w:rFonts w:eastAsia="Times New Roman"/>
        </w:rPr>
        <w:t xml:space="preserve"> </w:t>
      </w:r>
      <w:r w:rsidR="00852C70">
        <w:rPr>
          <w:rFonts w:eastAsia="Times New Roman"/>
        </w:rPr>
        <w:t xml:space="preserve">Het is belangrijk dat dit HWBP-project weer in het reguliere HWBP-proces wordt opgenomen zodat kan worden bekeken welke kansen kunnen meekoppelen. Er is afgesproken dat de regio informatie aanlevert over de financiering van de meekoppelkansen en de </w:t>
      </w:r>
      <w:r w:rsidR="000F29C0">
        <w:rPr>
          <w:rFonts w:eastAsia="Times New Roman"/>
        </w:rPr>
        <w:t xml:space="preserve">mogelijk </w:t>
      </w:r>
      <w:r w:rsidR="00852C70">
        <w:rPr>
          <w:rFonts w:eastAsia="Times New Roman"/>
        </w:rPr>
        <w:t xml:space="preserve">gemiste synergievoordelen concreet maakt, parallel aan de procedure van hun aanvraag voor het Investeringskader Waddengebied. </w:t>
      </w:r>
    </w:p>
    <w:p w:rsidR="002D58AE" w:rsidP="00363F41" w:rsidRDefault="002D58AE" w14:paraId="7CE23A74" w14:textId="38992845"/>
    <w:p w:rsidRPr="0044143F" w:rsidR="002D58AE" w:rsidP="00363F41" w:rsidRDefault="005F3A2C" w14:paraId="338CCCD9" w14:textId="63E77BB3">
      <w:pPr>
        <w:rPr>
          <w:i/>
          <w:iCs/>
        </w:rPr>
      </w:pPr>
      <w:r>
        <w:rPr>
          <w:i/>
          <w:iCs/>
        </w:rPr>
        <w:t>Kamervragen, technische briefing en m</w:t>
      </w:r>
      <w:r w:rsidRPr="0044143F" w:rsidR="00E541FD">
        <w:rPr>
          <w:i/>
          <w:iCs/>
        </w:rPr>
        <w:t>oties</w:t>
      </w:r>
    </w:p>
    <w:p w:rsidR="005F3A2C" w:rsidP="005F3A2C" w:rsidRDefault="00F50917" w14:paraId="4287A7A1" w14:textId="6D26234E">
      <w:r>
        <w:t xml:space="preserve">Met </w:t>
      </w:r>
      <w:r w:rsidR="000F29C0">
        <w:t>de</w:t>
      </w:r>
      <w:r w:rsidR="005F3A2C">
        <w:t xml:space="preserve"> beantwoording van de Kamervragen</w:t>
      </w:r>
      <w:r w:rsidR="00BD26A9">
        <w:rPr>
          <w:rStyle w:val="FootnoteReference"/>
        </w:rPr>
        <w:footnoteReference w:id="3"/>
      </w:r>
      <w:r w:rsidR="00125818">
        <w:t xml:space="preserve"> </w:t>
      </w:r>
      <w:r w:rsidR="005F3A2C">
        <w:t xml:space="preserve">en </w:t>
      </w:r>
      <w:r>
        <w:t xml:space="preserve">de </w:t>
      </w:r>
      <w:r w:rsidR="005F3A2C">
        <w:t xml:space="preserve">technische briefing </w:t>
      </w:r>
      <w:r w:rsidR="00125818">
        <w:t xml:space="preserve">van 4 juni jl. </w:t>
      </w:r>
      <w:r>
        <w:t xml:space="preserve">is </w:t>
      </w:r>
      <w:r w:rsidR="000F29C0">
        <w:t>de</w:t>
      </w:r>
      <w:r w:rsidR="005F3A2C">
        <w:t xml:space="preserve"> Kamer </w:t>
      </w:r>
      <w:r>
        <w:t>achtergrondinformatie geboden over</w:t>
      </w:r>
      <w:r w:rsidR="00125818">
        <w:t xml:space="preserve"> </w:t>
      </w:r>
      <w:r w:rsidR="005F3A2C">
        <w:t xml:space="preserve">de technische inhoud van het dossier. </w:t>
      </w:r>
      <w:r w:rsidRPr="00E216B9" w:rsidR="005F3A2C">
        <w:t>Het aanpassen van de normen voor primaire keringen is gebaseerd op een landelijk uniforme, technisch-inhoudelijke systematiek die door experts is ontwikkeld. Dit vormt de kracht van het beleid, omdat het zorgt voor een objectieve, consistente</w:t>
      </w:r>
      <w:r w:rsidR="00125818">
        <w:t xml:space="preserve">, </w:t>
      </w:r>
      <w:r w:rsidRPr="00E216B9" w:rsidR="005F3A2C">
        <w:t xml:space="preserve">uniform onderbouwde </w:t>
      </w:r>
      <w:r w:rsidR="00125818">
        <w:t xml:space="preserve">en kosteneffectieve </w:t>
      </w:r>
      <w:r w:rsidRPr="00E216B9" w:rsidR="005F3A2C">
        <w:t>aanpak van waterveiligheid voor heel Nederland</w:t>
      </w:r>
      <w:r w:rsidR="00125818">
        <w:t>.</w:t>
      </w:r>
    </w:p>
    <w:p w:rsidR="00125818" w:rsidP="005F3A2C" w:rsidRDefault="00125818" w14:paraId="62B4E52E" w14:textId="77777777"/>
    <w:p w:rsidRPr="005C0323" w:rsidR="008B4B8E" w:rsidP="00363F41" w:rsidRDefault="00125818" w14:paraId="22BE64C4" w14:textId="3633CF56">
      <w:r>
        <w:t>D</w:t>
      </w:r>
      <w:r w:rsidR="008871DD">
        <w:t xml:space="preserve">e motie van </w:t>
      </w:r>
      <w:r w:rsidR="000F29C0">
        <w:t>het lid</w:t>
      </w:r>
      <w:r w:rsidR="008871DD">
        <w:t xml:space="preserve"> Vellinga-Beemsterboer c.s</w:t>
      </w:r>
      <w:r w:rsidR="00506459">
        <w:t>.</w:t>
      </w:r>
      <w:r w:rsidR="002F1F91">
        <w:rPr>
          <w:rStyle w:val="FootnoteReference"/>
        </w:rPr>
        <w:footnoteReference w:id="4"/>
      </w:r>
      <w:r w:rsidR="00BD26A9">
        <w:t xml:space="preserve"> </w:t>
      </w:r>
      <w:r w:rsidR="00F50917">
        <w:t>verzocht</w:t>
      </w:r>
      <w:r w:rsidR="008871DD">
        <w:t xml:space="preserve"> de regering te wachten met de herziening tot uitgebreid was gesproken met de regio en</w:t>
      </w:r>
      <w:r w:rsidR="008177D1">
        <w:t xml:space="preserve"> er </w:t>
      </w:r>
      <w:r w:rsidR="008871DD">
        <w:t xml:space="preserve">duidelijkheid was over de integrale </w:t>
      </w:r>
      <w:r w:rsidR="008177D1">
        <w:t>water</w:t>
      </w:r>
      <w:r w:rsidR="008871DD">
        <w:t>veiligheidsstrategie</w:t>
      </w:r>
      <w:r w:rsidR="008177D1">
        <w:t xml:space="preserve"> per eiland</w:t>
      </w:r>
      <w:r w:rsidR="008871DD">
        <w:t>.</w:t>
      </w:r>
      <w:r w:rsidR="008177D1">
        <w:t xml:space="preserve"> </w:t>
      </w:r>
      <w:r w:rsidRPr="008177D1" w:rsidR="008177D1">
        <w:t xml:space="preserve">In het bestuurlijk overleg met de regio is afgesproken dat de uitwerking van de integrale waterveiligheidsstrategie gelijktijdig met het proces voor het aanpassen van de normen in het Besluit kwaliteit leefomgeving en omgevingsregeling plaatsvindt. </w:t>
      </w:r>
      <w:r w:rsidR="000F29C0">
        <w:t>Waar deze</w:t>
      </w:r>
      <w:r w:rsidRPr="008177D1" w:rsidR="008177D1">
        <w:t xml:space="preserve"> relevant</w:t>
      </w:r>
      <w:r w:rsidR="000F29C0">
        <w:t xml:space="preserve"> zijn,</w:t>
      </w:r>
      <w:r w:rsidRPr="008177D1" w:rsidR="008177D1">
        <w:t xml:space="preserve"> neem ik de uitkomsten van deze uitwerking mee in de besluitvorming over de normering. </w:t>
      </w:r>
      <w:r>
        <w:t xml:space="preserve">Met </w:t>
      </w:r>
      <w:r w:rsidR="00F50917">
        <w:t>de gevoerde</w:t>
      </w:r>
      <w:r>
        <w:t xml:space="preserve"> gesprekken met de regio en gemaakte afspraken is uitvoering gegeven </w:t>
      </w:r>
      <w:r w:rsidR="00F50917">
        <w:t xml:space="preserve">aan deze motie. </w:t>
      </w:r>
    </w:p>
    <w:p w:rsidR="005C0323" w:rsidP="005C0323" w:rsidRDefault="005C0323" w14:paraId="1AB558F6" w14:textId="583279E4"/>
    <w:p w:rsidR="000F29C0" w:rsidP="008871DD" w:rsidRDefault="005C0323" w14:paraId="39E6ABEB" w14:textId="77777777">
      <w:pPr>
        <w:rPr>
          <w:i/>
          <w:iCs/>
        </w:rPr>
      </w:pPr>
      <w:r w:rsidRPr="005C0323">
        <w:t xml:space="preserve">Een tweede motie van </w:t>
      </w:r>
      <w:r w:rsidR="000F29C0">
        <w:t>het lid</w:t>
      </w:r>
      <w:r w:rsidRPr="005C0323">
        <w:t xml:space="preserve"> Vellinga-Beemsterboer </w:t>
      </w:r>
      <w:r w:rsidR="00F50917">
        <w:t>c.s.</w:t>
      </w:r>
      <w:r w:rsidR="002F1F91">
        <w:rPr>
          <w:rStyle w:val="FootnoteReference"/>
        </w:rPr>
        <w:footnoteReference w:id="5"/>
      </w:r>
      <w:r w:rsidR="00F50917">
        <w:t xml:space="preserve"> </w:t>
      </w:r>
      <w:r w:rsidRPr="000F29C0" w:rsidR="00EE5E12">
        <w:t>verzo</w:t>
      </w:r>
      <w:r w:rsidRPr="000F29C0" w:rsidR="00506459">
        <w:t>ch</w:t>
      </w:r>
      <w:r w:rsidRPr="000F29C0" w:rsidR="00EE5E12">
        <w:t>t de regering om de betrokken projecten niet stil te laten vallen en in gesprek te gaan met de projectpartijen over wat er nodig is om de meekoppelkansen van het project 1EILAUN te realiseren.</w:t>
      </w:r>
      <w:r w:rsidR="00EE5E12">
        <w:rPr>
          <w:i/>
          <w:iCs/>
        </w:rPr>
        <w:t xml:space="preserve"> </w:t>
      </w:r>
    </w:p>
    <w:p w:rsidR="00F50917" w:rsidP="008871DD" w:rsidRDefault="002F1F91" w14:paraId="4C5A37A6" w14:textId="14FC53E4">
      <w:pPr>
        <w:rPr>
          <w:rFonts w:eastAsia="Times New Roman"/>
        </w:rPr>
      </w:pPr>
      <w:r>
        <w:rPr>
          <w:rFonts w:eastAsia="Times New Roman"/>
        </w:rPr>
        <w:t xml:space="preserve">Zodra de regio alle informatie over de meekoppelkansen heeft aangeleverd </w:t>
      </w:r>
      <w:r w:rsidR="006D5ABC">
        <w:rPr>
          <w:rFonts w:eastAsia="Times New Roman"/>
        </w:rPr>
        <w:t>ben ik bereid te kijken wat er binnen de financiële kaders mogelijk is voor de</w:t>
      </w:r>
      <w:r w:rsidR="000F29C0">
        <w:rPr>
          <w:rFonts w:eastAsia="Times New Roman"/>
        </w:rPr>
        <w:t xml:space="preserve"> mogelijk</w:t>
      </w:r>
      <w:r w:rsidR="006D5ABC">
        <w:rPr>
          <w:rFonts w:eastAsia="Times New Roman"/>
        </w:rPr>
        <w:t xml:space="preserve"> misgelopen synergievoordelen vanwege de beperktere scope als gevolg van </w:t>
      </w:r>
      <w:r w:rsidR="00853398">
        <w:rPr>
          <w:rFonts w:eastAsia="Times New Roman"/>
        </w:rPr>
        <w:t>een</w:t>
      </w:r>
      <w:r w:rsidR="006D5ABC">
        <w:rPr>
          <w:rFonts w:eastAsia="Times New Roman"/>
        </w:rPr>
        <w:t xml:space="preserve"> lagere norm</w:t>
      </w:r>
      <w:r w:rsidR="00F769AE">
        <w:rPr>
          <w:rFonts w:eastAsia="Times New Roman"/>
        </w:rPr>
        <w:t>.</w:t>
      </w:r>
      <w:r w:rsidR="006D5ABC">
        <w:rPr>
          <w:rFonts w:eastAsia="Times New Roman"/>
        </w:rPr>
        <w:t xml:space="preserve"> Wel heb ik de regio aangegeven dat ik niet alles hiervan kan dekken.</w:t>
      </w:r>
      <w:r w:rsidR="00F769AE">
        <w:rPr>
          <w:rFonts w:eastAsia="Times New Roman"/>
        </w:rPr>
        <w:t xml:space="preserve"> </w:t>
      </w:r>
      <w:r w:rsidR="00E27538">
        <w:rPr>
          <w:rFonts w:eastAsia="Times New Roman"/>
        </w:rPr>
        <w:t>Met deze en bovenstaande afspraak is invulling gegeven aan de motie.</w:t>
      </w:r>
    </w:p>
    <w:p w:rsidR="00F03CA1" w:rsidP="008871DD" w:rsidRDefault="00F03CA1" w14:paraId="2DB189C4" w14:textId="77777777">
      <w:pPr>
        <w:rPr>
          <w:rFonts w:eastAsia="Times New Roman"/>
        </w:rPr>
      </w:pPr>
    </w:p>
    <w:p w:rsidR="000F29C0" w:rsidP="00F50917" w:rsidRDefault="00041313" w14:paraId="5424F286" w14:textId="77777777">
      <w:pPr>
        <w:rPr>
          <w:rFonts w:eastAsia="Times New Roman"/>
        </w:rPr>
      </w:pPr>
      <w:r>
        <w:rPr>
          <w:rFonts w:eastAsia="Times New Roman"/>
        </w:rPr>
        <w:t>Met deze brief wordt tevens invulling gegeven aan de toezegging</w:t>
      </w:r>
      <w:r>
        <w:rPr>
          <w:rStyle w:val="FootnoteReference"/>
          <w:rFonts w:eastAsia="Times New Roman"/>
        </w:rPr>
        <w:footnoteReference w:id="6"/>
      </w:r>
      <w:r>
        <w:rPr>
          <w:rFonts w:eastAsia="Times New Roman"/>
        </w:rPr>
        <w:t xml:space="preserve"> om geen onomkeerbare stappen te nemen totdat het commissiedebat Water heeft plaatsgevonden. </w:t>
      </w:r>
    </w:p>
    <w:p w:rsidR="000F29C0" w:rsidP="00F50917" w:rsidRDefault="000F29C0" w14:paraId="3F1FD79A" w14:textId="77777777">
      <w:pPr>
        <w:rPr>
          <w:rFonts w:eastAsia="Times New Roman"/>
        </w:rPr>
      </w:pPr>
    </w:p>
    <w:p w:rsidR="00B31AEF" w:rsidP="00F50917" w:rsidRDefault="00F03CA1" w14:paraId="6FC854AB" w14:textId="2878D8BF">
      <w:pPr>
        <w:rPr>
          <w:rFonts w:eastAsia="Times New Roman"/>
        </w:rPr>
      </w:pPr>
      <w:r>
        <w:rPr>
          <w:rFonts w:eastAsia="Times New Roman"/>
        </w:rPr>
        <w:t>Tot slot</w:t>
      </w:r>
      <w:r w:rsidRPr="00F03CA1">
        <w:rPr>
          <w:rFonts w:eastAsia="Times New Roman"/>
        </w:rPr>
        <w:t xml:space="preserve"> constateer ik dat </w:t>
      </w:r>
      <w:r>
        <w:rPr>
          <w:rFonts w:eastAsia="Times New Roman"/>
        </w:rPr>
        <w:t>er</w:t>
      </w:r>
      <w:r w:rsidRPr="00F03CA1">
        <w:rPr>
          <w:rFonts w:eastAsia="Times New Roman"/>
        </w:rPr>
        <w:t xml:space="preserve"> vertrouwen is om gezamenlijk verder te gaan me</w:t>
      </w:r>
      <w:r>
        <w:rPr>
          <w:rFonts w:eastAsia="Times New Roman"/>
        </w:rPr>
        <w:t>t de volgende stappen.</w:t>
      </w:r>
    </w:p>
    <w:p w:rsidR="00F03CA1" w:rsidP="00F50917" w:rsidRDefault="00F03CA1" w14:paraId="0E9A7D4C" w14:textId="77777777">
      <w:pPr>
        <w:rPr>
          <w:rFonts w:eastAsia="Times New Roman"/>
        </w:rPr>
      </w:pPr>
    </w:p>
    <w:p w:rsidR="00F03CA1" w:rsidP="00F50917" w:rsidRDefault="00B86F9A" w14:paraId="4D17D173" w14:textId="55BD665D">
      <w:r>
        <w:t>Hoogachtend,</w:t>
      </w:r>
    </w:p>
    <w:p w:rsidR="00B86F9A" w:rsidP="00F50917" w:rsidRDefault="00B86F9A" w14:paraId="10468942" w14:textId="77777777"/>
    <w:p w:rsidR="00B86F9A" w:rsidP="00F50917" w:rsidRDefault="00B86F9A" w14:paraId="5F33C555" w14:textId="15939DB9">
      <w:r>
        <w:t>DE MINISTER VAN INFRASTRUCTUUR EN WATERSTAAT,</w:t>
      </w:r>
    </w:p>
    <w:p w:rsidR="00B86F9A" w:rsidP="00F50917" w:rsidRDefault="00B86F9A" w14:paraId="36C261FE" w14:textId="77777777"/>
    <w:p w:rsidR="00B86F9A" w:rsidP="00F50917" w:rsidRDefault="00B86F9A" w14:paraId="6B8A0991" w14:textId="77777777"/>
    <w:p w:rsidR="00EF13CC" w:rsidP="00F50917" w:rsidRDefault="00EF13CC" w14:paraId="2845F524" w14:textId="77777777"/>
    <w:p w:rsidR="00EF13CC" w:rsidP="00F50917" w:rsidRDefault="00EF13CC" w14:paraId="79E1765D" w14:textId="77777777"/>
    <w:p w:rsidR="00B86F9A" w:rsidP="00F50917" w:rsidRDefault="00B86F9A" w14:paraId="2985D97E" w14:textId="77777777"/>
    <w:p w:rsidRPr="00822EBB" w:rsidR="00B86F9A" w:rsidP="00F50917" w:rsidRDefault="00B86F9A" w14:paraId="7B276652" w14:textId="68A7F4D1">
      <w:r>
        <w:t>Vincent Karremans</w:t>
      </w:r>
    </w:p>
    <w:sectPr w:rsidRPr="00822EBB" w:rsidR="00B86F9A">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59E2F" w14:textId="77777777" w:rsidR="00C00FC8" w:rsidRDefault="00C00FC8">
      <w:pPr>
        <w:spacing w:line="240" w:lineRule="auto"/>
      </w:pPr>
      <w:r>
        <w:separator/>
      </w:r>
    </w:p>
  </w:endnote>
  <w:endnote w:type="continuationSeparator" w:id="0">
    <w:p w14:paraId="4FBD1790" w14:textId="77777777" w:rsidR="00C00FC8" w:rsidRDefault="00C00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A385" w14:textId="77777777" w:rsidR="000B25CA" w:rsidRDefault="000B2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0E84" w14:textId="77777777" w:rsidR="00B31AEF" w:rsidRDefault="00B31AE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8A1C2" w14:textId="77777777" w:rsidR="000B25CA" w:rsidRDefault="000B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DB1C3" w14:textId="77777777" w:rsidR="00C00FC8" w:rsidRDefault="00C00FC8">
      <w:pPr>
        <w:spacing w:line="240" w:lineRule="auto"/>
      </w:pPr>
      <w:r>
        <w:separator/>
      </w:r>
    </w:p>
  </w:footnote>
  <w:footnote w:type="continuationSeparator" w:id="0">
    <w:p w14:paraId="0E586E0A" w14:textId="77777777" w:rsidR="00C00FC8" w:rsidRDefault="00C00FC8">
      <w:pPr>
        <w:spacing w:line="240" w:lineRule="auto"/>
      </w:pPr>
      <w:r>
        <w:continuationSeparator/>
      </w:r>
    </w:p>
  </w:footnote>
  <w:footnote w:id="1">
    <w:p w14:paraId="55A82A56" w14:textId="24E11B16" w:rsidR="00BD26A9" w:rsidRPr="000F29C0" w:rsidRDefault="00BD26A9">
      <w:pPr>
        <w:pStyle w:val="FootnoteText"/>
        <w:rPr>
          <w:rFonts w:ascii="Verdana" w:hAnsi="Verdana"/>
          <w:sz w:val="16"/>
          <w:szCs w:val="16"/>
        </w:rPr>
      </w:pPr>
      <w:r w:rsidRPr="000F29C0">
        <w:rPr>
          <w:rStyle w:val="FootnoteReference"/>
          <w:rFonts w:ascii="Verdana" w:hAnsi="Verdana"/>
          <w:sz w:val="16"/>
          <w:szCs w:val="16"/>
        </w:rPr>
        <w:footnoteRef/>
      </w:r>
      <w:r w:rsidRPr="000F29C0">
        <w:rPr>
          <w:rFonts w:ascii="Verdana" w:hAnsi="Verdana"/>
          <w:sz w:val="16"/>
          <w:szCs w:val="16"/>
        </w:rPr>
        <w:t xml:space="preserve"> Kamerstuk</w:t>
      </w:r>
      <w:r w:rsidR="0074526B" w:rsidRPr="000F29C0">
        <w:rPr>
          <w:rFonts w:ascii="Verdana" w:hAnsi="Verdana"/>
          <w:sz w:val="16"/>
          <w:szCs w:val="16"/>
        </w:rPr>
        <w:t>ken</w:t>
      </w:r>
      <w:r w:rsidRPr="000F29C0">
        <w:rPr>
          <w:rFonts w:ascii="Verdana" w:hAnsi="Verdana"/>
          <w:sz w:val="16"/>
          <w:szCs w:val="16"/>
        </w:rPr>
        <w:t xml:space="preserve"> 32 698, nr. 94</w:t>
      </w:r>
    </w:p>
  </w:footnote>
  <w:footnote w:id="2">
    <w:p w14:paraId="676DD5D5" w14:textId="39B89329" w:rsidR="00E216B9" w:rsidRPr="000F29C0" w:rsidRDefault="00E216B9" w:rsidP="00E216B9">
      <w:pPr>
        <w:pStyle w:val="FootnoteText"/>
        <w:rPr>
          <w:rFonts w:ascii="Verdana" w:hAnsi="Verdana"/>
          <w:sz w:val="16"/>
          <w:szCs w:val="16"/>
        </w:rPr>
      </w:pPr>
      <w:r w:rsidRPr="000F29C0">
        <w:rPr>
          <w:rStyle w:val="FootnoteReference"/>
          <w:rFonts w:ascii="Verdana" w:hAnsi="Verdana"/>
          <w:sz w:val="16"/>
          <w:szCs w:val="16"/>
        </w:rPr>
        <w:footnoteRef/>
      </w:r>
      <w:r w:rsidRPr="000F29C0">
        <w:rPr>
          <w:rFonts w:ascii="Verdana" w:hAnsi="Verdana"/>
          <w:sz w:val="16"/>
          <w:szCs w:val="16"/>
        </w:rPr>
        <w:t xml:space="preserve"> Met evacueren in het kader van de normbepaling wordt bedoeld het verplaatsen voorafgaand aan de overstroming naar een veilige plek buiten het potentieel te overstromen gebied. Volgens de VNK studie </w:t>
      </w:r>
      <w:r w:rsidR="00057070" w:rsidRPr="000F29C0">
        <w:rPr>
          <w:rFonts w:ascii="Verdana" w:hAnsi="Verdana"/>
          <w:sz w:val="16"/>
          <w:szCs w:val="16"/>
        </w:rPr>
        <w:t>(</w:t>
      </w:r>
      <w:hyperlink r:id="rId1" w:history="1">
        <w:r w:rsidR="0074526B" w:rsidRPr="000F29C0">
          <w:rPr>
            <w:rStyle w:val="Hyperlink"/>
            <w:rFonts w:ascii="Verdana" w:hAnsi="Verdana"/>
            <w:sz w:val="16"/>
            <w:szCs w:val="16"/>
          </w:rPr>
          <w:t>https://open.rijkswaterstaat.nl/@42313/veiligheid-nederland-kaart-2-vnk2/</w:t>
        </w:r>
      </w:hyperlink>
      <w:r w:rsidR="00057070" w:rsidRPr="000F29C0">
        <w:rPr>
          <w:rFonts w:ascii="Verdana" w:hAnsi="Verdana"/>
          <w:sz w:val="16"/>
          <w:szCs w:val="16"/>
        </w:rPr>
        <w:t xml:space="preserve">) </w:t>
      </w:r>
      <w:r w:rsidRPr="000F29C0">
        <w:rPr>
          <w:rFonts w:ascii="Verdana" w:hAnsi="Verdana"/>
          <w:sz w:val="16"/>
          <w:szCs w:val="16"/>
        </w:rPr>
        <w:t xml:space="preserve">is de verwachtingswaarde van de evacuatiefractie voor de Friese Waddeneilanden 65% en voor Texel 56%. </w:t>
      </w:r>
    </w:p>
  </w:footnote>
  <w:footnote w:id="3">
    <w:p w14:paraId="272356B1" w14:textId="114683E3" w:rsidR="00BD26A9" w:rsidRPr="000F29C0" w:rsidRDefault="00BD26A9">
      <w:pPr>
        <w:pStyle w:val="FootnoteText"/>
        <w:rPr>
          <w:rFonts w:ascii="Verdana" w:hAnsi="Verdana"/>
          <w:sz w:val="16"/>
          <w:szCs w:val="16"/>
        </w:rPr>
      </w:pPr>
      <w:r w:rsidRPr="000F29C0">
        <w:rPr>
          <w:rStyle w:val="FootnoteReference"/>
          <w:rFonts w:ascii="Verdana" w:hAnsi="Verdana"/>
          <w:sz w:val="16"/>
          <w:szCs w:val="16"/>
        </w:rPr>
        <w:footnoteRef/>
      </w:r>
      <w:r w:rsidRPr="000F29C0">
        <w:rPr>
          <w:rFonts w:ascii="Verdana" w:hAnsi="Verdana"/>
          <w:sz w:val="16"/>
          <w:szCs w:val="16"/>
        </w:rPr>
        <w:t xml:space="preserve"> </w:t>
      </w:r>
      <w:r w:rsidR="000F29C0">
        <w:rPr>
          <w:rFonts w:ascii="Verdana" w:hAnsi="Verdana"/>
          <w:sz w:val="16"/>
          <w:szCs w:val="16"/>
        </w:rPr>
        <w:t>Aanhangsel Handelingen 2025-2026, nr. 1496</w:t>
      </w:r>
    </w:p>
  </w:footnote>
  <w:footnote w:id="4">
    <w:p w14:paraId="60B11A6A" w14:textId="44769339" w:rsidR="002F1F91" w:rsidRPr="000F29C0" w:rsidRDefault="002F1F91">
      <w:pPr>
        <w:pStyle w:val="FootnoteText"/>
        <w:rPr>
          <w:rFonts w:ascii="Verdana" w:hAnsi="Verdana"/>
          <w:sz w:val="16"/>
          <w:szCs w:val="16"/>
        </w:rPr>
      </w:pPr>
      <w:r w:rsidRPr="000F29C0">
        <w:rPr>
          <w:rStyle w:val="FootnoteReference"/>
          <w:rFonts w:ascii="Verdana" w:hAnsi="Verdana"/>
          <w:sz w:val="16"/>
          <w:szCs w:val="16"/>
        </w:rPr>
        <w:footnoteRef/>
      </w:r>
      <w:r w:rsidRPr="000F29C0">
        <w:rPr>
          <w:rFonts w:ascii="Verdana" w:hAnsi="Verdana"/>
          <w:sz w:val="16"/>
          <w:szCs w:val="16"/>
        </w:rPr>
        <w:t xml:space="preserve"> Kamerstuk</w:t>
      </w:r>
      <w:r w:rsidR="000F29C0">
        <w:rPr>
          <w:rFonts w:ascii="Verdana" w:hAnsi="Verdana"/>
          <w:sz w:val="16"/>
          <w:szCs w:val="16"/>
        </w:rPr>
        <w:t>ken</w:t>
      </w:r>
      <w:r w:rsidRPr="000F29C0">
        <w:rPr>
          <w:rFonts w:ascii="Verdana" w:hAnsi="Verdana"/>
          <w:sz w:val="16"/>
          <w:szCs w:val="16"/>
        </w:rPr>
        <w:t xml:space="preserve"> 36800-J</w:t>
      </w:r>
      <w:r w:rsidR="000F29C0">
        <w:rPr>
          <w:rFonts w:ascii="Verdana" w:hAnsi="Verdana"/>
          <w:sz w:val="16"/>
          <w:szCs w:val="16"/>
        </w:rPr>
        <w:t xml:space="preserve">, nr. </w:t>
      </w:r>
      <w:r w:rsidRPr="000F29C0">
        <w:rPr>
          <w:rFonts w:ascii="Verdana" w:hAnsi="Verdana"/>
          <w:sz w:val="16"/>
          <w:szCs w:val="16"/>
        </w:rPr>
        <w:t>25</w:t>
      </w:r>
    </w:p>
  </w:footnote>
  <w:footnote w:id="5">
    <w:p w14:paraId="675DC995" w14:textId="13FAD0DE" w:rsidR="002F1F91" w:rsidRDefault="002F1F91">
      <w:pPr>
        <w:pStyle w:val="FootnoteText"/>
      </w:pPr>
      <w:r w:rsidRPr="000F29C0">
        <w:rPr>
          <w:rStyle w:val="FootnoteReference"/>
          <w:rFonts w:ascii="Verdana" w:hAnsi="Verdana"/>
          <w:sz w:val="16"/>
          <w:szCs w:val="16"/>
        </w:rPr>
        <w:footnoteRef/>
      </w:r>
      <w:r w:rsidRPr="000F29C0">
        <w:rPr>
          <w:rFonts w:ascii="Verdana" w:hAnsi="Verdana"/>
          <w:sz w:val="16"/>
          <w:szCs w:val="16"/>
        </w:rPr>
        <w:t xml:space="preserve"> Kamerstuk</w:t>
      </w:r>
      <w:r w:rsidR="000F29C0">
        <w:rPr>
          <w:rFonts w:ascii="Verdana" w:hAnsi="Verdana"/>
          <w:sz w:val="16"/>
          <w:szCs w:val="16"/>
        </w:rPr>
        <w:t>ken</w:t>
      </w:r>
      <w:r w:rsidRPr="000F29C0">
        <w:rPr>
          <w:rFonts w:ascii="Verdana" w:hAnsi="Verdana"/>
          <w:sz w:val="16"/>
          <w:szCs w:val="16"/>
        </w:rPr>
        <w:t xml:space="preserve"> 29684</w:t>
      </w:r>
      <w:r w:rsidR="000F29C0">
        <w:rPr>
          <w:rFonts w:ascii="Verdana" w:hAnsi="Verdana"/>
          <w:sz w:val="16"/>
          <w:szCs w:val="16"/>
        </w:rPr>
        <w:t>,</w:t>
      </w:r>
      <w:r w:rsidRPr="000F29C0">
        <w:rPr>
          <w:rFonts w:ascii="Verdana" w:hAnsi="Verdana"/>
          <w:sz w:val="16"/>
          <w:szCs w:val="16"/>
        </w:rPr>
        <w:t xml:space="preserve"> nr. 301</w:t>
      </w:r>
    </w:p>
  </w:footnote>
  <w:footnote w:id="6">
    <w:p w14:paraId="64F139A5" w14:textId="439EFBF9" w:rsidR="000F29C0" w:rsidRPr="000F29C0" w:rsidRDefault="00041313" w:rsidP="000F29C0">
      <w:pPr>
        <w:pStyle w:val="FootnoteText"/>
        <w:rPr>
          <w:rFonts w:ascii="Verdana" w:hAnsi="Verdana"/>
          <w:sz w:val="16"/>
          <w:szCs w:val="16"/>
        </w:rPr>
      </w:pPr>
      <w:r w:rsidRPr="000F29C0">
        <w:rPr>
          <w:rStyle w:val="FootnoteReference"/>
          <w:rFonts w:ascii="Verdana" w:hAnsi="Verdana"/>
          <w:sz w:val="16"/>
          <w:szCs w:val="16"/>
        </w:rPr>
        <w:footnoteRef/>
      </w:r>
      <w:r w:rsidRPr="000F29C0">
        <w:rPr>
          <w:rFonts w:ascii="Verdana" w:hAnsi="Verdana"/>
          <w:sz w:val="16"/>
          <w:szCs w:val="16"/>
        </w:rPr>
        <w:t xml:space="preserve"> </w:t>
      </w:r>
      <w:r w:rsidR="000F29C0" w:rsidRPr="000F29C0">
        <w:rPr>
          <w:rFonts w:ascii="Verdana" w:hAnsi="Verdana"/>
          <w:sz w:val="16"/>
          <w:szCs w:val="16"/>
        </w:rPr>
        <w:t>TZ202605-035</w:t>
      </w:r>
    </w:p>
    <w:p w14:paraId="692B03DC" w14:textId="153D5645" w:rsidR="00041313" w:rsidRDefault="0004131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884E" w14:textId="77777777" w:rsidR="000B25CA" w:rsidRDefault="000B2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A7C5" w14:textId="77777777" w:rsidR="00B31AEF" w:rsidRDefault="003731BC">
    <w:r>
      <w:rPr>
        <w:noProof/>
        <w:lang w:val="en-GB" w:eastAsia="en-GB"/>
      </w:rPr>
      <mc:AlternateContent>
        <mc:Choice Requires="wps">
          <w:drawing>
            <wp:anchor distT="0" distB="0" distL="0" distR="0" simplePos="0" relativeHeight="251652096" behindDoc="0" locked="1" layoutInCell="1" allowOverlap="1" wp14:anchorId="5F36F950" wp14:editId="5B074D06">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5E4923" w14:textId="77777777" w:rsidR="00D60516" w:rsidRDefault="00D60516"/>
                      </w:txbxContent>
                    </wps:txbx>
                    <wps:bodyPr vert="horz" wrap="square" lIns="0" tIns="0" rIns="0" bIns="0" anchor="t" anchorCtr="0"/>
                  </wps:wsp>
                </a:graphicData>
              </a:graphic>
            </wp:anchor>
          </w:drawing>
        </mc:Choice>
        <mc:Fallback>
          <w:pict>
            <v:shapetype w14:anchorId="5F36F95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65E4923" w14:textId="77777777" w:rsidR="00D60516" w:rsidRDefault="00D60516"/>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222CCA6" wp14:editId="4C11E49B">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EBC24D" w14:textId="77777777" w:rsidR="00AA7D7F" w:rsidRDefault="00AA7D7F" w:rsidP="008E5971">
                          <w:pPr>
                            <w:pStyle w:val="Referentiegegevensbold"/>
                          </w:pPr>
                        </w:p>
                        <w:p w14:paraId="1E095AFC" w14:textId="77777777" w:rsidR="00AA7D7F" w:rsidRDefault="00AA7D7F" w:rsidP="008E5971">
                          <w:pPr>
                            <w:pStyle w:val="Referentiegegevensbold"/>
                          </w:pPr>
                        </w:p>
                        <w:p w14:paraId="2088524E" w14:textId="77777777" w:rsidR="00AA7D7F" w:rsidRDefault="00AA7D7F" w:rsidP="008E5971">
                          <w:pPr>
                            <w:pStyle w:val="Referentiegegevensbold"/>
                          </w:pPr>
                        </w:p>
                        <w:p w14:paraId="7303CB6D" w14:textId="77777777" w:rsidR="00AA7D7F" w:rsidRDefault="00AA7D7F" w:rsidP="008E5971">
                          <w:pPr>
                            <w:pStyle w:val="Referentiegegevensbold"/>
                          </w:pPr>
                        </w:p>
                        <w:p w14:paraId="6E8F2793" w14:textId="28CA469D" w:rsidR="008E5971" w:rsidRDefault="008E5971" w:rsidP="008E5971">
                          <w:pPr>
                            <w:pStyle w:val="Referentiegegevensbold"/>
                          </w:pPr>
                          <w:r>
                            <w:t>Ministerie van Infrastructuur en Waterstaat</w:t>
                          </w:r>
                        </w:p>
                        <w:p w14:paraId="16788A98" w14:textId="77777777" w:rsidR="00B31AEF" w:rsidRDefault="00B31AEF">
                          <w:pPr>
                            <w:pStyle w:val="WitregelW2"/>
                          </w:pPr>
                        </w:p>
                        <w:p w14:paraId="1F2582C4" w14:textId="1F66764B" w:rsidR="00B31AEF" w:rsidRDefault="00AA7D7F">
                          <w:pPr>
                            <w:pStyle w:val="Referentiegegevensbold"/>
                          </w:pPr>
                          <w:r>
                            <w:t>Ons kenmerk</w:t>
                          </w:r>
                        </w:p>
                        <w:p w14:paraId="25CF49BA" w14:textId="77777777" w:rsidR="00A572A2" w:rsidRDefault="00A572A2" w:rsidP="00A572A2">
                          <w:pPr>
                            <w:pStyle w:val="Referentiegegevens"/>
                          </w:pPr>
                          <w:r>
                            <w:t>IENW/BSK-2026/106186</w:t>
                          </w:r>
                        </w:p>
                        <w:p w14:paraId="0E0879E8" w14:textId="77777777" w:rsidR="008E5971" w:rsidRPr="008E5971" w:rsidRDefault="008E5971" w:rsidP="008E5971"/>
                        <w:p w14:paraId="7D165BE3" w14:textId="77777777" w:rsidR="00B31AEF" w:rsidRDefault="003731B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222CCA6"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56EBC24D" w14:textId="77777777" w:rsidR="00AA7D7F" w:rsidRDefault="00AA7D7F" w:rsidP="008E5971">
                    <w:pPr>
                      <w:pStyle w:val="Referentiegegevensbold"/>
                    </w:pPr>
                  </w:p>
                  <w:p w14:paraId="1E095AFC" w14:textId="77777777" w:rsidR="00AA7D7F" w:rsidRDefault="00AA7D7F" w:rsidP="008E5971">
                    <w:pPr>
                      <w:pStyle w:val="Referentiegegevensbold"/>
                    </w:pPr>
                  </w:p>
                  <w:p w14:paraId="2088524E" w14:textId="77777777" w:rsidR="00AA7D7F" w:rsidRDefault="00AA7D7F" w:rsidP="008E5971">
                    <w:pPr>
                      <w:pStyle w:val="Referentiegegevensbold"/>
                    </w:pPr>
                  </w:p>
                  <w:p w14:paraId="7303CB6D" w14:textId="77777777" w:rsidR="00AA7D7F" w:rsidRDefault="00AA7D7F" w:rsidP="008E5971">
                    <w:pPr>
                      <w:pStyle w:val="Referentiegegevensbold"/>
                    </w:pPr>
                  </w:p>
                  <w:p w14:paraId="6E8F2793" w14:textId="28CA469D" w:rsidR="008E5971" w:rsidRDefault="008E5971" w:rsidP="008E5971">
                    <w:pPr>
                      <w:pStyle w:val="Referentiegegevensbold"/>
                    </w:pPr>
                    <w:r>
                      <w:t>Ministerie van Infrastructuur en Waterstaat</w:t>
                    </w:r>
                  </w:p>
                  <w:p w14:paraId="16788A98" w14:textId="77777777" w:rsidR="00B31AEF" w:rsidRDefault="00B31AEF">
                    <w:pPr>
                      <w:pStyle w:val="WitregelW2"/>
                    </w:pPr>
                  </w:p>
                  <w:p w14:paraId="1F2582C4" w14:textId="1F66764B" w:rsidR="00B31AEF" w:rsidRDefault="00AA7D7F">
                    <w:pPr>
                      <w:pStyle w:val="Referentiegegevensbold"/>
                    </w:pPr>
                    <w:r>
                      <w:t>Ons kenmerk</w:t>
                    </w:r>
                  </w:p>
                  <w:p w14:paraId="25CF49BA" w14:textId="77777777" w:rsidR="00A572A2" w:rsidRDefault="00A572A2" w:rsidP="00A572A2">
                    <w:pPr>
                      <w:pStyle w:val="Referentiegegevens"/>
                    </w:pPr>
                    <w:r>
                      <w:t>IENW/BSK-2026/106186</w:t>
                    </w:r>
                  </w:p>
                  <w:p w14:paraId="0E0879E8" w14:textId="77777777" w:rsidR="008E5971" w:rsidRPr="008E5971" w:rsidRDefault="008E5971" w:rsidP="008E5971"/>
                  <w:p w14:paraId="7D165BE3" w14:textId="77777777" w:rsidR="00B31AEF" w:rsidRDefault="003731BC">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657BE227" wp14:editId="5C9FD5D2">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9B2F60" w14:textId="77777777" w:rsidR="00D60516" w:rsidRDefault="00D60516"/>
                      </w:txbxContent>
                    </wps:txbx>
                    <wps:bodyPr vert="horz" wrap="square" lIns="0" tIns="0" rIns="0" bIns="0" anchor="t" anchorCtr="0"/>
                  </wps:wsp>
                </a:graphicData>
              </a:graphic>
            </wp:anchor>
          </w:drawing>
        </mc:Choice>
        <mc:Fallback>
          <w:pict>
            <v:shape w14:anchorId="657BE227"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109B2F60" w14:textId="77777777" w:rsidR="00D60516" w:rsidRDefault="00D60516"/>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7ADAC974" wp14:editId="366F641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F41C8D" w14:textId="4F7F0A5F" w:rsidR="00B31AEF" w:rsidRDefault="003731BC">
                          <w:pPr>
                            <w:pStyle w:val="Referentiegegevens"/>
                          </w:pPr>
                          <w:r>
                            <w:t xml:space="preserve">Pagina </w:t>
                          </w:r>
                          <w:r>
                            <w:fldChar w:fldCharType="begin"/>
                          </w:r>
                          <w:r>
                            <w:instrText>PAGE</w:instrText>
                          </w:r>
                          <w:r>
                            <w:fldChar w:fldCharType="separate"/>
                          </w:r>
                          <w:r w:rsidR="008E5971">
                            <w:rPr>
                              <w:noProof/>
                            </w:rPr>
                            <w:t>2</w:t>
                          </w:r>
                          <w:r>
                            <w:fldChar w:fldCharType="end"/>
                          </w:r>
                          <w:r>
                            <w:t xml:space="preserve"> van </w:t>
                          </w:r>
                          <w:r>
                            <w:fldChar w:fldCharType="begin"/>
                          </w:r>
                          <w:r>
                            <w:instrText>NUMPAGES</w:instrText>
                          </w:r>
                          <w:r>
                            <w:fldChar w:fldCharType="separate"/>
                          </w:r>
                          <w:r w:rsidR="008E5971">
                            <w:rPr>
                              <w:noProof/>
                            </w:rPr>
                            <w:t>1</w:t>
                          </w:r>
                          <w:r>
                            <w:fldChar w:fldCharType="end"/>
                          </w:r>
                        </w:p>
                      </w:txbxContent>
                    </wps:txbx>
                    <wps:bodyPr vert="horz" wrap="square" lIns="0" tIns="0" rIns="0" bIns="0" anchor="t" anchorCtr="0"/>
                  </wps:wsp>
                </a:graphicData>
              </a:graphic>
            </wp:anchor>
          </w:drawing>
        </mc:Choice>
        <mc:Fallback>
          <w:pict>
            <v:shape w14:anchorId="7ADAC97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24F41C8D" w14:textId="4F7F0A5F" w:rsidR="00B31AEF" w:rsidRDefault="003731BC">
                    <w:pPr>
                      <w:pStyle w:val="Referentiegegevens"/>
                    </w:pPr>
                    <w:r>
                      <w:t xml:space="preserve">Pagina </w:t>
                    </w:r>
                    <w:r>
                      <w:fldChar w:fldCharType="begin"/>
                    </w:r>
                    <w:r>
                      <w:instrText>PAGE</w:instrText>
                    </w:r>
                    <w:r>
                      <w:fldChar w:fldCharType="separate"/>
                    </w:r>
                    <w:r w:rsidR="008E5971">
                      <w:rPr>
                        <w:noProof/>
                      </w:rPr>
                      <w:t>2</w:t>
                    </w:r>
                    <w:r>
                      <w:fldChar w:fldCharType="end"/>
                    </w:r>
                    <w:r>
                      <w:t xml:space="preserve"> van </w:t>
                    </w:r>
                    <w:r>
                      <w:fldChar w:fldCharType="begin"/>
                    </w:r>
                    <w:r>
                      <w:instrText>NUMPAGES</w:instrText>
                    </w:r>
                    <w:r>
                      <w:fldChar w:fldCharType="separate"/>
                    </w:r>
                    <w:r w:rsidR="008E5971">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2F92" w14:textId="77777777" w:rsidR="00B31AEF" w:rsidRDefault="003731BC">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6A60D233" wp14:editId="1F6CDFA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C91BF7" w14:textId="77777777" w:rsidR="00B31AEF" w:rsidRDefault="003731BC">
                          <w:pPr>
                            <w:spacing w:line="240" w:lineRule="auto"/>
                          </w:pPr>
                          <w:r>
                            <w:rPr>
                              <w:noProof/>
                              <w:lang w:val="en-GB" w:eastAsia="en-GB"/>
                            </w:rPr>
                            <w:drawing>
                              <wp:inline distT="0" distB="0" distL="0" distR="0" wp14:anchorId="2F2F42F7" wp14:editId="4328D6F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60D233"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1FC91BF7" w14:textId="77777777" w:rsidR="00B31AEF" w:rsidRDefault="003731BC">
                    <w:pPr>
                      <w:spacing w:line="240" w:lineRule="auto"/>
                    </w:pPr>
                    <w:r>
                      <w:rPr>
                        <w:noProof/>
                        <w:lang w:val="en-GB" w:eastAsia="en-GB"/>
                      </w:rPr>
                      <w:drawing>
                        <wp:inline distT="0" distB="0" distL="0" distR="0" wp14:anchorId="2F2F42F7" wp14:editId="4328D6F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CD879A" wp14:editId="1DD7E8A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00C6F7" w14:textId="77777777" w:rsidR="00B31AEF" w:rsidRDefault="003731BC">
                          <w:pPr>
                            <w:spacing w:line="240" w:lineRule="auto"/>
                          </w:pPr>
                          <w:r>
                            <w:rPr>
                              <w:noProof/>
                              <w:lang w:val="en-GB" w:eastAsia="en-GB"/>
                            </w:rPr>
                            <w:drawing>
                              <wp:inline distT="0" distB="0" distL="0" distR="0" wp14:anchorId="10CBCEC0" wp14:editId="75C74961">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CD879A"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7100C6F7" w14:textId="77777777" w:rsidR="00B31AEF" w:rsidRDefault="003731BC">
                    <w:pPr>
                      <w:spacing w:line="240" w:lineRule="auto"/>
                    </w:pPr>
                    <w:r>
                      <w:rPr>
                        <w:noProof/>
                        <w:lang w:val="en-GB" w:eastAsia="en-GB"/>
                      </w:rPr>
                      <w:drawing>
                        <wp:inline distT="0" distB="0" distL="0" distR="0" wp14:anchorId="10CBCEC0" wp14:editId="75C74961">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F06047E" wp14:editId="24E75933">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F66DC9" w14:textId="77777777" w:rsidR="00B31AEF" w:rsidRDefault="003731B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F06047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CF66DC9" w14:textId="77777777" w:rsidR="00B31AEF" w:rsidRDefault="003731B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A55C414" wp14:editId="2750293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743451" w14:textId="77777777" w:rsidR="00AA7D7F" w:rsidRDefault="003731BC">
                          <w:r>
                            <w:t xml:space="preserve">De voorzitter van de Tweede Kamer </w:t>
                          </w:r>
                        </w:p>
                        <w:p w14:paraId="2CA4F32E" w14:textId="211F43AE" w:rsidR="00B31AEF" w:rsidRDefault="003731BC">
                          <w:r>
                            <w:t>der Staten-Generaal</w:t>
                          </w:r>
                        </w:p>
                        <w:p w14:paraId="4F11FE48" w14:textId="77777777" w:rsidR="00B31AEF" w:rsidRDefault="003731BC">
                          <w:r>
                            <w:t>Postbus 20018</w:t>
                          </w:r>
                        </w:p>
                        <w:p w14:paraId="0054F071" w14:textId="77777777" w:rsidR="00B31AEF" w:rsidRDefault="003731BC">
                          <w:r>
                            <w:t>2500 EA   DEN HAAG</w:t>
                          </w:r>
                        </w:p>
                      </w:txbxContent>
                    </wps:txbx>
                    <wps:bodyPr vert="horz" wrap="square" lIns="0" tIns="0" rIns="0" bIns="0" anchor="t" anchorCtr="0"/>
                  </wps:wsp>
                </a:graphicData>
              </a:graphic>
            </wp:anchor>
          </w:drawing>
        </mc:Choice>
        <mc:Fallback>
          <w:pict>
            <v:shape w14:anchorId="5A55C414"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47743451" w14:textId="77777777" w:rsidR="00AA7D7F" w:rsidRDefault="003731BC">
                    <w:r>
                      <w:t xml:space="preserve">De voorzitter van de Tweede Kamer </w:t>
                    </w:r>
                  </w:p>
                  <w:p w14:paraId="2CA4F32E" w14:textId="211F43AE" w:rsidR="00B31AEF" w:rsidRDefault="003731BC">
                    <w:r>
                      <w:t>der Staten-Generaal</w:t>
                    </w:r>
                  </w:p>
                  <w:p w14:paraId="4F11FE48" w14:textId="77777777" w:rsidR="00B31AEF" w:rsidRDefault="003731BC">
                    <w:r>
                      <w:t>Postbus 20018</w:t>
                    </w:r>
                  </w:p>
                  <w:p w14:paraId="0054F071" w14:textId="77777777" w:rsidR="00B31AEF" w:rsidRDefault="003731BC">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94985FC" wp14:editId="24A5E313">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31AEF" w14:paraId="735D31C8" w14:textId="77777777">
                            <w:trPr>
                              <w:trHeight w:val="240"/>
                            </w:trPr>
                            <w:tc>
                              <w:tcPr>
                                <w:tcW w:w="1140" w:type="dxa"/>
                              </w:tcPr>
                              <w:p w14:paraId="652A1BAF" w14:textId="77777777" w:rsidR="00B31AEF" w:rsidRDefault="003731BC">
                                <w:r>
                                  <w:t>Datum</w:t>
                                </w:r>
                              </w:p>
                            </w:tc>
                            <w:tc>
                              <w:tcPr>
                                <w:tcW w:w="5918" w:type="dxa"/>
                              </w:tcPr>
                              <w:p w14:paraId="1B750568" w14:textId="68090BF1" w:rsidR="00B31AEF" w:rsidRDefault="00D80E2A">
                                <w:sdt>
                                  <w:sdtPr>
                                    <w:id w:val="19368796"/>
                                    <w:date w:fullDate="2026-06-19T00:00:00Z">
                                      <w:dateFormat w:val="d MMMM yyyy"/>
                                      <w:lid w:val="nl"/>
                                      <w:storeMappedDataAs w:val="dateTime"/>
                                      <w:calendar w:val="gregorian"/>
                                    </w:date>
                                  </w:sdtPr>
                                  <w:sdtEndPr/>
                                  <w:sdtContent>
                                    <w:r w:rsidR="000B25CA">
                                      <w:rPr>
                                        <w:lang w:val="nl"/>
                                      </w:rPr>
                                      <w:t>19 juni 2026</w:t>
                                    </w:r>
                                  </w:sdtContent>
                                </w:sdt>
                              </w:p>
                            </w:tc>
                          </w:tr>
                          <w:tr w:rsidR="00B31AEF" w14:paraId="1B82AE8F" w14:textId="77777777">
                            <w:trPr>
                              <w:trHeight w:val="240"/>
                            </w:trPr>
                            <w:tc>
                              <w:tcPr>
                                <w:tcW w:w="1140" w:type="dxa"/>
                              </w:tcPr>
                              <w:p w14:paraId="594BBF0A" w14:textId="77777777" w:rsidR="00B31AEF" w:rsidRDefault="003731BC">
                                <w:r>
                                  <w:t>Betreft</w:t>
                                </w:r>
                              </w:p>
                            </w:tc>
                            <w:tc>
                              <w:tcPr>
                                <w:tcW w:w="5918" w:type="dxa"/>
                              </w:tcPr>
                              <w:p w14:paraId="49ECC65D" w14:textId="5053910E" w:rsidR="00B31AEF" w:rsidRDefault="00363F41">
                                <w:r>
                                  <w:t>Stand van zaken normering primaire keringen</w:t>
                                </w:r>
                              </w:p>
                            </w:tc>
                          </w:tr>
                        </w:tbl>
                        <w:p w14:paraId="7F6F7671" w14:textId="77777777" w:rsidR="00D60516" w:rsidRDefault="00D60516"/>
                      </w:txbxContent>
                    </wps:txbx>
                    <wps:bodyPr vert="horz" wrap="square" lIns="0" tIns="0" rIns="0" bIns="0" anchor="t" anchorCtr="0"/>
                  </wps:wsp>
                </a:graphicData>
              </a:graphic>
            </wp:anchor>
          </w:drawing>
        </mc:Choice>
        <mc:Fallback>
          <w:pict>
            <v:shape w14:anchorId="494985FC"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31AEF" w14:paraId="735D31C8" w14:textId="77777777">
                      <w:trPr>
                        <w:trHeight w:val="240"/>
                      </w:trPr>
                      <w:tc>
                        <w:tcPr>
                          <w:tcW w:w="1140" w:type="dxa"/>
                        </w:tcPr>
                        <w:p w14:paraId="652A1BAF" w14:textId="77777777" w:rsidR="00B31AEF" w:rsidRDefault="003731BC">
                          <w:r>
                            <w:t>Datum</w:t>
                          </w:r>
                        </w:p>
                      </w:tc>
                      <w:tc>
                        <w:tcPr>
                          <w:tcW w:w="5918" w:type="dxa"/>
                        </w:tcPr>
                        <w:p w14:paraId="1B750568" w14:textId="68090BF1" w:rsidR="00B31AEF" w:rsidRDefault="00D80E2A">
                          <w:sdt>
                            <w:sdtPr>
                              <w:id w:val="19368796"/>
                              <w:date w:fullDate="2026-06-19T00:00:00Z">
                                <w:dateFormat w:val="d MMMM yyyy"/>
                                <w:lid w:val="nl"/>
                                <w:storeMappedDataAs w:val="dateTime"/>
                                <w:calendar w:val="gregorian"/>
                              </w:date>
                            </w:sdtPr>
                            <w:sdtEndPr/>
                            <w:sdtContent>
                              <w:r w:rsidR="000B25CA">
                                <w:rPr>
                                  <w:lang w:val="nl"/>
                                </w:rPr>
                                <w:t>19 juni 2026</w:t>
                              </w:r>
                            </w:sdtContent>
                          </w:sdt>
                        </w:p>
                      </w:tc>
                    </w:tr>
                    <w:tr w:rsidR="00B31AEF" w14:paraId="1B82AE8F" w14:textId="77777777">
                      <w:trPr>
                        <w:trHeight w:val="240"/>
                      </w:trPr>
                      <w:tc>
                        <w:tcPr>
                          <w:tcW w:w="1140" w:type="dxa"/>
                        </w:tcPr>
                        <w:p w14:paraId="594BBF0A" w14:textId="77777777" w:rsidR="00B31AEF" w:rsidRDefault="003731BC">
                          <w:r>
                            <w:t>Betreft</w:t>
                          </w:r>
                        </w:p>
                      </w:tc>
                      <w:tc>
                        <w:tcPr>
                          <w:tcW w:w="5918" w:type="dxa"/>
                        </w:tcPr>
                        <w:p w14:paraId="49ECC65D" w14:textId="5053910E" w:rsidR="00B31AEF" w:rsidRDefault="00363F41">
                          <w:r>
                            <w:t>Stand van zaken normering primaire keringen</w:t>
                          </w:r>
                        </w:p>
                      </w:tc>
                    </w:tr>
                  </w:tbl>
                  <w:p w14:paraId="7F6F7671" w14:textId="77777777" w:rsidR="00D60516" w:rsidRDefault="00D60516"/>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B05112B" wp14:editId="5C705A1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FDE931" w14:textId="03427E04" w:rsidR="00B31AEF" w:rsidRDefault="008E5971">
                          <w:pPr>
                            <w:pStyle w:val="Referentiegegevensbold"/>
                          </w:pPr>
                          <w:r>
                            <w:t>Ministerie van Infrastructuur en Waterstaat</w:t>
                          </w:r>
                        </w:p>
                        <w:p w14:paraId="4FE7CCC0" w14:textId="77777777" w:rsidR="00B31AEF" w:rsidRDefault="00B31AEF">
                          <w:pPr>
                            <w:pStyle w:val="WitregelW1"/>
                          </w:pPr>
                        </w:p>
                        <w:p w14:paraId="0AA6B453" w14:textId="77777777" w:rsidR="00B31AEF" w:rsidRDefault="003731BC">
                          <w:pPr>
                            <w:pStyle w:val="Referentiegegevens"/>
                          </w:pPr>
                          <w:r>
                            <w:t>Rijnstraat 8</w:t>
                          </w:r>
                        </w:p>
                        <w:p w14:paraId="38608E13" w14:textId="77777777" w:rsidR="00B31AEF" w:rsidRPr="00A06563" w:rsidRDefault="003731BC">
                          <w:pPr>
                            <w:pStyle w:val="Referentiegegevens"/>
                            <w:rPr>
                              <w:lang w:val="de-DE"/>
                            </w:rPr>
                          </w:pPr>
                          <w:r w:rsidRPr="00A06563">
                            <w:rPr>
                              <w:lang w:val="de-DE"/>
                            </w:rPr>
                            <w:t>Den Haag</w:t>
                          </w:r>
                        </w:p>
                        <w:p w14:paraId="6B373209" w14:textId="77777777" w:rsidR="00B31AEF" w:rsidRPr="00A06563" w:rsidRDefault="003731BC">
                          <w:pPr>
                            <w:pStyle w:val="Referentiegegevens"/>
                            <w:rPr>
                              <w:lang w:val="de-DE"/>
                            </w:rPr>
                          </w:pPr>
                          <w:r w:rsidRPr="00A06563">
                            <w:rPr>
                              <w:lang w:val="de-DE"/>
                            </w:rPr>
                            <w:t>Postbus 20901</w:t>
                          </w:r>
                        </w:p>
                        <w:p w14:paraId="3F8779E2" w14:textId="77777777" w:rsidR="00B31AEF" w:rsidRPr="00A06563" w:rsidRDefault="003731BC">
                          <w:pPr>
                            <w:pStyle w:val="Referentiegegevens"/>
                            <w:rPr>
                              <w:lang w:val="de-DE"/>
                            </w:rPr>
                          </w:pPr>
                          <w:r w:rsidRPr="00A06563">
                            <w:rPr>
                              <w:lang w:val="de-DE"/>
                            </w:rPr>
                            <w:t>2500 EX  Den Haag</w:t>
                          </w:r>
                        </w:p>
                        <w:p w14:paraId="4B5B9B42" w14:textId="77777777" w:rsidR="00B31AEF" w:rsidRPr="00AA7D7F" w:rsidRDefault="00B31AEF" w:rsidP="00AA7D7F">
                          <w:pPr>
                            <w:pStyle w:val="WitregelW1"/>
                            <w:spacing w:line="276" w:lineRule="auto"/>
                            <w:rPr>
                              <w:sz w:val="13"/>
                              <w:szCs w:val="13"/>
                              <w:lang w:val="de-DE"/>
                            </w:rPr>
                          </w:pPr>
                        </w:p>
                        <w:p w14:paraId="146009BF" w14:textId="624602CE" w:rsidR="00B31AEF" w:rsidRPr="00AA7D7F" w:rsidRDefault="008E5971" w:rsidP="00AA7D7F">
                          <w:pPr>
                            <w:pStyle w:val="Referentiegegevensbold"/>
                            <w:spacing w:line="276" w:lineRule="auto"/>
                          </w:pPr>
                          <w:r w:rsidRPr="00AA7D7F">
                            <w:t>On</w:t>
                          </w:r>
                          <w:r w:rsidR="00AA7D7F">
                            <w:t>s kenmerk</w:t>
                          </w:r>
                        </w:p>
                        <w:p w14:paraId="725E9753" w14:textId="43648ADC" w:rsidR="00B31AEF" w:rsidRPr="00AA7D7F" w:rsidRDefault="008E5971" w:rsidP="00AA7D7F">
                          <w:pPr>
                            <w:pStyle w:val="Referentiegegevens"/>
                            <w:spacing w:line="276" w:lineRule="auto"/>
                          </w:pPr>
                          <w:r w:rsidRPr="00AA7D7F">
                            <w:t>IENW/BSK-2026/</w:t>
                          </w:r>
                          <w:r w:rsidR="00A572A2" w:rsidRPr="00AA7D7F">
                            <w:t>106186</w:t>
                          </w:r>
                        </w:p>
                        <w:p w14:paraId="31E05266" w14:textId="77777777" w:rsidR="00B31AEF" w:rsidRPr="00AA7D7F" w:rsidRDefault="00B31AEF" w:rsidP="00AA7D7F">
                          <w:pPr>
                            <w:pStyle w:val="WitregelW2"/>
                            <w:spacing w:line="276" w:lineRule="auto"/>
                            <w:rPr>
                              <w:sz w:val="13"/>
                              <w:szCs w:val="13"/>
                            </w:rPr>
                          </w:pPr>
                        </w:p>
                        <w:p w14:paraId="05C5E7A7" w14:textId="3A487E29" w:rsidR="00B31AEF" w:rsidRPr="00AA7D7F" w:rsidRDefault="008E5971" w:rsidP="00AA7D7F">
                          <w:pPr>
                            <w:pStyle w:val="Referentiegegevensbold"/>
                            <w:spacing w:line="276" w:lineRule="auto"/>
                          </w:pPr>
                          <w:r w:rsidRPr="00AA7D7F">
                            <w:t>Bijlagen</w:t>
                          </w:r>
                        </w:p>
                        <w:p w14:paraId="6E851701" w14:textId="13E539E8" w:rsidR="002F1F91" w:rsidRPr="00AA7D7F" w:rsidRDefault="00AA7D7F" w:rsidP="00AA7D7F">
                          <w:pPr>
                            <w:spacing w:line="276" w:lineRule="auto"/>
                            <w:rPr>
                              <w:sz w:val="13"/>
                              <w:szCs w:val="13"/>
                            </w:rPr>
                          </w:pPr>
                          <w:r w:rsidRPr="00AA7D7F">
                            <w:rPr>
                              <w:sz w:val="13"/>
                              <w:szCs w:val="13"/>
                            </w:rPr>
                            <w:t>1</w:t>
                          </w:r>
                        </w:p>
                        <w:p w14:paraId="0AFF45A1" w14:textId="2B7C91ED" w:rsidR="008E5971" w:rsidRPr="00AA7D7F" w:rsidRDefault="008E5971" w:rsidP="00AA7D7F">
                          <w:pPr>
                            <w:spacing w:line="276" w:lineRule="auto"/>
                            <w:rPr>
                              <w:sz w:val="13"/>
                              <w:szCs w:val="13"/>
                            </w:rPr>
                          </w:pPr>
                        </w:p>
                        <w:p w14:paraId="1454A7EB" w14:textId="77777777" w:rsidR="00B31AEF" w:rsidRDefault="003731BC">
                          <w:pPr>
                            <w:pStyle w:val="Referentiegegevens"/>
                          </w:pPr>
                          <w:r>
                            <w:fldChar w:fldCharType="begin"/>
                          </w:r>
                          <w:r>
                            <w:instrText xml:space="preserve"> DOCPROPERTY  "Kenmerk"  \* MERGEFORMAT </w:instrText>
                          </w:r>
                          <w:r>
                            <w:fldChar w:fldCharType="end"/>
                          </w:r>
                        </w:p>
                        <w:p w14:paraId="0EBAA955" w14:textId="77777777" w:rsidR="00B31AEF" w:rsidRDefault="00B31AEF">
                          <w:pPr>
                            <w:pStyle w:val="WitregelW1"/>
                          </w:pPr>
                        </w:p>
                        <w:p w14:paraId="29FED5E1" w14:textId="77777777" w:rsidR="00B31AEF" w:rsidRDefault="00B31AEF"/>
                      </w:txbxContent>
                    </wps:txbx>
                    <wps:bodyPr vert="horz" wrap="square" lIns="0" tIns="0" rIns="0" bIns="0" anchor="t" anchorCtr="0"/>
                  </wps:wsp>
                </a:graphicData>
              </a:graphic>
            </wp:anchor>
          </w:drawing>
        </mc:Choice>
        <mc:Fallback>
          <w:pict>
            <v:shape w14:anchorId="0B05112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48FDE931" w14:textId="03427E04" w:rsidR="00B31AEF" w:rsidRDefault="008E5971">
                    <w:pPr>
                      <w:pStyle w:val="Referentiegegevensbold"/>
                    </w:pPr>
                    <w:r>
                      <w:t>Ministerie van Infrastructuur en Waterstaat</w:t>
                    </w:r>
                  </w:p>
                  <w:p w14:paraId="4FE7CCC0" w14:textId="77777777" w:rsidR="00B31AEF" w:rsidRDefault="00B31AEF">
                    <w:pPr>
                      <w:pStyle w:val="WitregelW1"/>
                    </w:pPr>
                  </w:p>
                  <w:p w14:paraId="0AA6B453" w14:textId="77777777" w:rsidR="00B31AEF" w:rsidRDefault="003731BC">
                    <w:pPr>
                      <w:pStyle w:val="Referentiegegevens"/>
                    </w:pPr>
                    <w:r>
                      <w:t>Rijnstraat 8</w:t>
                    </w:r>
                  </w:p>
                  <w:p w14:paraId="38608E13" w14:textId="77777777" w:rsidR="00B31AEF" w:rsidRPr="00A06563" w:rsidRDefault="003731BC">
                    <w:pPr>
                      <w:pStyle w:val="Referentiegegevens"/>
                      <w:rPr>
                        <w:lang w:val="de-DE"/>
                      </w:rPr>
                    </w:pPr>
                    <w:r w:rsidRPr="00A06563">
                      <w:rPr>
                        <w:lang w:val="de-DE"/>
                      </w:rPr>
                      <w:t>Den Haag</w:t>
                    </w:r>
                  </w:p>
                  <w:p w14:paraId="6B373209" w14:textId="77777777" w:rsidR="00B31AEF" w:rsidRPr="00A06563" w:rsidRDefault="003731BC">
                    <w:pPr>
                      <w:pStyle w:val="Referentiegegevens"/>
                      <w:rPr>
                        <w:lang w:val="de-DE"/>
                      </w:rPr>
                    </w:pPr>
                    <w:r w:rsidRPr="00A06563">
                      <w:rPr>
                        <w:lang w:val="de-DE"/>
                      </w:rPr>
                      <w:t>Postbus 20901</w:t>
                    </w:r>
                  </w:p>
                  <w:p w14:paraId="3F8779E2" w14:textId="77777777" w:rsidR="00B31AEF" w:rsidRPr="00A06563" w:rsidRDefault="003731BC">
                    <w:pPr>
                      <w:pStyle w:val="Referentiegegevens"/>
                      <w:rPr>
                        <w:lang w:val="de-DE"/>
                      </w:rPr>
                    </w:pPr>
                    <w:r w:rsidRPr="00A06563">
                      <w:rPr>
                        <w:lang w:val="de-DE"/>
                      </w:rPr>
                      <w:t>2500 EX  Den Haag</w:t>
                    </w:r>
                  </w:p>
                  <w:p w14:paraId="4B5B9B42" w14:textId="77777777" w:rsidR="00B31AEF" w:rsidRPr="00AA7D7F" w:rsidRDefault="00B31AEF" w:rsidP="00AA7D7F">
                    <w:pPr>
                      <w:pStyle w:val="WitregelW1"/>
                      <w:spacing w:line="276" w:lineRule="auto"/>
                      <w:rPr>
                        <w:sz w:val="13"/>
                        <w:szCs w:val="13"/>
                        <w:lang w:val="de-DE"/>
                      </w:rPr>
                    </w:pPr>
                  </w:p>
                  <w:p w14:paraId="146009BF" w14:textId="624602CE" w:rsidR="00B31AEF" w:rsidRPr="00AA7D7F" w:rsidRDefault="008E5971" w:rsidP="00AA7D7F">
                    <w:pPr>
                      <w:pStyle w:val="Referentiegegevensbold"/>
                      <w:spacing w:line="276" w:lineRule="auto"/>
                    </w:pPr>
                    <w:r w:rsidRPr="00AA7D7F">
                      <w:t>On</w:t>
                    </w:r>
                    <w:r w:rsidR="00AA7D7F">
                      <w:t>s kenmerk</w:t>
                    </w:r>
                  </w:p>
                  <w:p w14:paraId="725E9753" w14:textId="43648ADC" w:rsidR="00B31AEF" w:rsidRPr="00AA7D7F" w:rsidRDefault="008E5971" w:rsidP="00AA7D7F">
                    <w:pPr>
                      <w:pStyle w:val="Referentiegegevens"/>
                      <w:spacing w:line="276" w:lineRule="auto"/>
                    </w:pPr>
                    <w:r w:rsidRPr="00AA7D7F">
                      <w:t>IENW/BSK-2026/</w:t>
                    </w:r>
                    <w:r w:rsidR="00A572A2" w:rsidRPr="00AA7D7F">
                      <w:t>106186</w:t>
                    </w:r>
                  </w:p>
                  <w:p w14:paraId="31E05266" w14:textId="77777777" w:rsidR="00B31AEF" w:rsidRPr="00AA7D7F" w:rsidRDefault="00B31AEF" w:rsidP="00AA7D7F">
                    <w:pPr>
                      <w:pStyle w:val="WitregelW2"/>
                      <w:spacing w:line="276" w:lineRule="auto"/>
                      <w:rPr>
                        <w:sz w:val="13"/>
                        <w:szCs w:val="13"/>
                      </w:rPr>
                    </w:pPr>
                  </w:p>
                  <w:p w14:paraId="05C5E7A7" w14:textId="3A487E29" w:rsidR="00B31AEF" w:rsidRPr="00AA7D7F" w:rsidRDefault="008E5971" w:rsidP="00AA7D7F">
                    <w:pPr>
                      <w:pStyle w:val="Referentiegegevensbold"/>
                      <w:spacing w:line="276" w:lineRule="auto"/>
                    </w:pPr>
                    <w:r w:rsidRPr="00AA7D7F">
                      <w:t>Bijlagen</w:t>
                    </w:r>
                  </w:p>
                  <w:p w14:paraId="6E851701" w14:textId="13E539E8" w:rsidR="002F1F91" w:rsidRPr="00AA7D7F" w:rsidRDefault="00AA7D7F" w:rsidP="00AA7D7F">
                    <w:pPr>
                      <w:spacing w:line="276" w:lineRule="auto"/>
                      <w:rPr>
                        <w:sz w:val="13"/>
                        <w:szCs w:val="13"/>
                      </w:rPr>
                    </w:pPr>
                    <w:r w:rsidRPr="00AA7D7F">
                      <w:rPr>
                        <w:sz w:val="13"/>
                        <w:szCs w:val="13"/>
                      </w:rPr>
                      <w:t>1</w:t>
                    </w:r>
                  </w:p>
                  <w:p w14:paraId="0AFF45A1" w14:textId="2B7C91ED" w:rsidR="008E5971" w:rsidRPr="00AA7D7F" w:rsidRDefault="008E5971" w:rsidP="00AA7D7F">
                    <w:pPr>
                      <w:spacing w:line="276" w:lineRule="auto"/>
                      <w:rPr>
                        <w:sz w:val="13"/>
                        <w:szCs w:val="13"/>
                      </w:rPr>
                    </w:pPr>
                  </w:p>
                  <w:p w14:paraId="1454A7EB" w14:textId="77777777" w:rsidR="00B31AEF" w:rsidRDefault="003731BC">
                    <w:pPr>
                      <w:pStyle w:val="Referentiegegevens"/>
                    </w:pPr>
                    <w:r>
                      <w:fldChar w:fldCharType="begin"/>
                    </w:r>
                    <w:r>
                      <w:instrText xml:space="preserve"> DOCPROPERTY  "Kenmerk"  \* MERGEFORMAT </w:instrText>
                    </w:r>
                    <w:r>
                      <w:fldChar w:fldCharType="end"/>
                    </w:r>
                  </w:p>
                  <w:p w14:paraId="0EBAA955" w14:textId="77777777" w:rsidR="00B31AEF" w:rsidRDefault="00B31AEF">
                    <w:pPr>
                      <w:pStyle w:val="WitregelW1"/>
                    </w:pPr>
                  </w:p>
                  <w:p w14:paraId="29FED5E1" w14:textId="77777777" w:rsidR="00B31AEF" w:rsidRDefault="00B31AEF"/>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D3DECEA" wp14:editId="2BB6B9C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40258E" w14:textId="2CC3EDB5" w:rsidR="00B31AEF" w:rsidRDefault="003731BC">
                          <w:pPr>
                            <w:pStyle w:val="Referentiegegevens"/>
                          </w:pPr>
                          <w:r>
                            <w:t xml:space="preserve">Pagina </w:t>
                          </w:r>
                          <w:r>
                            <w:fldChar w:fldCharType="begin"/>
                          </w:r>
                          <w:r>
                            <w:instrText>PAGE</w:instrText>
                          </w:r>
                          <w:r>
                            <w:fldChar w:fldCharType="separate"/>
                          </w:r>
                          <w:r w:rsidR="00D80E2A">
                            <w:rPr>
                              <w:noProof/>
                            </w:rPr>
                            <w:t>1</w:t>
                          </w:r>
                          <w:r>
                            <w:fldChar w:fldCharType="end"/>
                          </w:r>
                          <w:r>
                            <w:t xml:space="preserve"> van </w:t>
                          </w:r>
                          <w:r>
                            <w:fldChar w:fldCharType="begin"/>
                          </w:r>
                          <w:r>
                            <w:instrText>NUMPAGES</w:instrText>
                          </w:r>
                          <w:r>
                            <w:fldChar w:fldCharType="separate"/>
                          </w:r>
                          <w:r w:rsidR="00D80E2A">
                            <w:rPr>
                              <w:noProof/>
                            </w:rPr>
                            <w:t>1</w:t>
                          </w:r>
                          <w:r>
                            <w:fldChar w:fldCharType="end"/>
                          </w:r>
                        </w:p>
                      </w:txbxContent>
                    </wps:txbx>
                    <wps:bodyPr vert="horz" wrap="square" lIns="0" tIns="0" rIns="0" bIns="0" anchor="t" anchorCtr="0"/>
                  </wps:wsp>
                </a:graphicData>
              </a:graphic>
            </wp:anchor>
          </w:drawing>
        </mc:Choice>
        <mc:Fallback>
          <w:pict>
            <v:shape w14:anchorId="5D3DECEA"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6C40258E" w14:textId="2CC3EDB5" w:rsidR="00B31AEF" w:rsidRDefault="003731BC">
                    <w:pPr>
                      <w:pStyle w:val="Referentiegegevens"/>
                    </w:pPr>
                    <w:r>
                      <w:t xml:space="preserve">Pagina </w:t>
                    </w:r>
                    <w:r>
                      <w:fldChar w:fldCharType="begin"/>
                    </w:r>
                    <w:r>
                      <w:instrText>PAGE</w:instrText>
                    </w:r>
                    <w:r>
                      <w:fldChar w:fldCharType="separate"/>
                    </w:r>
                    <w:r w:rsidR="00D80E2A">
                      <w:rPr>
                        <w:noProof/>
                      </w:rPr>
                      <w:t>1</w:t>
                    </w:r>
                    <w:r>
                      <w:fldChar w:fldCharType="end"/>
                    </w:r>
                    <w:r>
                      <w:t xml:space="preserve"> van </w:t>
                    </w:r>
                    <w:r>
                      <w:fldChar w:fldCharType="begin"/>
                    </w:r>
                    <w:r>
                      <w:instrText>NUMPAGES</w:instrText>
                    </w:r>
                    <w:r>
                      <w:fldChar w:fldCharType="separate"/>
                    </w:r>
                    <w:r w:rsidR="00D80E2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1C02E3C9" wp14:editId="35E96897">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7DFEA7" w14:textId="77777777" w:rsidR="00D60516" w:rsidRDefault="00D60516"/>
                      </w:txbxContent>
                    </wps:txbx>
                    <wps:bodyPr vert="horz" wrap="square" lIns="0" tIns="0" rIns="0" bIns="0" anchor="t" anchorCtr="0"/>
                  </wps:wsp>
                </a:graphicData>
              </a:graphic>
            </wp:anchor>
          </w:drawing>
        </mc:Choice>
        <mc:Fallback>
          <w:pict>
            <v:shape w14:anchorId="1C02E3C9"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007DFEA7" w14:textId="77777777" w:rsidR="00D60516" w:rsidRDefault="00D6051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8527BD"/>
    <w:multiLevelType w:val="multilevel"/>
    <w:tmpl w:val="740C0B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F21A9DB"/>
    <w:multiLevelType w:val="multilevel"/>
    <w:tmpl w:val="3C94728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0C75FD1"/>
    <w:multiLevelType w:val="hybridMultilevel"/>
    <w:tmpl w:val="C9ECDFE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F2A1B4B"/>
    <w:multiLevelType w:val="multilevel"/>
    <w:tmpl w:val="6C009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5" w15:restartNumberingAfterBreak="0">
    <w:nsid w:val="3FB00331"/>
    <w:multiLevelType w:val="hybridMultilevel"/>
    <w:tmpl w:val="7E809798"/>
    <w:lvl w:ilvl="0" w:tplc="7D4AFD5C">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9BDA27"/>
    <w:multiLevelType w:val="multilevel"/>
    <w:tmpl w:val="95A5F4F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4B0701C"/>
    <w:multiLevelType w:val="hybridMultilevel"/>
    <w:tmpl w:val="78B2DF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537E05E"/>
    <w:multiLevelType w:val="multilevel"/>
    <w:tmpl w:val="BBA13A2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6"/>
  </w:num>
  <w:num w:numId="3">
    <w:abstractNumId w:val="8"/>
  </w:num>
  <w:num w:numId="4">
    <w:abstractNumId w:val="1"/>
  </w:num>
  <w:num w:numId="5">
    <w:abstractNumId w:val="5"/>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71"/>
    <w:rsid w:val="000019EA"/>
    <w:rsid w:val="00002F6E"/>
    <w:rsid w:val="000108BE"/>
    <w:rsid w:val="0002157E"/>
    <w:rsid w:val="00030B22"/>
    <w:rsid w:val="00041313"/>
    <w:rsid w:val="0004231C"/>
    <w:rsid w:val="00054446"/>
    <w:rsid w:val="00057070"/>
    <w:rsid w:val="00071167"/>
    <w:rsid w:val="000808A7"/>
    <w:rsid w:val="0008524A"/>
    <w:rsid w:val="00094D86"/>
    <w:rsid w:val="00096A99"/>
    <w:rsid w:val="000B25CA"/>
    <w:rsid w:val="000B299B"/>
    <w:rsid w:val="000D106C"/>
    <w:rsid w:val="000E2385"/>
    <w:rsid w:val="000F29C0"/>
    <w:rsid w:val="00125818"/>
    <w:rsid w:val="00130A8A"/>
    <w:rsid w:val="00172D3A"/>
    <w:rsid w:val="00176262"/>
    <w:rsid w:val="00184B28"/>
    <w:rsid w:val="001C7B75"/>
    <w:rsid w:val="0020727F"/>
    <w:rsid w:val="00222258"/>
    <w:rsid w:val="00226B46"/>
    <w:rsid w:val="002402C0"/>
    <w:rsid w:val="002913F4"/>
    <w:rsid w:val="00295181"/>
    <w:rsid w:val="002A3772"/>
    <w:rsid w:val="002A574E"/>
    <w:rsid w:val="002A7027"/>
    <w:rsid w:val="002B284F"/>
    <w:rsid w:val="002B3544"/>
    <w:rsid w:val="002B7279"/>
    <w:rsid w:val="002D58AE"/>
    <w:rsid w:val="002E2CE7"/>
    <w:rsid w:val="002F1F91"/>
    <w:rsid w:val="0030618D"/>
    <w:rsid w:val="003214D4"/>
    <w:rsid w:val="003252E9"/>
    <w:rsid w:val="00326133"/>
    <w:rsid w:val="00340A44"/>
    <w:rsid w:val="003548FA"/>
    <w:rsid w:val="00363F41"/>
    <w:rsid w:val="00367B5E"/>
    <w:rsid w:val="003717D2"/>
    <w:rsid w:val="003731BC"/>
    <w:rsid w:val="003773B6"/>
    <w:rsid w:val="003D0A3C"/>
    <w:rsid w:val="003D0FFE"/>
    <w:rsid w:val="004034C9"/>
    <w:rsid w:val="00417153"/>
    <w:rsid w:val="0044143F"/>
    <w:rsid w:val="00443911"/>
    <w:rsid w:val="00467E0F"/>
    <w:rsid w:val="00472DB1"/>
    <w:rsid w:val="0049076E"/>
    <w:rsid w:val="00506459"/>
    <w:rsid w:val="00540DA1"/>
    <w:rsid w:val="005477D5"/>
    <w:rsid w:val="00550F0A"/>
    <w:rsid w:val="00574942"/>
    <w:rsid w:val="00581109"/>
    <w:rsid w:val="005926F1"/>
    <w:rsid w:val="00593471"/>
    <w:rsid w:val="00594B9F"/>
    <w:rsid w:val="005A0096"/>
    <w:rsid w:val="005A7655"/>
    <w:rsid w:val="005B6B13"/>
    <w:rsid w:val="005C0323"/>
    <w:rsid w:val="005E7CF5"/>
    <w:rsid w:val="005F3A2C"/>
    <w:rsid w:val="00614C64"/>
    <w:rsid w:val="0061539D"/>
    <w:rsid w:val="006311D2"/>
    <w:rsid w:val="00671DB4"/>
    <w:rsid w:val="00680B47"/>
    <w:rsid w:val="006832AD"/>
    <w:rsid w:val="006835C4"/>
    <w:rsid w:val="006A4B4D"/>
    <w:rsid w:val="006D5ABC"/>
    <w:rsid w:val="006E22C7"/>
    <w:rsid w:val="006F2E4B"/>
    <w:rsid w:val="00711103"/>
    <w:rsid w:val="00721105"/>
    <w:rsid w:val="007417FF"/>
    <w:rsid w:val="0074526B"/>
    <w:rsid w:val="0076446C"/>
    <w:rsid w:val="007C7019"/>
    <w:rsid w:val="007D4808"/>
    <w:rsid w:val="007D4CBF"/>
    <w:rsid w:val="007D4E15"/>
    <w:rsid w:val="007E6E77"/>
    <w:rsid w:val="007F365B"/>
    <w:rsid w:val="007F39BB"/>
    <w:rsid w:val="008019F8"/>
    <w:rsid w:val="0080308A"/>
    <w:rsid w:val="008177D1"/>
    <w:rsid w:val="00817E0D"/>
    <w:rsid w:val="00822EBB"/>
    <w:rsid w:val="008271FB"/>
    <w:rsid w:val="0084448C"/>
    <w:rsid w:val="00852C70"/>
    <w:rsid w:val="00853398"/>
    <w:rsid w:val="0085647B"/>
    <w:rsid w:val="00871199"/>
    <w:rsid w:val="008756AE"/>
    <w:rsid w:val="008871DD"/>
    <w:rsid w:val="008920B3"/>
    <w:rsid w:val="008A1DDC"/>
    <w:rsid w:val="008A5D3D"/>
    <w:rsid w:val="008B4B8E"/>
    <w:rsid w:val="008B5C71"/>
    <w:rsid w:val="008C1113"/>
    <w:rsid w:val="008D6B5A"/>
    <w:rsid w:val="008E5971"/>
    <w:rsid w:val="00934A4C"/>
    <w:rsid w:val="00944144"/>
    <w:rsid w:val="00967E49"/>
    <w:rsid w:val="00984D05"/>
    <w:rsid w:val="0099091D"/>
    <w:rsid w:val="009A2CC3"/>
    <w:rsid w:val="009A4893"/>
    <w:rsid w:val="009D4FD1"/>
    <w:rsid w:val="009F32FB"/>
    <w:rsid w:val="00A007EF"/>
    <w:rsid w:val="00A06278"/>
    <w:rsid w:val="00A06563"/>
    <w:rsid w:val="00A077A4"/>
    <w:rsid w:val="00A175E4"/>
    <w:rsid w:val="00A572A2"/>
    <w:rsid w:val="00A607B5"/>
    <w:rsid w:val="00A669C6"/>
    <w:rsid w:val="00AA17A3"/>
    <w:rsid w:val="00AA7D7F"/>
    <w:rsid w:val="00AE22A5"/>
    <w:rsid w:val="00B01CFF"/>
    <w:rsid w:val="00B31AEF"/>
    <w:rsid w:val="00B6053D"/>
    <w:rsid w:val="00B67B51"/>
    <w:rsid w:val="00B80A3B"/>
    <w:rsid w:val="00B82066"/>
    <w:rsid w:val="00B86F9A"/>
    <w:rsid w:val="00BB51B6"/>
    <w:rsid w:val="00BC5D35"/>
    <w:rsid w:val="00BD26A9"/>
    <w:rsid w:val="00BE50C3"/>
    <w:rsid w:val="00C00FC8"/>
    <w:rsid w:val="00C0424E"/>
    <w:rsid w:val="00C11379"/>
    <w:rsid w:val="00C36E5C"/>
    <w:rsid w:val="00C43178"/>
    <w:rsid w:val="00C51F55"/>
    <w:rsid w:val="00C7707E"/>
    <w:rsid w:val="00CD4D44"/>
    <w:rsid w:val="00CE1E33"/>
    <w:rsid w:val="00D2106B"/>
    <w:rsid w:val="00D31610"/>
    <w:rsid w:val="00D351D5"/>
    <w:rsid w:val="00D54DA8"/>
    <w:rsid w:val="00D56542"/>
    <w:rsid w:val="00D60516"/>
    <w:rsid w:val="00D67196"/>
    <w:rsid w:val="00D80E2A"/>
    <w:rsid w:val="00D844CF"/>
    <w:rsid w:val="00D95737"/>
    <w:rsid w:val="00DC67DB"/>
    <w:rsid w:val="00DD1947"/>
    <w:rsid w:val="00DF769D"/>
    <w:rsid w:val="00E216B9"/>
    <w:rsid w:val="00E27538"/>
    <w:rsid w:val="00E52A32"/>
    <w:rsid w:val="00E541FD"/>
    <w:rsid w:val="00E87150"/>
    <w:rsid w:val="00EA1448"/>
    <w:rsid w:val="00EA326F"/>
    <w:rsid w:val="00EB436A"/>
    <w:rsid w:val="00EB4BEB"/>
    <w:rsid w:val="00EE5E12"/>
    <w:rsid w:val="00EF13CC"/>
    <w:rsid w:val="00EF455C"/>
    <w:rsid w:val="00F03CA1"/>
    <w:rsid w:val="00F20355"/>
    <w:rsid w:val="00F2365A"/>
    <w:rsid w:val="00F32706"/>
    <w:rsid w:val="00F449AC"/>
    <w:rsid w:val="00F50917"/>
    <w:rsid w:val="00F6095C"/>
    <w:rsid w:val="00F7504C"/>
    <w:rsid w:val="00F769AE"/>
    <w:rsid w:val="00F957C7"/>
    <w:rsid w:val="00FB76F8"/>
    <w:rsid w:val="00FC3034"/>
    <w:rsid w:val="00FC5056"/>
    <w:rsid w:val="00FD1BC1"/>
    <w:rsid w:val="00FF20BF"/>
    <w:rsid w:val="00FF2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1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E5971"/>
    <w:pPr>
      <w:tabs>
        <w:tab w:val="center" w:pos="4536"/>
        <w:tab w:val="right" w:pos="9072"/>
      </w:tabs>
      <w:spacing w:line="240" w:lineRule="auto"/>
    </w:pPr>
  </w:style>
  <w:style w:type="character" w:customStyle="1" w:styleId="HeaderChar">
    <w:name w:val="Header Char"/>
    <w:basedOn w:val="DefaultParagraphFont"/>
    <w:link w:val="Header"/>
    <w:uiPriority w:val="99"/>
    <w:rsid w:val="008E5971"/>
    <w:rPr>
      <w:rFonts w:ascii="Verdana" w:hAnsi="Verdana"/>
      <w:color w:val="000000"/>
      <w:sz w:val="18"/>
      <w:szCs w:val="18"/>
    </w:rPr>
  </w:style>
  <w:style w:type="paragraph" w:styleId="Footer">
    <w:name w:val="footer"/>
    <w:basedOn w:val="Normal"/>
    <w:link w:val="FooterChar"/>
    <w:uiPriority w:val="99"/>
    <w:unhideWhenUsed/>
    <w:rsid w:val="008E5971"/>
    <w:pPr>
      <w:tabs>
        <w:tab w:val="center" w:pos="4536"/>
        <w:tab w:val="right" w:pos="9072"/>
      </w:tabs>
      <w:spacing w:line="240" w:lineRule="auto"/>
    </w:pPr>
  </w:style>
  <w:style w:type="character" w:customStyle="1" w:styleId="FooterChar">
    <w:name w:val="Footer Char"/>
    <w:basedOn w:val="DefaultParagraphFont"/>
    <w:link w:val="Footer"/>
    <w:uiPriority w:val="99"/>
    <w:rsid w:val="008E5971"/>
    <w:rPr>
      <w:rFonts w:ascii="Verdana" w:hAnsi="Verdana"/>
      <w:color w:val="000000"/>
      <w:sz w:val="18"/>
      <w:szCs w:val="18"/>
    </w:rPr>
  </w:style>
  <w:style w:type="paragraph" w:styleId="ListParagraph">
    <w:name w:val="List Paragraph"/>
    <w:basedOn w:val="Normal"/>
    <w:link w:val="ListParagraphChar"/>
    <w:uiPriority w:val="34"/>
    <w:qFormat/>
    <w:rsid w:val="008E597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8E5971"/>
    <w:rPr>
      <w:sz w:val="16"/>
      <w:szCs w:val="16"/>
    </w:rPr>
  </w:style>
  <w:style w:type="paragraph" w:styleId="CommentText">
    <w:name w:val="annotation text"/>
    <w:basedOn w:val="Normal"/>
    <w:link w:val="CommentTextChar"/>
    <w:uiPriority w:val="99"/>
    <w:unhideWhenUsed/>
    <w:rsid w:val="008E597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8E5971"/>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8E597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E5971"/>
    <w:rPr>
      <w:rFonts w:asciiTheme="minorHAnsi" w:eastAsiaTheme="minorHAnsi" w:hAnsiTheme="minorHAnsi" w:cstheme="minorBidi"/>
      <w:kern w:val="2"/>
      <w:lang w:eastAsia="en-US"/>
      <w14:ligatures w14:val="standardContextual"/>
    </w:rPr>
  </w:style>
  <w:style w:type="paragraph" w:styleId="NoSpacing">
    <w:name w:val="No Spacing"/>
    <w:uiPriority w:val="1"/>
    <w:qFormat/>
    <w:rsid w:val="008E5971"/>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FootnoteReference">
    <w:name w:val="footnote reference"/>
    <w:basedOn w:val="DefaultParagraphFont"/>
    <w:uiPriority w:val="99"/>
    <w:semiHidden/>
    <w:unhideWhenUsed/>
    <w:rsid w:val="008E5971"/>
    <w:rPr>
      <w:vertAlign w:val="superscript"/>
    </w:rPr>
  </w:style>
  <w:style w:type="character" w:customStyle="1" w:styleId="ListParagraphChar">
    <w:name w:val="List Paragraph Char"/>
    <w:basedOn w:val="DefaultParagraphFont"/>
    <w:link w:val="ListParagraph"/>
    <w:uiPriority w:val="34"/>
    <w:rsid w:val="008E5971"/>
    <w:rPr>
      <w:rFonts w:asciiTheme="minorHAnsi" w:eastAsiaTheme="minorHAnsi" w:hAnsiTheme="minorHAnsi" w:cstheme="minorBidi"/>
      <w:kern w:val="2"/>
      <w:sz w:val="22"/>
      <w:szCs w:val="22"/>
      <w:lang w:eastAsia="en-US"/>
      <w14:ligatures w14:val="standardContextual"/>
    </w:rPr>
  </w:style>
  <w:style w:type="paragraph" w:customStyle="1" w:styleId="Lijstalinea1">
    <w:name w:val="Lijstalinea1"/>
    <w:basedOn w:val="Normal"/>
    <w:semiHidden/>
    <w:rsid w:val="008E5971"/>
    <w:pPr>
      <w:numPr>
        <w:numId w:val="6"/>
      </w:numPr>
      <w:tabs>
        <w:tab w:val="num" w:pos="360"/>
      </w:tabs>
      <w:autoSpaceDN/>
      <w:spacing w:line="240" w:lineRule="auto"/>
      <w:ind w:left="0" w:firstLine="0"/>
      <w:textAlignment w:val="auto"/>
    </w:pPr>
    <w:rPr>
      <w:rFonts w:asciiTheme="minorHAnsi" w:eastAsiaTheme="minorHAnsi" w:hAnsiTheme="minorHAnsi" w:cstheme="minorBidi"/>
      <w:color w:val="auto"/>
      <w:lang w:eastAsia="en-US"/>
    </w:rPr>
  </w:style>
  <w:style w:type="character" w:customStyle="1" w:styleId="UnresolvedMention">
    <w:name w:val="Unresolved Mention"/>
    <w:basedOn w:val="DefaultParagraphFont"/>
    <w:uiPriority w:val="99"/>
    <w:semiHidden/>
    <w:unhideWhenUsed/>
    <w:rsid w:val="009A2CC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1E33"/>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CE1E33"/>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D5654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7899">
      <w:bodyDiv w:val="1"/>
      <w:marLeft w:val="0"/>
      <w:marRight w:val="0"/>
      <w:marTop w:val="0"/>
      <w:marBottom w:val="0"/>
      <w:divBdr>
        <w:top w:val="none" w:sz="0" w:space="0" w:color="auto"/>
        <w:left w:val="none" w:sz="0" w:space="0" w:color="auto"/>
        <w:bottom w:val="none" w:sz="0" w:space="0" w:color="auto"/>
        <w:right w:val="none" w:sz="0" w:space="0" w:color="auto"/>
      </w:divBdr>
    </w:div>
    <w:div w:id="341125649">
      <w:bodyDiv w:val="1"/>
      <w:marLeft w:val="0"/>
      <w:marRight w:val="0"/>
      <w:marTop w:val="0"/>
      <w:marBottom w:val="0"/>
      <w:divBdr>
        <w:top w:val="none" w:sz="0" w:space="0" w:color="auto"/>
        <w:left w:val="none" w:sz="0" w:space="0" w:color="auto"/>
        <w:bottom w:val="none" w:sz="0" w:space="0" w:color="auto"/>
        <w:right w:val="none" w:sz="0" w:space="0" w:color="auto"/>
      </w:divBdr>
    </w:div>
    <w:div w:id="668867977">
      <w:bodyDiv w:val="1"/>
      <w:marLeft w:val="0"/>
      <w:marRight w:val="0"/>
      <w:marTop w:val="0"/>
      <w:marBottom w:val="0"/>
      <w:divBdr>
        <w:top w:val="none" w:sz="0" w:space="0" w:color="auto"/>
        <w:left w:val="none" w:sz="0" w:space="0" w:color="auto"/>
        <w:bottom w:val="none" w:sz="0" w:space="0" w:color="auto"/>
        <w:right w:val="none" w:sz="0" w:space="0" w:color="auto"/>
      </w:divBdr>
    </w:div>
    <w:div w:id="1146046677">
      <w:bodyDiv w:val="1"/>
      <w:marLeft w:val="0"/>
      <w:marRight w:val="0"/>
      <w:marTop w:val="0"/>
      <w:marBottom w:val="0"/>
      <w:divBdr>
        <w:top w:val="none" w:sz="0" w:space="0" w:color="auto"/>
        <w:left w:val="none" w:sz="0" w:space="0" w:color="auto"/>
        <w:bottom w:val="none" w:sz="0" w:space="0" w:color="auto"/>
        <w:right w:val="none" w:sz="0" w:space="0" w:color="auto"/>
      </w:divBdr>
    </w:div>
    <w:div w:id="1178235278">
      <w:bodyDiv w:val="1"/>
      <w:marLeft w:val="0"/>
      <w:marRight w:val="0"/>
      <w:marTop w:val="0"/>
      <w:marBottom w:val="0"/>
      <w:divBdr>
        <w:top w:val="none" w:sz="0" w:space="0" w:color="auto"/>
        <w:left w:val="none" w:sz="0" w:space="0" w:color="auto"/>
        <w:bottom w:val="none" w:sz="0" w:space="0" w:color="auto"/>
        <w:right w:val="none" w:sz="0" w:space="0" w:color="auto"/>
      </w:divBdr>
    </w:div>
    <w:div w:id="1632901761">
      <w:bodyDiv w:val="1"/>
      <w:marLeft w:val="0"/>
      <w:marRight w:val="0"/>
      <w:marTop w:val="0"/>
      <w:marBottom w:val="0"/>
      <w:divBdr>
        <w:top w:val="none" w:sz="0" w:space="0" w:color="auto"/>
        <w:left w:val="none" w:sz="0" w:space="0" w:color="auto"/>
        <w:bottom w:val="none" w:sz="0" w:space="0" w:color="auto"/>
        <w:right w:val="none" w:sz="0" w:space="0" w:color="auto"/>
      </w:divBdr>
    </w:div>
    <w:div w:id="1721055834">
      <w:bodyDiv w:val="1"/>
      <w:marLeft w:val="0"/>
      <w:marRight w:val="0"/>
      <w:marTop w:val="0"/>
      <w:marBottom w:val="0"/>
      <w:divBdr>
        <w:top w:val="none" w:sz="0" w:space="0" w:color="auto"/>
        <w:left w:val="none" w:sz="0" w:space="0" w:color="auto"/>
        <w:bottom w:val="none" w:sz="0" w:space="0" w:color="auto"/>
        <w:right w:val="none" w:sz="0" w:space="0" w:color="auto"/>
      </w:divBdr>
    </w:div>
    <w:div w:id="1726299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rijkswaterstaat.nl/@42313/veiligheid-nederland-kaart-2-vnk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1237</ap:Words>
  <ap:Characters>7056</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 Stand van zaken op verschillende onderwerpen binnen het waterveiligheidsdomein</vt:lpstr>
    </vt:vector>
  </ap:TitlesOfParts>
  <ap:LinksUpToDate>false</ap:LinksUpToDate>
  <ap:CharactersWithSpaces>8277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2026-06-19T14:33:00.0000000Z</dcterms:created>
  <dcterms:modified xsi:type="dcterms:W3CDTF">2026-06-19T14:33:00.0000000Z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12 januari 2026</vt:lpwstr>
  </property>
  <property fmtid="{D5CDD505-2E9C-101B-9397-08002B2CF9AE}" pid="14" name="Opgesteld door, Naam">
    <vt:lpwstr>ir. D.D. Gautier</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