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5140F88C" w14:textId="77777777"/>
    <w:p w:rsidR="00902296" w:rsidP="00902296" w:rsidRDefault="00902296" w14:paraId="7EBA3450" w14:textId="77777777">
      <w:r>
        <w:t xml:space="preserve">Geachte Voorzitter, </w:t>
      </w:r>
    </w:p>
    <w:p w:rsidR="00902296" w:rsidP="00902296" w:rsidRDefault="00902296" w14:paraId="4875DE91" w14:textId="77777777"/>
    <w:p w:rsidR="00902296" w:rsidP="00902296" w:rsidRDefault="00902296" w14:paraId="6CE8441A" w14:textId="77777777">
      <w:r>
        <w:t>Windenergie op zee is een schone en betaalbare energiebron van eigen bodem die een belangrijke bijdrage levert aan onze energieonafhankelijkheid. Gelet op de geopolitieke ontwikkelingen en hybride dreiging op het gebied van vitale infrastructuur is de weerbaarheid van de infrastructuur voor nieuwe windparken op zee van groot belang. Een eventuele verstoring van de elektriciteitsproductie op zee kan immers grote sociaaleconomische en maatschappelijke impact hebben. Tegen deze achtergrond heeft het kabinet een vertrouwelijk onderzoek laten uitvoeren naar de risico's voor de nationale veiligheid bij windparken op zee als gevolg van het gebruik van specifieke onderdelen uit risicovolle derde landen.</w:t>
      </w:r>
      <w:r>
        <w:rPr>
          <w:rStyle w:val="Voetnootmarkering"/>
        </w:rPr>
        <w:footnoteReference w:id="1"/>
      </w:r>
    </w:p>
    <w:p w:rsidR="00902296" w:rsidP="00902296" w:rsidRDefault="00902296" w14:paraId="25899B13" w14:textId="77777777"/>
    <w:p w:rsidRPr="00723F39" w:rsidR="00902296" w:rsidP="00902296" w:rsidRDefault="00902296" w14:paraId="2B0EE4AC" w14:textId="77777777">
      <w:pPr>
        <w:rPr>
          <w:b/>
          <w:bCs/>
        </w:rPr>
      </w:pPr>
      <w:r>
        <w:rPr>
          <w:b/>
          <w:bCs/>
        </w:rPr>
        <w:t xml:space="preserve">Conclusies en opvolging </w:t>
      </w:r>
    </w:p>
    <w:p w:rsidR="00902296" w:rsidP="00902296" w:rsidRDefault="00902296" w14:paraId="756759DF" w14:textId="77777777">
      <w:r>
        <w:t>Het onderzoek heeft een aantal aandachtspunten opgeleverd om de continuïteit van de energievoorziening te borgen.</w:t>
      </w:r>
      <w:r w:rsidRPr="00216450">
        <w:t xml:space="preserve"> </w:t>
      </w:r>
      <w:r>
        <w:t>Het kabinet ondervangt zo veel mogelijk van deze aandachtspunten binnen de bestaande vergunningsverleningsinstrumenten. Dit doet het onder meer door de EU-verordening voor een netto nul-industrie</w:t>
      </w:r>
      <w:r w:rsidRPr="02A44ECC">
        <w:rPr>
          <w:rStyle w:val="Voetnootmarkering"/>
        </w:rPr>
        <w:footnoteReference w:id="2"/>
      </w:r>
      <w:r>
        <w:t xml:space="preserve"> toe te passen bij vergunningverlening voor wind op zee. Ook is een toets op zeggenschapsrisico’s onderdeel van de vergunningsverleningsprocedure.</w:t>
      </w:r>
      <w:r>
        <w:rPr>
          <w:rStyle w:val="Voetnootmarkering"/>
        </w:rPr>
        <w:footnoteReference w:id="3"/>
      </w:r>
      <w:r>
        <w:t xml:space="preserve"> Daarnaast beoogt het kabinet nader inzicht te krijgen in kwetsbaarheden en afhankelijkheden binnen de toeleveringsketen van de </w:t>
      </w:r>
      <w:r w:rsidRPr="007503B0">
        <w:t xml:space="preserve">energievoorziening. Dit doet </w:t>
      </w:r>
      <w:r>
        <w:t>het</w:t>
      </w:r>
      <w:r w:rsidRPr="007503B0">
        <w:t xml:space="preserve"> </w:t>
      </w:r>
      <w:r>
        <w:t>kabinet middels het opnemen van e</w:t>
      </w:r>
      <w:r w:rsidRPr="007503B0">
        <w:t>en transparantieverplichting en deze te</w:t>
      </w:r>
      <w:r>
        <w:t xml:space="preserve"> koppelen aan de reeds verplichte risicoanalyse van de toeleveringsketen voor windparkexploitanten.</w:t>
      </w:r>
    </w:p>
    <w:p w:rsidR="00902296" w:rsidP="00902296" w:rsidRDefault="00902296" w14:paraId="18EFB37B" w14:textId="77777777"/>
    <w:p w:rsidR="00902296" w:rsidP="00902296" w:rsidRDefault="00902296" w14:paraId="3EC525B7" w14:textId="77777777">
      <w:r>
        <w:t xml:space="preserve">Bovengenoemde maatregelen zijn </w:t>
      </w:r>
      <w:r w:rsidRPr="007E4402">
        <w:t>meegenomen in de eerstvolgende tenderregelingen voor de kavels IJmuiden Ver Gamma-A en Gamma-B.</w:t>
      </w:r>
      <w:r>
        <w:t xml:space="preserve"> Voorafgaand aan de openstelling van toekomstige tenders voor windparken op zee zal het kabinet steeds, op basis van de dan beschikbare informatie en kennis, evalueren of, en zo ja welke, (aanvullende) maatregelen op het gebied van digitale en fysieke veiligheid passend en wenselijk zijn. Op deze manier werkt het kabinet continu aan het vergroten van de weerbaarheid van het energiesysteem.</w:t>
      </w:r>
    </w:p>
    <w:p w:rsidR="00902296" w:rsidP="00902296" w:rsidRDefault="00902296" w14:paraId="2C44A184" w14:textId="77777777"/>
    <w:p w:rsidRPr="009C2985" w:rsidR="00902296" w:rsidP="00902296" w:rsidRDefault="00902296" w14:paraId="5FF51C18" w14:textId="77777777">
      <w:pPr>
        <w:rPr>
          <w:b/>
          <w:bCs/>
        </w:rPr>
      </w:pPr>
      <w:r w:rsidRPr="009C2985">
        <w:rPr>
          <w:b/>
          <w:bCs/>
        </w:rPr>
        <w:t>Vertrouwelijk rapport</w:t>
      </w:r>
    </w:p>
    <w:p w:rsidR="00902296" w:rsidP="00902296" w:rsidRDefault="00902296" w14:paraId="5943A813" w14:textId="77777777">
      <w:r>
        <w:t>Omdat het rapport over eerdergenoemd onderzoek inzicht</w:t>
      </w:r>
      <w:r w:rsidRPr="003F5945">
        <w:t xml:space="preserve"> </w:t>
      </w:r>
      <w:r>
        <w:t xml:space="preserve">geeft in waar de mogelijke kwetsbaarheden liggen binnen het energieproductiesysteem, wordt het rapport niet openbaar gemaakt. </w:t>
      </w:r>
      <w:r w:rsidRPr="00CF0D54">
        <w:t>Indien</w:t>
      </w:r>
      <w:r>
        <w:t xml:space="preserve"> gewenst </w:t>
      </w:r>
      <w:r w:rsidRPr="00CF0D54">
        <w:t xml:space="preserve">kan </w:t>
      </w:r>
      <w:r>
        <w:t>uw</w:t>
      </w:r>
      <w:r w:rsidRPr="00CF0D54">
        <w:t xml:space="preserve"> </w:t>
      </w:r>
      <w:r>
        <w:t>K</w:t>
      </w:r>
      <w:r w:rsidRPr="00CF0D54">
        <w:t xml:space="preserve">amer </w:t>
      </w:r>
      <w:r>
        <w:t>middels een vertrouwelijke technische briefing</w:t>
      </w:r>
      <w:r w:rsidRPr="00CF0D54">
        <w:t xml:space="preserve"> </w:t>
      </w:r>
      <w:r>
        <w:t xml:space="preserve">verder </w:t>
      </w:r>
      <w:r w:rsidRPr="00CF0D54">
        <w:t xml:space="preserve">worden </w:t>
      </w:r>
      <w:r>
        <w:t xml:space="preserve">geïnformeerd </w:t>
      </w:r>
      <w:r w:rsidRPr="00CF0D54">
        <w:t xml:space="preserve">over </w:t>
      </w:r>
      <w:r>
        <w:t xml:space="preserve">de inhoud van </w:t>
      </w:r>
      <w:r w:rsidRPr="00CF0D54">
        <w:t>het rapport</w:t>
      </w:r>
      <w:r>
        <w:t xml:space="preserve">. </w:t>
      </w:r>
    </w:p>
    <w:p w:rsidR="00902296" w:rsidP="00902296" w:rsidRDefault="00902296" w14:paraId="1393B533" w14:textId="77777777"/>
    <w:p w:rsidR="00902296" w:rsidP="00902296" w:rsidRDefault="00902296" w14:paraId="249B2644" w14:textId="77777777"/>
    <w:p w:rsidR="00902296" w:rsidP="00902296" w:rsidRDefault="00902296" w14:paraId="6F17D624" w14:textId="77777777"/>
    <w:p w:rsidR="00902296" w:rsidP="00902296" w:rsidRDefault="00902296" w14:paraId="007F2250" w14:textId="77777777"/>
    <w:p w:rsidR="00902296" w:rsidP="00902296" w:rsidRDefault="00902296" w14:paraId="2853F4A9" w14:textId="77777777">
      <w:proofErr w:type="spellStart"/>
      <w:r>
        <w:t>Stientje</w:t>
      </w:r>
      <w:proofErr w:type="spellEnd"/>
      <w:r>
        <w:t xml:space="preserve"> van Veldhoven-van der Meer</w:t>
      </w:r>
    </w:p>
    <w:p w:rsidR="00902296" w:rsidP="00902296" w:rsidRDefault="00902296" w14:paraId="37DDC792" w14:textId="77777777">
      <w:r>
        <w:t>Minister van Klimaat en Groene Groei</w:t>
      </w:r>
    </w:p>
    <w:p w:rsidR="00EC1011" w:rsidP="00EC1011" w:rsidRDefault="00EC1011" w14:paraId="6D48ECD3" w14:textId="77777777"/>
    <w:p w:rsidRPr="00012B4F" w:rsidR="004E505E" w:rsidP="00524FB4" w:rsidRDefault="004E505E" w14:paraId="64F37E73" w14:textId="6909CB66"/>
    <w:sectPr w:rsidRPr="00012B4F" w:rsidR="004E505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980FA" w14:textId="77777777" w:rsidR="006B6EA8" w:rsidRDefault="006B6EA8">
      <w:r>
        <w:separator/>
      </w:r>
    </w:p>
    <w:p w14:paraId="32A5C652" w14:textId="77777777" w:rsidR="006B6EA8" w:rsidRDefault="006B6EA8"/>
  </w:endnote>
  <w:endnote w:type="continuationSeparator" w:id="0">
    <w:p w14:paraId="0E3411A8" w14:textId="77777777" w:rsidR="006B6EA8" w:rsidRDefault="006B6EA8">
      <w:r>
        <w:continuationSeparator/>
      </w:r>
    </w:p>
    <w:p w14:paraId="7E961AEA" w14:textId="77777777" w:rsidR="006B6EA8" w:rsidRDefault="006B6E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50A51" w14:textId="78CF4DB5"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C4033F" w14:paraId="60F900C0" w14:textId="77777777" w:rsidTr="006D1737">
      <w:trPr>
        <w:trHeight w:hRule="exact" w:val="240"/>
      </w:trPr>
      <w:tc>
        <w:tcPr>
          <w:tcW w:w="7601" w:type="dxa"/>
        </w:tcPr>
        <w:p w14:paraId="1D49CE2C" w14:textId="77777777" w:rsidR="006D1737" w:rsidRDefault="006D1737" w:rsidP="006D1737">
          <w:pPr>
            <w:pStyle w:val="Huisstijl-Rubricering"/>
          </w:pPr>
        </w:p>
      </w:tc>
      <w:tc>
        <w:tcPr>
          <w:tcW w:w="2156" w:type="dxa"/>
        </w:tcPr>
        <w:p w14:paraId="3377347E" w14:textId="5B76FC2A" w:rsidR="006D1737" w:rsidRPr="00645414" w:rsidRDefault="00B4315B"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0518FD">
            <w:t>2</w:t>
          </w:r>
          <w:r w:rsidR="00D72F45">
            <w:fldChar w:fldCharType="end"/>
          </w:r>
          <w:r w:rsidRPr="00ED539E">
            <w:t xml:space="preserve"> </w:t>
          </w:r>
        </w:p>
      </w:tc>
      <w:tc>
        <w:tcPr>
          <w:tcW w:w="2156" w:type="dxa"/>
        </w:tcPr>
        <w:p w14:paraId="7F259CB0" w14:textId="77777777" w:rsidR="006D1737" w:rsidRPr="00645414" w:rsidRDefault="00B4315B" w:rsidP="006D1737">
          <w:pPr>
            <w:pStyle w:val="Huisstijl-Paginanummering"/>
          </w:pPr>
          <w:r w:rsidRPr="00645414">
            <w:t xml:space="preserve"> </w:t>
          </w:r>
        </w:p>
      </w:tc>
    </w:tr>
  </w:tbl>
  <w:p w14:paraId="4B9EA67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4033F" w14:paraId="1B7D2014" w14:textId="77777777" w:rsidTr="00CA6A25">
      <w:trPr>
        <w:trHeight w:hRule="exact" w:val="240"/>
      </w:trPr>
      <w:tc>
        <w:tcPr>
          <w:tcW w:w="7601" w:type="dxa"/>
        </w:tcPr>
        <w:p w14:paraId="268D6A01" w14:textId="6FED2C74" w:rsidR="00527BD4" w:rsidRDefault="00527BD4" w:rsidP="008C356D">
          <w:pPr>
            <w:pStyle w:val="Huisstijl-Rubricering"/>
          </w:pPr>
        </w:p>
      </w:tc>
      <w:tc>
        <w:tcPr>
          <w:tcW w:w="2170" w:type="dxa"/>
        </w:tcPr>
        <w:p w14:paraId="1A286A27" w14:textId="1E1D38C9" w:rsidR="00527BD4" w:rsidRPr="00ED539E" w:rsidRDefault="00B4315B"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4B0F05">
            <w:fldChar w:fldCharType="begin"/>
          </w:r>
          <w:r>
            <w:instrText xml:space="preserve"> SECTIONPAGES   \* MERGEFORMAT </w:instrText>
          </w:r>
          <w:r w:rsidR="004B0F05">
            <w:fldChar w:fldCharType="separate"/>
          </w:r>
          <w:r w:rsidR="000518FD">
            <w:t>2</w:t>
          </w:r>
          <w:r w:rsidR="004B0F05">
            <w:fldChar w:fldCharType="end"/>
          </w:r>
        </w:p>
      </w:tc>
    </w:tr>
  </w:tbl>
  <w:p w14:paraId="2A4464CD" w14:textId="77777777" w:rsidR="00527BD4" w:rsidRPr="00BC3B53" w:rsidRDefault="00527BD4" w:rsidP="008C356D">
    <w:pPr>
      <w:pStyle w:val="Voettekst"/>
      <w:spacing w:line="240" w:lineRule="auto"/>
      <w:rPr>
        <w:sz w:val="2"/>
        <w:szCs w:val="2"/>
      </w:rPr>
    </w:pPr>
  </w:p>
  <w:p w14:paraId="1CDBD58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FF19B" w14:textId="77777777" w:rsidR="006B6EA8" w:rsidRDefault="006B6EA8">
      <w:r>
        <w:separator/>
      </w:r>
    </w:p>
    <w:p w14:paraId="18B4B156" w14:textId="77777777" w:rsidR="006B6EA8" w:rsidRDefault="006B6EA8"/>
  </w:footnote>
  <w:footnote w:type="continuationSeparator" w:id="0">
    <w:p w14:paraId="1B637A18" w14:textId="77777777" w:rsidR="006B6EA8" w:rsidRDefault="006B6EA8">
      <w:r>
        <w:continuationSeparator/>
      </w:r>
    </w:p>
    <w:p w14:paraId="524FBD24" w14:textId="77777777" w:rsidR="006B6EA8" w:rsidRDefault="006B6EA8"/>
  </w:footnote>
  <w:footnote w:id="1">
    <w:p w14:paraId="523DF8A7" w14:textId="77777777" w:rsidR="00902296" w:rsidRPr="00B068BD" w:rsidRDefault="00902296" w:rsidP="00902296">
      <w:pPr>
        <w:pStyle w:val="Voetnoottekst"/>
        <w:rPr>
          <w:szCs w:val="13"/>
        </w:rPr>
      </w:pPr>
      <w:r w:rsidRPr="00B068BD">
        <w:rPr>
          <w:rStyle w:val="Voetnootmarkering"/>
          <w:szCs w:val="13"/>
        </w:rPr>
        <w:footnoteRef/>
      </w:r>
      <w:r w:rsidRPr="00B068BD">
        <w:rPr>
          <w:szCs w:val="13"/>
        </w:rPr>
        <w:t xml:space="preserve"> Kamerstukken II 2025/2026, 33 561, nr. 99.</w:t>
      </w:r>
    </w:p>
  </w:footnote>
  <w:footnote w:id="2">
    <w:p w14:paraId="2E790146" w14:textId="77777777" w:rsidR="00902296" w:rsidRPr="00B068BD" w:rsidRDefault="00902296" w:rsidP="00902296">
      <w:pPr>
        <w:pStyle w:val="Voetnoottekst"/>
        <w:rPr>
          <w:szCs w:val="13"/>
        </w:rPr>
      </w:pPr>
      <w:r w:rsidRPr="00B068BD">
        <w:rPr>
          <w:rStyle w:val="Voetnootmarkering"/>
          <w:szCs w:val="13"/>
        </w:rPr>
        <w:footnoteRef/>
      </w:r>
      <w:r w:rsidRPr="00B068BD">
        <w:rPr>
          <w:szCs w:val="13"/>
        </w:rPr>
        <w:t xml:space="preserve"> Net Zero </w:t>
      </w:r>
      <w:proofErr w:type="spellStart"/>
      <w:r w:rsidRPr="00B068BD">
        <w:rPr>
          <w:szCs w:val="13"/>
        </w:rPr>
        <w:t>Industry</w:t>
      </w:r>
      <w:proofErr w:type="spellEnd"/>
      <w:r w:rsidRPr="00B068BD">
        <w:rPr>
          <w:szCs w:val="13"/>
        </w:rPr>
        <w:t xml:space="preserve"> Act, (EU) 2024/1735.</w:t>
      </w:r>
    </w:p>
  </w:footnote>
  <w:footnote w:id="3">
    <w:p w14:paraId="7332B5C4" w14:textId="77777777" w:rsidR="00902296" w:rsidRPr="00B068BD" w:rsidRDefault="00902296" w:rsidP="00902296">
      <w:pPr>
        <w:pStyle w:val="Voetnoottekst"/>
        <w:rPr>
          <w:szCs w:val="13"/>
        </w:rPr>
      </w:pPr>
      <w:r w:rsidRPr="00B068BD">
        <w:rPr>
          <w:rStyle w:val="Voetnootmarkering"/>
          <w:szCs w:val="13"/>
        </w:rPr>
        <w:footnoteRef/>
      </w:r>
      <w:r w:rsidRPr="00B068BD">
        <w:rPr>
          <w:szCs w:val="13"/>
        </w:rPr>
        <w:t xml:space="preserve"> Artikel 1 lid 5 Uitvoeringsregeling windenergie op zee geeft de mogelijkheid om de zeggenschap over de aanvrager en de daaraan verbonden mogelijke risico’s voor de openbare veiligheid, voorzieningszekerheid of leveringszekerheid te toetsen.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4033F" w14:paraId="762565B0" w14:textId="77777777" w:rsidTr="00A50CF6">
      <w:tc>
        <w:tcPr>
          <w:tcW w:w="2156" w:type="dxa"/>
        </w:tcPr>
        <w:p w14:paraId="66EB90F8" w14:textId="77777777" w:rsidR="00527BD4" w:rsidRPr="00624D22" w:rsidRDefault="00B4315B" w:rsidP="00A50CF6">
          <w:pPr>
            <w:pStyle w:val="Huisstijl-Adres"/>
            <w:rPr>
              <w:b/>
            </w:rPr>
          </w:pPr>
          <w:r>
            <w:rPr>
              <w:b/>
            </w:rPr>
            <w:t>Directoraat-generaal Klimaat en Energie</w:t>
          </w:r>
        </w:p>
      </w:tc>
    </w:tr>
    <w:tr w:rsidR="00C4033F" w14:paraId="099BEEB1" w14:textId="77777777" w:rsidTr="00A50CF6">
      <w:trPr>
        <w:trHeight w:hRule="exact" w:val="200"/>
      </w:trPr>
      <w:tc>
        <w:tcPr>
          <w:tcW w:w="2156" w:type="dxa"/>
        </w:tcPr>
        <w:p w14:paraId="13BB0AD9" w14:textId="77777777" w:rsidR="00527BD4" w:rsidRPr="005819CE" w:rsidRDefault="00527BD4" w:rsidP="00A50CF6"/>
      </w:tc>
    </w:tr>
    <w:tr w:rsidR="00C4033F" w14:paraId="11AC2690" w14:textId="77777777" w:rsidTr="00502512">
      <w:trPr>
        <w:trHeight w:hRule="exact" w:val="774"/>
      </w:trPr>
      <w:tc>
        <w:tcPr>
          <w:tcW w:w="2156" w:type="dxa"/>
        </w:tcPr>
        <w:p w14:paraId="3E20B732" w14:textId="77777777" w:rsidR="00527BD4" w:rsidRDefault="00527BD4" w:rsidP="003A5290">
          <w:pPr>
            <w:pStyle w:val="Huisstijl-Kopje"/>
          </w:pPr>
        </w:p>
        <w:p w14:paraId="0820CA2A" w14:textId="77777777" w:rsidR="00502512" w:rsidRPr="00502512" w:rsidRDefault="00B4315B" w:rsidP="003A5290">
          <w:pPr>
            <w:pStyle w:val="Huisstijl-Kopje"/>
            <w:rPr>
              <w:b w:val="0"/>
            </w:rPr>
          </w:pPr>
          <w:r>
            <w:rPr>
              <w:b w:val="0"/>
            </w:rPr>
            <w:t>KGG_DGKE_EM</w:t>
          </w:r>
          <w:r w:rsidRPr="00502512">
            <w:rPr>
              <w:b w:val="0"/>
            </w:rPr>
            <w:t xml:space="preserve"> / </w:t>
          </w:r>
          <w:r>
            <w:rPr>
              <w:b w:val="0"/>
            </w:rPr>
            <w:t>106648087</w:t>
          </w:r>
        </w:p>
        <w:p w14:paraId="6CF86E4B" w14:textId="77777777" w:rsidR="00527BD4" w:rsidRPr="005819CE" w:rsidRDefault="00527BD4" w:rsidP="00361A56">
          <w:pPr>
            <w:pStyle w:val="Huisstijl-Kopje"/>
          </w:pPr>
        </w:p>
      </w:tc>
    </w:tr>
  </w:tbl>
  <w:p w14:paraId="14502AC5" w14:textId="77777777" w:rsidR="00527BD4" w:rsidRDefault="00527BD4" w:rsidP="008C356D">
    <w:pPr>
      <w:pStyle w:val="Koptekst"/>
      <w:rPr>
        <w:rFonts w:cs="Verdana-Bold"/>
        <w:b/>
        <w:bCs/>
        <w:smallCaps/>
        <w:szCs w:val="18"/>
      </w:rPr>
    </w:pPr>
  </w:p>
  <w:p w14:paraId="628593D7" w14:textId="77777777" w:rsidR="00527BD4" w:rsidRDefault="00527BD4" w:rsidP="008C356D"/>
  <w:p w14:paraId="39859BDD" w14:textId="77777777" w:rsidR="00527BD4" w:rsidRPr="00740712" w:rsidRDefault="00527BD4" w:rsidP="008C356D"/>
  <w:p w14:paraId="55B93152" w14:textId="77777777" w:rsidR="00527BD4" w:rsidRPr="00217880" w:rsidRDefault="00527BD4" w:rsidP="008C356D">
    <w:pPr>
      <w:spacing w:line="0" w:lineRule="atLeast"/>
      <w:rPr>
        <w:sz w:val="2"/>
        <w:szCs w:val="2"/>
      </w:rPr>
    </w:pPr>
  </w:p>
  <w:p w14:paraId="3CA5EDEE" w14:textId="77777777" w:rsidR="00527BD4" w:rsidRDefault="00527BD4" w:rsidP="004F44C2">
    <w:pPr>
      <w:pStyle w:val="Koptekst"/>
      <w:rPr>
        <w:rFonts w:cs="Verdana-Bold"/>
        <w:b/>
        <w:bCs/>
        <w:smallCaps/>
        <w:szCs w:val="18"/>
      </w:rPr>
    </w:pPr>
  </w:p>
  <w:p w14:paraId="44A5A6D1" w14:textId="77777777" w:rsidR="00527BD4" w:rsidRDefault="00527BD4" w:rsidP="004F44C2"/>
  <w:p w14:paraId="21FD7439" w14:textId="77777777" w:rsidR="00624D22" w:rsidRDefault="00624D22" w:rsidP="004F44C2"/>
  <w:p w14:paraId="13606F73" w14:textId="77777777" w:rsidR="00624D22" w:rsidRDefault="00624D22" w:rsidP="004F44C2"/>
  <w:p w14:paraId="75A03FDA" w14:textId="77777777" w:rsidR="00527BD4" w:rsidRPr="00740712" w:rsidRDefault="00527BD4" w:rsidP="004F44C2"/>
  <w:p w14:paraId="1FBE8D6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4033F" w14:paraId="7737BFEB" w14:textId="77777777" w:rsidTr="00751A6A">
      <w:trPr>
        <w:trHeight w:val="2636"/>
      </w:trPr>
      <w:tc>
        <w:tcPr>
          <w:tcW w:w="737" w:type="dxa"/>
        </w:tcPr>
        <w:p w14:paraId="7729635F" w14:textId="77777777" w:rsidR="00527BD4" w:rsidRDefault="00527BD4" w:rsidP="00D0609E">
          <w:pPr>
            <w:framePr w:w="6340" w:h="2750" w:hRule="exact" w:hSpace="180" w:wrap="around" w:vAnchor="page" w:hAnchor="text" w:x="3873" w:y="-140"/>
            <w:spacing w:line="240" w:lineRule="auto"/>
          </w:pPr>
        </w:p>
      </w:tc>
      <w:tc>
        <w:tcPr>
          <w:tcW w:w="5156" w:type="dxa"/>
        </w:tcPr>
        <w:p w14:paraId="09D62435" w14:textId="77777777" w:rsidR="00527BD4" w:rsidRDefault="00B4315B" w:rsidP="00651CEE">
          <w:pPr>
            <w:framePr w:w="6340" w:h="2750" w:hRule="exact" w:hSpace="180" w:wrap="around" w:vAnchor="page" w:hAnchor="text" w:x="3873" w:y="-140"/>
            <w:spacing w:line="240" w:lineRule="auto"/>
          </w:pPr>
          <w:r>
            <w:t xml:space="preserve"> </w:t>
          </w:r>
          <w:r w:rsidR="009D0B5A" w:rsidRPr="009D0B5A">
            <w:rPr>
              <w:sz w:val="2"/>
              <w:szCs w:val="2"/>
            </w:rPr>
            <w:t xml:space="preserve"> </w:t>
          </w:r>
          <w:r>
            <w:rPr>
              <w:noProof/>
            </w:rPr>
            <w:drawing>
              <wp:inline distT="0" distB="0" distL="0" distR="0" wp14:anchorId="5E557331" wp14:editId="0F310A07">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tc>
    </w:tr>
  </w:tbl>
  <w:p w14:paraId="30CAA331" w14:textId="77777777" w:rsidR="00527BD4" w:rsidRDefault="00527BD4" w:rsidP="00D0609E">
    <w:pPr>
      <w:framePr w:w="6340" w:h="2750" w:hRule="exact" w:hSpace="180" w:wrap="around" w:vAnchor="page" w:hAnchor="text" w:x="3873" w:y="-140"/>
    </w:pPr>
  </w:p>
  <w:p w14:paraId="68E35C5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4033F" w14:paraId="2F40FFA1" w14:textId="77777777" w:rsidTr="00A50CF6">
      <w:tc>
        <w:tcPr>
          <w:tcW w:w="2160" w:type="dxa"/>
        </w:tcPr>
        <w:p w14:paraId="755AC275" w14:textId="77777777" w:rsidR="00527BD4" w:rsidRPr="00781DCA" w:rsidRDefault="00B4315B" w:rsidP="00A50CF6">
          <w:pPr>
            <w:pStyle w:val="Huisstijl-Adres"/>
            <w:rPr>
              <w:b/>
            </w:rPr>
          </w:pPr>
          <w:r>
            <w:rPr>
              <w:b/>
            </w:rPr>
            <w:t>Directoraat-generaal Klimaat en Energie</w:t>
          </w:r>
          <w:r w:rsidRPr="005819CE">
            <w:rPr>
              <w:b/>
            </w:rPr>
            <w:br/>
          </w:r>
          <w:r>
            <w:t>Directie Energiemarkt</w:t>
          </w:r>
        </w:p>
        <w:p w14:paraId="35E2F392" w14:textId="77777777" w:rsidR="00527BD4" w:rsidRPr="00BE5ED9" w:rsidRDefault="00B4315B" w:rsidP="00A50CF6">
          <w:pPr>
            <w:pStyle w:val="Huisstijl-Adres"/>
          </w:pPr>
          <w:r>
            <w:rPr>
              <w:b/>
            </w:rPr>
            <w:t>Bezoekadres</w:t>
          </w:r>
          <w:r>
            <w:rPr>
              <w:b/>
            </w:rPr>
            <w:br/>
          </w:r>
          <w:r>
            <w:t>Bezuidenhoutseweg 73</w:t>
          </w:r>
          <w:r w:rsidRPr="005819CE">
            <w:br/>
          </w:r>
          <w:r>
            <w:t>2594 AC Den Haag</w:t>
          </w:r>
        </w:p>
        <w:p w14:paraId="5EA7059F" w14:textId="77777777" w:rsidR="00EF495B" w:rsidRDefault="00B4315B" w:rsidP="0098788A">
          <w:pPr>
            <w:pStyle w:val="Huisstijl-Adres"/>
          </w:pPr>
          <w:r>
            <w:rPr>
              <w:b/>
            </w:rPr>
            <w:t>Postadres</w:t>
          </w:r>
          <w:r>
            <w:rPr>
              <w:b/>
            </w:rPr>
            <w:br/>
          </w:r>
          <w:r>
            <w:t>Postbus 20401</w:t>
          </w:r>
          <w:r w:rsidRPr="005819CE">
            <w:br/>
            <w:t>2500 E</w:t>
          </w:r>
          <w:r>
            <w:t>K</w:t>
          </w:r>
          <w:r w:rsidRPr="005819CE">
            <w:t xml:space="preserve"> Den Haag</w:t>
          </w:r>
        </w:p>
        <w:p w14:paraId="488F9FF2" w14:textId="77777777" w:rsidR="00EF495B" w:rsidRPr="005B3814" w:rsidRDefault="00B4315B" w:rsidP="0098788A">
          <w:pPr>
            <w:pStyle w:val="Huisstijl-Adres"/>
          </w:pPr>
          <w:r>
            <w:rPr>
              <w:b/>
            </w:rPr>
            <w:t>Overheidsidentificatienr</w:t>
          </w:r>
          <w:r>
            <w:rPr>
              <w:b/>
            </w:rPr>
            <w:br/>
          </w:r>
          <w:r w:rsidRPr="005B3814">
            <w:t>00000001003214369000</w:t>
          </w:r>
        </w:p>
        <w:p w14:paraId="28786ED7" w14:textId="1C03C18C" w:rsidR="00527BD4" w:rsidRPr="00B068BD" w:rsidRDefault="00B4315B"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C4033F" w14:paraId="49C78A05" w14:textId="77777777" w:rsidTr="00A50CF6">
      <w:trPr>
        <w:trHeight w:hRule="exact" w:val="200"/>
      </w:trPr>
      <w:tc>
        <w:tcPr>
          <w:tcW w:w="2160" w:type="dxa"/>
        </w:tcPr>
        <w:p w14:paraId="6B9B8EF0" w14:textId="77777777" w:rsidR="00527BD4" w:rsidRPr="00D71182" w:rsidRDefault="00527BD4" w:rsidP="00A50CF6">
          <w:pPr>
            <w:rPr>
              <w:lang w:val="fr-FR"/>
            </w:rPr>
          </w:pPr>
        </w:p>
      </w:tc>
    </w:tr>
    <w:tr w:rsidR="00C4033F" w14:paraId="7658BD60" w14:textId="77777777" w:rsidTr="00A50CF6">
      <w:tc>
        <w:tcPr>
          <w:tcW w:w="2160" w:type="dxa"/>
        </w:tcPr>
        <w:p w14:paraId="0706ACF9" w14:textId="77777777" w:rsidR="000C0163" w:rsidRPr="005819CE" w:rsidRDefault="00B4315B" w:rsidP="000C0163">
          <w:pPr>
            <w:pStyle w:val="Huisstijl-Kopje"/>
          </w:pPr>
          <w:r>
            <w:t>Ons kenmerk</w:t>
          </w:r>
        </w:p>
        <w:p w14:paraId="2626870E" w14:textId="77777777" w:rsidR="000C0163" w:rsidRPr="005819CE" w:rsidRDefault="00B4315B" w:rsidP="000C0163">
          <w:pPr>
            <w:pStyle w:val="Huisstijl-Gegeven"/>
          </w:pPr>
          <w:r>
            <w:t>KGG_DGKE_EM</w:t>
          </w:r>
          <w:r w:rsidR="00926AE2">
            <w:t xml:space="preserve"> / </w:t>
          </w:r>
          <w:r>
            <w:t>106648087</w:t>
          </w:r>
        </w:p>
        <w:p w14:paraId="164BD5E0" w14:textId="77777777" w:rsidR="00527BD4" w:rsidRPr="005819CE" w:rsidRDefault="00527BD4" w:rsidP="00B068BD">
          <w:pPr>
            <w:pStyle w:val="Huisstijl-Kopje"/>
          </w:pPr>
        </w:p>
      </w:tc>
    </w:tr>
  </w:tbl>
  <w:p w14:paraId="4566054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C4033F" w14:paraId="5DC32886" w14:textId="77777777" w:rsidTr="00C37826">
      <w:trPr>
        <w:trHeight w:val="400"/>
      </w:trPr>
      <w:tc>
        <w:tcPr>
          <w:tcW w:w="7371" w:type="dxa"/>
          <w:gridSpan w:val="2"/>
        </w:tcPr>
        <w:p w14:paraId="75E498B4" w14:textId="77777777" w:rsidR="00527BD4" w:rsidRPr="00BC3B53" w:rsidRDefault="00B4315B"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C4033F" w14:paraId="68D96830" w14:textId="77777777" w:rsidTr="00C37826">
      <w:tc>
        <w:tcPr>
          <w:tcW w:w="7371" w:type="dxa"/>
          <w:gridSpan w:val="2"/>
        </w:tcPr>
        <w:p w14:paraId="22F695B1" w14:textId="77777777" w:rsidR="00527BD4" w:rsidRPr="00983E8F" w:rsidRDefault="00527BD4" w:rsidP="00A50CF6">
          <w:pPr>
            <w:pStyle w:val="Huisstijl-Rubricering"/>
          </w:pPr>
        </w:p>
      </w:tc>
    </w:tr>
    <w:tr w:rsidR="00C4033F" w14:paraId="6701EB7C" w14:textId="77777777" w:rsidTr="00C37826">
      <w:trPr>
        <w:trHeight w:hRule="exact" w:val="2440"/>
      </w:trPr>
      <w:tc>
        <w:tcPr>
          <w:tcW w:w="7371" w:type="dxa"/>
          <w:gridSpan w:val="2"/>
        </w:tcPr>
        <w:p w14:paraId="777EDED0" w14:textId="77777777" w:rsidR="00527BD4" w:rsidRDefault="00B4315B" w:rsidP="00A50CF6">
          <w:pPr>
            <w:pStyle w:val="Huisstijl-NAW"/>
          </w:pPr>
          <w:r>
            <w:t xml:space="preserve">De Voorzitter van de Tweede Kamer </w:t>
          </w:r>
        </w:p>
        <w:p w14:paraId="5936C88C" w14:textId="77777777" w:rsidR="00D87195" w:rsidRDefault="00B4315B" w:rsidP="00D87195">
          <w:pPr>
            <w:pStyle w:val="Huisstijl-NAW"/>
          </w:pPr>
          <w:r>
            <w:t>der Staten-Generaal</w:t>
          </w:r>
        </w:p>
        <w:p w14:paraId="25B88DC9" w14:textId="77777777" w:rsidR="00EA0F13" w:rsidRDefault="00B4315B" w:rsidP="00EA0F13">
          <w:pPr>
            <w:rPr>
              <w:szCs w:val="18"/>
            </w:rPr>
          </w:pPr>
          <w:r>
            <w:rPr>
              <w:szCs w:val="18"/>
            </w:rPr>
            <w:t>Prinses Irenestraat 6</w:t>
          </w:r>
        </w:p>
        <w:p w14:paraId="34241337" w14:textId="77777777" w:rsidR="00985E56" w:rsidRDefault="00B4315B" w:rsidP="00EA0F13">
          <w:r>
            <w:rPr>
              <w:szCs w:val="18"/>
            </w:rPr>
            <w:t>2595 BD  DEN HAAG</w:t>
          </w:r>
        </w:p>
      </w:tc>
    </w:tr>
    <w:tr w:rsidR="00C4033F" w14:paraId="453DF1F7" w14:textId="77777777" w:rsidTr="00C37826">
      <w:trPr>
        <w:trHeight w:hRule="exact" w:val="400"/>
      </w:trPr>
      <w:tc>
        <w:tcPr>
          <w:tcW w:w="7371" w:type="dxa"/>
          <w:gridSpan w:val="2"/>
        </w:tcPr>
        <w:p w14:paraId="4FB3F15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4033F" w14:paraId="3F03A7A2" w14:textId="77777777" w:rsidTr="00C37826">
      <w:trPr>
        <w:trHeight w:val="240"/>
      </w:trPr>
      <w:tc>
        <w:tcPr>
          <w:tcW w:w="709" w:type="dxa"/>
        </w:tcPr>
        <w:p w14:paraId="74787163" w14:textId="77777777" w:rsidR="00527BD4" w:rsidRPr="00C37826" w:rsidRDefault="00B4315B" w:rsidP="00A50CF6">
          <w:pPr>
            <w:rPr>
              <w:szCs w:val="18"/>
            </w:rPr>
          </w:pPr>
          <w:r>
            <w:rPr>
              <w:szCs w:val="18"/>
            </w:rPr>
            <w:t>Datum</w:t>
          </w:r>
        </w:p>
      </w:tc>
      <w:tc>
        <w:tcPr>
          <w:tcW w:w="6662" w:type="dxa"/>
        </w:tcPr>
        <w:p w14:paraId="4BA2C8F1" w14:textId="01A6D3A4" w:rsidR="00527BD4" w:rsidRPr="007709EF" w:rsidRDefault="004957DD" w:rsidP="00A50CF6">
          <w:r>
            <w:t>19 juni 2026</w:t>
          </w:r>
        </w:p>
      </w:tc>
    </w:tr>
    <w:tr w:rsidR="00C4033F" w14:paraId="5FFBEEDB" w14:textId="77777777" w:rsidTr="00C37826">
      <w:trPr>
        <w:trHeight w:val="240"/>
      </w:trPr>
      <w:tc>
        <w:tcPr>
          <w:tcW w:w="709" w:type="dxa"/>
        </w:tcPr>
        <w:p w14:paraId="0A42C2C7" w14:textId="77777777" w:rsidR="00527BD4" w:rsidRPr="00C37826" w:rsidRDefault="00B4315B" w:rsidP="00A50CF6">
          <w:pPr>
            <w:rPr>
              <w:szCs w:val="18"/>
            </w:rPr>
          </w:pPr>
          <w:r>
            <w:rPr>
              <w:szCs w:val="18"/>
            </w:rPr>
            <w:t>Betreft</w:t>
          </w:r>
        </w:p>
      </w:tc>
      <w:tc>
        <w:tcPr>
          <w:tcW w:w="6662" w:type="dxa"/>
        </w:tcPr>
        <w:p w14:paraId="3E37065D" w14:textId="77777777" w:rsidR="00527BD4" w:rsidRPr="007709EF" w:rsidRDefault="00B4315B" w:rsidP="00A50CF6">
          <w:r>
            <w:t>Onderzoek nationale veiligheid wind op zee</w:t>
          </w:r>
        </w:p>
      </w:tc>
    </w:tr>
  </w:tbl>
  <w:p w14:paraId="5F0735E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0A8FA90">
      <w:start w:val="1"/>
      <w:numFmt w:val="bullet"/>
      <w:pStyle w:val="Lijstopsomteken"/>
      <w:lvlText w:val="•"/>
      <w:lvlJc w:val="left"/>
      <w:pPr>
        <w:tabs>
          <w:tab w:val="num" w:pos="227"/>
        </w:tabs>
        <w:ind w:left="227" w:hanging="227"/>
      </w:pPr>
      <w:rPr>
        <w:rFonts w:ascii="Verdana" w:hAnsi="Verdana" w:hint="default"/>
        <w:sz w:val="18"/>
        <w:szCs w:val="18"/>
      </w:rPr>
    </w:lvl>
    <w:lvl w:ilvl="1" w:tplc="F4CCE020" w:tentative="1">
      <w:start w:val="1"/>
      <w:numFmt w:val="bullet"/>
      <w:lvlText w:val="o"/>
      <w:lvlJc w:val="left"/>
      <w:pPr>
        <w:tabs>
          <w:tab w:val="num" w:pos="1440"/>
        </w:tabs>
        <w:ind w:left="1440" w:hanging="360"/>
      </w:pPr>
      <w:rPr>
        <w:rFonts w:ascii="Courier New" w:hAnsi="Courier New" w:cs="Courier New" w:hint="default"/>
      </w:rPr>
    </w:lvl>
    <w:lvl w:ilvl="2" w:tplc="AA482CC6" w:tentative="1">
      <w:start w:val="1"/>
      <w:numFmt w:val="bullet"/>
      <w:lvlText w:val=""/>
      <w:lvlJc w:val="left"/>
      <w:pPr>
        <w:tabs>
          <w:tab w:val="num" w:pos="2160"/>
        </w:tabs>
        <w:ind w:left="2160" w:hanging="360"/>
      </w:pPr>
      <w:rPr>
        <w:rFonts w:ascii="Wingdings" w:hAnsi="Wingdings" w:hint="default"/>
      </w:rPr>
    </w:lvl>
    <w:lvl w:ilvl="3" w:tplc="FC980C22" w:tentative="1">
      <w:start w:val="1"/>
      <w:numFmt w:val="bullet"/>
      <w:lvlText w:val=""/>
      <w:lvlJc w:val="left"/>
      <w:pPr>
        <w:tabs>
          <w:tab w:val="num" w:pos="2880"/>
        </w:tabs>
        <w:ind w:left="2880" w:hanging="360"/>
      </w:pPr>
      <w:rPr>
        <w:rFonts w:ascii="Symbol" w:hAnsi="Symbol" w:hint="default"/>
      </w:rPr>
    </w:lvl>
    <w:lvl w:ilvl="4" w:tplc="B9E87840" w:tentative="1">
      <w:start w:val="1"/>
      <w:numFmt w:val="bullet"/>
      <w:lvlText w:val="o"/>
      <w:lvlJc w:val="left"/>
      <w:pPr>
        <w:tabs>
          <w:tab w:val="num" w:pos="3600"/>
        </w:tabs>
        <w:ind w:left="3600" w:hanging="360"/>
      </w:pPr>
      <w:rPr>
        <w:rFonts w:ascii="Courier New" w:hAnsi="Courier New" w:cs="Courier New" w:hint="default"/>
      </w:rPr>
    </w:lvl>
    <w:lvl w:ilvl="5" w:tplc="C1C89C52" w:tentative="1">
      <w:start w:val="1"/>
      <w:numFmt w:val="bullet"/>
      <w:lvlText w:val=""/>
      <w:lvlJc w:val="left"/>
      <w:pPr>
        <w:tabs>
          <w:tab w:val="num" w:pos="4320"/>
        </w:tabs>
        <w:ind w:left="4320" w:hanging="360"/>
      </w:pPr>
      <w:rPr>
        <w:rFonts w:ascii="Wingdings" w:hAnsi="Wingdings" w:hint="default"/>
      </w:rPr>
    </w:lvl>
    <w:lvl w:ilvl="6" w:tplc="A2CAA9D2" w:tentative="1">
      <w:start w:val="1"/>
      <w:numFmt w:val="bullet"/>
      <w:lvlText w:val=""/>
      <w:lvlJc w:val="left"/>
      <w:pPr>
        <w:tabs>
          <w:tab w:val="num" w:pos="5040"/>
        </w:tabs>
        <w:ind w:left="5040" w:hanging="360"/>
      </w:pPr>
      <w:rPr>
        <w:rFonts w:ascii="Symbol" w:hAnsi="Symbol" w:hint="default"/>
      </w:rPr>
    </w:lvl>
    <w:lvl w:ilvl="7" w:tplc="89C01D5C" w:tentative="1">
      <w:start w:val="1"/>
      <w:numFmt w:val="bullet"/>
      <w:lvlText w:val="o"/>
      <w:lvlJc w:val="left"/>
      <w:pPr>
        <w:tabs>
          <w:tab w:val="num" w:pos="5760"/>
        </w:tabs>
        <w:ind w:left="5760" w:hanging="360"/>
      </w:pPr>
      <w:rPr>
        <w:rFonts w:ascii="Courier New" w:hAnsi="Courier New" w:cs="Courier New" w:hint="default"/>
      </w:rPr>
    </w:lvl>
    <w:lvl w:ilvl="8" w:tplc="9814B0A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290C4D2">
      <w:start w:val="1"/>
      <w:numFmt w:val="bullet"/>
      <w:pStyle w:val="Lijstopsomteken2"/>
      <w:lvlText w:val="–"/>
      <w:lvlJc w:val="left"/>
      <w:pPr>
        <w:tabs>
          <w:tab w:val="num" w:pos="227"/>
        </w:tabs>
        <w:ind w:left="227" w:firstLine="0"/>
      </w:pPr>
      <w:rPr>
        <w:rFonts w:ascii="Verdana" w:hAnsi="Verdana" w:hint="default"/>
      </w:rPr>
    </w:lvl>
    <w:lvl w:ilvl="1" w:tplc="2004A8CA" w:tentative="1">
      <w:start w:val="1"/>
      <w:numFmt w:val="bullet"/>
      <w:lvlText w:val="o"/>
      <w:lvlJc w:val="left"/>
      <w:pPr>
        <w:tabs>
          <w:tab w:val="num" w:pos="1440"/>
        </w:tabs>
        <w:ind w:left="1440" w:hanging="360"/>
      </w:pPr>
      <w:rPr>
        <w:rFonts w:ascii="Courier New" w:hAnsi="Courier New" w:cs="Courier New" w:hint="default"/>
      </w:rPr>
    </w:lvl>
    <w:lvl w:ilvl="2" w:tplc="F42CF36E" w:tentative="1">
      <w:start w:val="1"/>
      <w:numFmt w:val="bullet"/>
      <w:lvlText w:val=""/>
      <w:lvlJc w:val="left"/>
      <w:pPr>
        <w:tabs>
          <w:tab w:val="num" w:pos="2160"/>
        </w:tabs>
        <w:ind w:left="2160" w:hanging="360"/>
      </w:pPr>
      <w:rPr>
        <w:rFonts w:ascii="Wingdings" w:hAnsi="Wingdings" w:hint="default"/>
      </w:rPr>
    </w:lvl>
    <w:lvl w:ilvl="3" w:tplc="84D09A02" w:tentative="1">
      <w:start w:val="1"/>
      <w:numFmt w:val="bullet"/>
      <w:lvlText w:val=""/>
      <w:lvlJc w:val="left"/>
      <w:pPr>
        <w:tabs>
          <w:tab w:val="num" w:pos="2880"/>
        </w:tabs>
        <w:ind w:left="2880" w:hanging="360"/>
      </w:pPr>
      <w:rPr>
        <w:rFonts w:ascii="Symbol" w:hAnsi="Symbol" w:hint="default"/>
      </w:rPr>
    </w:lvl>
    <w:lvl w:ilvl="4" w:tplc="BF5A5D18" w:tentative="1">
      <w:start w:val="1"/>
      <w:numFmt w:val="bullet"/>
      <w:lvlText w:val="o"/>
      <w:lvlJc w:val="left"/>
      <w:pPr>
        <w:tabs>
          <w:tab w:val="num" w:pos="3600"/>
        </w:tabs>
        <w:ind w:left="3600" w:hanging="360"/>
      </w:pPr>
      <w:rPr>
        <w:rFonts w:ascii="Courier New" w:hAnsi="Courier New" w:cs="Courier New" w:hint="default"/>
      </w:rPr>
    </w:lvl>
    <w:lvl w:ilvl="5" w:tplc="B3CAE63C" w:tentative="1">
      <w:start w:val="1"/>
      <w:numFmt w:val="bullet"/>
      <w:lvlText w:val=""/>
      <w:lvlJc w:val="left"/>
      <w:pPr>
        <w:tabs>
          <w:tab w:val="num" w:pos="4320"/>
        </w:tabs>
        <w:ind w:left="4320" w:hanging="360"/>
      </w:pPr>
      <w:rPr>
        <w:rFonts w:ascii="Wingdings" w:hAnsi="Wingdings" w:hint="default"/>
      </w:rPr>
    </w:lvl>
    <w:lvl w:ilvl="6" w:tplc="42D42B26" w:tentative="1">
      <w:start w:val="1"/>
      <w:numFmt w:val="bullet"/>
      <w:lvlText w:val=""/>
      <w:lvlJc w:val="left"/>
      <w:pPr>
        <w:tabs>
          <w:tab w:val="num" w:pos="5040"/>
        </w:tabs>
        <w:ind w:left="5040" w:hanging="360"/>
      </w:pPr>
      <w:rPr>
        <w:rFonts w:ascii="Symbol" w:hAnsi="Symbol" w:hint="default"/>
      </w:rPr>
    </w:lvl>
    <w:lvl w:ilvl="7" w:tplc="A74C89CC" w:tentative="1">
      <w:start w:val="1"/>
      <w:numFmt w:val="bullet"/>
      <w:lvlText w:val="o"/>
      <w:lvlJc w:val="left"/>
      <w:pPr>
        <w:tabs>
          <w:tab w:val="num" w:pos="5760"/>
        </w:tabs>
        <w:ind w:left="5760" w:hanging="360"/>
      </w:pPr>
      <w:rPr>
        <w:rFonts w:ascii="Courier New" w:hAnsi="Courier New" w:cs="Courier New" w:hint="default"/>
      </w:rPr>
    </w:lvl>
    <w:lvl w:ilvl="8" w:tplc="C374C8B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89E0C5D0">
      <w:numFmt w:val="bullet"/>
      <w:lvlText w:val="-"/>
      <w:lvlJc w:val="left"/>
      <w:pPr>
        <w:ind w:left="720" w:hanging="360"/>
      </w:pPr>
      <w:rPr>
        <w:rFonts w:ascii="Calibri" w:eastAsia="Times New Roman" w:hAnsi="Calibri" w:cs="Calibri" w:hint="default"/>
      </w:rPr>
    </w:lvl>
    <w:lvl w:ilvl="1" w:tplc="48DEBD24">
      <w:start w:val="1"/>
      <w:numFmt w:val="bullet"/>
      <w:lvlText w:val="o"/>
      <w:lvlJc w:val="left"/>
      <w:pPr>
        <w:ind w:left="1440" w:hanging="360"/>
      </w:pPr>
      <w:rPr>
        <w:rFonts w:ascii="Courier New" w:hAnsi="Courier New" w:cs="Courier New" w:hint="default"/>
      </w:rPr>
    </w:lvl>
    <w:lvl w:ilvl="2" w:tplc="7E9E13D4">
      <w:start w:val="1"/>
      <w:numFmt w:val="bullet"/>
      <w:lvlText w:val=""/>
      <w:lvlJc w:val="left"/>
      <w:pPr>
        <w:ind w:left="2160" w:hanging="360"/>
      </w:pPr>
      <w:rPr>
        <w:rFonts w:ascii="Wingdings" w:hAnsi="Wingdings" w:hint="default"/>
      </w:rPr>
    </w:lvl>
    <w:lvl w:ilvl="3" w:tplc="273C8628">
      <w:start w:val="1"/>
      <w:numFmt w:val="bullet"/>
      <w:lvlText w:val=""/>
      <w:lvlJc w:val="left"/>
      <w:pPr>
        <w:ind w:left="2880" w:hanging="360"/>
      </w:pPr>
      <w:rPr>
        <w:rFonts w:ascii="Symbol" w:hAnsi="Symbol" w:hint="default"/>
      </w:rPr>
    </w:lvl>
    <w:lvl w:ilvl="4" w:tplc="1A30EBB0">
      <w:start w:val="1"/>
      <w:numFmt w:val="bullet"/>
      <w:lvlText w:val="o"/>
      <w:lvlJc w:val="left"/>
      <w:pPr>
        <w:ind w:left="3600" w:hanging="360"/>
      </w:pPr>
      <w:rPr>
        <w:rFonts w:ascii="Courier New" w:hAnsi="Courier New" w:cs="Courier New" w:hint="default"/>
      </w:rPr>
    </w:lvl>
    <w:lvl w:ilvl="5" w:tplc="56FEB7F0">
      <w:start w:val="1"/>
      <w:numFmt w:val="bullet"/>
      <w:lvlText w:val=""/>
      <w:lvlJc w:val="left"/>
      <w:pPr>
        <w:ind w:left="4320" w:hanging="360"/>
      </w:pPr>
      <w:rPr>
        <w:rFonts w:ascii="Wingdings" w:hAnsi="Wingdings" w:hint="default"/>
      </w:rPr>
    </w:lvl>
    <w:lvl w:ilvl="6" w:tplc="0BEA5D52">
      <w:start w:val="1"/>
      <w:numFmt w:val="bullet"/>
      <w:lvlText w:val=""/>
      <w:lvlJc w:val="left"/>
      <w:pPr>
        <w:ind w:left="5040" w:hanging="360"/>
      </w:pPr>
      <w:rPr>
        <w:rFonts w:ascii="Symbol" w:hAnsi="Symbol" w:hint="default"/>
      </w:rPr>
    </w:lvl>
    <w:lvl w:ilvl="7" w:tplc="AE68803C">
      <w:start w:val="1"/>
      <w:numFmt w:val="bullet"/>
      <w:lvlText w:val="o"/>
      <w:lvlJc w:val="left"/>
      <w:pPr>
        <w:ind w:left="5760" w:hanging="360"/>
      </w:pPr>
      <w:rPr>
        <w:rFonts w:ascii="Courier New" w:hAnsi="Courier New" w:cs="Courier New" w:hint="default"/>
      </w:rPr>
    </w:lvl>
    <w:lvl w:ilvl="8" w:tplc="056663E2">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63262260">
    <w:abstractNumId w:val="10"/>
  </w:num>
  <w:num w:numId="2" w16cid:durableId="105346066">
    <w:abstractNumId w:val="7"/>
  </w:num>
  <w:num w:numId="3" w16cid:durableId="1685746410">
    <w:abstractNumId w:val="6"/>
  </w:num>
  <w:num w:numId="4" w16cid:durableId="1880121580">
    <w:abstractNumId w:val="5"/>
  </w:num>
  <w:num w:numId="5" w16cid:durableId="1809782904">
    <w:abstractNumId w:val="4"/>
  </w:num>
  <w:num w:numId="6" w16cid:durableId="922451253">
    <w:abstractNumId w:val="8"/>
  </w:num>
  <w:num w:numId="7" w16cid:durableId="860508702">
    <w:abstractNumId w:val="3"/>
  </w:num>
  <w:num w:numId="8" w16cid:durableId="2033260234">
    <w:abstractNumId w:val="2"/>
  </w:num>
  <w:num w:numId="9" w16cid:durableId="1740326933">
    <w:abstractNumId w:val="1"/>
  </w:num>
  <w:num w:numId="10" w16cid:durableId="1856845596">
    <w:abstractNumId w:val="0"/>
  </w:num>
  <w:num w:numId="11" w16cid:durableId="575170581">
    <w:abstractNumId w:val="9"/>
  </w:num>
  <w:num w:numId="12" w16cid:durableId="655308602">
    <w:abstractNumId w:val="11"/>
  </w:num>
  <w:num w:numId="13" w16cid:durableId="1465350544">
    <w:abstractNumId w:val="14"/>
  </w:num>
  <w:num w:numId="14" w16cid:durableId="514465989">
    <w:abstractNumId w:val="12"/>
  </w:num>
  <w:num w:numId="15" w16cid:durableId="207677845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6A0"/>
    <w:rsid w:val="00013862"/>
    <w:rsid w:val="00016012"/>
    <w:rsid w:val="00020189"/>
    <w:rsid w:val="00020EE4"/>
    <w:rsid w:val="00023E9A"/>
    <w:rsid w:val="00033CDD"/>
    <w:rsid w:val="00034A84"/>
    <w:rsid w:val="00035E67"/>
    <w:rsid w:val="000366F3"/>
    <w:rsid w:val="000518FD"/>
    <w:rsid w:val="0006024D"/>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6CCE"/>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AF9"/>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238"/>
    <w:rsid w:val="002309A8"/>
    <w:rsid w:val="00236CFE"/>
    <w:rsid w:val="002428E3"/>
    <w:rsid w:val="00243031"/>
    <w:rsid w:val="002570B4"/>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0029B"/>
    <w:rsid w:val="00312597"/>
    <w:rsid w:val="003202FA"/>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95A55"/>
    <w:rsid w:val="003A06C8"/>
    <w:rsid w:val="003A0D7C"/>
    <w:rsid w:val="003A5290"/>
    <w:rsid w:val="003B0155"/>
    <w:rsid w:val="003B7EE7"/>
    <w:rsid w:val="003C2CCB"/>
    <w:rsid w:val="003D39EC"/>
    <w:rsid w:val="003D5DED"/>
    <w:rsid w:val="003E3DD5"/>
    <w:rsid w:val="003E4281"/>
    <w:rsid w:val="003F07C6"/>
    <w:rsid w:val="003F1F6B"/>
    <w:rsid w:val="003F3757"/>
    <w:rsid w:val="003F38BD"/>
    <w:rsid w:val="003F44B7"/>
    <w:rsid w:val="003F61FF"/>
    <w:rsid w:val="004008E9"/>
    <w:rsid w:val="00413D48"/>
    <w:rsid w:val="00441AC2"/>
    <w:rsid w:val="0044249B"/>
    <w:rsid w:val="0045023C"/>
    <w:rsid w:val="00451A5B"/>
    <w:rsid w:val="00452BCD"/>
    <w:rsid w:val="00452CEA"/>
    <w:rsid w:val="00465B52"/>
    <w:rsid w:val="0046708E"/>
    <w:rsid w:val="00472A65"/>
    <w:rsid w:val="00474463"/>
    <w:rsid w:val="00474B75"/>
    <w:rsid w:val="00483F0B"/>
    <w:rsid w:val="004957DD"/>
    <w:rsid w:val="00496319"/>
    <w:rsid w:val="00497279"/>
    <w:rsid w:val="004A163B"/>
    <w:rsid w:val="004A670A"/>
    <w:rsid w:val="004B0F05"/>
    <w:rsid w:val="004B5465"/>
    <w:rsid w:val="004B70F0"/>
    <w:rsid w:val="004D505E"/>
    <w:rsid w:val="004D72CA"/>
    <w:rsid w:val="004E2242"/>
    <w:rsid w:val="004E4776"/>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2538"/>
    <w:rsid w:val="005C34E1"/>
    <w:rsid w:val="005C3FE0"/>
    <w:rsid w:val="005C65B5"/>
    <w:rsid w:val="005C740C"/>
    <w:rsid w:val="005D32D1"/>
    <w:rsid w:val="005D625B"/>
    <w:rsid w:val="005F62D3"/>
    <w:rsid w:val="005F6D11"/>
    <w:rsid w:val="00600CF0"/>
    <w:rsid w:val="006048F4"/>
    <w:rsid w:val="0060660A"/>
    <w:rsid w:val="00613B1D"/>
    <w:rsid w:val="00617A44"/>
    <w:rsid w:val="006202B6"/>
    <w:rsid w:val="00621DEC"/>
    <w:rsid w:val="00624D22"/>
    <w:rsid w:val="00625CD0"/>
    <w:rsid w:val="0062627D"/>
    <w:rsid w:val="00627432"/>
    <w:rsid w:val="006448E4"/>
    <w:rsid w:val="00645414"/>
    <w:rsid w:val="00650F19"/>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6EA8"/>
    <w:rsid w:val="006B775E"/>
    <w:rsid w:val="006B7BC7"/>
    <w:rsid w:val="006C2535"/>
    <w:rsid w:val="006C441E"/>
    <w:rsid w:val="006C4B90"/>
    <w:rsid w:val="006D1016"/>
    <w:rsid w:val="006D1737"/>
    <w:rsid w:val="006D17F2"/>
    <w:rsid w:val="006E3546"/>
    <w:rsid w:val="006E3FA9"/>
    <w:rsid w:val="006E7D82"/>
    <w:rsid w:val="006F038F"/>
    <w:rsid w:val="006F0F93"/>
    <w:rsid w:val="006F31F2"/>
    <w:rsid w:val="006F3605"/>
    <w:rsid w:val="006F7494"/>
    <w:rsid w:val="006F751F"/>
    <w:rsid w:val="007008C0"/>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7145A"/>
    <w:rsid w:val="00781DCA"/>
    <w:rsid w:val="00782701"/>
    <w:rsid w:val="00783559"/>
    <w:rsid w:val="0079231F"/>
    <w:rsid w:val="0079551B"/>
    <w:rsid w:val="00797AA5"/>
    <w:rsid w:val="007A26BD"/>
    <w:rsid w:val="007A4105"/>
    <w:rsid w:val="007B4503"/>
    <w:rsid w:val="007B7905"/>
    <w:rsid w:val="007C406E"/>
    <w:rsid w:val="007C5183"/>
    <w:rsid w:val="007C7573"/>
    <w:rsid w:val="007E2B20"/>
    <w:rsid w:val="007E6975"/>
    <w:rsid w:val="007F37C6"/>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2D45"/>
    <w:rsid w:val="00833695"/>
    <w:rsid w:val="008336B7"/>
    <w:rsid w:val="00833A8E"/>
    <w:rsid w:val="00836ACA"/>
    <w:rsid w:val="00842CD8"/>
    <w:rsid w:val="008431FA"/>
    <w:rsid w:val="00847444"/>
    <w:rsid w:val="008517C6"/>
    <w:rsid w:val="008547BA"/>
    <w:rsid w:val="008553C7"/>
    <w:rsid w:val="00857FEB"/>
    <w:rsid w:val="008601AF"/>
    <w:rsid w:val="00872271"/>
    <w:rsid w:val="00880AC6"/>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2296"/>
    <w:rsid w:val="0090271B"/>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E8F"/>
    <w:rsid w:val="00985E56"/>
    <w:rsid w:val="0098788A"/>
    <w:rsid w:val="00994FDA"/>
    <w:rsid w:val="009969F2"/>
    <w:rsid w:val="009A31BF"/>
    <w:rsid w:val="009A3B71"/>
    <w:rsid w:val="009A61BC"/>
    <w:rsid w:val="009B0138"/>
    <w:rsid w:val="009B0FE9"/>
    <w:rsid w:val="009B173A"/>
    <w:rsid w:val="009C3F20"/>
    <w:rsid w:val="009C7CA1"/>
    <w:rsid w:val="009D043D"/>
    <w:rsid w:val="009D0B5A"/>
    <w:rsid w:val="009E107A"/>
    <w:rsid w:val="009F3259"/>
    <w:rsid w:val="00A056DE"/>
    <w:rsid w:val="00A128AD"/>
    <w:rsid w:val="00A21E76"/>
    <w:rsid w:val="00A23BC8"/>
    <w:rsid w:val="00A245F8"/>
    <w:rsid w:val="00A30E68"/>
    <w:rsid w:val="00A31933"/>
    <w:rsid w:val="00A329D2"/>
    <w:rsid w:val="00A34AA0"/>
    <w:rsid w:val="00A3715C"/>
    <w:rsid w:val="00A41FE2"/>
    <w:rsid w:val="00A46FEF"/>
    <w:rsid w:val="00A47948"/>
    <w:rsid w:val="00A50CF6"/>
    <w:rsid w:val="00A56946"/>
    <w:rsid w:val="00A6170E"/>
    <w:rsid w:val="00A63B8C"/>
    <w:rsid w:val="00A715F8"/>
    <w:rsid w:val="00A73DFF"/>
    <w:rsid w:val="00A77F6F"/>
    <w:rsid w:val="00A831FD"/>
    <w:rsid w:val="00A83352"/>
    <w:rsid w:val="00A850A2"/>
    <w:rsid w:val="00A91FA3"/>
    <w:rsid w:val="00A927D3"/>
    <w:rsid w:val="00AA1964"/>
    <w:rsid w:val="00AA7FC9"/>
    <w:rsid w:val="00AB237D"/>
    <w:rsid w:val="00AB5933"/>
    <w:rsid w:val="00AB6ADC"/>
    <w:rsid w:val="00AE013D"/>
    <w:rsid w:val="00AE11B7"/>
    <w:rsid w:val="00AE7F68"/>
    <w:rsid w:val="00AF2321"/>
    <w:rsid w:val="00AF52F6"/>
    <w:rsid w:val="00AF54A8"/>
    <w:rsid w:val="00AF7237"/>
    <w:rsid w:val="00B0043A"/>
    <w:rsid w:val="00B00D75"/>
    <w:rsid w:val="00B068BD"/>
    <w:rsid w:val="00B070CB"/>
    <w:rsid w:val="00B12456"/>
    <w:rsid w:val="00B145F0"/>
    <w:rsid w:val="00B259C8"/>
    <w:rsid w:val="00B26CCF"/>
    <w:rsid w:val="00B30FC2"/>
    <w:rsid w:val="00B331A2"/>
    <w:rsid w:val="00B41CD1"/>
    <w:rsid w:val="00B425F0"/>
    <w:rsid w:val="00B42DFA"/>
    <w:rsid w:val="00B4315B"/>
    <w:rsid w:val="00B531DD"/>
    <w:rsid w:val="00B55014"/>
    <w:rsid w:val="00B62232"/>
    <w:rsid w:val="00B70BF3"/>
    <w:rsid w:val="00B71DC2"/>
    <w:rsid w:val="00B80E8A"/>
    <w:rsid w:val="00B824BA"/>
    <w:rsid w:val="00B91CFC"/>
    <w:rsid w:val="00B93893"/>
    <w:rsid w:val="00BA1397"/>
    <w:rsid w:val="00BA7E0A"/>
    <w:rsid w:val="00BC3B53"/>
    <w:rsid w:val="00BC3B96"/>
    <w:rsid w:val="00BC4AE3"/>
    <w:rsid w:val="00BC5B28"/>
    <w:rsid w:val="00BD2370"/>
    <w:rsid w:val="00BE3F88"/>
    <w:rsid w:val="00BE4756"/>
    <w:rsid w:val="00BE5ED9"/>
    <w:rsid w:val="00BE7B41"/>
    <w:rsid w:val="00C15A91"/>
    <w:rsid w:val="00C206F1"/>
    <w:rsid w:val="00C217E1"/>
    <w:rsid w:val="00C219B1"/>
    <w:rsid w:val="00C225DD"/>
    <w:rsid w:val="00C37826"/>
    <w:rsid w:val="00C4015B"/>
    <w:rsid w:val="00C40268"/>
    <w:rsid w:val="00C4033F"/>
    <w:rsid w:val="00C40C60"/>
    <w:rsid w:val="00C5258E"/>
    <w:rsid w:val="00C530C9"/>
    <w:rsid w:val="00C619A7"/>
    <w:rsid w:val="00C73D5F"/>
    <w:rsid w:val="00C817DD"/>
    <w:rsid w:val="00C82AFE"/>
    <w:rsid w:val="00C83DBC"/>
    <w:rsid w:val="00C83EAD"/>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CF71AB"/>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1182"/>
    <w:rsid w:val="00D72AF5"/>
    <w:rsid w:val="00D72F45"/>
    <w:rsid w:val="00D731A2"/>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0EDF"/>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52EF"/>
    <w:rsid w:val="00E273C5"/>
    <w:rsid w:val="00E307D1"/>
    <w:rsid w:val="00E3731D"/>
    <w:rsid w:val="00E51469"/>
    <w:rsid w:val="00E573A1"/>
    <w:rsid w:val="00E634E3"/>
    <w:rsid w:val="00E717C4"/>
    <w:rsid w:val="00E77E18"/>
    <w:rsid w:val="00E77F89"/>
    <w:rsid w:val="00E80330"/>
    <w:rsid w:val="00E806C5"/>
    <w:rsid w:val="00E80E71"/>
    <w:rsid w:val="00E850D3"/>
    <w:rsid w:val="00E853D6"/>
    <w:rsid w:val="00E876B9"/>
    <w:rsid w:val="00EA0F13"/>
    <w:rsid w:val="00EC0DFF"/>
    <w:rsid w:val="00EC1011"/>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2C95"/>
    <w:rsid w:val="00F13A4E"/>
    <w:rsid w:val="00F172BB"/>
    <w:rsid w:val="00F17B10"/>
    <w:rsid w:val="00F21BEF"/>
    <w:rsid w:val="00F2315B"/>
    <w:rsid w:val="00F41A6F"/>
    <w:rsid w:val="00F45A25"/>
    <w:rsid w:val="00F50F86"/>
    <w:rsid w:val="00F53F91"/>
    <w:rsid w:val="00F61569"/>
    <w:rsid w:val="00F61A72"/>
    <w:rsid w:val="00F62B67"/>
    <w:rsid w:val="00F66F13"/>
    <w:rsid w:val="00F71F3C"/>
    <w:rsid w:val="00F74073"/>
    <w:rsid w:val="00F748E6"/>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E76BD"/>
    <w:rsid w:val="00FF192E"/>
    <w:rsid w:val="00FF4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32C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customStyle="1" w:styleId="VoetnoottekstChar1">
    <w:name w:val="Voetnoottekst Char1"/>
    <w:basedOn w:val="Standaardalinea-lettertype"/>
    <w:semiHidden/>
    <w:rsid w:val="00EC1011"/>
    <w:rPr>
      <w:rFonts w:ascii="Verdana" w:hAnsi="Verdana"/>
      <w:lang w:val="nl-NL" w:eastAsia="nl-NL"/>
    </w:rPr>
  </w:style>
  <w:style w:type="character" w:styleId="Voetnootmarkering">
    <w:name w:val="footnote reference"/>
    <w:basedOn w:val="Standaardalinea-lettertype"/>
    <w:semiHidden/>
    <w:unhideWhenUsed/>
    <w:rsid w:val="00EC10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382</ap:Words>
  <ap:Characters>2101</ap:Characters>
  <ap:DocSecurity>0</ap:DocSecurity>
  <ap:Lines>17</ap:Lines>
  <ap:Paragraphs>4</ap:Paragraphs>
  <ap:ScaleCrop>false</ap:ScaleCrop>
  <ap:LinksUpToDate>false</ap:LinksUpToDate>
  <ap:CharactersWithSpaces>2479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2026-06-19T12:50:00.0000000Z</dcterms:created>
  <dcterms:modified xsi:type="dcterms:W3CDTF">2026-06-19T12:52:00.0000000Z</dcterms:modified>
  <dc:description>------------------------</dc:description>
  <dc:subject/>
  <keywords/>
  <version/>
  <category/>
</coreProperties>
</file>