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A1" w:rsidRDefault="009F17FC" w14:paraId="2AE9EAA0" w14:textId="6636680D">
      <w:bookmarkStart w:name="_GoBack" w:id="0"/>
      <w:bookmarkEnd w:id="0"/>
      <w:r>
        <w:t>Geachte voorzitter,</w:t>
      </w:r>
    </w:p>
    <w:p w:rsidR="009F17FC" w:rsidRDefault="009F17FC" w14:paraId="2926FD7F" w14:textId="77777777"/>
    <w:p w:rsidR="009F17FC" w:rsidRDefault="00C2383A" w14:paraId="0CC6682B" w14:textId="664D7BDB">
      <w:r>
        <w:t xml:space="preserve">Op 15 mei jl. heeft de Commissie voor de mer (hierna: de Commissie) advies uitgebracht op het milieueffectrapport (MER) voor de wijziging van het </w:t>
      </w:r>
      <w:bookmarkStart w:name="_Hlk231297421" w:id="1"/>
      <w:r>
        <w:t>luchthavenverkeerbesluit Schiphol (LVB)</w:t>
      </w:r>
      <w:bookmarkEnd w:id="1"/>
      <w:r>
        <w:t xml:space="preserve">. Hierover is </w:t>
      </w:r>
      <w:r w:rsidR="00087007">
        <w:t>de</w:t>
      </w:r>
      <w:r>
        <w:t xml:space="preserve"> Kamer geïnformeerd</w:t>
      </w:r>
      <w:r w:rsidR="009F17FC">
        <w:t>.</w:t>
      </w:r>
      <w:r w:rsidR="009F17FC">
        <w:rPr>
          <w:rStyle w:val="FootnoteReference"/>
        </w:rPr>
        <w:footnoteReference w:id="1"/>
      </w:r>
    </w:p>
    <w:p w:rsidR="00F26FC6" w:rsidRDefault="00F26FC6" w14:paraId="158DD7F4" w14:textId="77777777"/>
    <w:p w:rsidR="00C2383A" w:rsidP="00C2383A" w:rsidRDefault="00C2383A" w14:paraId="07F41678" w14:textId="09CBD7EE">
      <w:r w:rsidRPr="0017159F">
        <w:t xml:space="preserve">Zoals in de Kamerbrief </w:t>
      </w:r>
      <w:r w:rsidRPr="0017159F" w:rsidR="0017159F">
        <w:t>bij aanbieding van het advies van de Commissie is aangegeven en zoals gewisseld bij het Commissiedebat Schiphol van 19 mei jl.,</w:t>
      </w:r>
      <w:r w:rsidR="0017159F">
        <w:t xml:space="preserve"> </w:t>
      </w:r>
      <w:r>
        <w:t xml:space="preserve">laat het advies van de Commissie de complexiteit zien van het Schipholdossier. Na een jarenlange gedoogsituatie, waardoor de rechtsbescherming van omwonenden niet goed geborgd is en de juridisch situatie voor de luchthaven onzeker was, heeft het </w:t>
      </w:r>
      <w:r w:rsidRPr="00F04F50">
        <w:t xml:space="preserve">toenmalige kabinet </w:t>
      </w:r>
      <w:r>
        <w:t xml:space="preserve">in 2022 </w:t>
      </w:r>
      <w:r w:rsidRPr="00F04F50">
        <w:t>het besluit genomen om te komen tot een andere balans tussen de economische belangen van de luchthaven, en de belangen van omwonenden en de leefomgeving.</w:t>
      </w:r>
      <w:r>
        <w:t xml:space="preserve"> Hiervoor is ook de verplichte Europese balanced approach-procedure doorlopen. Daarnaast heeft in maart 2024 de rechter in de door de Stichting Recht op bescherming tegen Vliegtuighinder (RBV) tegen de Staat aangespannen procedure geoordeeld </w:t>
      </w:r>
      <w:r w:rsidRPr="00F04F50">
        <w:t>dat de belangen van omwonenden beter moeten worden meegewogen en de rechtsbescherming binnen een jaar moet worden hersteld.</w:t>
      </w:r>
    </w:p>
    <w:p w:rsidR="00C2383A" w:rsidP="00C2383A" w:rsidRDefault="00C2383A" w14:paraId="3A0EAEDE" w14:textId="77777777"/>
    <w:p w:rsidR="00C2383A" w:rsidP="00C2383A" w:rsidRDefault="00C2383A" w14:paraId="60575A1B" w14:textId="77777777">
      <w:r>
        <w:t xml:space="preserve">Het resultaat van de balanced approach-procedure en de uitwerking van de RBV-uitspraak, hebben geleid tot het LVB dat nu voorligt. Voor dit LVB is een MER opgesteld, waar de Commissie een advies op heeft gegeven. Bijgevoegd bij deze brief is de reactienota MER alsmede het plan van aanpak voor de herziening van het MER opgenomen.  </w:t>
      </w:r>
    </w:p>
    <w:p w:rsidR="00C2383A" w:rsidP="00C2383A" w:rsidRDefault="00C2383A" w14:paraId="1228A763" w14:textId="77777777"/>
    <w:p w:rsidRPr="00992A77" w:rsidR="00C2383A" w:rsidP="00C2383A" w:rsidRDefault="00C2383A" w14:paraId="3CAA31D2" w14:textId="77777777">
      <w:pPr>
        <w:rPr>
          <w:b/>
          <w:bCs/>
        </w:rPr>
      </w:pPr>
      <w:r w:rsidRPr="00992A77">
        <w:rPr>
          <w:b/>
          <w:bCs/>
        </w:rPr>
        <w:t>Reactienota MER</w:t>
      </w:r>
    </w:p>
    <w:p w:rsidR="00C2383A" w:rsidP="00C2383A" w:rsidRDefault="00C2383A" w14:paraId="6846093F" w14:textId="1C04A97A">
      <w:r>
        <w:t xml:space="preserve">Het bevoegd gezag voor de milieueffectrapportage (het directoraat-generaal Milieu en Internationaal, binnen het ministerie van IenW) heeft in een reactienota aangegeven hoe om te gaan met de adviezen van de Commissie en de wettelijke adviseurs voor de mer. De reactienota is opgenomen als bijlage bij deze brief. Hierin wordt uiteengezet </w:t>
      </w:r>
      <w:r w:rsidRPr="00010CC1">
        <w:t xml:space="preserve">hoe de initiatiefnemer </w:t>
      </w:r>
      <w:r w:rsidR="00790523">
        <w:t xml:space="preserve">(het directoraat-generaal Luchtvaart en Maritieme Zaken, binnen het ministerie van IenW) </w:t>
      </w:r>
      <w:r w:rsidRPr="00010CC1">
        <w:t xml:space="preserve">specifiek </w:t>
      </w:r>
      <w:r w:rsidRPr="00010CC1">
        <w:lastRenderedPageBreak/>
        <w:t>invulling zal geven aan de</w:t>
      </w:r>
      <w:r>
        <w:t xml:space="preserve"> adviezen van de Commissie mer en de minister van LVVN. </w:t>
      </w:r>
    </w:p>
    <w:p w:rsidR="00C2383A" w:rsidP="00C2383A" w:rsidRDefault="00C2383A" w14:paraId="61DDAC6C" w14:textId="77777777"/>
    <w:p w:rsidR="00C2383A" w:rsidP="00C2383A" w:rsidRDefault="00C2383A" w14:paraId="102C92B7" w14:textId="33A43CE2">
      <w:r>
        <w:t xml:space="preserve">In de reactienota staat dat </w:t>
      </w:r>
      <w:r w:rsidR="00790523">
        <w:t xml:space="preserve">conform aanbeveling van de Commissie, het MER wordt herzien. </w:t>
      </w:r>
      <w:r>
        <w:rPr>
          <w:color w:val="auto"/>
        </w:rPr>
        <w:t>Daarin komt een vergelijking van de effecten met de juridisch vereiste referentiesituatie en een onderbouwing van de afbakeningen, doelen en doelbereik.</w:t>
      </w:r>
    </w:p>
    <w:p w:rsidRPr="00112716" w:rsidR="00C2383A" w:rsidP="00C2383A" w:rsidRDefault="00C2383A" w14:paraId="1905240A" w14:textId="77777777"/>
    <w:p w:rsidRPr="00112716" w:rsidR="00C2383A" w:rsidP="00C2383A" w:rsidRDefault="00C2383A" w14:paraId="754457E4" w14:textId="77777777">
      <w:pPr>
        <w:rPr>
          <w:b/>
          <w:bCs/>
        </w:rPr>
      </w:pPr>
      <w:r>
        <w:rPr>
          <w:b/>
          <w:bCs/>
        </w:rPr>
        <w:t>Aanpak</w:t>
      </w:r>
      <w:r w:rsidRPr="00992A77">
        <w:rPr>
          <w:b/>
          <w:bCs/>
        </w:rPr>
        <w:t xml:space="preserve"> </w:t>
      </w:r>
      <w:r>
        <w:rPr>
          <w:b/>
          <w:bCs/>
        </w:rPr>
        <w:t xml:space="preserve">herziening </w:t>
      </w:r>
      <w:r w:rsidRPr="00992A77">
        <w:rPr>
          <w:b/>
          <w:bCs/>
        </w:rPr>
        <w:t>MER</w:t>
      </w:r>
    </w:p>
    <w:p w:rsidR="00C2383A" w:rsidP="00C2383A" w:rsidRDefault="00C2383A" w14:paraId="59ECB1E0" w14:textId="75372784">
      <w:r>
        <w:t xml:space="preserve">De initiatiefnemer heeft op basis van het advies van de Commissie en de reactienota, een aanpak opgesteld op welke wijze het MER herzien wordt. Dit met als doel om zo veel mogelijk invulling te geven aan de geadresseerde punten in de reactienota. In de tweede bijlage wordt dit gedetailleerd uiteengezet. Hierbij wordt aangegeven welke adviezen al dan niet worden opgevolgd en op welke wijze hieraan invulling wordt gegeven. </w:t>
      </w:r>
    </w:p>
    <w:p w:rsidR="00C2383A" w:rsidP="00C2383A" w:rsidRDefault="00C2383A" w14:paraId="6870B584" w14:textId="77777777"/>
    <w:p w:rsidRPr="00992A77" w:rsidR="00C2383A" w:rsidP="00C2383A" w:rsidRDefault="00C2383A" w14:paraId="46F06C4F" w14:textId="77777777">
      <w:pPr>
        <w:rPr>
          <w:b/>
          <w:bCs/>
        </w:rPr>
      </w:pPr>
      <w:r w:rsidRPr="00992A77">
        <w:rPr>
          <w:b/>
          <w:bCs/>
        </w:rPr>
        <w:t xml:space="preserve">Vervolgproces </w:t>
      </w:r>
    </w:p>
    <w:p w:rsidRPr="00E57D2C" w:rsidR="00C2383A" w:rsidP="00C2383A" w:rsidRDefault="00C2383A" w14:paraId="1077E6FF" w14:textId="27817456">
      <w:pPr>
        <w:pStyle w:val="WitregelW1bodytekst"/>
        <w:rPr>
          <w:b/>
          <w:bCs/>
        </w:rPr>
      </w:pPr>
      <w:r>
        <w:t>In de komende weken wordt gewerkt aan de herziening van het MER</w:t>
      </w:r>
      <w:r w:rsidR="00A86148">
        <w:t>, conform de reactienota en het plan van aanpak</w:t>
      </w:r>
      <w:r>
        <w:t xml:space="preserve">. Tegelijkertijd wordt de laatste hand gelegd aan de artikelen en de nota van toelichting van het LVB naar aanleiding van de voorhang- en zienswijzeprocedure. Naar verwachting wordt het aangepaste LVB en MER deze zomer ter advisering voorgelegd aan de Raad van State. Ik ben voornemens de Raad van State te verzoeken om de adviesvraag met spoed te behandelen. Dit maakt het mogelijk om het LVB na verwerking van het advies op tijd vast te stellen en in werking te kunnen laten treden voor de start van het nieuwe gebruiksjaar op 1 november 2026. Dit is van belang om het anticiperend handhaven te kunnen beëindigen. </w:t>
      </w:r>
      <w:r w:rsidRPr="007977A8">
        <w:t>Om deze planning te halen is het belangrijk om de voorhangprocedure in beide Kamers af te ronden voor het zomerreces</w:t>
      </w:r>
      <w:r>
        <w:t>.</w:t>
      </w:r>
    </w:p>
    <w:p w:rsidR="009D6CA1" w:rsidRDefault="009D6CA1" w14:paraId="6ADAB571" w14:textId="65BB244B">
      <w:pPr>
        <w:pStyle w:val="WitregelW1bodytekst"/>
      </w:pPr>
    </w:p>
    <w:p w:rsidR="009D6CA1" w:rsidRDefault="00383C3E" w14:paraId="636FAE87" w14:textId="77777777">
      <w:pPr>
        <w:pStyle w:val="Slotzin"/>
      </w:pPr>
      <w:r>
        <w:t>Hoogachtend,</w:t>
      </w:r>
    </w:p>
    <w:p w:rsidR="009D6CA1" w:rsidRDefault="00383C3E" w14:paraId="4E876242" w14:textId="77777777">
      <w:pPr>
        <w:pStyle w:val="OndertekeningArea1"/>
      </w:pPr>
      <w:r>
        <w:t>DE MINISTER VAN INFRASTRUCTUUR EN WATERSTAAT,</w:t>
      </w:r>
    </w:p>
    <w:p w:rsidR="009D6CA1" w:rsidRDefault="009D6CA1" w14:paraId="3AD1696D" w14:textId="77777777"/>
    <w:p w:rsidR="009D6CA1" w:rsidRDefault="009D6CA1" w14:paraId="0EC64036" w14:textId="77777777"/>
    <w:p w:rsidR="009D6CA1" w:rsidRDefault="009D6CA1" w14:paraId="669A0146" w14:textId="77777777"/>
    <w:p w:rsidR="009D6CA1" w:rsidRDefault="009D6CA1" w14:paraId="3D2FDA55" w14:textId="77777777"/>
    <w:p w:rsidR="009D6CA1" w:rsidRDefault="00383C3E" w14:paraId="6FD7CB0A" w14:textId="77777777">
      <w:r>
        <w:t>Vincent Karremans</w:t>
      </w:r>
    </w:p>
    <w:sectPr w:rsidR="009D6CA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7AFD" w14:textId="77777777" w:rsidR="001635D6" w:rsidRDefault="001635D6">
      <w:pPr>
        <w:spacing w:line="240" w:lineRule="auto"/>
      </w:pPr>
      <w:r>
        <w:separator/>
      </w:r>
    </w:p>
  </w:endnote>
  <w:endnote w:type="continuationSeparator" w:id="0">
    <w:p w14:paraId="101E6B2D" w14:textId="77777777" w:rsidR="001635D6" w:rsidRDefault="00163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48C8F" w14:textId="77777777" w:rsidR="00383C3E" w:rsidRDefault="00383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B72E" w14:textId="77777777" w:rsidR="00383C3E" w:rsidRDefault="00383C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1E11" w14:textId="77777777" w:rsidR="00383C3E" w:rsidRDefault="0038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32682" w14:textId="77777777" w:rsidR="001635D6" w:rsidRDefault="001635D6">
      <w:pPr>
        <w:spacing w:line="240" w:lineRule="auto"/>
      </w:pPr>
      <w:r>
        <w:separator/>
      </w:r>
    </w:p>
  </w:footnote>
  <w:footnote w:type="continuationSeparator" w:id="0">
    <w:p w14:paraId="0D0CCE54" w14:textId="77777777" w:rsidR="001635D6" w:rsidRDefault="001635D6">
      <w:pPr>
        <w:spacing w:line="240" w:lineRule="auto"/>
      </w:pPr>
      <w:r>
        <w:continuationSeparator/>
      </w:r>
    </w:p>
  </w:footnote>
  <w:footnote w:id="1">
    <w:p w14:paraId="452A44E8" w14:textId="28E0A381" w:rsidR="009F17FC" w:rsidRPr="009F17FC" w:rsidRDefault="009F17FC">
      <w:pPr>
        <w:pStyle w:val="FootnoteText"/>
        <w:rPr>
          <w:sz w:val="16"/>
          <w:szCs w:val="16"/>
        </w:rPr>
      </w:pPr>
      <w:r w:rsidRPr="009F17FC">
        <w:rPr>
          <w:rStyle w:val="FootnoteReference"/>
          <w:sz w:val="16"/>
          <w:szCs w:val="16"/>
        </w:rPr>
        <w:footnoteRef/>
      </w:r>
      <w:r w:rsidRPr="009F17FC">
        <w:rPr>
          <w:sz w:val="16"/>
          <w:szCs w:val="16"/>
        </w:rPr>
        <w:t xml:space="preserve"> </w:t>
      </w:r>
      <w:r w:rsidRPr="009F17FC">
        <w:rPr>
          <w:rFonts w:cs="Calibri"/>
          <w:sz w:val="16"/>
          <w:szCs w:val="16"/>
        </w:rPr>
        <w:t>Kamerstukken I</w:t>
      </w:r>
      <w:r w:rsidR="00321BF5">
        <w:rPr>
          <w:rFonts w:cs="Calibri"/>
          <w:sz w:val="16"/>
          <w:szCs w:val="16"/>
        </w:rPr>
        <w:t>I</w:t>
      </w:r>
      <w:r w:rsidRPr="009F17FC">
        <w:rPr>
          <w:rFonts w:cs="Calibri"/>
          <w:sz w:val="16"/>
          <w:szCs w:val="16"/>
        </w:rPr>
        <w:t xml:space="preserve"> 2025/26, </w:t>
      </w:r>
      <w:r w:rsidR="00FB0BE4">
        <w:rPr>
          <w:rFonts w:cs="Calibri"/>
          <w:sz w:val="16"/>
          <w:szCs w:val="16"/>
        </w:rPr>
        <w:t>29665</w:t>
      </w:r>
      <w:r w:rsidRPr="009F17FC">
        <w:rPr>
          <w:rFonts w:cs="Calibri"/>
          <w:sz w:val="16"/>
          <w:szCs w:val="16"/>
        </w:rPr>
        <w:t>, nr. 599.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1B6F" w14:textId="77777777" w:rsidR="00383C3E" w:rsidRDefault="00383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34AE" w14:textId="77777777" w:rsidR="009D6CA1" w:rsidRDefault="00383C3E">
    <w:r>
      <w:rPr>
        <w:noProof/>
        <w:lang w:val="en-GB" w:eastAsia="en-GB"/>
      </w:rPr>
      <mc:AlternateContent>
        <mc:Choice Requires="wps">
          <w:drawing>
            <wp:anchor distT="0" distB="0" distL="0" distR="0" simplePos="0" relativeHeight="251651584" behindDoc="0" locked="1" layoutInCell="1" allowOverlap="1" wp14:anchorId="1E877C24" wp14:editId="4EB22D52">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6FFEA19" w14:textId="77777777" w:rsidR="009D6CA1" w:rsidRDefault="00383C3E">
                          <w:pPr>
                            <w:pStyle w:val="AfzendgegevensKop0"/>
                          </w:pPr>
                          <w:r>
                            <w:t>Ministerie van Infrastructuur en Waterstaat</w:t>
                          </w:r>
                        </w:p>
                        <w:p w14:paraId="02C4BAD8" w14:textId="77777777" w:rsidR="009D6CA1" w:rsidRDefault="009D6CA1">
                          <w:pPr>
                            <w:pStyle w:val="WitregelW2"/>
                          </w:pPr>
                        </w:p>
                        <w:p w14:paraId="5040AA50" w14:textId="77777777" w:rsidR="009D6CA1" w:rsidRDefault="00383C3E">
                          <w:pPr>
                            <w:pStyle w:val="Referentiegegevenskop"/>
                          </w:pPr>
                          <w:r>
                            <w:t>Ons kenmerk</w:t>
                          </w:r>
                        </w:p>
                        <w:p w14:paraId="65117D19" w14:textId="77777777" w:rsidR="00383C3E" w:rsidRDefault="00383C3E" w:rsidP="00383C3E">
                          <w:pPr>
                            <w:pStyle w:val="Referentiegegevens"/>
                          </w:pPr>
                          <w:r>
                            <w:t>IENW/BSK-2026/101522</w:t>
                          </w:r>
                        </w:p>
                        <w:p w14:paraId="5BD2A198" w14:textId="1539CA45" w:rsidR="009D6CA1" w:rsidRDefault="009D6CA1">
                          <w:pPr>
                            <w:pStyle w:val="Referentiegegevens"/>
                          </w:pPr>
                        </w:p>
                      </w:txbxContent>
                    </wps:txbx>
                    <wps:bodyPr vert="horz" wrap="square" lIns="0" tIns="0" rIns="0" bIns="0" anchor="t" anchorCtr="0"/>
                  </wps:wsp>
                </a:graphicData>
              </a:graphic>
            </wp:anchor>
          </w:drawing>
        </mc:Choice>
        <mc:Fallback>
          <w:pict>
            <v:shapetype w14:anchorId="1E877C2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6FFEA19" w14:textId="77777777" w:rsidR="009D6CA1" w:rsidRDefault="00383C3E">
                    <w:pPr>
                      <w:pStyle w:val="AfzendgegevensKop0"/>
                    </w:pPr>
                    <w:r>
                      <w:t>Ministerie van Infrastructuur en Waterstaat</w:t>
                    </w:r>
                  </w:p>
                  <w:p w14:paraId="02C4BAD8" w14:textId="77777777" w:rsidR="009D6CA1" w:rsidRDefault="009D6CA1">
                    <w:pPr>
                      <w:pStyle w:val="WitregelW2"/>
                    </w:pPr>
                  </w:p>
                  <w:p w14:paraId="5040AA50" w14:textId="77777777" w:rsidR="009D6CA1" w:rsidRDefault="00383C3E">
                    <w:pPr>
                      <w:pStyle w:val="Referentiegegevenskop"/>
                    </w:pPr>
                    <w:r>
                      <w:t>Ons kenmerk</w:t>
                    </w:r>
                  </w:p>
                  <w:p w14:paraId="65117D19" w14:textId="77777777" w:rsidR="00383C3E" w:rsidRDefault="00383C3E" w:rsidP="00383C3E">
                    <w:pPr>
                      <w:pStyle w:val="Referentiegegevens"/>
                    </w:pPr>
                    <w:r>
                      <w:t>IENW/BSK-2026/101522</w:t>
                    </w:r>
                  </w:p>
                  <w:p w14:paraId="5BD2A198" w14:textId="1539CA45" w:rsidR="009D6CA1" w:rsidRDefault="009D6CA1">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4817E21" wp14:editId="16D07B9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C498DB" w14:textId="77777777" w:rsidR="009D6CA1" w:rsidRDefault="00383C3E">
                          <w:pPr>
                            <w:pStyle w:val="Referentiegegevens"/>
                          </w:pPr>
                          <w:r>
                            <w:t xml:space="preserve">Page </w:t>
                          </w:r>
                          <w:r>
                            <w:fldChar w:fldCharType="begin"/>
                          </w:r>
                          <w:r>
                            <w:instrText>PAGE</w:instrText>
                          </w:r>
                          <w:r>
                            <w:fldChar w:fldCharType="separate"/>
                          </w:r>
                          <w:r w:rsidR="009F17FC">
                            <w:rPr>
                              <w:noProof/>
                            </w:rPr>
                            <w:t>1</w:t>
                          </w:r>
                          <w:r>
                            <w:fldChar w:fldCharType="end"/>
                          </w:r>
                          <w:r>
                            <w:t xml:space="preserve"> of </w:t>
                          </w:r>
                          <w:r>
                            <w:fldChar w:fldCharType="begin"/>
                          </w:r>
                          <w:r>
                            <w:instrText>NUMPAGES</w:instrText>
                          </w:r>
                          <w:r>
                            <w:fldChar w:fldCharType="separate"/>
                          </w:r>
                          <w:r w:rsidR="009F17FC">
                            <w:rPr>
                              <w:noProof/>
                            </w:rPr>
                            <w:t>1</w:t>
                          </w:r>
                          <w:r>
                            <w:fldChar w:fldCharType="end"/>
                          </w:r>
                        </w:p>
                      </w:txbxContent>
                    </wps:txbx>
                    <wps:bodyPr vert="horz" wrap="square" lIns="0" tIns="0" rIns="0" bIns="0" anchor="t" anchorCtr="0"/>
                  </wps:wsp>
                </a:graphicData>
              </a:graphic>
            </wp:anchor>
          </w:drawing>
        </mc:Choice>
        <mc:Fallback>
          <w:pict>
            <v:shape w14:anchorId="24817E2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BC498DB" w14:textId="77777777" w:rsidR="009D6CA1" w:rsidRDefault="00383C3E">
                    <w:pPr>
                      <w:pStyle w:val="Referentiegegevens"/>
                    </w:pPr>
                    <w:r>
                      <w:t xml:space="preserve">Page </w:t>
                    </w:r>
                    <w:r>
                      <w:fldChar w:fldCharType="begin"/>
                    </w:r>
                    <w:r>
                      <w:instrText>PAGE</w:instrText>
                    </w:r>
                    <w:r>
                      <w:fldChar w:fldCharType="separate"/>
                    </w:r>
                    <w:r w:rsidR="009F17FC">
                      <w:rPr>
                        <w:noProof/>
                      </w:rPr>
                      <w:t>1</w:t>
                    </w:r>
                    <w:r>
                      <w:fldChar w:fldCharType="end"/>
                    </w:r>
                    <w:r>
                      <w:t xml:space="preserve"> of </w:t>
                    </w:r>
                    <w:r>
                      <w:fldChar w:fldCharType="begin"/>
                    </w:r>
                    <w:r>
                      <w:instrText>NUMPAGES</w:instrText>
                    </w:r>
                    <w:r>
                      <w:fldChar w:fldCharType="separate"/>
                    </w:r>
                    <w:r w:rsidR="009F17FC">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218A19" wp14:editId="3CBBB6CD">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08DD96B" w14:textId="77777777" w:rsidR="00E67837" w:rsidRDefault="00E67837"/>
                      </w:txbxContent>
                    </wps:txbx>
                    <wps:bodyPr vert="horz" wrap="square" lIns="0" tIns="0" rIns="0" bIns="0" anchor="t" anchorCtr="0"/>
                  </wps:wsp>
                </a:graphicData>
              </a:graphic>
            </wp:anchor>
          </w:drawing>
        </mc:Choice>
        <mc:Fallback>
          <w:pict>
            <v:shape w14:anchorId="57218A1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08DD96B" w14:textId="77777777" w:rsidR="00E67837" w:rsidRDefault="00E6783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860A886" wp14:editId="7F2DCC2E">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9F25EE4" w14:textId="77777777" w:rsidR="00E67837" w:rsidRDefault="00E67837"/>
                      </w:txbxContent>
                    </wps:txbx>
                    <wps:bodyPr vert="horz" wrap="square" lIns="0" tIns="0" rIns="0" bIns="0" anchor="t" anchorCtr="0"/>
                  </wps:wsp>
                </a:graphicData>
              </a:graphic>
            </wp:anchor>
          </w:drawing>
        </mc:Choice>
        <mc:Fallback>
          <w:pict>
            <v:shape w14:anchorId="0860A88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9F25EE4" w14:textId="77777777" w:rsidR="00E67837" w:rsidRDefault="00E6783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5106A" w14:textId="77777777" w:rsidR="009D6CA1" w:rsidRDefault="00383C3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AFF070F" wp14:editId="44BE982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0BF93A" w14:textId="77777777" w:rsidR="00E67837" w:rsidRDefault="00E67837"/>
                      </w:txbxContent>
                    </wps:txbx>
                    <wps:bodyPr vert="horz" wrap="square" lIns="0" tIns="0" rIns="0" bIns="0" anchor="t" anchorCtr="0"/>
                  </wps:wsp>
                </a:graphicData>
              </a:graphic>
            </wp:anchor>
          </w:drawing>
        </mc:Choice>
        <mc:Fallback>
          <w:pict>
            <v:shapetype w14:anchorId="1AFF070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60BF93A" w14:textId="77777777" w:rsidR="00E67837" w:rsidRDefault="00E6783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EDFD181" wp14:editId="4B752AB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EDA806D" w14:textId="7AB22BE4" w:rsidR="009D6CA1" w:rsidRDefault="00383C3E">
                          <w:pPr>
                            <w:pStyle w:val="Referentiegegevens"/>
                          </w:pPr>
                          <w:r>
                            <w:t xml:space="preserve">Page </w:t>
                          </w:r>
                          <w:r>
                            <w:fldChar w:fldCharType="begin"/>
                          </w:r>
                          <w:r>
                            <w:instrText>PAGE</w:instrText>
                          </w:r>
                          <w:r>
                            <w:fldChar w:fldCharType="separate"/>
                          </w:r>
                          <w:r w:rsidR="009B06A3">
                            <w:rPr>
                              <w:noProof/>
                            </w:rPr>
                            <w:t>1</w:t>
                          </w:r>
                          <w:r>
                            <w:fldChar w:fldCharType="end"/>
                          </w:r>
                          <w:r>
                            <w:t xml:space="preserve"> of </w:t>
                          </w:r>
                          <w:r>
                            <w:fldChar w:fldCharType="begin"/>
                          </w:r>
                          <w:r>
                            <w:instrText>NUMPAGES</w:instrText>
                          </w:r>
                          <w:r>
                            <w:fldChar w:fldCharType="separate"/>
                          </w:r>
                          <w:r w:rsidR="009B06A3">
                            <w:rPr>
                              <w:noProof/>
                            </w:rPr>
                            <w:t>1</w:t>
                          </w:r>
                          <w:r>
                            <w:fldChar w:fldCharType="end"/>
                          </w:r>
                        </w:p>
                      </w:txbxContent>
                    </wps:txbx>
                    <wps:bodyPr vert="horz" wrap="square" lIns="0" tIns="0" rIns="0" bIns="0" anchor="t" anchorCtr="0"/>
                  </wps:wsp>
                </a:graphicData>
              </a:graphic>
            </wp:anchor>
          </w:drawing>
        </mc:Choice>
        <mc:Fallback>
          <w:pict>
            <v:shape w14:anchorId="5EDFD18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EDA806D" w14:textId="7AB22BE4" w:rsidR="009D6CA1" w:rsidRDefault="00383C3E">
                    <w:pPr>
                      <w:pStyle w:val="Referentiegegevens"/>
                    </w:pPr>
                    <w:r>
                      <w:t xml:space="preserve">Page </w:t>
                    </w:r>
                    <w:r>
                      <w:fldChar w:fldCharType="begin"/>
                    </w:r>
                    <w:r>
                      <w:instrText>PAGE</w:instrText>
                    </w:r>
                    <w:r>
                      <w:fldChar w:fldCharType="separate"/>
                    </w:r>
                    <w:r w:rsidR="009B06A3">
                      <w:rPr>
                        <w:noProof/>
                      </w:rPr>
                      <w:t>1</w:t>
                    </w:r>
                    <w:r>
                      <w:fldChar w:fldCharType="end"/>
                    </w:r>
                    <w:r>
                      <w:t xml:space="preserve"> of </w:t>
                    </w:r>
                    <w:r>
                      <w:fldChar w:fldCharType="begin"/>
                    </w:r>
                    <w:r>
                      <w:instrText>NUMPAGES</w:instrText>
                    </w:r>
                    <w:r>
                      <w:fldChar w:fldCharType="separate"/>
                    </w:r>
                    <w:r w:rsidR="009B06A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F38032" wp14:editId="6089EB5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CF0F3E" w14:textId="77777777" w:rsidR="009D6CA1" w:rsidRDefault="00383C3E">
                          <w:pPr>
                            <w:pStyle w:val="AfzendgegevensKop0"/>
                          </w:pPr>
                          <w:r>
                            <w:t>Ministerie van Infrastructuur en Waterstaat</w:t>
                          </w:r>
                        </w:p>
                        <w:p w14:paraId="62889C75" w14:textId="77777777" w:rsidR="009D6CA1" w:rsidRDefault="009D6CA1">
                          <w:pPr>
                            <w:pStyle w:val="WitregelW1"/>
                          </w:pPr>
                        </w:p>
                        <w:p w14:paraId="2DE713AA" w14:textId="77777777" w:rsidR="009D6CA1" w:rsidRDefault="00383C3E">
                          <w:pPr>
                            <w:pStyle w:val="Afzendgegevens"/>
                          </w:pPr>
                          <w:r>
                            <w:t>Rijnstraat 8</w:t>
                          </w:r>
                        </w:p>
                        <w:p w14:paraId="14EA2E76" w14:textId="77777777" w:rsidR="009D6CA1" w:rsidRPr="009F17FC" w:rsidRDefault="00383C3E">
                          <w:pPr>
                            <w:pStyle w:val="Afzendgegevens"/>
                            <w:rPr>
                              <w:lang w:val="de-DE"/>
                            </w:rPr>
                          </w:pPr>
                          <w:r w:rsidRPr="009F17FC">
                            <w:rPr>
                              <w:lang w:val="de-DE"/>
                            </w:rPr>
                            <w:t>2515 XP  Den Haag</w:t>
                          </w:r>
                        </w:p>
                        <w:p w14:paraId="77052634" w14:textId="77777777" w:rsidR="009D6CA1" w:rsidRPr="009F17FC" w:rsidRDefault="00383C3E">
                          <w:pPr>
                            <w:pStyle w:val="Afzendgegevens"/>
                            <w:rPr>
                              <w:lang w:val="de-DE"/>
                            </w:rPr>
                          </w:pPr>
                          <w:r w:rsidRPr="009F17FC">
                            <w:rPr>
                              <w:lang w:val="de-DE"/>
                            </w:rPr>
                            <w:t>Postbus 20901</w:t>
                          </w:r>
                        </w:p>
                        <w:p w14:paraId="1B9781B8" w14:textId="77777777" w:rsidR="009D6CA1" w:rsidRPr="009F17FC" w:rsidRDefault="00383C3E">
                          <w:pPr>
                            <w:pStyle w:val="Afzendgegevens"/>
                            <w:rPr>
                              <w:lang w:val="de-DE"/>
                            </w:rPr>
                          </w:pPr>
                          <w:r w:rsidRPr="009F17FC">
                            <w:rPr>
                              <w:lang w:val="de-DE"/>
                            </w:rPr>
                            <w:t>2500 EX Den Haag</w:t>
                          </w:r>
                        </w:p>
                        <w:p w14:paraId="1E5827D1" w14:textId="77777777" w:rsidR="009D6CA1" w:rsidRPr="009F17FC" w:rsidRDefault="009D6CA1">
                          <w:pPr>
                            <w:pStyle w:val="WitregelW1"/>
                            <w:rPr>
                              <w:lang w:val="de-DE"/>
                            </w:rPr>
                          </w:pPr>
                        </w:p>
                        <w:p w14:paraId="36FC4AB4" w14:textId="77777777" w:rsidR="009D6CA1" w:rsidRPr="009F17FC" w:rsidRDefault="00383C3E">
                          <w:pPr>
                            <w:pStyle w:val="Afzendgegevens"/>
                            <w:rPr>
                              <w:lang w:val="de-DE"/>
                            </w:rPr>
                          </w:pPr>
                          <w:r w:rsidRPr="009F17FC">
                            <w:rPr>
                              <w:lang w:val="de-DE"/>
                            </w:rPr>
                            <w:t>T   070-456 0000</w:t>
                          </w:r>
                        </w:p>
                        <w:p w14:paraId="07CAA3B3" w14:textId="77777777" w:rsidR="009D6CA1" w:rsidRDefault="00383C3E">
                          <w:pPr>
                            <w:pStyle w:val="Afzendgegevens"/>
                          </w:pPr>
                          <w:r>
                            <w:t>F   070-456 1111</w:t>
                          </w:r>
                        </w:p>
                        <w:p w14:paraId="03F6C85F" w14:textId="77777777" w:rsidR="009D6CA1" w:rsidRDefault="009D6CA1">
                          <w:pPr>
                            <w:pStyle w:val="WitregelW2"/>
                          </w:pPr>
                        </w:p>
                        <w:p w14:paraId="2D719CC9" w14:textId="77777777" w:rsidR="009D6CA1" w:rsidRDefault="00383C3E">
                          <w:pPr>
                            <w:pStyle w:val="Referentiegegevenskop"/>
                          </w:pPr>
                          <w:r>
                            <w:t>Ons kenmerk</w:t>
                          </w:r>
                        </w:p>
                        <w:p w14:paraId="7A988E4D" w14:textId="496DD207" w:rsidR="009D6CA1" w:rsidRDefault="00E01014">
                          <w:pPr>
                            <w:pStyle w:val="Referentiegegevens"/>
                          </w:pPr>
                          <w:r>
                            <w:t>IENW/BSK-2026/101522</w:t>
                          </w:r>
                        </w:p>
                        <w:p w14:paraId="549006AD" w14:textId="77777777" w:rsidR="00E01014" w:rsidRPr="00E01014" w:rsidRDefault="00E01014" w:rsidP="00E01014"/>
                        <w:p w14:paraId="49982485" w14:textId="77777777" w:rsidR="009D6CA1" w:rsidRDefault="009D6CA1">
                          <w:pPr>
                            <w:pStyle w:val="WitregelW1"/>
                          </w:pPr>
                        </w:p>
                        <w:p w14:paraId="6CBDE897" w14:textId="77777777" w:rsidR="009D6CA1" w:rsidRDefault="00383C3E">
                          <w:pPr>
                            <w:pStyle w:val="Referentiegegevenskop"/>
                          </w:pPr>
                          <w:r>
                            <w:t>Bijlage(n)</w:t>
                          </w:r>
                        </w:p>
                        <w:p w14:paraId="4C90E6BC" w14:textId="72F11AB6" w:rsidR="009D6CA1" w:rsidRDefault="003924AD">
                          <w:pPr>
                            <w:pStyle w:val="Referentiegegevens"/>
                          </w:pPr>
                          <w:r>
                            <w:t>3</w:t>
                          </w:r>
                        </w:p>
                      </w:txbxContent>
                    </wps:txbx>
                    <wps:bodyPr vert="horz" wrap="square" lIns="0" tIns="0" rIns="0" bIns="0" anchor="t" anchorCtr="0"/>
                  </wps:wsp>
                </a:graphicData>
              </a:graphic>
            </wp:anchor>
          </w:drawing>
        </mc:Choice>
        <mc:Fallback>
          <w:pict>
            <v:shape w14:anchorId="68F38032"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0CF0F3E" w14:textId="77777777" w:rsidR="009D6CA1" w:rsidRDefault="00383C3E">
                    <w:pPr>
                      <w:pStyle w:val="AfzendgegevensKop0"/>
                    </w:pPr>
                    <w:r>
                      <w:t>Ministerie van Infrastructuur en Waterstaat</w:t>
                    </w:r>
                  </w:p>
                  <w:p w14:paraId="62889C75" w14:textId="77777777" w:rsidR="009D6CA1" w:rsidRDefault="009D6CA1">
                    <w:pPr>
                      <w:pStyle w:val="WitregelW1"/>
                    </w:pPr>
                  </w:p>
                  <w:p w14:paraId="2DE713AA" w14:textId="77777777" w:rsidR="009D6CA1" w:rsidRDefault="00383C3E">
                    <w:pPr>
                      <w:pStyle w:val="Afzendgegevens"/>
                    </w:pPr>
                    <w:r>
                      <w:t>Rijnstraat 8</w:t>
                    </w:r>
                  </w:p>
                  <w:p w14:paraId="14EA2E76" w14:textId="77777777" w:rsidR="009D6CA1" w:rsidRPr="009F17FC" w:rsidRDefault="00383C3E">
                    <w:pPr>
                      <w:pStyle w:val="Afzendgegevens"/>
                      <w:rPr>
                        <w:lang w:val="de-DE"/>
                      </w:rPr>
                    </w:pPr>
                    <w:r w:rsidRPr="009F17FC">
                      <w:rPr>
                        <w:lang w:val="de-DE"/>
                      </w:rPr>
                      <w:t>2515 XP  Den Haag</w:t>
                    </w:r>
                  </w:p>
                  <w:p w14:paraId="77052634" w14:textId="77777777" w:rsidR="009D6CA1" w:rsidRPr="009F17FC" w:rsidRDefault="00383C3E">
                    <w:pPr>
                      <w:pStyle w:val="Afzendgegevens"/>
                      <w:rPr>
                        <w:lang w:val="de-DE"/>
                      </w:rPr>
                    </w:pPr>
                    <w:r w:rsidRPr="009F17FC">
                      <w:rPr>
                        <w:lang w:val="de-DE"/>
                      </w:rPr>
                      <w:t>Postbus 20901</w:t>
                    </w:r>
                  </w:p>
                  <w:p w14:paraId="1B9781B8" w14:textId="77777777" w:rsidR="009D6CA1" w:rsidRPr="009F17FC" w:rsidRDefault="00383C3E">
                    <w:pPr>
                      <w:pStyle w:val="Afzendgegevens"/>
                      <w:rPr>
                        <w:lang w:val="de-DE"/>
                      </w:rPr>
                    </w:pPr>
                    <w:r w:rsidRPr="009F17FC">
                      <w:rPr>
                        <w:lang w:val="de-DE"/>
                      </w:rPr>
                      <w:t>2500 EX Den Haag</w:t>
                    </w:r>
                  </w:p>
                  <w:p w14:paraId="1E5827D1" w14:textId="77777777" w:rsidR="009D6CA1" w:rsidRPr="009F17FC" w:rsidRDefault="009D6CA1">
                    <w:pPr>
                      <w:pStyle w:val="WitregelW1"/>
                      <w:rPr>
                        <w:lang w:val="de-DE"/>
                      </w:rPr>
                    </w:pPr>
                  </w:p>
                  <w:p w14:paraId="36FC4AB4" w14:textId="77777777" w:rsidR="009D6CA1" w:rsidRPr="009F17FC" w:rsidRDefault="00383C3E">
                    <w:pPr>
                      <w:pStyle w:val="Afzendgegevens"/>
                      <w:rPr>
                        <w:lang w:val="de-DE"/>
                      </w:rPr>
                    </w:pPr>
                    <w:r w:rsidRPr="009F17FC">
                      <w:rPr>
                        <w:lang w:val="de-DE"/>
                      </w:rPr>
                      <w:t>T   070-456 0000</w:t>
                    </w:r>
                  </w:p>
                  <w:p w14:paraId="07CAA3B3" w14:textId="77777777" w:rsidR="009D6CA1" w:rsidRDefault="00383C3E">
                    <w:pPr>
                      <w:pStyle w:val="Afzendgegevens"/>
                    </w:pPr>
                    <w:r>
                      <w:t>F   070-456 1111</w:t>
                    </w:r>
                  </w:p>
                  <w:p w14:paraId="03F6C85F" w14:textId="77777777" w:rsidR="009D6CA1" w:rsidRDefault="009D6CA1">
                    <w:pPr>
                      <w:pStyle w:val="WitregelW2"/>
                    </w:pPr>
                  </w:p>
                  <w:p w14:paraId="2D719CC9" w14:textId="77777777" w:rsidR="009D6CA1" w:rsidRDefault="00383C3E">
                    <w:pPr>
                      <w:pStyle w:val="Referentiegegevenskop"/>
                    </w:pPr>
                    <w:r>
                      <w:t>Ons kenmerk</w:t>
                    </w:r>
                  </w:p>
                  <w:p w14:paraId="7A988E4D" w14:textId="496DD207" w:rsidR="009D6CA1" w:rsidRDefault="00E01014">
                    <w:pPr>
                      <w:pStyle w:val="Referentiegegevens"/>
                    </w:pPr>
                    <w:r>
                      <w:t>IENW/BSK-2026/101522</w:t>
                    </w:r>
                  </w:p>
                  <w:p w14:paraId="549006AD" w14:textId="77777777" w:rsidR="00E01014" w:rsidRPr="00E01014" w:rsidRDefault="00E01014" w:rsidP="00E01014"/>
                  <w:p w14:paraId="49982485" w14:textId="77777777" w:rsidR="009D6CA1" w:rsidRDefault="009D6CA1">
                    <w:pPr>
                      <w:pStyle w:val="WitregelW1"/>
                    </w:pPr>
                  </w:p>
                  <w:p w14:paraId="6CBDE897" w14:textId="77777777" w:rsidR="009D6CA1" w:rsidRDefault="00383C3E">
                    <w:pPr>
                      <w:pStyle w:val="Referentiegegevenskop"/>
                    </w:pPr>
                    <w:r>
                      <w:t>Bijlage(n)</w:t>
                    </w:r>
                  </w:p>
                  <w:p w14:paraId="4C90E6BC" w14:textId="72F11AB6" w:rsidR="009D6CA1" w:rsidRDefault="003924AD">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6160EAC" wp14:editId="373D9A7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55CA0A" w14:textId="77777777" w:rsidR="009D6CA1" w:rsidRDefault="00383C3E">
                          <w:pPr>
                            <w:spacing w:line="240" w:lineRule="auto"/>
                          </w:pPr>
                          <w:r>
                            <w:rPr>
                              <w:noProof/>
                              <w:lang w:val="en-GB" w:eastAsia="en-GB"/>
                            </w:rPr>
                            <w:drawing>
                              <wp:inline distT="0" distB="0" distL="0" distR="0" wp14:anchorId="51546114" wp14:editId="2D1D262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160EA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55CA0A" w14:textId="77777777" w:rsidR="009D6CA1" w:rsidRDefault="00383C3E">
                    <w:pPr>
                      <w:spacing w:line="240" w:lineRule="auto"/>
                    </w:pPr>
                    <w:r>
                      <w:rPr>
                        <w:noProof/>
                        <w:lang w:val="en-GB" w:eastAsia="en-GB"/>
                      </w:rPr>
                      <w:drawing>
                        <wp:inline distT="0" distB="0" distL="0" distR="0" wp14:anchorId="51546114" wp14:editId="2D1D2624">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15B0FEF" wp14:editId="2D7F1BB7">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53483F" w14:textId="77777777" w:rsidR="009D6CA1" w:rsidRDefault="00383C3E">
                          <w:pPr>
                            <w:spacing w:line="240" w:lineRule="auto"/>
                          </w:pPr>
                          <w:r>
                            <w:rPr>
                              <w:noProof/>
                              <w:lang w:val="en-GB" w:eastAsia="en-GB"/>
                            </w:rPr>
                            <w:drawing>
                              <wp:inline distT="0" distB="0" distL="0" distR="0" wp14:anchorId="524CFFCE" wp14:editId="6EFE5BA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5B0FE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453483F" w14:textId="77777777" w:rsidR="009D6CA1" w:rsidRDefault="00383C3E">
                    <w:pPr>
                      <w:spacing w:line="240" w:lineRule="auto"/>
                    </w:pPr>
                    <w:r>
                      <w:rPr>
                        <w:noProof/>
                        <w:lang w:val="en-GB" w:eastAsia="en-GB"/>
                      </w:rPr>
                      <w:drawing>
                        <wp:inline distT="0" distB="0" distL="0" distR="0" wp14:anchorId="524CFFCE" wp14:editId="6EFE5BA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05717CC" wp14:editId="2838983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B3C1613" w14:textId="77777777" w:rsidR="009D6CA1" w:rsidRDefault="00383C3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05717C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B3C1613" w14:textId="77777777" w:rsidR="009D6CA1" w:rsidRDefault="00383C3E">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E337AA7" wp14:editId="37F51B4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EC18470" w14:textId="77777777" w:rsidR="00E01014" w:rsidRDefault="00E01014" w:rsidP="00E01014">
                          <w:r>
                            <w:t>De voorzitter van de Tweede Kamer</w:t>
                          </w:r>
                          <w:r>
                            <w:br/>
                            <w:t>der Staten-Generaal</w:t>
                          </w:r>
                          <w:r>
                            <w:br/>
                            <w:t>Postbus 20018</w:t>
                          </w:r>
                          <w:r>
                            <w:br/>
                            <w:t>2500 EA  DEN HAAG</w:t>
                          </w:r>
                        </w:p>
                        <w:p w14:paraId="55341116" w14:textId="77777777" w:rsidR="00E67837" w:rsidRDefault="00E67837"/>
                      </w:txbxContent>
                    </wps:txbx>
                    <wps:bodyPr vert="horz" wrap="square" lIns="0" tIns="0" rIns="0" bIns="0" anchor="t" anchorCtr="0"/>
                  </wps:wsp>
                </a:graphicData>
              </a:graphic>
            </wp:anchor>
          </w:drawing>
        </mc:Choice>
        <mc:Fallback>
          <w:pict>
            <v:shape w14:anchorId="1E337AA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EC18470" w14:textId="77777777" w:rsidR="00E01014" w:rsidRDefault="00E01014" w:rsidP="00E01014">
                    <w:r>
                      <w:t>De voorzitter van de Tweede Kamer</w:t>
                    </w:r>
                    <w:r>
                      <w:br/>
                      <w:t>der Staten-Generaal</w:t>
                    </w:r>
                    <w:r>
                      <w:br/>
                      <w:t>Postbus 20018</w:t>
                    </w:r>
                    <w:r>
                      <w:br/>
                      <w:t>2500 EA  DEN HAAG</w:t>
                    </w:r>
                  </w:p>
                  <w:p w14:paraId="55341116" w14:textId="77777777" w:rsidR="00E67837" w:rsidRDefault="00E67837"/>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1245EFD" wp14:editId="7B5CF4D6">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D6CA1" w14:paraId="1B338767" w14:textId="77777777">
                            <w:trPr>
                              <w:trHeight w:val="200"/>
                            </w:trPr>
                            <w:tc>
                              <w:tcPr>
                                <w:tcW w:w="1140" w:type="dxa"/>
                              </w:tcPr>
                              <w:p w14:paraId="5980D7DD" w14:textId="77777777" w:rsidR="009D6CA1" w:rsidRDefault="009D6CA1"/>
                            </w:tc>
                            <w:tc>
                              <w:tcPr>
                                <w:tcW w:w="5400" w:type="dxa"/>
                              </w:tcPr>
                              <w:p w14:paraId="3EE61154" w14:textId="77777777" w:rsidR="009D6CA1" w:rsidRDefault="009D6CA1"/>
                            </w:tc>
                          </w:tr>
                          <w:tr w:rsidR="009D6CA1" w14:paraId="60C79AF7" w14:textId="77777777">
                            <w:trPr>
                              <w:trHeight w:val="240"/>
                            </w:trPr>
                            <w:tc>
                              <w:tcPr>
                                <w:tcW w:w="1140" w:type="dxa"/>
                              </w:tcPr>
                              <w:p w14:paraId="22DE43A0" w14:textId="77777777" w:rsidR="009D6CA1" w:rsidRDefault="00383C3E">
                                <w:r>
                                  <w:t>Datum</w:t>
                                </w:r>
                              </w:p>
                            </w:tc>
                            <w:tc>
                              <w:tcPr>
                                <w:tcW w:w="5400" w:type="dxa"/>
                              </w:tcPr>
                              <w:p w14:paraId="43D5165C" w14:textId="3D08D8DF" w:rsidR="009D6CA1" w:rsidRDefault="003924AD">
                                <w:r>
                                  <w:t>19 juni 2026</w:t>
                                </w:r>
                              </w:p>
                            </w:tc>
                          </w:tr>
                          <w:tr w:rsidR="009D6CA1" w14:paraId="293E68E1" w14:textId="77777777">
                            <w:trPr>
                              <w:trHeight w:val="240"/>
                            </w:trPr>
                            <w:tc>
                              <w:tcPr>
                                <w:tcW w:w="1140" w:type="dxa"/>
                              </w:tcPr>
                              <w:p w14:paraId="6490E3E0" w14:textId="77777777" w:rsidR="009D6CA1" w:rsidRDefault="00383C3E">
                                <w:r>
                                  <w:t>Betreft</w:t>
                                </w:r>
                              </w:p>
                            </w:tc>
                            <w:tc>
                              <w:tcPr>
                                <w:tcW w:w="5400" w:type="dxa"/>
                              </w:tcPr>
                              <w:p w14:paraId="2582E2AA" w14:textId="24B8EC61" w:rsidR="009D6CA1" w:rsidRDefault="001520A3">
                                <w:r>
                                  <w:t>Reactienota MER</w:t>
                                </w:r>
                              </w:p>
                            </w:tc>
                          </w:tr>
                          <w:tr w:rsidR="009D6CA1" w14:paraId="1B582AD1" w14:textId="77777777">
                            <w:trPr>
                              <w:trHeight w:val="200"/>
                            </w:trPr>
                            <w:tc>
                              <w:tcPr>
                                <w:tcW w:w="1140" w:type="dxa"/>
                              </w:tcPr>
                              <w:p w14:paraId="5A4A4066" w14:textId="77777777" w:rsidR="009D6CA1" w:rsidRDefault="009D6CA1"/>
                            </w:tc>
                            <w:tc>
                              <w:tcPr>
                                <w:tcW w:w="5400" w:type="dxa"/>
                              </w:tcPr>
                              <w:p w14:paraId="6D957FE3" w14:textId="77777777" w:rsidR="009D6CA1" w:rsidRDefault="009D6CA1"/>
                            </w:tc>
                          </w:tr>
                        </w:tbl>
                        <w:p w14:paraId="206F5770" w14:textId="77777777" w:rsidR="00E67837" w:rsidRDefault="00E67837"/>
                      </w:txbxContent>
                    </wps:txbx>
                    <wps:bodyPr vert="horz" wrap="square" lIns="0" tIns="0" rIns="0" bIns="0" anchor="t" anchorCtr="0"/>
                  </wps:wsp>
                </a:graphicData>
              </a:graphic>
            </wp:anchor>
          </w:drawing>
        </mc:Choice>
        <mc:Fallback>
          <w:pict>
            <v:shape w14:anchorId="51245EFD"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D6CA1" w14:paraId="1B338767" w14:textId="77777777">
                      <w:trPr>
                        <w:trHeight w:val="200"/>
                      </w:trPr>
                      <w:tc>
                        <w:tcPr>
                          <w:tcW w:w="1140" w:type="dxa"/>
                        </w:tcPr>
                        <w:p w14:paraId="5980D7DD" w14:textId="77777777" w:rsidR="009D6CA1" w:rsidRDefault="009D6CA1"/>
                      </w:tc>
                      <w:tc>
                        <w:tcPr>
                          <w:tcW w:w="5400" w:type="dxa"/>
                        </w:tcPr>
                        <w:p w14:paraId="3EE61154" w14:textId="77777777" w:rsidR="009D6CA1" w:rsidRDefault="009D6CA1"/>
                      </w:tc>
                    </w:tr>
                    <w:tr w:rsidR="009D6CA1" w14:paraId="60C79AF7" w14:textId="77777777">
                      <w:trPr>
                        <w:trHeight w:val="240"/>
                      </w:trPr>
                      <w:tc>
                        <w:tcPr>
                          <w:tcW w:w="1140" w:type="dxa"/>
                        </w:tcPr>
                        <w:p w14:paraId="22DE43A0" w14:textId="77777777" w:rsidR="009D6CA1" w:rsidRDefault="00383C3E">
                          <w:r>
                            <w:t>Datum</w:t>
                          </w:r>
                        </w:p>
                      </w:tc>
                      <w:tc>
                        <w:tcPr>
                          <w:tcW w:w="5400" w:type="dxa"/>
                        </w:tcPr>
                        <w:p w14:paraId="43D5165C" w14:textId="3D08D8DF" w:rsidR="009D6CA1" w:rsidRDefault="003924AD">
                          <w:r>
                            <w:t>19 juni 2026</w:t>
                          </w:r>
                        </w:p>
                      </w:tc>
                    </w:tr>
                    <w:tr w:rsidR="009D6CA1" w14:paraId="293E68E1" w14:textId="77777777">
                      <w:trPr>
                        <w:trHeight w:val="240"/>
                      </w:trPr>
                      <w:tc>
                        <w:tcPr>
                          <w:tcW w:w="1140" w:type="dxa"/>
                        </w:tcPr>
                        <w:p w14:paraId="6490E3E0" w14:textId="77777777" w:rsidR="009D6CA1" w:rsidRDefault="00383C3E">
                          <w:r>
                            <w:t>Betreft</w:t>
                          </w:r>
                        </w:p>
                      </w:tc>
                      <w:tc>
                        <w:tcPr>
                          <w:tcW w:w="5400" w:type="dxa"/>
                        </w:tcPr>
                        <w:p w14:paraId="2582E2AA" w14:textId="24B8EC61" w:rsidR="009D6CA1" w:rsidRDefault="001520A3">
                          <w:r>
                            <w:t>Reactienota MER</w:t>
                          </w:r>
                        </w:p>
                      </w:tc>
                    </w:tr>
                    <w:tr w:rsidR="009D6CA1" w14:paraId="1B582AD1" w14:textId="77777777">
                      <w:trPr>
                        <w:trHeight w:val="200"/>
                      </w:trPr>
                      <w:tc>
                        <w:tcPr>
                          <w:tcW w:w="1140" w:type="dxa"/>
                        </w:tcPr>
                        <w:p w14:paraId="5A4A4066" w14:textId="77777777" w:rsidR="009D6CA1" w:rsidRDefault="009D6CA1"/>
                      </w:tc>
                      <w:tc>
                        <w:tcPr>
                          <w:tcW w:w="5400" w:type="dxa"/>
                        </w:tcPr>
                        <w:p w14:paraId="6D957FE3" w14:textId="77777777" w:rsidR="009D6CA1" w:rsidRDefault="009D6CA1"/>
                      </w:tc>
                    </w:tr>
                  </w:tbl>
                  <w:p w14:paraId="206F5770" w14:textId="77777777" w:rsidR="00E67837" w:rsidRDefault="00E6783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29A948" wp14:editId="31500C9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A02C58" w14:textId="77777777" w:rsidR="00E67837" w:rsidRDefault="00E67837"/>
                      </w:txbxContent>
                    </wps:txbx>
                    <wps:bodyPr vert="horz" wrap="square" lIns="0" tIns="0" rIns="0" bIns="0" anchor="t" anchorCtr="0"/>
                  </wps:wsp>
                </a:graphicData>
              </a:graphic>
            </wp:anchor>
          </w:drawing>
        </mc:Choice>
        <mc:Fallback>
          <w:pict>
            <v:shape w14:anchorId="3829A94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CA02C58" w14:textId="77777777" w:rsidR="00E67837" w:rsidRDefault="00E6783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078EE"/>
    <w:multiLevelType w:val="multilevel"/>
    <w:tmpl w:val="29179F9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684C3"/>
    <w:multiLevelType w:val="multilevel"/>
    <w:tmpl w:val="DD449A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39F4D35"/>
    <w:multiLevelType w:val="multilevel"/>
    <w:tmpl w:val="942FD68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52AEA3"/>
    <w:multiLevelType w:val="multilevel"/>
    <w:tmpl w:val="687AF1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347CA1"/>
    <w:multiLevelType w:val="multilevel"/>
    <w:tmpl w:val="7266A61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80D002"/>
    <w:multiLevelType w:val="multilevel"/>
    <w:tmpl w:val="FED079A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0B6A8B"/>
    <w:multiLevelType w:val="multilevel"/>
    <w:tmpl w:val="1BE3CFD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5E2CC3"/>
    <w:multiLevelType w:val="multilevel"/>
    <w:tmpl w:val="176D7A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BB045374"/>
    <w:multiLevelType w:val="multilevel"/>
    <w:tmpl w:val="B9B02BE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799178F"/>
    <w:multiLevelType w:val="multilevel"/>
    <w:tmpl w:val="7B4A561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7E7231"/>
    <w:multiLevelType w:val="multilevel"/>
    <w:tmpl w:val="08B50D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64503A7"/>
    <w:multiLevelType w:val="multilevel"/>
    <w:tmpl w:val="DBEADCC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C80679D"/>
    <w:multiLevelType w:val="multilevel"/>
    <w:tmpl w:val="7DCA022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A4425F"/>
    <w:multiLevelType w:val="multilevel"/>
    <w:tmpl w:val="323DF6E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FB05B3"/>
    <w:multiLevelType w:val="multilevel"/>
    <w:tmpl w:val="012F025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56830"/>
    <w:multiLevelType w:val="multilevel"/>
    <w:tmpl w:val="99B70C3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873559"/>
    <w:multiLevelType w:val="multilevel"/>
    <w:tmpl w:val="BF90BF9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FF918C"/>
    <w:multiLevelType w:val="multilevel"/>
    <w:tmpl w:val="44F97FB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38141C"/>
    <w:multiLevelType w:val="multilevel"/>
    <w:tmpl w:val="EC26F8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01E8B8"/>
    <w:multiLevelType w:val="multilevel"/>
    <w:tmpl w:val="CAC9399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FB9945"/>
    <w:multiLevelType w:val="multilevel"/>
    <w:tmpl w:val="F454021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810944"/>
    <w:multiLevelType w:val="multilevel"/>
    <w:tmpl w:val="AB06604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5C4196"/>
    <w:multiLevelType w:val="multilevel"/>
    <w:tmpl w:val="6A16B37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11"/>
  </w:num>
  <w:num w:numId="4">
    <w:abstractNumId w:val="16"/>
  </w:num>
  <w:num w:numId="5">
    <w:abstractNumId w:val="1"/>
  </w:num>
  <w:num w:numId="6">
    <w:abstractNumId w:val="6"/>
  </w:num>
  <w:num w:numId="7">
    <w:abstractNumId w:val="2"/>
  </w:num>
  <w:num w:numId="8">
    <w:abstractNumId w:val="18"/>
  </w:num>
  <w:num w:numId="9">
    <w:abstractNumId w:val="3"/>
  </w:num>
  <w:num w:numId="10">
    <w:abstractNumId w:val="10"/>
  </w:num>
  <w:num w:numId="11">
    <w:abstractNumId w:val="19"/>
  </w:num>
  <w:num w:numId="12">
    <w:abstractNumId w:val="7"/>
  </w:num>
  <w:num w:numId="13">
    <w:abstractNumId w:val="5"/>
  </w:num>
  <w:num w:numId="14">
    <w:abstractNumId w:val="21"/>
  </w:num>
  <w:num w:numId="15">
    <w:abstractNumId w:val="15"/>
  </w:num>
  <w:num w:numId="16">
    <w:abstractNumId w:val="17"/>
  </w:num>
  <w:num w:numId="17">
    <w:abstractNumId w:val="0"/>
  </w:num>
  <w:num w:numId="18">
    <w:abstractNumId w:val="9"/>
  </w:num>
  <w:num w:numId="19">
    <w:abstractNumId w:val="14"/>
  </w:num>
  <w:num w:numId="20">
    <w:abstractNumId w:val="12"/>
  </w:num>
  <w:num w:numId="21">
    <w:abstractNumId w:val="4"/>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FC"/>
    <w:rsid w:val="00087007"/>
    <w:rsid w:val="000A125F"/>
    <w:rsid w:val="00105D09"/>
    <w:rsid w:val="00112716"/>
    <w:rsid w:val="001520A3"/>
    <w:rsid w:val="001635D6"/>
    <w:rsid w:val="0017159F"/>
    <w:rsid w:val="001755BD"/>
    <w:rsid w:val="00181A71"/>
    <w:rsid w:val="00217E80"/>
    <w:rsid w:val="00220465"/>
    <w:rsid w:val="00250E7D"/>
    <w:rsid w:val="00255112"/>
    <w:rsid w:val="00267EA7"/>
    <w:rsid w:val="003032FE"/>
    <w:rsid w:val="00321BF5"/>
    <w:rsid w:val="00324216"/>
    <w:rsid w:val="003628E6"/>
    <w:rsid w:val="00382DAF"/>
    <w:rsid w:val="00383C3E"/>
    <w:rsid w:val="003924AD"/>
    <w:rsid w:val="00403A82"/>
    <w:rsid w:val="00417E07"/>
    <w:rsid w:val="004524EC"/>
    <w:rsid w:val="004560D6"/>
    <w:rsid w:val="00457754"/>
    <w:rsid w:val="004A5F6B"/>
    <w:rsid w:val="004E052E"/>
    <w:rsid w:val="004F73E4"/>
    <w:rsid w:val="00514D43"/>
    <w:rsid w:val="00576756"/>
    <w:rsid w:val="005B33FE"/>
    <w:rsid w:val="00636186"/>
    <w:rsid w:val="00636FA9"/>
    <w:rsid w:val="00693946"/>
    <w:rsid w:val="006F0791"/>
    <w:rsid w:val="007779C5"/>
    <w:rsid w:val="00790523"/>
    <w:rsid w:val="007F28C3"/>
    <w:rsid w:val="007F41C0"/>
    <w:rsid w:val="0081356B"/>
    <w:rsid w:val="0083613F"/>
    <w:rsid w:val="0088002B"/>
    <w:rsid w:val="00882D9B"/>
    <w:rsid w:val="00883859"/>
    <w:rsid w:val="00897689"/>
    <w:rsid w:val="008C6FDC"/>
    <w:rsid w:val="008E49EF"/>
    <w:rsid w:val="009B06A3"/>
    <w:rsid w:val="009D6CA1"/>
    <w:rsid w:val="009F17FC"/>
    <w:rsid w:val="009F1824"/>
    <w:rsid w:val="00A560B4"/>
    <w:rsid w:val="00A86148"/>
    <w:rsid w:val="00A930D3"/>
    <w:rsid w:val="00B03246"/>
    <w:rsid w:val="00B43C1C"/>
    <w:rsid w:val="00BA509B"/>
    <w:rsid w:val="00C2383A"/>
    <w:rsid w:val="00C7579B"/>
    <w:rsid w:val="00C82321"/>
    <w:rsid w:val="00CA5580"/>
    <w:rsid w:val="00D85AF1"/>
    <w:rsid w:val="00DA6B46"/>
    <w:rsid w:val="00DC369F"/>
    <w:rsid w:val="00DF1FFA"/>
    <w:rsid w:val="00DF3EA7"/>
    <w:rsid w:val="00E01014"/>
    <w:rsid w:val="00E10C47"/>
    <w:rsid w:val="00E67837"/>
    <w:rsid w:val="00E7662B"/>
    <w:rsid w:val="00E93DDC"/>
    <w:rsid w:val="00E958B4"/>
    <w:rsid w:val="00EC349C"/>
    <w:rsid w:val="00F00A3E"/>
    <w:rsid w:val="00F04F50"/>
    <w:rsid w:val="00F124C6"/>
    <w:rsid w:val="00F26FC6"/>
    <w:rsid w:val="00F66263"/>
    <w:rsid w:val="00F75851"/>
    <w:rsid w:val="00F80DF6"/>
    <w:rsid w:val="00F84BA9"/>
    <w:rsid w:val="00FB0BE4"/>
    <w:rsid w:val="00FC4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0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F17FC"/>
    <w:pPr>
      <w:tabs>
        <w:tab w:val="center" w:pos="4536"/>
        <w:tab w:val="right" w:pos="9072"/>
      </w:tabs>
      <w:spacing w:line="240" w:lineRule="auto"/>
    </w:pPr>
  </w:style>
  <w:style w:type="character" w:customStyle="1" w:styleId="HeaderChar">
    <w:name w:val="Header Char"/>
    <w:basedOn w:val="DefaultParagraphFont"/>
    <w:link w:val="Header"/>
    <w:uiPriority w:val="99"/>
    <w:rsid w:val="009F17FC"/>
    <w:rPr>
      <w:rFonts w:ascii="Verdana" w:hAnsi="Verdana"/>
      <w:color w:val="000000"/>
      <w:sz w:val="18"/>
      <w:szCs w:val="18"/>
    </w:rPr>
  </w:style>
  <w:style w:type="paragraph" w:styleId="Footer">
    <w:name w:val="footer"/>
    <w:basedOn w:val="Normal"/>
    <w:link w:val="FooterChar"/>
    <w:uiPriority w:val="99"/>
    <w:unhideWhenUsed/>
    <w:rsid w:val="009F17FC"/>
    <w:pPr>
      <w:tabs>
        <w:tab w:val="center" w:pos="4536"/>
        <w:tab w:val="right" w:pos="9072"/>
      </w:tabs>
      <w:spacing w:line="240" w:lineRule="auto"/>
    </w:pPr>
  </w:style>
  <w:style w:type="character" w:customStyle="1" w:styleId="FooterChar">
    <w:name w:val="Footer Char"/>
    <w:basedOn w:val="DefaultParagraphFont"/>
    <w:link w:val="Footer"/>
    <w:uiPriority w:val="99"/>
    <w:rsid w:val="009F17FC"/>
    <w:rPr>
      <w:rFonts w:ascii="Verdana" w:hAnsi="Verdana"/>
      <w:color w:val="000000"/>
      <w:sz w:val="18"/>
      <w:szCs w:val="18"/>
    </w:rPr>
  </w:style>
  <w:style w:type="paragraph" w:styleId="FootnoteText">
    <w:name w:val="footnote text"/>
    <w:basedOn w:val="Normal"/>
    <w:link w:val="FootnoteTextChar"/>
    <w:uiPriority w:val="99"/>
    <w:semiHidden/>
    <w:unhideWhenUsed/>
    <w:rsid w:val="009F17FC"/>
    <w:pPr>
      <w:spacing w:line="240" w:lineRule="auto"/>
    </w:pPr>
    <w:rPr>
      <w:sz w:val="20"/>
      <w:szCs w:val="20"/>
    </w:rPr>
  </w:style>
  <w:style w:type="character" w:customStyle="1" w:styleId="FootnoteTextChar">
    <w:name w:val="Footnote Text Char"/>
    <w:basedOn w:val="DefaultParagraphFont"/>
    <w:link w:val="FootnoteText"/>
    <w:uiPriority w:val="99"/>
    <w:semiHidden/>
    <w:rsid w:val="009F17FC"/>
    <w:rPr>
      <w:rFonts w:ascii="Verdana" w:hAnsi="Verdana"/>
      <w:color w:val="000000"/>
    </w:rPr>
  </w:style>
  <w:style w:type="character" w:styleId="FootnoteReference">
    <w:name w:val="footnote reference"/>
    <w:basedOn w:val="DefaultParagraphFont"/>
    <w:uiPriority w:val="99"/>
    <w:semiHidden/>
    <w:unhideWhenUsed/>
    <w:rsid w:val="009F17FC"/>
    <w:rPr>
      <w:vertAlign w:val="superscript"/>
    </w:rPr>
  </w:style>
  <w:style w:type="paragraph" w:styleId="Revision">
    <w:name w:val="Revision"/>
    <w:hidden/>
    <w:uiPriority w:val="99"/>
    <w:semiHidden/>
    <w:rsid w:val="0079052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554</ap:Words>
  <ap:Characters>3162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aan Parlement - Reactie op de reactienota</vt:lpstr>
    </vt:vector>
  </ap:TitlesOfParts>
  <ap:LinksUpToDate>false</ap:LinksUpToDate>
  <ap:CharactersWithSpaces>3709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2026-06-09T07:04:00.0000000Z</lastPrinted>
  <dcterms:created xsi:type="dcterms:W3CDTF">2026-06-19T11:38:00.0000000Z</dcterms:created>
  <dcterms:modified xsi:type="dcterms:W3CDTF">2026-06-19T11:38:00.0000000Z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de reactienota</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