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F44" w:rsidP="004B4F44" w:rsidRDefault="004B4F44" w14:paraId="01146087" w14:textId="77777777">
      <w:pPr>
        <w:rPr>
          <w:szCs w:val="18"/>
        </w:rPr>
      </w:pPr>
    </w:p>
    <w:p w:rsidRPr="009D45FA" w:rsidR="004B4F44" w:rsidP="004B4F44" w:rsidRDefault="004B4F44" w14:paraId="0A629369" w14:textId="335C9030">
      <w:pPr>
        <w:rPr>
          <w:szCs w:val="18"/>
        </w:rPr>
      </w:pPr>
      <w:r w:rsidRPr="009D45FA">
        <w:rPr>
          <w:szCs w:val="18"/>
        </w:rPr>
        <w:t xml:space="preserve">Geachte voorzitter, </w:t>
      </w:r>
    </w:p>
    <w:p w:rsidRPr="009D45FA" w:rsidR="004B4F44" w:rsidP="004B4F44" w:rsidRDefault="004B4F44" w14:paraId="7E1E1278" w14:textId="77777777">
      <w:pPr>
        <w:rPr>
          <w:szCs w:val="18"/>
        </w:rPr>
      </w:pPr>
    </w:p>
    <w:p w:rsidRPr="009D45FA" w:rsidR="004B4F44" w:rsidP="004B4F44" w:rsidRDefault="004B4F44" w14:paraId="02BDEC34" w14:textId="298ED6C9">
      <w:pPr>
        <w:rPr>
          <w:rFonts w:eastAsia="Segoe UI" w:cs="Segoe UI"/>
        </w:rPr>
      </w:pPr>
      <w:r w:rsidRPr="009D45FA">
        <w:t>Met deze brief informeert het kabinet de Kamer over het voornemen om de voorzieningszekerheid van elektriciteit in Nederland</w:t>
      </w:r>
      <w:r w:rsidRPr="009D45FA">
        <w:rPr>
          <w:szCs w:val="18"/>
        </w:rPr>
        <w:t xml:space="preserve"> </w:t>
      </w:r>
      <w:r w:rsidRPr="009D45FA">
        <w:t>ook op de langere termijn te borgen door middel van een marktbreed capaciteitsmechanisme</w:t>
      </w:r>
      <w:r w:rsidRPr="009D45FA">
        <w:rPr>
          <w:szCs w:val="18"/>
        </w:rPr>
        <w:t xml:space="preserve">. </w:t>
      </w:r>
      <w:r w:rsidRPr="009D45FA">
        <w:rPr>
          <w:rFonts w:eastAsia="Segoe UI" w:cs="Segoe UI"/>
        </w:rPr>
        <w:t>De voorzieningszekerheid van elektriciteit (voorheen aangeduid als leveringszekerheid</w:t>
      </w:r>
      <w:r w:rsidRPr="009D45FA">
        <w:rPr>
          <w:rStyle w:val="Voetnootmarkering"/>
          <w:rFonts w:eastAsia="Segoe UI" w:cs="Segoe UI"/>
        </w:rPr>
        <w:footnoteReference w:id="1"/>
      </w:r>
      <w:r w:rsidRPr="009D45FA">
        <w:rPr>
          <w:rFonts w:eastAsia="Segoe UI" w:cs="Segoe UI"/>
        </w:rPr>
        <w:t xml:space="preserve">) is de mate waarin </w:t>
      </w:r>
      <w:r w:rsidRPr="005A4ED6">
        <w:rPr>
          <w:rFonts w:eastAsia="Segoe UI" w:cs="Segoe UI"/>
        </w:rPr>
        <w:t xml:space="preserve">Nederland met </w:t>
      </w:r>
      <w:r w:rsidRPr="005A4ED6">
        <w:rPr>
          <w:rFonts w:eastAsia="Segoe UI" w:cs="Segoe UI"/>
          <w:color w:val="000000" w:themeColor="text1"/>
        </w:rPr>
        <w:t xml:space="preserve">verwachte </w:t>
      </w:r>
      <w:r w:rsidRPr="005A4ED6">
        <w:rPr>
          <w:rFonts w:eastAsia="Segoe UI" w:cs="Segoe UI"/>
        </w:rPr>
        <w:t>productie, opslag</w:t>
      </w:r>
      <w:r w:rsidRPr="005A4ED6" w:rsidR="005A4ED6">
        <w:rPr>
          <w:rFonts w:eastAsia="Segoe UI" w:cs="Segoe UI"/>
        </w:rPr>
        <w:t>, vraagrespons</w:t>
      </w:r>
      <w:r w:rsidRPr="005A4ED6">
        <w:rPr>
          <w:rFonts w:eastAsia="Segoe UI" w:cs="Segoe UI"/>
        </w:rPr>
        <w:t xml:space="preserve"> en import van elektriciteit</w:t>
      </w:r>
      <w:r w:rsidRPr="009D45FA">
        <w:rPr>
          <w:rFonts w:eastAsia="Segoe UI" w:cs="Segoe UI"/>
        </w:rPr>
        <w:t xml:space="preserve"> op elk moment in staat is om aan de elektriciteitsvraag te voldoen. </w:t>
      </w:r>
      <w:r w:rsidRPr="009D45FA">
        <w:t xml:space="preserve">De Monitor </w:t>
      </w:r>
      <w:r w:rsidR="00C2487B">
        <w:t>V</w:t>
      </w:r>
      <w:r w:rsidRPr="009D45FA">
        <w:t>oorzieningszekerheid 2026 (hierna: MVZ</w:t>
      </w:r>
      <w:r w:rsidRPr="009D45FA" w:rsidR="00E73411">
        <w:t xml:space="preserve"> 2026</w:t>
      </w:r>
      <w:r w:rsidRPr="009D45FA">
        <w:rPr>
          <w:szCs w:val="18"/>
        </w:rPr>
        <w:t xml:space="preserve">) </w:t>
      </w:r>
      <w:r w:rsidRPr="009D45FA">
        <w:t>en de European Resource Adequacy Assessment</w:t>
      </w:r>
      <w:r w:rsidRPr="009D45FA" w:rsidR="00AC6CD9">
        <w:t xml:space="preserve"> 2025</w:t>
      </w:r>
      <w:r w:rsidRPr="009D45FA">
        <w:rPr>
          <w:szCs w:val="18"/>
        </w:rPr>
        <w:t xml:space="preserve"> </w:t>
      </w:r>
      <w:r w:rsidRPr="009D45FA">
        <w:t>(hierna: ERAA</w:t>
      </w:r>
      <w:r w:rsidRPr="009D45FA" w:rsidR="00AC6CD9">
        <w:t xml:space="preserve"> 2025</w:t>
      </w:r>
      <w:r w:rsidRPr="009D45FA">
        <w:rPr>
          <w:szCs w:val="18"/>
        </w:rPr>
        <w:t xml:space="preserve">) </w:t>
      </w:r>
      <w:r w:rsidRPr="009D45FA">
        <w:t>schetsen een beeld van structurele uitdagingen in de elektriciteitsmarkt, die verderop in deze brief worden toegelicht. De implementatie van een marktbreed capaciteitsmechanisme biedt een oplossing voor deze toekomstige</w:t>
      </w:r>
      <w:r w:rsidRPr="009D45FA">
        <w:rPr>
          <w:szCs w:val="18"/>
        </w:rPr>
        <w:t xml:space="preserve"> </w:t>
      </w:r>
      <w:r w:rsidRPr="009D45FA">
        <w:t>uitdagingen</w:t>
      </w:r>
      <w:r w:rsidRPr="009D45FA">
        <w:rPr>
          <w:szCs w:val="18"/>
        </w:rPr>
        <w:t xml:space="preserve"> </w:t>
      </w:r>
      <w:r w:rsidRPr="009D45FA">
        <w:t xml:space="preserve">en </w:t>
      </w:r>
      <w:r w:rsidRPr="009D45FA" w:rsidR="6AC20D05">
        <w:t>verlaag</w:t>
      </w:r>
      <w:r w:rsidRPr="009D45FA">
        <w:t>t de hiermee gepaard gaande risico’s</w:t>
      </w:r>
      <w:r w:rsidRPr="009D45FA">
        <w:rPr>
          <w:szCs w:val="18"/>
        </w:rPr>
        <w:t xml:space="preserve">. </w:t>
      </w:r>
      <w:r w:rsidRPr="009D45FA">
        <w:t>Het kabinet zal in de komende periode de benodigde stappen</w:t>
      </w:r>
      <w:r w:rsidRPr="009D45FA">
        <w:rPr>
          <w:szCs w:val="18"/>
        </w:rPr>
        <w:t xml:space="preserve"> </w:t>
      </w:r>
      <w:r w:rsidRPr="009D45FA">
        <w:t>zetten voor de introductie van een marktbreed capaciteitsmechanisme</w:t>
      </w:r>
      <w:r w:rsidRPr="009D45FA" w:rsidR="00521FC1">
        <w:t>,</w:t>
      </w:r>
      <w:r w:rsidRPr="009D45FA" w:rsidR="00735587">
        <w:t xml:space="preserve"> als verzekeringsmaatregel </w:t>
      </w:r>
      <w:r w:rsidRPr="009D45FA" w:rsidR="6639A963">
        <w:t>om de</w:t>
      </w:r>
      <w:r w:rsidRPr="009D45FA" w:rsidR="00735587">
        <w:t xml:space="preserve"> risico</w:t>
      </w:r>
      <w:r w:rsidRPr="009D45FA" w:rsidR="5655F101">
        <w:t>'s</w:t>
      </w:r>
      <w:r w:rsidRPr="009D45FA" w:rsidR="00735587">
        <w:t xml:space="preserve"> op </w:t>
      </w:r>
      <w:r w:rsidRPr="009D45FA" w:rsidR="0037030E">
        <w:t xml:space="preserve">prijspieken en </w:t>
      </w:r>
      <w:r w:rsidRPr="009D45FA" w:rsidR="00735587">
        <w:t>uitval</w:t>
      </w:r>
      <w:r w:rsidRPr="009D45FA" w:rsidR="3BF7870B">
        <w:t xml:space="preserve"> </w:t>
      </w:r>
      <w:r w:rsidRPr="009D45FA" w:rsidR="45ABBA83">
        <w:t>te verminderen</w:t>
      </w:r>
      <w:r w:rsidRPr="009D45FA" w:rsidR="00735587">
        <w:t xml:space="preserve">. </w:t>
      </w:r>
      <w:r w:rsidRPr="009D45FA" w:rsidR="5034010D">
        <w:t xml:space="preserve">Daarnaast </w:t>
      </w:r>
      <w:r w:rsidRPr="009D45FA" w:rsidR="64400C49">
        <w:t>werkt het kabinet ook op andere manieren</w:t>
      </w:r>
      <w:r w:rsidRPr="009D45FA" w:rsidR="5034010D">
        <w:t xml:space="preserve"> aan </w:t>
      </w:r>
      <w:r w:rsidRPr="009D45FA" w:rsidR="005B0AE2">
        <w:t xml:space="preserve">oplossingen die bijdragen aan </w:t>
      </w:r>
      <w:r w:rsidRPr="009D45FA" w:rsidR="5034010D">
        <w:t xml:space="preserve">de voorzieningszekerheid, </w:t>
      </w:r>
      <w:r w:rsidRPr="009D45FA" w:rsidR="793C8ADF">
        <w:t>door uitbreiding van de</w:t>
      </w:r>
      <w:r w:rsidRPr="009D45FA" w:rsidR="5034010D">
        <w:t xml:space="preserve"> interconnectie met buurlanden</w:t>
      </w:r>
      <w:r w:rsidRPr="009D45FA" w:rsidR="69AD32A6">
        <w:t xml:space="preserve"> (o.a. Lion</w:t>
      </w:r>
      <w:r w:rsidR="00C93B85">
        <w:t>L</w:t>
      </w:r>
      <w:r w:rsidRPr="009D45FA" w:rsidR="69AD32A6">
        <w:t xml:space="preserve">ink) en het zoveel mogelijk wegnemen van knelpunten voor </w:t>
      </w:r>
      <w:r w:rsidRPr="009D45FA" w:rsidR="3C115554">
        <w:t>investeringen i</w:t>
      </w:r>
      <w:r w:rsidRPr="009D45FA" w:rsidR="69AD32A6">
        <w:t>n</w:t>
      </w:r>
      <w:r w:rsidRPr="009D45FA" w:rsidR="5034010D">
        <w:t xml:space="preserve"> energieopslag en vraagrespons</w:t>
      </w:r>
      <w:r w:rsidRPr="009D45FA" w:rsidR="3AB3B310">
        <w:t>.</w:t>
      </w:r>
      <w:r w:rsidRPr="009D45FA" w:rsidR="009C5E2F">
        <w:t xml:space="preserve"> </w:t>
      </w:r>
      <w:r w:rsidRPr="009D45FA">
        <w:t xml:space="preserve">Om de elektriciteit daadwerkelijk op te wekken en bij de gebruiker te laten komen, zijn de beschikbaarheid van brandstoffen zoals </w:t>
      </w:r>
      <w:r w:rsidRPr="009D45FA" w:rsidR="00727B19">
        <w:t xml:space="preserve">(groen) </w:t>
      </w:r>
      <w:r w:rsidRPr="009D45FA">
        <w:t>gas</w:t>
      </w:r>
      <w:r w:rsidRPr="009D45FA" w:rsidR="00D33182">
        <w:t>, nucleaire brandstofstaven</w:t>
      </w:r>
      <w:r w:rsidRPr="009D45FA">
        <w:t xml:space="preserve"> en biomassa en voldoende transportcapaciteit op het net eveneens noodzakelijk. </w:t>
      </w:r>
      <w:r w:rsidRPr="009D45FA" w:rsidDel="00BA3DAA">
        <w:t xml:space="preserve">Het </w:t>
      </w:r>
      <w:r w:rsidRPr="009D45FA">
        <w:t xml:space="preserve">beleid gericht </w:t>
      </w:r>
      <w:r w:rsidRPr="009D45FA" w:rsidDel="00BA3DAA">
        <w:t xml:space="preserve">op het </w:t>
      </w:r>
      <w:r w:rsidRPr="00E07D9C" w:rsidDel="00BA3DAA">
        <w:t>verminderen van afhankelijkheden van fossiele energiedragers zoals gas alsook de aanpak van netcongestie</w:t>
      </w:r>
      <w:r w:rsidRPr="00E07D9C">
        <w:t xml:space="preserve"> va</w:t>
      </w:r>
      <w:r w:rsidRPr="00E07D9C" w:rsidDel="00BA3DAA">
        <w:t>llen</w:t>
      </w:r>
      <w:r w:rsidRPr="00E07D9C">
        <w:t xml:space="preserve"> buiten de scope van deze brief.</w:t>
      </w:r>
      <w:r w:rsidRPr="009D45FA">
        <w:t xml:space="preserve"> </w:t>
      </w:r>
    </w:p>
    <w:p w:rsidRPr="009D45FA" w:rsidR="004B4F44" w:rsidP="004B4F44" w:rsidRDefault="004B4F44" w14:paraId="26635ED7" w14:textId="77777777">
      <w:pPr>
        <w:rPr>
          <w:szCs w:val="18"/>
        </w:rPr>
      </w:pPr>
    </w:p>
    <w:p w:rsidRPr="009D45FA" w:rsidR="004B4F44" w:rsidP="004B4F44" w:rsidRDefault="004B4F44" w14:paraId="4B1B3E30" w14:textId="0B4B3506">
      <w:pPr>
        <w:rPr>
          <w:szCs w:val="18"/>
        </w:rPr>
      </w:pPr>
      <w:r w:rsidRPr="009D45FA">
        <w:rPr>
          <w:szCs w:val="18"/>
        </w:rPr>
        <w:lastRenderedPageBreak/>
        <w:t>Deze brief geeft invulling aan de toezegging uit de brief van 15 mei 2025</w:t>
      </w:r>
      <w:r w:rsidRPr="009D45FA">
        <w:rPr>
          <w:rStyle w:val="Voetnootmarkering"/>
          <w:szCs w:val="18"/>
        </w:rPr>
        <w:footnoteReference w:id="2"/>
      </w:r>
      <w:r w:rsidRPr="009D45FA">
        <w:rPr>
          <w:szCs w:val="18"/>
        </w:rPr>
        <w:t xml:space="preserve"> </w:t>
      </w:r>
      <w:r w:rsidRPr="009D45FA" w:rsidR="00CB3842">
        <w:rPr>
          <w:szCs w:val="18"/>
        </w:rPr>
        <w:t xml:space="preserve">over </w:t>
      </w:r>
      <w:r w:rsidR="00A76D64">
        <w:rPr>
          <w:szCs w:val="18"/>
        </w:rPr>
        <w:t>voorzieningszekerheid van elektriciteit</w:t>
      </w:r>
      <w:r w:rsidRPr="009D45FA" w:rsidR="004A5BBB">
        <w:rPr>
          <w:szCs w:val="18"/>
        </w:rPr>
        <w:t xml:space="preserve"> </w:t>
      </w:r>
      <w:r w:rsidRPr="009D45FA">
        <w:rPr>
          <w:szCs w:val="18"/>
        </w:rPr>
        <w:t xml:space="preserve">om in de eerste helft van 2026 de Kamer te informeren over de wijze waarop het kabinet </w:t>
      </w:r>
      <w:r w:rsidR="00A76D64">
        <w:rPr>
          <w:szCs w:val="18"/>
        </w:rPr>
        <w:t>dit</w:t>
      </w:r>
      <w:r w:rsidRPr="009D45FA" w:rsidR="00824AF5">
        <w:rPr>
          <w:szCs w:val="18"/>
        </w:rPr>
        <w:t xml:space="preserve"> in de toekomst</w:t>
      </w:r>
      <w:r w:rsidRPr="009D45FA">
        <w:rPr>
          <w:szCs w:val="18"/>
        </w:rPr>
        <w:t xml:space="preserve"> wil borgen en aan een drietal moties</w:t>
      </w:r>
      <w:r w:rsidRPr="009D45FA">
        <w:rPr>
          <w:rStyle w:val="Voetnootmarkering"/>
          <w:szCs w:val="18"/>
        </w:rPr>
        <w:footnoteReference w:id="3"/>
      </w:r>
      <w:r w:rsidRPr="009D45FA">
        <w:rPr>
          <w:szCs w:val="18"/>
        </w:rPr>
        <w:t xml:space="preserve"> over </w:t>
      </w:r>
      <w:r w:rsidR="006D4F12">
        <w:rPr>
          <w:szCs w:val="18"/>
        </w:rPr>
        <w:t xml:space="preserve">de </w:t>
      </w:r>
      <w:r w:rsidRPr="009D45FA">
        <w:rPr>
          <w:szCs w:val="18"/>
        </w:rPr>
        <w:t xml:space="preserve">invoering van een capaciteitsmechanisme. Ook doet deze Kamerbrief </w:t>
      </w:r>
      <w:r w:rsidRPr="009D45FA" w:rsidR="00EB334E">
        <w:rPr>
          <w:szCs w:val="18"/>
        </w:rPr>
        <w:t xml:space="preserve">een tweetal </w:t>
      </w:r>
      <w:r w:rsidRPr="009D45FA">
        <w:rPr>
          <w:szCs w:val="18"/>
        </w:rPr>
        <w:t>toezegging</w:t>
      </w:r>
      <w:r w:rsidRPr="009D45FA" w:rsidR="00EB334E">
        <w:rPr>
          <w:szCs w:val="18"/>
        </w:rPr>
        <w:t>en</w:t>
      </w:r>
      <w:r w:rsidRPr="009D45FA">
        <w:rPr>
          <w:rStyle w:val="Voetnootmarkering"/>
          <w:szCs w:val="18"/>
        </w:rPr>
        <w:footnoteReference w:id="4"/>
      </w:r>
      <w:r w:rsidRPr="009D45FA">
        <w:rPr>
          <w:szCs w:val="18"/>
        </w:rPr>
        <w:t xml:space="preserve"> af om de Kamer v</w:t>
      </w:r>
      <w:r w:rsidR="00A22A18">
        <w:rPr>
          <w:szCs w:val="18"/>
        </w:rPr>
        <w:t>óó</w:t>
      </w:r>
      <w:r w:rsidRPr="009D45FA">
        <w:rPr>
          <w:szCs w:val="18"/>
        </w:rPr>
        <w:t>r</w:t>
      </w:r>
      <w:r w:rsidRPr="009D45FA" w:rsidR="00170ECD">
        <w:rPr>
          <w:szCs w:val="18"/>
        </w:rPr>
        <w:t xml:space="preserve"> </w:t>
      </w:r>
      <w:r w:rsidR="006D4F12">
        <w:rPr>
          <w:szCs w:val="18"/>
        </w:rPr>
        <w:t>dan</w:t>
      </w:r>
      <w:r w:rsidR="00FA7B41">
        <w:rPr>
          <w:szCs w:val="18"/>
        </w:rPr>
        <w:t xml:space="preserve"> </w:t>
      </w:r>
      <w:r w:rsidR="006D4F12">
        <w:rPr>
          <w:szCs w:val="18"/>
        </w:rPr>
        <w:t xml:space="preserve">wel rond </w:t>
      </w:r>
      <w:r w:rsidRPr="009D45FA">
        <w:rPr>
          <w:szCs w:val="18"/>
        </w:rPr>
        <w:t xml:space="preserve">de zomer te informeren over de voorbereidingen </w:t>
      </w:r>
      <w:r w:rsidR="00B80F31">
        <w:rPr>
          <w:szCs w:val="18"/>
        </w:rPr>
        <w:t>van</w:t>
      </w:r>
      <w:r w:rsidRPr="009D45FA">
        <w:rPr>
          <w:szCs w:val="18"/>
        </w:rPr>
        <w:t xml:space="preserve"> een capaciteitsmechanisme voor elektriciteit</w:t>
      </w:r>
      <w:r w:rsidRPr="009D45FA" w:rsidR="00170ECD">
        <w:rPr>
          <w:szCs w:val="18"/>
        </w:rPr>
        <w:t xml:space="preserve"> en de rol van opslag daarin</w:t>
      </w:r>
      <w:r w:rsidRPr="009D45FA">
        <w:rPr>
          <w:szCs w:val="18"/>
        </w:rPr>
        <w:t>. Tot slot geeft h</w:t>
      </w:r>
      <w:r w:rsidRPr="009D45FA">
        <w:rPr>
          <w:rFonts w:eastAsia="Segoe UI" w:cs="Segoe UI"/>
          <w:szCs w:val="18"/>
        </w:rPr>
        <w:t>et</w:t>
      </w:r>
      <w:r w:rsidRPr="009D45FA">
        <w:rPr>
          <w:szCs w:val="18"/>
        </w:rPr>
        <w:t xml:space="preserve"> kabinet op deze wijze richting aan de afspraak in het coalitieakkoord om een capaciteitsmechanisme te introduceren. </w:t>
      </w:r>
    </w:p>
    <w:p w:rsidRPr="009D45FA" w:rsidR="004B4F44" w:rsidP="004B4F44" w:rsidRDefault="004B4F44" w14:paraId="14B313E3" w14:textId="77777777">
      <w:pPr>
        <w:rPr>
          <w:szCs w:val="18"/>
        </w:rPr>
      </w:pPr>
    </w:p>
    <w:p w:rsidRPr="009D45FA" w:rsidR="004B4F44" w:rsidP="004B4F44" w:rsidRDefault="004B4F44" w14:paraId="6F2D9339" w14:textId="6DB56B99">
      <w:pPr>
        <w:rPr>
          <w:b/>
          <w:bCs/>
          <w:szCs w:val="18"/>
        </w:rPr>
      </w:pPr>
      <w:r w:rsidRPr="009D45FA">
        <w:rPr>
          <w:b/>
          <w:bCs/>
          <w:szCs w:val="18"/>
        </w:rPr>
        <w:t xml:space="preserve">Verwachte ontwikkeling van de voorzieningszekerheid in Nederland </w:t>
      </w:r>
    </w:p>
    <w:p w:rsidRPr="009D45FA" w:rsidR="004B4F44" w:rsidP="004B4F44" w:rsidRDefault="004B4F44" w14:paraId="426F4226" w14:textId="63BF6C84">
      <w:pPr>
        <w:spacing w:line="278" w:lineRule="auto"/>
      </w:pPr>
      <w:r w:rsidRPr="009D45FA">
        <w:t xml:space="preserve">Jaarlijks publiceert TenneT de MVZ (tot en met 2025 bekend als Monitor Leveringszekerheid/MLZ). Deze monitor geeft inzicht in de verwachte ontwikkeling van de voorzieningszekerheid in de komende jaren. Dit doet TenneT door voor verschillende peiljaren te berekenen hoeveel uur er gemiddeld tekorten van elektriciteit in dat jaar optreden en wat de gemiddelde omvang van die tekorten is. In de nieuwste editie worden 2028, 2030, 2033 en 2035 als peiljaren gebruikt. Vanwege de onzekerheid over het moment waarop de verwachte stijging van de elektriciteitsvraag in Nederland zal optreden, worden in de MVZ 2026 bandbreedtes gepresenteerd. </w:t>
      </w:r>
      <w:r w:rsidRPr="009D45FA" w:rsidR="00450684">
        <w:t xml:space="preserve">Deze bandbreedte </w:t>
      </w:r>
      <w:r w:rsidRPr="009D45FA" w:rsidR="00530901">
        <w:t>is gebaseerd op</w:t>
      </w:r>
      <w:r w:rsidRPr="009D45FA" w:rsidR="00450684">
        <w:t xml:space="preserve"> een snellere en tragere </w:t>
      </w:r>
      <w:r w:rsidRPr="009D45FA" w:rsidR="00F24A77">
        <w:t xml:space="preserve">verwachte </w:t>
      </w:r>
      <w:r w:rsidRPr="009D45FA" w:rsidR="00450684">
        <w:t>ontwikkeling van de Nederlandse elektriciteitsvraag voor alle peiljare</w:t>
      </w:r>
      <w:r w:rsidRPr="009D45FA" w:rsidR="00530901">
        <w:t xml:space="preserve">n. </w:t>
      </w:r>
      <w:r w:rsidRPr="009D45FA">
        <w:t xml:space="preserve">Daarnaast is een gevoeligheidsanalyse uitgevoerd voor tragere groei in de elektriciteitsvraag in heel Europa. De tekorten worden uitgedrukt in </w:t>
      </w:r>
      <w:r w:rsidRPr="009D45FA">
        <w:rPr>
          <w:i/>
          <w:iCs/>
        </w:rPr>
        <w:t>Loss of Load Expectation</w:t>
      </w:r>
      <w:r w:rsidRPr="009D45FA">
        <w:t xml:space="preserve">-uren (hierna: LOLE-uren) en </w:t>
      </w:r>
      <w:r w:rsidRPr="009D45FA">
        <w:rPr>
          <w:i/>
          <w:iCs/>
        </w:rPr>
        <w:t>Expected Energy Not Served</w:t>
      </w:r>
      <w:r w:rsidRPr="009D45FA">
        <w:t xml:space="preserve"> (hierna: EENS).</w:t>
      </w:r>
      <w:r w:rsidRPr="009D45FA">
        <w:rPr>
          <w:i/>
          <w:iCs/>
        </w:rPr>
        <w:t xml:space="preserve"> </w:t>
      </w:r>
      <w:r w:rsidRPr="009D45FA">
        <w:t>Samen geven deze twee indicatoren inzicht in respectievelijk de verwachte frequentie en omvang van elektriciteitstekorten. De tabel hieronder geeft de uitkomsten van de TenneT monitor van vorig jaar (MLZ 2025), de ERAA 2025 en van de</w:t>
      </w:r>
      <w:r w:rsidRPr="009D45FA" w:rsidR="006269DB">
        <w:t xml:space="preserve"> </w:t>
      </w:r>
      <w:r w:rsidRPr="009D45FA">
        <w:t>MVZ 2026 weer.</w:t>
      </w:r>
    </w:p>
    <w:p w:rsidRPr="009D45FA" w:rsidR="004B4F44" w:rsidP="004B4F44" w:rsidRDefault="004B4F44" w14:paraId="41498B90" w14:textId="77777777">
      <w:pPr>
        <w:rPr>
          <w:szCs w:val="18"/>
        </w:rPr>
      </w:pPr>
    </w:p>
    <w:tbl>
      <w:tblPr>
        <w:tblW w:w="8939"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333"/>
        <w:gridCol w:w="1241"/>
        <w:gridCol w:w="969"/>
        <w:gridCol w:w="1269"/>
        <w:gridCol w:w="1276"/>
        <w:gridCol w:w="1417"/>
        <w:gridCol w:w="1434"/>
      </w:tblGrid>
      <w:tr w:rsidRPr="009D45FA" w:rsidR="004B4F44" w:rsidTr="0B6F9A51" w14:paraId="5F468084" w14:textId="77777777">
        <w:trPr>
          <w:trHeight w:val="225"/>
        </w:trPr>
        <w:tc>
          <w:tcPr>
            <w:tcW w:w="1333" w:type="dxa"/>
            <w:tcBorders>
              <w:top w:val="single" w:color="auto" w:sz="6" w:space="0"/>
              <w:left w:val="single" w:color="auto" w:sz="6" w:space="0"/>
              <w:bottom w:val="single" w:color="auto" w:sz="6" w:space="0"/>
              <w:right w:val="single" w:color="auto" w:sz="6" w:space="0"/>
            </w:tcBorders>
            <w:hideMark/>
          </w:tcPr>
          <w:p w:rsidRPr="009D45FA" w:rsidR="004B4F44" w:rsidRDefault="004B4F44" w14:paraId="3D7BF266" w14:textId="77777777">
            <w:pPr>
              <w:spacing w:after="80" w:line="278" w:lineRule="auto"/>
              <w:rPr>
                <w:sz w:val="16"/>
                <w:szCs w:val="16"/>
              </w:rPr>
            </w:pPr>
            <w:r w:rsidRPr="009D45FA">
              <w:rPr>
                <w:sz w:val="16"/>
                <w:szCs w:val="16"/>
                <w:lang w:val="en-US"/>
              </w:rPr>
              <w:t xml:space="preserve">Jaar </w:t>
            </w:r>
          </w:p>
        </w:tc>
        <w:tc>
          <w:tcPr>
            <w:tcW w:w="2210" w:type="dxa"/>
            <w:gridSpan w:val="2"/>
            <w:tcBorders>
              <w:top w:val="single" w:color="auto" w:sz="6" w:space="0"/>
              <w:left w:val="single" w:color="auto" w:sz="6" w:space="0"/>
              <w:bottom w:val="single" w:color="auto" w:sz="6" w:space="0"/>
              <w:right w:val="single" w:color="auto" w:sz="6" w:space="0"/>
            </w:tcBorders>
          </w:tcPr>
          <w:p w:rsidRPr="009D45FA" w:rsidR="004B4F44" w:rsidRDefault="004B4F44" w14:paraId="570EF9C9" w14:textId="77777777">
            <w:pPr>
              <w:spacing w:after="80" w:line="278" w:lineRule="auto"/>
              <w:rPr>
                <w:sz w:val="16"/>
                <w:szCs w:val="16"/>
              </w:rPr>
            </w:pPr>
            <w:r w:rsidRPr="009D45FA">
              <w:rPr>
                <w:sz w:val="16"/>
                <w:szCs w:val="16"/>
                <w:lang w:val="en-US"/>
              </w:rPr>
              <w:t>MLZ 2025</w:t>
            </w:r>
          </w:p>
        </w:tc>
        <w:tc>
          <w:tcPr>
            <w:tcW w:w="1269" w:type="dxa"/>
            <w:tcBorders>
              <w:top w:val="single" w:color="auto" w:sz="6" w:space="0"/>
              <w:left w:val="single" w:color="auto" w:sz="6" w:space="0"/>
              <w:bottom w:val="single" w:color="auto" w:sz="6" w:space="0"/>
              <w:right w:val="single" w:color="auto" w:sz="6" w:space="0"/>
            </w:tcBorders>
          </w:tcPr>
          <w:p w:rsidRPr="009D45FA" w:rsidR="004B4F44" w:rsidRDefault="004B4F44" w14:paraId="74917FD7" w14:textId="77777777">
            <w:pPr>
              <w:spacing w:after="80" w:line="278" w:lineRule="auto"/>
              <w:rPr>
                <w:sz w:val="16"/>
                <w:szCs w:val="16"/>
              </w:rPr>
            </w:pPr>
            <w:r w:rsidRPr="009D45FA">
              <w:rPr>
                <w:sz w:val="16"/>
                <w:szCs w:val="16"/>
              </w:rPr>
              <w:t>ERAA 2025</w:t>
            </w:r>
          </w:p>
        </w:tc>
        <w:tc>
          <w:tcPr>
            <w:tcW w:w="4127" w:type="dxa"/>
            <w:gridSpan w:val="3"/>
            <w:tcBorders>
              <w:top w:val="single" w:color="auto" w:sz="6" w:space="0"/>
              <w:left w:val="single" w:color="auto" w:sz="6" w:space="0"/>
              <w:bottom w:val="single" w:color="auto" w:sz="6" w:space="0"/>
              <w:right w:val="single" w:color="auto" w:sz="4" w:space="0"/>
            </w:tcBorders>
          </w:tcPr>
          <w:p w:rsidRPr="009D45FA" w:rsidR="004B4F44" w:rsidRDefault="004B4F44" w14:paraId="0CE2438F" w14:textId="77777777">
            <w:pPr>
              <w:spacing w:after="80" w:line="278" w:lineRule="auto"/>
              <w:rPr>
                <w:sz w:val="16"/>
                <w:szCs w:val="16"/>
              </w:rPr>
            </w:pPr>
            <w:r w:rsidRPr="009D45FA">
              <w:rPr>
                <w:sz w:val="16"/>
                <w:szCs w:val="16"/>
              </w:rPr>
              <w:t>MVZ 2026</w:t>
            </w:r>
          </w:p>
        </w:tc>
      </w:tr>
      <w:tr w:rsidRPr="009D45FA" w:rsidR="004B4F44" w:rsidTr="0B6F9A51" w14:paraId="57B58663" w14:textId="77777777">
        <w:trPr>
          <w:trHeight w:val="225"/>
        </w:trPr>
        <w:tc>
          <w:tcPr>
            <w:tcW w:w="1333" w:type="dxa"/>
            <w:tcBorders>
              <w:top w:val="single" w:color="auto" w:sz="6" w:space="0"/>
              <w:left w:val="single" w:color="auto" w:sz="6" w:space="0"/>
              <w:bottom w:val="single" w:color="auto" w:sz="6" w:space="0"/>
              <w:right w:val="single" w:color="auto" w:sz="6" w:space="0"/>
            </w:tcBorders>
            <w:hideMark/>
          </w:tcPr>
          <w:p w:rsidRPr="009D45FA" w:rsidR="004B4F44" w:rsidRDefault="004B4F44" w14:paraId="2EBD314E" w14:textId="77777777">
            <w:pPr>
              <w:spacing w:after="80" w:line="278" w:lineRule="auto"/>
              <w:rPr>
                <w:sz w:val="16"/>
                <w:szCs w:val="16"/>
              </w:rPr>
            </w:pPr>
            <w:r w:rsidRPr="009D45FA">
              <w:rPr>
                <w:sz w:val="16"/>
                <w:szCs w:val="16"/>
              </w:rPr>
              <w:t> </w:t>
            </w:r>
          </w:p>
        </w:tc>
        <w:tc>
          <w:tcPr>
            <w:tcW w:w="1241" w:type="dxa"/>
            <w:tcBorders>
              <w:top w:val="single" w:color="auto" w:sz="6" w:space="0"/>
              <w:left w:val="single" w:color="auto" w:sz="6" w:space="0"/>
              <w:bottom w:val="single" w:color="auto" w:sz="6" w:space="0"/>
              <w:right w:val="single" w:color="auto" w:sz="6" w:space="0"/>
            </w:tcBorders>
          </w:tcPr>
          <w:p w:rsidRPr="009D45FA" w:rsidR="004B4F44" w:rsidRDefault="004B4F44" w14:paraId="2B193FA6" w14:textId="77777777">
            <w:pPr>
              <w:spacing w:after="80" w:line="278" w:lineRule="auto"/>
              <w:rPr>
                <w:sz w:val="16"/>
                <w:szCs w:val="16"/>
              </w:rPr>
            </w:pPr>
            <w:r w:rsidRPr="009D45FA">
              <w:rPr>
                <w:sz w:val="16"/>
                <w:szCs w:val="16"/>
              </w:rPr>
              <w:t>LOLE (uur per jaar) - gemiddeld </w:t>
            </w:r>
          </w:p>
        </w:tc>
        <w:tc>
          <w:tcPr>
            <w:tcW w:w="969" w:type="dxa"/>
            <w:tcBorders>
              <w:top w:val="single" w:color="auto" w:sz="6" w:space="0"/>
              <w:left w:val="single" w:color="auto" w:sz="6" w:space="0"/>
              <w:bottom w:val="single" w:color="auto" w:sz="6" w:space="0"/>
              <w:right w:val="single" w:color="auto" w:sz="6" w:space="0"/>
            </w:tcBorders>
          </w:tcPr>
          <w:p w:rsidRPr="009D45FA" w:rsidR="004B4F44" w:rsidRDefault="004B4F44" w14:paraId="02AB93A2" w14:textId="77777777">
            <w:pPr>
              <w:spacing w:after="80" w:line="278" w:lineRule="auto"/>
              <w:rPr>
                <w:sz w:val="16"/>
                <w:szCs w:val="16"/>
              </w:rPr>
            </w:pPr>
            <w:r w:rsidRPr="009D45FA">
              <w:rPr>
                <w:sz w:val="16"/>
                <w:szCs w:val="16"/>
              </w:rPr>
              <w:t>EENS (GWh per jaar) - gemiddeld </w:t>
            </w:r>
          </w:p>
        </w:tc>
        <w:tc>
          <w:tcPr>
            <w:tcW w:w="1269" w:type="dxa"/>
            <w:tcBorders>
              <w:top w:val="single" w:color="auto" w:sz="6" w:space="0"/>
              <w:left w:val="single" w:color="auto" w:sz="6" w:space="0"/>
              <w:bottom w:val="single" w:color="auto" w:sz="6" w:space="0"/>
              <w:right w:val="single" w:color="auto" w:sz="6" w:space="0"/>
            </w:tcBorders>
          </w:tcPr>
          <w:p w:rsidRPr="009D45FA" w:rsidR="004B4F44" w:rsidRDefault="004B4F44" w14:paraId="0B4B568B" w14:textId="77777777">
            <w:pPr>
              <w:spacing w:after="80" w:line="278" w:lineRule="auto"/>
              <w:rPr>
                <w:sz w:val="16"/>
                <w:szCs w:val="16"/>
              </w:rPr>
            </w:pPr>
            <w:r w:rsidRPr="009D45FA">
              <w:rPr>
                <w:sz w:val="16"/>
                <w:szCs w:val="16"/>
              </w:rPr>
              <w:t>LOLE (uur per jaar) - gemiddeld</w:t>
            </w:r>
          </w:p>
        </w:tc>
        <w:tc>
          <w:tcPr>
            <w:tcW w:w="1276" w:type="dxa"/>
            <w:tcBorders>
              <w:top w:val="single" w:color="auto" w:sz="6" w:space="0"/>
              <w:left w:val="single" w:color="auto" w:sz="6" w:space="0"/>
              <w:bottom w:val="single" w:color="auto" w:sz="6" w:space="0"/>
              <w:right w:val="single" w:color="auto" w:sz="6" w:space="0"/>
            </w:tcBorders>
          </w:tcPr>
          <w:p w:rsidRPr="009D45FA" w:rsidR="004B4F44" w:rsidRDefault="004B4F44" w14:paraId="6443B7D0" w14:textId="77777777">
            <w:pPr>
              <w:spacing w:after="80" w:line="278" w:lineRule="auto"/>
              <w:rPr>
                <w:sz w:val="16"/>
                <w:szCs w:val="16"/>
              </w:rPr>
            </w:pPr>
            <w:r w:rsidRPr="009D45FA">
              <w:rPr>
                <w:sz w:val="16"/>
                <w:szCs w:val="16"/>
              </w:rPr>
              <w:t>LOLE (uur per jaar) - gemiddeld </w:t>
            </w:r>
          </w:p>
        </w:tc>
        <w:tc>
          <w:tcPr>
            <w:tcW w:w="1417" w:type="dxa"/>
            <w:tcBorders>
              <w:top w:val="single" w:color="auto" w:sz="6" w:space="0"/>
              <w:left w:val="single" w:color="auto" w:sz="6" w:space="0"/>
              <w:bottom w:val="single" w:color="auto" w:sz="6" w:space="0"/>
              <w:right w:val="single" w:color="auto" w:sz="4" w:space="0"/>
            </w:tcBorders>
          </w:tcPr>
          <w:p w:rsidRPr="009D45FA" w:rsidR="004B4F44" w:rsidRDefault="004B4F44" w14:paraId="14EF8291" w14:textId="77777777">
            <w:pPr>
              <w:spacing w:after="80" w:line="278" w:lineRule="auto"/>
              <w:rPr>
                <w:sz w:val="16"/>
                <w:szCs w:val="16"/>
              </w:rPr>
            </w:pPr>
            <w:r w:rsidRPr="009D45FA">
              <w:rPr>
                <w:sz w:val="16"/>
                <w:szCs w:val="16"/>
              </w:rPr>
              <w:t>EENS (GWh per jaar) - gemiddeld </w:t>
            </w:r>
          </w:p>
        </w:tc>
        <w:tc>
          <w:tcPr>
            <w:tcW w:w="1434" w:type="dxa"/>
            <w:tcBorders>
              <w:top w:val="single" w:color="auto" w:sz="6" w:space="0"/>
              <w:left w:val="single" w:color="auto" w:sz="4" w:space="0"/>
              <w:bottom w:val="single" w:color="auto" w:sz="6" w:space="0"/>
              <w:right w:val="single" w:color="auto" w:sz="6" w:space="0"/>
            </w:tcBorders>
          </w:tcPr>
          <w:p w:rsidRPr="009D45FA" w:rsidR="004B4F44" w:rsidRDefault="004B4F44" w14:paraId="4370C154" w14:textId="77777777">
            <w:pPr>
              <w:spacing w:after="80" w:line="278" w:lineRule="auto"/>
              <w:rPr>
                <w:sz w:val="16"/>
                <w:szCs w:val="16"/>
              </w:rPr>
            </w:pPr>
            <w:r w:rsidRPr="009D45FA">
              <w:rPr>
                <w:sz w:val="16"/>
                <w:szCs w:val="16"/>
              </w:rPr>
              <w:t>Gevoeligheids-analyse lagere vraag in de hele EU (LOLE)</w:t>
            </w:r>
          </w:p>
        </w:tc>
      </w:tr>
      <w:tr w:rsidRPr="009D45FA" w:rsidR="004B4F44" w:rsidTr="0B6F9A51" w14:paraId="204E1F1B" w14:textId="77777777">
        <w:trPr>
          <w:trHeight w:val="225"/>
        </w:trPr>
        <w:tc>
          <w:tcPr>
            <w:tcW w:w="1333" w:type="dxa"/>
            <w:tcBorders>
              <w:top w:val="single" w:color="auto" w:sz="6" w:space="0"/>
              <w:left w:val="single" w:color="auto" w:sz="6" w:space="0"/>
              <w:bottom w:val="single" w:color="auto" w:sz="6" w:space="0"/>
              <w:right w:val="single" w:color="auto" w:sz="6" w:space="0"/>
            </w:tcBorders>
          </w:tcPr>
          <w:p w:rsidRPr="009D45FA" w:rsidR="004B4F44" w:rsidRDefault="004B4F44" w14:paraId="69F159C1" w14:textId="77777777">
            <w:pPr>
              <w:spacing w:after="80" w:line="278" w:lineRule="auto"/>
              <w:rPr>
                <w:sz w:val="16"/>
                <w:szCs w:val="16"/>
                <w:lang w:val="en-US"/>
              </w:rPr>
            </w:pPr>
            <w:r w:rsidRPr="009D45FA">
              <w:rPr>
                <w:sz w:val="16"/>
                <w:szCs w:val="16"/>
                <w:lang w:val="en-US"/>
              </w:rPr>
              <w:t>2028</w:t>
            </w:r>
          </w:p>
        </w:tc>
        <w:tc>
          <w:tcPr>
            <w:tcW w:w="1241" w:type="dxa"/>
            <w:tcBorders>
              <w:top w:val="single" w:color="auto" w:sz="6" w:space="0"/>
              <w:left w:val="single" w:color="auto" w:sz="6" w:space="0"/>
              <w:bottom w:val="single" w:color="auto" w:sz="6" w:space="0"/>
              <w:right w:val="single" w:color="auto" w:sz="6" w:space="0"/>
            </w:tcBorders>
          </w:tcPr>
          <w:p w:rsidRPr="009D45FA" w:rsidR="004B4F44" w:rsidRDefault="004B4F44" w14:paraId="6B0D407D" w14:textId="77777777">
            <w:pPr>
              <w:spacing w:after="80" w:line="278" w:lineRule="auto"/>
              <w:rPr>
                <w:sz w:val="16"/>
                <w:szCs w:val="16"/>
                <w:lang w:val="en-US"/>
              </w:rPr>
            </w:pPr>
            <w:r w:rsidRPr="009D45FA">
              <w:rPr>
                <w:sz w:val="16"/>
                <w:szCs w:val="16"/>
                <w:lang w:val="en-US"/>
              </w:rPr>
              <w:t>N.v.t.</w:t>
            </w:r>
          </w:p>
        </w:tc>
        <w:tc>
          <w:tcPr>
            <w:tcW w:w="969" w:type="dxa"/>
            <w:tcBorders>
              <w:top w:val="single" w:color="auto" w:sz="6" w:space="0"/>
              <w:left w:val="single" w:color="auto" w:sz="6" w:space="0"/>
              <w:bottom w:val="single" w:color="auto" w:sz="6" w:space="0"/>
              <w:right w:val="single" w:color="auto" w:sz="6" w:space="0"/>
            </w:tcBorders>
          </w:tcPr>
          <w:p w:rsidRPr="009D45FA" w:rsidR="004B4F44" w:rsidRDefault="004B4F44" w14:paraId="766FF384" w14:textId="77777777">
            <w:pPr>
              <w:spacing w:after="80" w:line="278" w:lineRule="auto"/>
              <w:rPr>
                <w:sz w:val="16"/>
                <w:szCs w:val="16"/>
                <w:lang w:val="en-US"/>
              </w:rPr>
            </w:pPr>
            <w:r w:rsidRPr="009D45FA">
              <w:rPr>
                <w:sz w:val="16"/>
                <w:szCs w:val="16"/>
                <w:lang w:val="en-US"/>
              </w:rPr>
              <w:t>N.v.t.</w:t>
            </w:r>
          </w:p>
        </w:tc>
        <w:tc>
          <w:tcPr>
            <w:tcW w:w="1269" w:type="dxa"/>
            <w:tcBorders>
              <w:top w:val="single" w:color="auto" w:sz="6" w:space="0"/>
              <w:left w:val="single" w:color="auto" w:sz="6" w:space="0"/>
              <w:bottom w:val="single" w:color="auto" w:sz="6" w:space="0"/>
              <w:right w:val="single" w:color="auto" w:sz="6" w:space="0"/>
            </w:tcBorders>
          </w:tcPr>
          <w:p w:rsidRPr="009D45FA" w:rsidR="004B4F44" w:rsidRDefault="004B4F44" w14:paraId="3FDE15C0" w14:textId="7F3DB671">
            <w:pPr>
              <w:spacing w:after="80" w:line="278" w:lineRule="auto"/>
              <w:rPr>
                <w:sz w:val="16"/>
                <w:szCs w:val="16"/>
              </w:rPr>
            </w:pPr>
            <w:r w:rsidRPr="009D45FA">
              <w:rPr>
                <w:sz w:val="16"/>
                <w:szCs w:val="16"/>
              </w:rPr>
              <w:t>9</w:t>
            </w:r>
            <w:r w:rsidR="00A22A18">
              <w:rPr>
                <w:sz w:val="16"/>
                <w:szCs w:val="16"/>
              </w:rPr>
              <w:t>,0</w:t>
            </w:r>
          </w:p>
        </w:tc>
        <w:tc>
          <w:tcPr>
            <w:tcW w:w="1276" w:type="dxa"/>
            <w:tcBorders>
              <w:top w:val="single" w:color="auto" w:sz="6" w:space="0"/>
              <w:left w:val="single" w:color="auto" w:sz="6" w:space="0"/>
              <w:bottom w:val="single" w:color="auto" w:sz="6" w:space="0"/>
              <w:right w:val="single" w:color="auto" w:sz="6" w:space="0"/>
            </w:tcBorders>
          </w:tcPr>
          <w:p w:rsidRPr="009D45FA" w:rsidR="004B4F44" w:rsidDel="00F55ED4" w:rsidRDefault="004B4F44" w14:paraId="45F537E6" w14:textId="77777777">
            <w:pPr>
              <w:spacing w:after="80" w:line="278" w:lineRule="auto"/>
              <w:rPr>
                <w:sz w:val="16"/>
                <w:szCs w:val="16"/>
              </w:rPr>
            </w:pPr>
            <w:r w:rsidRPr="009D45FA">
              <w:rPr>
                <w:sz w:val="16"/>
                <w:szCs w:val="16"/>
              </w:rPr>
              <w:t>0,7 - 4,5</w:t>
            </w:r>
          </w:p>
        </w:tc>
        <w:tc>
          <w:tcPr>
            <w:tcW w:w="1417" w:type="dxa"/>
            <w:tcBorders>
              <w:top w:val="single" w:color="auto" w:sz="6" w:space="0"/>
              <w:left w:val="single" w:color="auto" w:sz="6" w:space="0"/>
              <w:bottom w:val="single" w:color="auto" w:sz="6" w:space="0"/>
              <w:right w:val="single" w:color="auto" w:sz="4" w:space="0"/>
            </w:tcBorders>
          </w:tcPr>
          <w:p w:rsidRPr="009D45FA" w:rsidR="004B4F44" w:rsidRDefault="004B4F44" w14:paraId="6B6E4187" w14:textId="77777777">
            <w:pPr>
              <w:spacing w:after="80" w:line="278" w:lineRule="auto"/>
              <w:rPr>
                <w:sz w:val="16"/>
                <w:szCs w:val="16"/>
              </w:rPr>
            </w:pPr>
            <w:r w:rsidRPr="009D45FA">
              <w:rPr>
                <w:sz w:val="16"/>
                <w:szCs w:val="16"/>
              </w:rPr>
              <w:t>0,3 - 2,0</w:t>
            </w:r>
          </w:p>
        </w:tc>
        <w:tc>
          <w:tcPr>
            <w:tcW w:w="1434" w:type="dxa"/>
            <w:tcBorders>
              <w:top w:val="single" w:color="auto" w:sz="6" w:space="0"/>
              <w:left w:val="single" w:color="auto" w:sz="4" w:space="0"/>
              <w:bottom w:val="single" w:color="auto" w:sz="6" w:space="0"/>
              <w:right w:val="single" w:color="auto" w:sz="6" w:space="0"/>
            </w:tcBorders>
          </w:tcPr>
          <w:p w:rsidRPr="009D45FA" w:rsidR="004B4F44" w:rsidRDefault="00DE1EF8" w14:paraId="7FD4C31D" w14:textId="01B4F56F">
            <w:pPr>
              <w:spacing w:after="80" w:line="278" w:lineRule="auto"/>
              <w:rPr>
                <w:sz w:val="16"/>
                <w:szCs w:val="16"/>
              </w:rPr>
            </w:pPr>
            <w:r w:rsidRPr="009D45FA">
              <w:rPr>
                <w:sz w:val="16"/>
                <w:szCs w:val="16"/>
              </w:rPr>
              <w:t>N</w:t>
            </w:r>
            <w:r w:rsidRPr="009D45FA" w:rsidR="00197B3E">
              <w:rPr>
                <w:sz w:val="16"/>
                <w:szCs w:val="16"/>
              </w:rPr>
              <w:t>.</w:t>
            </w:r>
            <w:r w:rsidRPr="009D45FA">
              <w:rPr>
                <w:sz w:val="16"/>
                <w:szCs w:val="16"/>
              </w:rPr>
              <w:t>v</w:t>
            </w:r>
            <w:r w:rsidRPr="009D45FA" w:rsidR="00197B3E">
              <w:rPr>
                <w:sz w:val="16"/>
                <w:szCs w:val="16"/>
              </w:rPr>
              <w:t>.</w:t>
            </w:r>
            <w:r w:rsidRPr="009D45FA">
              <w:rPr>
                <w:sz w:val="16"/>
                <w:szCs w:val="16"/>
              </w:rPr>
              <w:t>t</w:t>
            </w:r>
            <w:r w:rsidRPr="009D45FA" w:rsidR="00197B3E">
              <w:rPr>
                <w:sz w:val="16"/>
                <w:szCs w:val="16"/>
              </w:rPr>
              <w:t>.</w:t>
            </w:r>
          </w:p>
        </w:tc>
      </w:tr>
      <w:tr w:rsidRPr="009D45FA" w:rsidR="004B4F44" w:rsidTr="0B6F9A51" w14:paraId="5DB3A817" w14:textId="77777777">
        <w:trPr>
          <w:trHeight w:val="225"/>
        </w:trPr>
        <w:tc>
          <w:tcPr>
            <w:tcW w:w="1333" w:type="dxa"/>
            <w:tcBorders>
              <w:top w:val="single" w:color="auto" w:sz="6" w:space="0"/>
              <w:left w:val="single" w:color="auto" w:sz="6" w:space="0"/>
              <w:bottom w:val="single" w:color="auto" w:sz="6" w:space="0"/>
              <w:right w:val="single" w:color="auto" w:sz="6" w:space="0"/>
            </w:tcBorders>
            <w:hideMark/>
          </w:tcPr>
          <w:p w:rsidRPr="009D45FA" w:rsidR="004B4F44" w:rsidRDefault="004B4F44" w14:paraId="700C141D" w14:textId="77777777">
            <w:pPr>
              <w:spacing w:after="80" w:line="278" w:lineRule="auto"/>
              <w:rPr>
                <w:sz w:val="16"/>
                <w:szCs w:val="16"/>
              </w:rPr>
            </w:pPr>
            <w:r w:rsidRPr="009D45FA">
              <w:rPr>
                <w:sz w:val="16"/>
                <w:szCs w:val="16"/>
                <w:lang w:val="en-US"/>
              </w:rPr>
              <w:t>2030</w:t>
            </w:r>
            <w:r w:rsidRPr="009D45FA">
              <w:rPr>
                <w:sz w:val="16"/>
                <w:szCs w:val="16"/>
              </w:rPr>
              <w:t> </w:t>
            </w:r>
          </w:p>
        </w:tc>
        <w:tc>
          <w:tcPr>
            <w:tcW w:w="1241" w:type="dxa"/>
            <w:tcBorders>
              <w:top w:val="single" w:color="auto" w:sz="6" w:space="0"/>
              <w:left w:val="single" w:color="auto" w:sz="6" w:space="0"/>
              <w:bottom w:val="single" w:color="auto" w:sz="6" w:space="0"/>
              <w:right w:val="single" w:color="auto" w:sz="6" w:space="0"/>
            </w:tcBorders>
          </w:tcPr>
          <w:p w:rsidRPr="009D45FA" w:rsidR="004B4F44" w:rsidRDefault="004B4F44" w14:paraId="1A6C9D6A" w14:textId="77777777">
            <w:pPr>
              <w:spacing w:after="80" w:line="278" w:lineRule="auto"/>
              <w:rPr>
                <w:sz w:val="16"/>
                <w:szCs w:val="16"/>
              </w:rPr>
            </w:pPr>
            <w:r w:rsidRPr="009D45FA">
              <w:rPr>
                <w:sz w:val="16"/>
                <w:szCs w:val="16"/>
                <w:lang w:val="en-US"/>
              </w:rPr>
              <w:t>1,1</w:t>
            </w:r>
            <w:r w:rsidRPr="009D45FA">
              <w:rPr>
                <w:sz w:val="16"/>
                <w:szCs w:val="16"/>
              </w:rPr>
              <w:t> </w:t>
            </w:r>
          </w:p>
        </w:tc>
        <w:tc>
          <w:tcPr>
            <w:tcW w:w="969" w:type="dxa"/>
            <w:tcBorders>
              <w:top w:val="single" w:color="auto" w:sz="6" w:space="0"/>
              <w:left w:val="single" w:color="auto" w:sz="6" w:space="0"/>
              <w:bottom w:val="single" w:color="auto" w:sz="6" w:space="0"/>
              <w:right w:val="single" w:color="auto" w:sz="6" w:space="0"/>
            </w:tcBorders>
          </w:tcPr>
          <w:p w:rsidRPr="009D45FA" w:rsidR="004B4F44" w:rsidRDefault="004B4F44" w14:paraId="53DFAF2B" w14:textId="77777777">
            <w:pPr>
              <w:spacing w:after="80" w:line="278" w:lineRule="auto"/>
              <w:rPr>
                <w:sz w:val="16"/>
                <w:szCs w:val="16"/>
              </w:rPr>
            </w:pPr>
            <w:r w:rsidRPr="009D45FA">
              <w:rPr>
                <w:sz w:val="16"/>
                <w:szCs w:val="16"/>
                <w:lang w:val="en-US"/>
              </w:rPr>
              <w:t>0,8</w:t>
            </w:r>
            <w:r w:rsidRPr="009D45FA">
              <w:rPr>
                <w:sz w:val="16"/>
                <w:szCs w:val="16"/>
              </w:rPr>
              <w:t> </w:t>
            </w:r>
          </w:p>
        </w:tc>
        <w:tc>
          <w:tcPr>
            <w:tcW w:w="1269" w:type="dxa"/>
            <w:tcBorders>
              <w:top w:val="single" w:color="auto" w:sz="6" w:space="0"/>
              <w:left w:val="single" w:color="auto" w:sz="6" w:space="0"/>
              <w:bottom w:val="single" w:color="auto" w:sz="6" w:space="0"/>
              <w:right w:val="single" w:color="auto" w:sz="6" w:space="0"/>
            </w:tcBorders>
          </w:tcPr>
          <w:p w:rsidRPr="009D45FA" w:rsidR="004B4F44" w:rsidRDefault="004B4F44" w14:paraId="474FDF49" w14:textId="7D76FC2F">
            <w:pPr>
              <w:spacing w:after="80" w:line="278" w:lineRule="auto"/>
              <w:rPr>
                <w:sz w:val="16"/>
                <w:szCs w:val="16"/>
              </w:rPr>
            </w:pPr>
            <w:r w:rsidRPr="009D45FA">
              <w:rPr>
                <w:sz w:val="16"/>
                <w:szCs w:val="16"/>
              </w:rPr>
              <w:t>12</w:t>
            </w:r>
            <w:r w:rsidR="00A22A18">
              <w:rPr>
                <w:sz w:val="16"/>
                <w:szCs w:val="16"/>
              </w:rPr>
              <w:t>,0</w:t>
            </w:r>
          </w:p>
        </w:tc>
        <w:tc>
          <w:tcPr>
            <w:tcW w:w="1276" w:type="dxa"/>
            <w:tcBorders>
              <w:top w:val="single" w:color="auto" w:sz="6" w:space="0"/>
              <w:left w:val="single" w:color="auto" w:sz="6" w:space="0"/>
              <w:bottom w:val="single" w:color="auto" w:sz="6" w:space="0"/>
              <w:right w:val="single" w:color="auto" w:sz="6" w:space="0"/>
            </w:tcBorders>
          </w:tcPr>
          <w:p w:rsidRPr="009D45FA" w:rsidR="004B4F44" w:rsidRDefault="00B50CCD" w14:paraId="5E35C51D" w14:textId="4C46534E">
            <w:pPr>
              <w:spacing w:after="80" w:line="278" w:lineRule="auto"/>
              <w:rPr>
                <w:sz w:val="16"/>
                <w:szCs w:val="16"/>
              </w:rPr>
            </w:pPr>
            <w:r w:rsidRPr="009D45FA">
              <w:rPr>
                <w:sz w:val="16"/>
                <w:szCs w:val="16"/>
              </w:rPr>
              <w:t>7,2 -</w:t>
            </w:r>
            <w:r w:rsidRPr="009D45FA" w:rsidR="004B4F44">
              <w:rPr>
                <w:sz w:val="16"/>
                <w:szCs w:val="16"/>
              </w:rPr>
              <w:t xml:space="preserve"> 10,8</w:t>
            </w:r>
          </w:p>
        </w:tc>
        <w:tc>
          <w:tcPr>
            <w:tcW w:w="1417" w:type="dxa"/>
            <w:tcBorders>
              <w:top w:val="single" w:color="auto" w:sz="6" w:space="0"/>
              <w:left w:val="single" w:color="auto" w:sz="6" w:space="0"/>
              <w:bottom w:val="single" w:color="auto" w:sz="6" w:space="0"/>
              <w:right w:val="single" w:color="auto" w:sz="4" w:space="0"/>
            </w:tcBorders>
          </w:tcPr>
          <w:p w:rsidRPr="009D45FA" w:rsidR="004B4F44" w:rsidRDefault="00372E17" w14:paraId="4FD7E252" w14:textId="6BC8206D">
            <w:pPr>
              <w:spacing w:after="80" w:line="278" w:lineRule="auto"/>
              <w:rPr>
                <w:sz w:val="16"/>
                <w:szCs w:val="16"/>
              </w:rPr>
            </w:pPr>
            <w:r w:rsidRPr="009D45FA">
              <w:rPr>
                <w:sz w:val="16"/>
                <w:szCs w:val="16"/>
              </w:rPr>
              <w:t>8</w:t>
            </w:r>
            <w:r w:rsidRPr="009D45FA" w:rsidR="3F573CCE">
              <w:rPr>
                <w:sz w:val="16"/>
                <w:szCs w:val="16"/>
              </w:rPr>
              <w:t>,0</w:t>
            </w:r>
            <w:r w:rsidRPr="009D45FA">
              <w:rPr>
                <w:sz w:val="16"/>
                <w:szCs w:val="16"/>
              </w:rPr>
              <w:t xml:space="preserve"> -</w:t>
            </w:r>
            <w:r w:rsidRPr="009D45FA" w:rsidR="004B4F44">
              <w:rPr>
                <w:sz w:val="16"/>
                <w:szCs w:val="16"/>
              </w:rPr>
              <w:t xml:space="preserve"> 13,4</w:t>
            </w:r>
          </w:p>
        </w:tc>
        <w:tc>
          <w:tcPr>
            <w:tcW w:w="1434" w:type="dxa"/>
            <w:tcBorders>
              <w:top w:val="single" w:color="auto" w:sz="6" w:space="0"/>
              <w:left w:val="single" w:color="auto" w:sz="4" w:space="0"/>
              <w:bottom w:val="single" w:color="auto" w:sz="6" w:space="0"/>
              <w:right w:val="single" w:color="auto" w:sz="6" w:space="0"/>
            </w:tcBorders>
          </w:tcPr>
          <w:p w:rsidRPr="009D45FA" w:rsidR="004B4F44" w:rsidRDefault="00DE1EF8" w14:paraId="28123623" w14:textId="5D995B1E">
            <w:pPr>
              <w:spacing w:after="80" w:line="278" w:lineRule="auto"/>
              <w:rPr>
                <w:sz w:val="16"/>
                <w:szCs w:val="16"/>
              </w:rPr>
            </w:pPr>
            <w:r w:rsidRPr="009D45FA">
              <w:rPr>
                <w:sz w:val="16"/>
                <w:szCs w:val="16"/>
              </w:rPr>
              <w:t>0,9</w:t>
            </w:r>
          </w:p>
        </w:tc>
      </w:tr>
      <w:tr w:rsidRPr="009D45FA" w:rsidR="004B4F44" w:rsidTr="0B6F9A51" w14:paraId="500DFC1E" w14:textId="77777777">
        <w:trPr>
          <w:trHeight w:val="65"/>
        </w:trPr>
        <w:tc>
          <w:tcPr>
            <w:tcW w:w="1333" w:type="dxa"/>
            <w:tcBorders>
              <w:top w:val="single" w:color="auto" w:sz="6" w:space="0"/>
              <w:left w:val="single" w:color="auto" w:sz="6" w:space="0"/>
              <w:bottom w:val="single" w:color="auto" w:sz="6" w:space="0"/>
              <w:right w:val="single" w:color="auto" w:sz="6" w:space="0"/>
            </w:tcBorders>
            <w:hideMark/>
          </w:tcPr>
          <w:p w:rsidRPr="009D45FA" w:rsidR="004B4F44" w:rsidRDefault="004B4F44" w14:paraId="50447038" w14:textId="77777777">
            <w:pPr>
              <w:spacing w:after="80" w:line="278" w:lineRule="auto"/>
              <w:rPr>
                <w:sz w:val="16"/>
                <w:szCs w:val="16"/>
              </w:rPr>
            </w:pPr>
            <w:r w:rsidRPr="009D45FA">
              <w:rPr>
                <w:sz w:val="16"/>
                <w:szCs w:val="16"/>
                <w:lang w:val="en-US"/>
              </w:rPr>
              <w:t>2033</w:t>
            </w:r>
            <w:r w:rsidRPr="009D45FA">
              <w:rPr>
                <w:sz w:val="16"/>
                <w:szCs w:val="16"/>
              </w:rPr>
              <w:t> </w:t>
            </w:r>
          </w:p>
        </w:tc>
        <w:tc>
          <w:tcPr>
            <w:tcW w:w="1241" w:type="dxa"/>
            <w:tcBorders>
              <w:top w:val="single" w:color="auto" w:sz="6" w:space="0"/>
              <w:left w:val="single" w:color="auto" w:sz="6" w:space="0"/>
              <w:bottom w:val="single" w:color="auto" w:sz="6" w:space="0"/>
              <w:right w:val="single" w:color="auto" w:sz="6" w:space="0"/>
            </w:tcBorders>
          </w:tcPr>
          <w:p w:rsidRPr="009D45FA" w:rsidR="004B4F44" w:rsidRDefault="004B4F44" w14:paraId="6C91E377" w14:textId="77777777">
            <w:pPr>
              <w:spacing w:after="80" w:line="278" w:lineRule="auto"/>
              <w:rPr>
                <w:sz w:val="16"/>
                <w:szCs w:val="16"/>
              </w:rPr>
            </w:pPr>
            <w:r w:rsidRPr="009D45FA">
              <w:rPr>
                <w:sz w:val="16"/>
                <w:szCs w:val="16"/>
                <w:lang w:val="en-US"/>
              </w:rPr>
              <w:t>12,6</w:t>
            </w:r>
            <w:r w:rsidRPr="009D45FA">
              <w:rPr>
                <w:sz w:val="16"/>
                <w:szCs w:val="16"/>
              </w:rPr>
              <w:t> </w:t>
            </w:r>
          </w:p>
        </w:tc>
        <w:tc>
          <w:tcPr>
            <w:tcW w:w="969" w:type="dxa"/>
            <w:tcBorders>
              <w:top w:val="single" w:color="auto" w:sz="6" w:space="0"/>
              <w:left w:val="single" w:color="auto" w:sz="6" w:space="0"/>
              <w:bottom w:val="single" w:color="auto" w:sz="6" w:space="0"/>
              <w:right w:val="single" w:color="auto" w:sz="6" w:space="0"/>
            </w:tcBorders>
          </w:tcPr>
          <w:p w:rsidRPr="009D45FA" w:rsidR="004B4F44" w:rsidRDefault="004B4F44" w14:paraId="33D0453E" w14:textId="77777777">
            <w:pPr>
              <w:spacing w:after="80" w:line="278" w:lineRule="auto"/>
              <w:rPr>
                <w:sz w:val="16"/>
                <w:szCs w:val="16"/>
              </w:rPr>
            </w:pPr>
            <w:r w:rsidRPr="009D45FA">
              <w:rPr>
                <w:sz w:val="16"/>
                <w:szCs w:val="16"/>
                <w:lang w:val="en-US"/>
              </w:rPr>
              <w:t>14,1</w:t>
            </w:r>
            <w:r w:rsidRPr="009D45FA">
              <w:rPr>
                <w:sz w:val="16"/>
                <w:szCs w:val="16"/>
              </w:rPr>
              <w:t> </w:t>
            </w:r>
          </w:p>
        </w:tc>
        <w:tc>
          <w:tcPr>
            <w:tcW w:w="1269" w:type="dxa"/>
            <w:tcBorders>
              <w:top w:val="single" w:color="auto" w:sz="6" w:space="0"/>
              <w:left w:val="single" w:color="auto" w:sz="6" w:space="0"/>
              <w:bottom w:val="single" w:color="auto" w:sz="6" w:space="0"/>
              <w:right w:val="single" w:color="auto" w:sz="6" w:space="0"/>
            </w:tcBorders>
          </w:tcPr>
          <w:p w:rsidRPr="009D45FA" w:rsidR="004B4F44" w:rsidRDefault="004B4F44" w14:paraId="57FD1C7C" w14:textId="6DCFAA5F">
            <w:pPr>
              <w:spacing w:after="80" w:line="278" w:lineRule="auto"/>
              <w:rPr>
                <w:sz w:val="16"/>
                <w:szCs w:val="16"/>
              </w:rPr>
            </w:pPr>
            <w:r w:rsidRPr="009D45FA">
              <w:rPr>
                <w:sz w:val="16"/>
                <w:szCs w:val="16"/>
              </w:rPr>
              <w:t>15</w:t>
            </w:r>
            <w:r w:rsidR="00A22A18">
              <w:rPr>
                <w:sz w:val="16"/>
                <w:szCs w:val="16"/>
              </w:rPr>
              <w:t>,4</w:t>
            </w:r>
          </w:p>
        </w:tc>
        <w:tc>
          <w:tcPr>
            <w:tcW w:w="1276" w:type="dxa"/>
            <w:tcBorders>
              <w:top w:val="single" w:color="auto" w:sz="6" w:space="0"/>
              <w:left w:val="single" w:color="auto" w:sz="6" w:space="0"/>
              <w:bottom w:val="single" w:color="auto" w:sz="6" w:space="0"/>
              <w:right w:val="single" w:color="auto" w:sz="6" w:space="0"/>
            </w:tcBorders>
          </w:tcPr>
          <w:p w:rsidRPr="009D45FA" w:rsidR="004B4F44" w:rsidRDefault="00B50CCD" w14:paraId="243AAD65" w14:textId="76D6AEF3">
            <w:pPr>
              <w:spacing w:after="80" w:line="278" w:lineRule="auto"/>
              <w:rPr>
                <w:sz w:val="16"/>
                <w:szCs w:val="16"/>
              </w:rPr>
            </w:pPr>
            <w:r w:rsidRPr="009D45FA">
              <w:rPr>
                <w:sz w:val="16"/>
                <w:szCs w:val="16"/>
              </w:rPr>
              <w:t>18,9 -</w:t>
            </w:r>
            <w:r w:rsidRPr="009D45FA" w:rsidR="004B4F44">
              <w:rPr>
                <w:sz w:val="16"/>
                <w:szCs w:val="16"/>
              </w:rPr>
              <w:t xml:space="preserve"> 31,1</w:t>
            </w:r>
          </w:p>
        </w:tc>
        <w:tc>
          <w:tcPr>
            <w:tcW w:w="1417" w:type="dxa"/>
            <w:tcBorders>
              <w:top w:val="single" w:color="auto" w:sz="6" w:space="0"/>
              <w:left w:val="single" w:color="auto" w:sz="6" w:space="0"/>
              <w:bottom w:val="single" w:color="auto" w:sz="6" w:space="0"/>
              <w:right w:val="single" w:color="auto" w:sz="4" w:space="0"/>
            </w:tcBorders>
          </w:tcPr>
          <w:p w:rsidRPr="009D45FA" w:rsidR="004B4F44" w:rsidRDefault="00372E17" w14:paraId="7A1AC831" w14:textId="5286184C">
            <w:pPr>
              <w:spacing w:after="80" w:line="278" w:lineRule="auto"/>
              <w:rPr>
                <w:sz w:val="16"/>
                <w:szCs w:val="16"/>
              </w:rPr>
            </w:pPr>
            <w:r w:rsidRPr="009D45FA">
              <w:rPr>
                <w:sz w:val="16"/>
                <w:szCs w:val="16"/>
              </w:rPr>
              <w:t>18,4</w:t>
            </w:r>
            <w:r w:rsidRPr="009D45FA" w:rsidR="004B4F44">
              <w:rPr>
                <w:sz w:val="16"/>
                <w:szCs w:val="16"/>
              </w:rPr>
              <w:t xml:space="preserve"> </w:t>
            </w:r>
            <w:r w:rsidRPr="009D45FA">
              <w:rPr>
                <w:sz w:val="16"/>
                <w:szCs w:val="16"/>
              </w:rPr>
              <w:t>-</w:t>
            </w:r>
            <w:r w:rsidRPr="009D45FA" w:rsidR="004B4F44">
              <w:rPr>
                <w:sz w:val="16"/>
                <w:szCs w:val="16"/>
              </w:rPr>
              <w:t xml:space="preserve"> 44,7</w:t>
            </w:r>
          </w:p>
        </w:tc>
        <w:tc>
          <w:tcPr>
            <w:tcW w:w="1434" w:type="dxa"/>
            <w:tcBorders>
              <w:top w:val="single" w:color="auto" w:sz="6" w:space="0"/>
              <w:left w:val="single" w:color="auto" w:sz="4" w:space="0"/>
              <w:bottom w:val="single" w:color="auto" w:sz="6" w:space="0"/>
              <w:right w:val="single" w:color="auto" w:sz="6" w:space="0"/>
            </w:tcBorders>
          </w:tcPr>
          <w:p w:rsidRPr="009D45FA" w:rsidR="004B4F44" w:rsidRDefault="00DE1EF8" w14:paraId="707EEB18" w14:textId="33AED28E">
            <w:pPr>
              <w:spacing w:after="80" w:line="278" w:lineRule="auto"/>
              <w:rPr>
                <w:sz w:val="16"/>
                <w:szCs w:val="16"/>
              </w:rPr>
            </w:pPr>
            <w:r w:rsidRPr="009D45FA">
              <w:rPr>
                <w:sz w:val="16"/>
                <w:szCs w:val="16"/>
              </w:rPr>
              <w:t>0,5</w:t>
            </w:r>
          </w:p>
        </w:tc>
      </w:tr>
      <w:tr w:rsidRPr="009D45FA" w:rsidR="004B4F44" w:rsidTr="0B6F9A51" w14:paraId="7470C172" w14:textId="77777777">
        <w:trPr>
          <w:trHeight w:val="225"/>
        </w:trPr>
        <w:tc>
          <w:tcPr>
            <w:tcW w:w="1333" w:type="dxa"/>
            <w:tcBorders>
              <w:top w:val="single" w:color="auto" w:sz="6" w:space="0"/>
              <w:left w:val="single" w:color="auto" w:sz="6" w:space="0"/>
              <w:bottom w:val="single" w:color="auto" w:sz="6" w:space="0"/>
              <w:right w:val="single" w:color="auto" w:sz="6" w:space="0"/>
            </w:tcBorders>
            <w:hideMark/>
          </w:tcPr>
          <w:p w:rsidRPr="009D45FA" w:rsidR="004B4F44" w:rsidRDefault="004B4F44" w14:paraId="438DE33D" w14:textId="77777777">
            <w:pPr>
              <w:spacing w:after="80" w:line="278" w:lineRule="auto"/>
              <w:rPr>
                <w:sz w:val="16"/>
                <w:szCs w:val="16"/>
              </w:rPr>
            </w:pPr>
            <w:r w:rsidRPr="009D45FA">
              <w:rPr>
                <w:sz w:val="16"/>
                <w:szCs w:val="16"/>
                <w:lang w:val="en-US"/>
              </w:rPr>
              <w:t>2035</w:t>
            </w:r>
            <w:r w:rsidRPr="009D45FA">
              <w:rPr>
                <w:sz w:val="16"/>
                <w:szCs w:val="16"/>
              </w:rPr>
              <w:t> </w:t>
            </w:r>
          </w:p>
        </w:tc>
        <w:tc>
          <w:tcPr>
            <w:tcW w:w="1241" w:type="dxa"/>
            <w:tcBorders>
              <w:top w:val="single" w:color="auto" w:sz="6" w:space="0"/>
              <w:left w:val="single" w:color="auto" w:sz="6" w:space="0"/>
              <w:bottom w:val="single" w:color="auto" w:sz="6" w:space="0"/>
              <w:right w:val="single" w:color="auto" w:sz="6" w:space="0"/>
            </w:tcBorders>
          </w:tcPr>
          <w:p w:rsidRPr="009D45FA" w:rsidR="004B4F44" w:rsidRDefault="004B4F44" w14:paraId="35537AEB" w14:textId="77777777">
            <w:pPr>
              <w:spacing w:after="80" w:line="278" w:lineRule="auto"/>
              <w:rPr>
                <w:sz w:val="16"/>
                <w:szCs w:val="16"/>
              </w:rPr>
            </w:pPr>
            <w:r w:rsidRPr="009D45FA">
              <w:rPr>
                <w:sz w:val="16"/>
                <w:szCs w:val="16"/>
                <w:lang w:val="en-US"/>
              </w:rPr>
              <w:t>9,2</w:t>
            </w:r>
            <w:r w:rsidRPr="009D45FA">
              <w:rPr>
                <w:sz w:val="16"/>
                <w:szCs w:val="16"/>
              </w:rPr>
              <w:t> </w:t>
            </w:r>
          </w:p>
        </w:tc>
        <w:tc>
          <w:tcPr>
            <w:tcW w:w="969" w:type="dxa"/>
            <w:tcBorders>
              <w:top w:val="single" w:color="auto" w:sz="6" w:space="0"/>
              <w:left w:val="single" w:color="auto" w:sz="6" w:space="0"/>
              <w:bottom w:val="single" w:color="auto" w:sz="6" w:space="0"/>
              <w:right w:val="single" w:color="auto" w:sz="6" w:space="0"/>
            </w:tcBorders>
          </w:tcPr>
          <w:p w:rsidRPr="009D45FA" w:rsidR="004B4F44" w:rsidRDefault="004B4F44" w14:paraId="5E9F6874" w14:textId="77777777">
            <w:pPr>
              <w:spacing w:after="80" w:line="278" w:lineRule="auto"/>
              <w:rPr>
                <w:sz w:val="16"/>
                <w:szCs w:val="16"/>
              </w:rPr>
            </w:pPr>
            <w:r w:rsidRPr="009D45FA">
              <w:rPr>
                <w:sz w:val="16"/>
                <w:szCs w:val="16"/>
                <w:lang w:val="en-US"/>
              </w:rPr>
              <w:t>15,7</w:t>
            </w:r>
            <w:r w:rsidRPr="009D45FA">
              <w:rPr>
                <w:sz w:val="16"/>
                <w:szCs w:val="16"/>
              </w:rPr>
              <w:t> </w:t>
            </w:r>
          </w:p>
        </w:tc>
        <w:tc>
          <w:tcPr>
            <w:tcW w:w="1269" w:type="dxa"/>
            <w:tcBorders>
              <w:top w:val="single" w:color="auto" w:sz="6" w:space="0"/>
              <w:left w:val="single" w:color="auto" w:sz="6" w:space="0"/>
              <w:bottom w:val="single" w:color="auto" w:sz="6" w:space="0"/>
              <w:right w:val="single" w:color="auto" w:sz="6" w:space="0"/>
            </w:tcBorders>
          </w:tcPr>
          <w:p w:rsidRPr="009D45FA" w:rsidR="004B4F44" w:rsidRDefault="004B4F44" w14:paraId="2477173D" w14:textId="0BC27DFB">
            <w:pPr>
              <w:spacing w:after="80" w:line="278" w:lineRule="auto"/>
              <w:rPr>
                <w:sz w:val="16"/>
                <w:szCs w:val="16"/>
              </w:rPr>
            </w:pPr>
            <w:r w:rsidRPr="009D45FA">
              <w:rPr>
                <w:sz w:val="16"/>
                <w:szCs w:val="16"/>
              </w:rPr>
              <w:t>1</w:t>
            </w:r>
            <w:r w:rsidR="00A22A18">
              <w:rPr>
                <w:sz w:val="16"/>
                <w:szCs w:val="16"/>
              </w:rPr>
              <w:t>7,87</w:t>
            </w:r>
          </w:p>
        </w:tc>
        <w:tc>
          <w:tcPr>
            <w:tcW w:w="1276" w:type="dxa"/>
            <w:tcBorders>
              <w:top w:val="single" w:color="auto" w:sz="6" w:space="0"/>
              <w:left w:val="single" w:color="auto" w:sz="6" w:space="0"/>
              <w:bottom w:val="single" w:color="auto" w:sz="6" w:space="0"/>
              <w:right w:val="single" w:color="auto" w:sz="6" w:space="0"/>
            </w:tcBorders>
          </w:tcPr>
          <w:p w:rsidRPr="009D45FA" w:rsidR="004B4F44" w:rsidRDefault="00B50CCD" w14:paraId="07C3449F" w14:textId="359A55AB">
            <w:pPr>
              <w:spacing w:after="80" w:line="278" w:lineRule="auto"/>
              <w:rPr>
                <w:sz w:val="16"/>
                <w:szCs w:val="16"/>
              </w:rPr>
            </w:pPr>
            <w:r w:rsidRPr="009D45FA">
              <w:rPr>
                <w:sz w:val="16"/>
                <w:szCs w:val="16"/>
              </w:rPr>
              <w:t>37,3 -</w:t>
            </w:r>
            <w:r w:rsidRPr="009D45FA" w:rsidR="004B4F44">
              <w:rPr>
                <w:sz w:val="16"/>
                <w:szCs w:val="16"/>
              </w:rPr>
              <w:t xml:space="preserve"> 46,0</w:t>
            </w:r>
          </w:p>
        </w:tc>
        <w:tc>
          <w:tcPr>
            <w:tcW w:w="1417" w:type="dxa"/>
            <w:tcBorders>
              <w:top w:val="single" w:color="auto" w:sz="6" w:space="0"/>
              <w:left w:val="single" w:color="auto" w:sz="6" w:space="0"/>
              <w:bottom w:val="single" w:color="auto" w:sz="6" w:space="0"/>
              <w:right w:val="single" w:color="auto" w:sz="4" w:space="0"/>
            </w:tcBorders>
          </w:tcPr>
          <w:p w:rsidRPr="009D45FA" w:rsidR="004B4F44" w:rsidRDefault="00372E17" w14:paraId="692C49D9" w14:textId="3B217075">
            <w:pPr>
              <w:spacing w:after="80" w:line="278" w:lineRule="auto"/>
              <w:rPr>
                <w:sz w:val="16"/>
                <w:szCs w:val="16"/>
              </w:rPr>
            </w:pPr>
            <w:r w:rsidRPr="009D45FA">
              <w:rPr>
                <w:sz w:val="16"/>
                <w:szCs w:val="16"/>
              </w:rPr>
              <w:t>50,8 -</w:t>
            </w:r>
            <w:r w:rsidRPr="009D45FA" w:rsidR="004B4F44">
              <w:rPr>
                <w:sz w:val="16"/>
                <w:szCs w:val="16"/>
              </w:rPr>
              <w:t xml:space="preserve"> 78,1</w:t>
            </w:r>
          </w:p>
        </w:tc>
        <w:tc>
          <w:tcPr>
            <w:tcW w:w="1434" w:type="dxa"/>
            <w:tcBorders>
              <w:top w:val="single" w:color="auto" w:sz="6" w:space="0"/>
              <w:left w:val="single" w:color="auto" w:sz="4" w:space="0"/>
              <w:bottom w:val="single" w:color="auto" w:sz="6" w:space="0"/>
              <w:right w:val="single" w:color="auto" w:sz="6" w:space="0"/>
            </w:tcBorders>
          </w:tcPr>
          <w:p w:rsidRPr="009D45FA" w:rsidR="004B4F44" w:rsidRDefault="00DE1EF8" w14:paraId="6319EB9D" w14:textId="6AC03003">
            <w:pPr>
              <w:spacing w:after="80" w:line="278" w:lineRule="auto"/>
              <w:rPr>
                <w:sz w:val="16"/>
                <w:szCs w:val="16"/>
              </w:rPr>
            </w:pPr>
            <w:r w:rsidRPr="009D45FA">
              <w:rPr>
                <w:sz w:val="16"/>
                <w:szCs w:val="16"/>
              </w:rPr>
              <w:t>7,5</w:t>
            </w:r>
          </w:p>
        </w:tc>
      </w:tr>
    </w:tbl>
    <w:p w:rsidRPr="009D45FA" w:rsidR="004B4F44" w:rsidP="0B6F9A51" w:rsidRDefault="004B4F44" w14:paraId="24BA2355" w14:textId="7699B739">
      <w:pPr>
        <w:rPr>
          <w:i/>
          <w:iCs/>
          <w:sz w:val="14"/>
          <w:szCs w:val="14"/>
        </w:rPr>
      </w:pPr>
      <w:r w:rsidRPr="009D45FA">
        <w:rPr>
          <w:i/>
          <w:iCs/>
          <w:sz w:val="14"/>
          <w:szCs w:val="14"/>
        </w:rPr>
        <w:t xml:space="preserve">Tabel 1 – vergelijking resultaten MLZ 2025, ERAA 2025 </w:t>
      </w:r>
      <w:r w:rsidRPr="009D45FA" w:rsidR="6BE7212C">
        <w:rPr>
          <w:i/>
          <w:iCs/>
          <w:sz w:val="14"/>
          <w:szCs w:val="14"/>
        </w:rPr>
        <w:t xml:space="preserve">(na goedkeuring ACER) </w:t>
      </w:r>
      <w:r w:rsidRPr="009D45FA">
        <w:rPr>
          <w:i/>
          <w:iCs/>
          <w:sz w:val="14"/>
          <w:szCs w:val="14"/>
        </w:rPr>
        <w:t>en MVZ 2026</w:t>
      </w:r>
    </w:p>
    <w:p w:rsidRPr="009D45FA" w:rsidR="004B4F44" w:rsidP="004B4F44" w:rsidRDefault="004B4F44" w14:paraId="33589A71" w14:textId="77777777">
      <w:pPr>
        <w:rPr>
          <w:i/>
          <w:iCs/>
          <w:sz w:val="14"/>
          <w:szCs w:val="14"/>
        </w:rPr>
      </w:pPr>
    </w:p>
    <w:p w:rsidRPr="009D45FA" w:rsidR="004B4F44" w:rsidP="00F404F6" w:rsidRDefault="004B4F44" w14:paraId="13EA4388" w14:textId="2F798B97">
      <w:r w:rsidRPr="009D45FA">
        <w:lastRenderedPageBreak/>
        <w:t xml:space="preserve">Uit de MVZ 2026 blijkt dat de in Nederland gehanteerde streefwaarde van vier uur aan verwachte tekorten per jaar </w:t>
      </w:r>
      <w:r w:rsidRPr="009D45FA" w:rsidR="61C90BF4">
        <w:t xml:space="preserve">voor alle scenario's </w:t>
      </w:r>
      <w:r w:rsidRPr="009D45FA" w:rsidDel="003B2C0D">
        <w:t xml:space="preserve">al </w:t>
      </w:r>
      <w:r w:rsidRPr="009D45FA">
        <w:t>in</w:t>
      </w:r>
      <w:r w:rsidRPr="009D45FA" w:rsidR="00A34D99">
        <w:t xml:space="preserve"> </w:t>
      </w:r>
      <w:r w:rsidRPr="009D45FA">
        <w:t>peiljaar 2030 wordt overschreden</w:t>
      </w:r>
      <w:r w:rsidRPr="009D45FA" w:rsidDel="00EC2FFC" w:rsidR="00D33182">
        <w:t xml:space="preserve">. </w:t>
      </w:r>
      <w:r w:rsidRPr="009D45FA" w:rsidR="005244FF">
        <w:t xml:space="preserve">In 2028 is de overschrijding van de streefwaarde afhankelijk van de </w:t>
      </w:r>
      <w:r w:rsidRPr="009D45FA" w:rsidR="00F919CB">
        <w:t xml:space="preserve">onzekere </w:t>
      </w:r>
      <w:r w:rsidRPr="009D45FA" w:rsidR="005244FF">
        <w:t>aannames op de elektriciteitsvraag</w:t>
      </w:r>
      <w:r w:rsidRPr="009D45FA" w:rsidR="002427D8">
        <w:t>.</w:t>
      </w:r>
      <w:r w:rsidRPr="009D45FA" w:rsidR="00A43661">
        <w:t xml:space="preserve"> </w:t>
      </w:r>
      <w:r w:rsidRPr="009D45FA" w:rsidDel="005F4B25" w:rsidR="00F404F6">
        <w:t xml:space="preserve">Volgens de MVZ 2026 stijgen de LOLE en EENS na 2030 verder, </w:t>
      </w:r>
      <w:r w:rsidRPr="009D45FA" w:rsidDel="00764A5B" w:rsidR="00F404F6">
        <w:t xml:space="preserve">hetgeen </w:t>
      </w:r>
      <w:r w:rsidRPr="009D45FA" w:rsidDel="005F4B25" w:rsidR="00F404F6">
        <w:t xml:space="preserve">betekent dat de voorzieningszekerheid van elektriciteit verder onder druk komt te staan. </w:t>
      </w:r>
      <w:r w:rsidRPr="009D45FA" w:rsidR="00F404F6">
        <w:t>De voorziene risico’s zijn</w:t>
      </w:r>
      <w:r w:rsidRPr="009D45FA">
        <w:t xml:space="preserve"> het gevolg van een combinatie van factoren, met als belangrijkste reden een verwachte stijging van de elektriciteitsvraag in combinatie met een verwachte afname van regelbaar </w:t>
      </w:r>
      <w:r w:rsidRPr="009D45FA" w:rsidR="00D26CF4">
        <w:t>productie</w:t>
      </w:r>
      <w:r w:rsidRPr="009D45FA">
        <w:t xml:space="preserve">vermogen </w:t>
      </w:r>
      <w:r w:rsidRPr="009D45FA" w:rsidR="00D26CF4">
        <w:t xml:space="preserve">in binnen-en buitenland. </w:t>
      </w:r>
      <w:r w:rsidRPr="009D45FA" w:rsidR="008015C8">
        <w:t xml:space="preserve">De afname in Nederland is </w:t>
      </w:r>
      <w:r w:rsidRPr="009D45FA" w:rsidR="00BB7C94">
        <w:t>het</w:t>
      </w:r>
      <w:r w:rsidRPr="009D45FA" w:rsidR="008015C8">
        <w:t xml:space="preserve"> </w:t>
      </w:r>
      <w:r w:rsidRPr="009D45FA">
        <w:t>gevolg van het verbod op het gebruik van kolen voor elektriciteitsproductie vanaf 2030</w:t>
      </w:r>
      <w:r w:rsidRPr="009D45FA" w:rsidR="00BB7C94">
        <w:rPr>
          <w:rStyle w:val="Voetnootmarkering"/>
        </w:rPr>
        <w:footnoteReference w:id="5"/>
      </w:r>
      <w:r w:rsidRPr="009D45FA" w:rsidR="00D33182">
        <w:t>,</w:t>
      </w:r>
      <w:r w:rsidRPr="009D45FA">
        <w:t xml:space="preserve"> de veroudering van </w:t>
      </w:r>
      <w:r w:rsidRPr="009D45FA" w:rsidR="00D33182">
        <w:t xml:space="preserve">bestaande gascentrales </w:t>
      </w:r>
      <w:r w:rsidRPr="009D45FA">
        <w:t xml:space="preserve">en verminderde businesscase voor </w:t>
      </w:r>
      <w:r w:rsidR="00A22A18">
        <w:t>dezelfde</w:t>
      </w:r>
      <w:r w:rsidRPr="009D45FA" w:rsidR="00D33182">
        <w:t xml:space="preserve"> </w:t>
      </w:r>
      <w:r w:rsidRPr="009D45FA">
        <w:t xml:space="preserve">gascentrales. Deze neerwaartse druk op de businesscase van regelbaar vermogen is het gevolg van toenemende concurrentie van vooral zon- en windenergie, </w:t>
      </w:r>
      <w:r w:rsidRPr="009D45FA" w:rsidR="008015C8">
        <w:t>wat</w:t>
      </w:r>
      <w:r w:rsidRPr="009D45FA" w:rsidR="6A2E714F">
        <w:t xml:space="preserve"> </w:t>
      </w:r>
      <w:r w:rsidRPr="009D45FA">
        <w:t xml:space="preserve">leidt tot minder draaiuren van centrales. </w:t>
      </w:r>
      <w:r w:rsidRPr="009D45FA" w:rsidR="008015C8">
        <w:t xml:space="preserve">De </w:t>
      </w:r>
      <w:r w:rsidR="00623E0D">
        <w:t xml:space="preserve">autonome </w:t>
      </w:r>
      <w:r w:rsidRPr="009D45FA" w:rsidR="006D69DB">
        <w:t xml:space="preserve">groei van andere flexibiliteitsopties als batterijen en vraagrespons </w:t>
      </w:r>
      <w:r w:rsidR="00677545">
        <w:t>is</w:t>
      </w:r>
      <w:r w:rsidRPr="009D45FA" w:rsidR="006D69DB">
        <w:t xml:space="preserve"> in de scenario’s van TenneT onvoldoende om </w:t>
      </w:r>
      <w:r w:rsidRPr="009D45FA" w:rsidR="00187824">
        <w:t xml:space="preserve">voor de afname te compenseren. </w:t>
      </w:r>
    </w:p>
    <w:p w:rsidRPr="009D45FA" w:rsidR="005F14F8" w:rsidP="00F404F6" w:rsidRDefault="005F14F8" w14:paraId="6C7FFFF1" w14:textId="77777777"/>
    <w:p w:rsidRPr="009D45FA" w:rsidR="005F14F8" w:rsidP="00F404F6" w:rsidRDefault="005F14F8" w14:paraId="7D2E23C2" w14:textId="54836CEA">
      <w:r w:rsidRPr="009D45FA" w:rsidDel="00156521">
        <w:t xml:space="preserve">De monitor van vorig jaar ging er nog vanuit dat genoemde streefwaarde pas in 2033 zou worden overschreden. </w:t>
      </w:r>
      <w:r w:rsidRPr="009D45FA" w:rsidR="00040A9D">
        <w:t>In</w:t>
      </w:r>
      <w:r w:rsidRPr="009D45FA" w:rsidR="000E6071">
        <w:t xml:space="preserve"> de huidige monitor blijft alleen</w:t>
      </w:r>
      <w:r w:rsidRPr="009D45FA" w:rsidDel="005F4B25">
        <w:t xml:space="preserve"> in de gevoeligheidsanalyse met een lagere elektriciteitsvraag in de hele EU deze waarde tot in 2033 onder de vier uur. </w:t>
      </w:r>
      <w:r w:rsidRPr="009D45FA">
        <w:t>Het verschil tussen de monitor van dit jaar en die van afgelopen jaren is het gevolg van hogere aannames over de ontwikkeling van de elektriciteitsvraag, met name gedreven door de nieuwe energievraag van datacenters. Ook stijgt de buitenlandse vraag significant, zonder dat de productiecapaciteit, vraagrespons en opslag daar evenredig in meegroeien.</w:t>
      </w:r>
      <w:r w:rsidRPr="009D45FA" w:rsidR="06FF2106">
        <w:t xml:space="preserve"> </w:t>
      </w:r>
    </w:p>
    <w:p w:rsidRPr="009D45FA" w:rsidR="004B4F44" w:rsidP="004B4F44" w:rsidRDefault="004B4F44" w14:paraId="775D66EF" w14:textId="77777777">
      <w:pPr>
        <w:rPr>
          <w:szCs w:val="18"/>
        </w:rPr>
      </w:pPr>
    </w:p>
    <w:p w:rsidRPr="009D45FA" w:rsidR="004B4F44" w:rsidP="004B4F44" w:rsidRDefault="004B4F44" w14:paraId="1D2D6F1B" w14:textId="47A0B384">
      <w:r w:rsidRPr="009D45FA">
        <w:t xml:space="preserve">Om de uitkomsten goed te kunnen duiden, is de volgende kanttekening op zijn plaats. De MVZ is een simulatie gebaseerd op gemiddelden van 360 berekeningen per peiljaar, gebaseerd op </w:t>
      </w:r>
      <w:r w:rsidRPr="009D45FA" w:rsidDel="00C577F0">
        <w:t xml:space="preserve">verschillende </w:t>
      </w:r>
      <w:r w:rsidRPr="009D45FA">
        <w:t xml:space="preserve">weerscenario’s </w:t>
      </w:r>
      <w:r w:rsidRPr="009D45FA" w:rsidDel="003D7A6F">
        <w:t xml:space="preserve">in </w:t>
      </w:r>
      <w:r w:rsidRPr="009D45FA">
        <w:t>combinatie</w:t>
      </w:r>
      <w:r w:rsidRPr="009D45FA" w:rsidDel="003D7A6F">
        <w:t xml:space="preserve"> </w:t>
      </w:r>
      <w:r w:rsidRPr="009D45FA">
        <w:t xml:space="preserve">met uitvalscenario’s van centrales en interconnectoren. De resultaten zijn in grote mate afhankelijk van deze weers- en uitvalscenario’s. Een gemiddeld LOLE-bereik geeft een indicatie van het risico op tekorten in Nederland voor dat peiljaar, maar is geen exacte voorspelling. In de praktijk kan, afhankelijk van het weer en beschikbaarheid van centrales en interconnectie met het buitenland, het daadwerkelijke tekort binnen of buiten het aangegeven bereik vallen of zelfs helemaal niet optreden. Daarnaast zijn de uitkomsten van de MVZ sterk afhankelijk van aannames over </w:t>
      </w:r>
      <w:r w:rsidRPr="009D45FA" w:rsidR="00C13F39">
        <w:t xml:space="preserve">toekomstige </w:t>
      </w:r>
      <w:r w:rsidRPr="009D45FA">
        <w:t>vraagontwikkeling, opgesteld vermogen en economische omstandigheden, in zowel Nederland als in omliggende landen</w:t>
      </w:r>
      <w:r w:rsidRPr="009D45FA" w:rsidR="00907ABA">
        <w:t xml:space="preserve"> vanwege </w:t>
      </w:r>
      <w:r w:rsidRPr="009D45FA" w:rsidR="00FF74B3">
        <w:t>het grensoverschrijdende karakter</w:t>
      </w:r>
      <w:r w:rsidRPr="009D45FA" w:rsidR="00907ABA">
        <w:t xml:space="preserve"> van de Europese </w:t>
      </w:r>
      <w:r w:rsidRPr="00F87B91" w:rsidR="00907ABA">
        <w:t>elektriciteitsmarkt</w:t>
      </w:r>
      <w:r w:rsidRPr="00F87B91">
        <w:t>. Deze aannames kennen ook een hoge mate van onzekerheid en zijn mede afhankelijk van beleidsvorming in onze buurlanden</w:t>
      </w:r>
      <w:r w:rsidRPr="008A18C1" w:rsidR="00766716">
        <w:t>.</w:t>
      </w:r>
      <w:r w:rsidRPr="00F87B91" w:rsidR="00766716">
        <w:t xml:space="preserve"> </w:t>
      </w:r>
      <w:r w:rsidRPr="006C6E06" w:rsidR="00F87B91">
        <w:rPr>
          <w:szCs w:val="18"/>
        </w:rPr>
        <w:t xml:space="preserve">De MVZ is voor het kabinet daarmee een richtinggevend document voor beoordeling van de voorzieningszekerheid en een belangrijke basis voor de beleidsvorming van maatregelen. Tegelijk geldt dat door genoemde onzekerheden maatregelen voor de borging van de voorzieningszekerheid daarom ook omgeven zullen zijn met </w:t>
      </w:r>
      <w:r w:rsidRPr="006C6E06" w:rsidR="00F87B91">
        <w:rPr>
          <w:szCs w:val="18"/>
        </w:rPr>
        <w:lastRenderedPageBreak/>
        <w:t>een bepaalde mate van onzekerheid over de omvang van het te mitigeren risico. Door de MVZ jaarlijks te actualiseren worden deze onzekerheden zo klein mogelijk gehouden.</w:t>
      </w:r>
    </w:p>
    <w:p w:rsidRPr="009D45FA" w:rsidR="004B4F44" w:rsidP="004B4F44" w:rsidRDefault="004B4F44" w14:paraId="24727706" w14:textId="77777777">
      <w:pPr>
        <w:rPr>
          <w:szCs w:val="18"/>
        </w:rPr>
      </w:pPr>
    </w:p>
    <w:p w:rsidRPr="009D45FA" w:rsidR="005F14F8" w:rsidP="004B4F44" w:rsidRDefault="004B4F44" w14:paraId="306DDCEE" w14:textId="138A3312">
      <w:r w:rsidRPr="009D45FA">
        <w:t>In december 2025 is de Europese variant van de MVZ, de ERAA, gepubliceerd</w:t>
      </w:r>
      <w:r w:rsidRPr="009D45FA">
        <w:rPr>
          <w:rStyle w:val="Voetnootmarkering"/>
        </w:rPr>
        <w:footnoteReference w:id="6"/>
      </w:r>
      <w:r w:rsidRPr="009D45FA" w:rsidR="709ADF71">
        <w:rPr>
          <w:rStyle w:val="Voetnootmarkering"/>
        </w:rPr>
        <w:t xml:space="preserve"> </w:t>
      </w:r>
      <w:r w:rsidRPr="009D45FA" w:rsidR="709ADF71">
        <w:rPr>
          <w:rFonts w:eastAsia="Verdana" w:cs="Verdana"/>
        </w:rPr>
        <w:t>en op 24 april 2026 door ACER gewijzigd goedgekeurd</w:t>
      </w:r>
      <w:r w:rsidRPr="009D45FA">
        <w:rPr>
          <w:rStyle w:val="Voetnootmarkering"/>
          <w:rFonts w:eastAsia="Verdana" w:cs="Verdana"/>
        </w:rPr>
        <w:footnoteReference w:id="7"/>
      </w:r>
      <w:r w:rsidRPr="009D45FA" w:rsidR="0EC1B606">
        <w:t>. I</w:t>
      </w:r>
      <w:r w:rsidRPr="009D45FA">
        <w:t>n de ERAA 2025 zijn dezelfde peiljaren onderzocht als in de MVZ 2026. Voor de buitenlandse situatie maakt de MVZ 2026 gebruik van de</w:t>
      </w:r>
      <w:r w:rsidRPr="009D45FA" w:rsidR="508855EF">
        <w:t xml:space="preserve"> uitkomsten</w:t>
      </w:r>
      <w:r w:rsidRPr="009D45FA" w:rsidR="000B2F54">
        <w:t xml:space="preserve"> </w:t>
      </w:r>
      <w:r w:rsidRPr="009D45FA" w:rsidR="48578502">
        <w:t>van</w:t>
      </w:r>
      <w:r w:rsidRPr="009D45FA">
        <w:t xml:space="preserve"> de ERAA 2025. Ook de resultaten van de ERAA 2025 laten voor deze peiljaren een verslechterd beeld van de voorzieningszekerheid zien ten opzichte van de eerdere versies van de ERAA</w:t>
      </w:r>
      <w:r w:rsidRPr="009D45FA" w:rsidR="000B2F54">
        <w:t xml:space="preserve">, al toont de ERAA 2025 een grotere overschrijding van de streefwaarde in 2028. </w:t>
      </w:r>
      <w:r w:rsidRPr="009D45FA" w:rsidR="7E9E7CBB">
        <w:t xml:space="preserve">TenneT stelt dat de voorzieningsrisico's pas vanaf 2030 optreden, mede omdat </w:t>
      </w:r>
      <w:r w:rsidRPr="009D45FA" w:rsidR="00BC70F5">
        <w:t>zij de</w:t>
      </w:r>
      <w:r w:rsidRPr="009D45FA" w:rsidR="7E9E7CBB">
        <w:t xml:space="preserve"> </w:t>
      </w:r>
      <w:r w:rsidRPr="009D45FA" w:rsidR="7261A5C6">
        <w:t xml:space="preserve">scenario's die zijn gebruikt voor de </w:t>
      </w:r>
      <w:r w:rsidRPr="009D45FA" w:rsidR="7E9E7CBB">
        <w:t xml:space="preserve">MVZ 2026 </w:t>
      </w:r>
      <w:r w:rsidRPr="009D45FA" w:rsidR="00181DEB">
        <w:t xml:space="preserve">waarschijnlijker </w:t>
      </w:r>
      <w:r w:rsidRPr="009D45FA" w:rsidR="001D4001">
        <w:t xml:space="preserve">achten dan </w:t>
      </w:r>
      <w:r w:rsidRPr="009D45FA" w:rsidR="00301FFE">
        <w:t>d</w:t>
      </w:r>
      <w:r w:rsidRPr="009D45FA" w:rsidR="064EAF86">
        <w:t>i</w:t>
      </w:r>
      <w:r w:rsidRPr="009D45FA" w:rsidR="00301FFE">
        <w:t xml:space="preserve">e </w:t>
      </w:r>
      <w:r w:rsidRPr="009D45FA" w:rsidR="205799E5">
        <w:t xml:space="preserve">van de </w:t>
      </w:r>
      <w:r w:rsidRPr="009D45FA" w:rsidR="00301FFE">
        <w:t>ERAA.</w:t>
      </w:r>
      <w:r w:rsidRPr="009D45FA" w:rsidR="009379D6">
        <w:t xml:space="preserve"> </w:t>
      </w:r>
      <w:r w:rsidRPr="009D45FA" w:rsidR="7E9E7CBB">
        <w:t xml:space="preserve"> </w:t>
      </w:r>
    </w:p>
    <w:p w:rsidRPr="009D45FA" w:rsidR="004B4F44" w:rsidP="004B4F44" w:rsidRDefault="004B4F44" w14:paraId="567CB658" w14:textId="77777777">
      <w:pPr>
        <w:rPr>
          <w:szCs w:val="18"/>
        </w:rPr>
      </w:pPr>
    </w:p>
    <w:p w:rsidRPr="009D45FA" w:rsidR="004B4F44" w:rsidP="004B4F44" w:rsidRDefault="004B4F44" w14:paraId="3495E49E" w14:textId="3D49275E">
      <w:r w:rsidRPr="009D45FA">
        <w:t>Bij een tekort aan elektriciteit zullen afnemers te maken krijgen met stijgende prijzen. Hierdoor zal het elektriciteitsverbruik deels al worden verminderd</w:t>
      </w:r>
      <w:r w:rsidRPr="009D45FA" w:rsidR="00630E2D">
        <w:t>, als gevolg van marktwerking,</w:t>
      </w:r>
      <w:r w:rsidRPr="009D45FA">
        <w:t xml:space="preserve"> en zullen producenten van elektriciteit in de aanloop naar een tekort een prikkel krijgen om extra aanbod te genereren. </w:t>
      </w:r>
      <w:r w:rsidRPr="009D45FA" w:rsidR="1FD4E14E">
        <w:t>Ook</w:t>
      </w:r>
      <w:r w:rsidRPr="009D45FA">
        <w:t xml:space="preserve"> </w:t>
      </w:r>
      <w:r w:rsidRPr="009D45FA" w:rsidR="1FD4E14E">
        <w:t xml:space="preserve">batterijen zullen </w:t>
      </w:r>
      <w:r w:rsidRPr="009D45FA">
        <w:t xml:space="preserve">op </w:t>
      </w:r>
      <w:r w:rsidRPr="009D45FA" w:rsidR="1FD4E14E">
        <w:t>de prijzen inspelen</w:t>
      </w:r>
      <w:r w:rsidRPr="009D45FA" w:rsidR="6F731628">
        <w:t xml:space="preserve">. </w:t>
      </w:r>
      <w:r w:rsidRPr="009D45FA">
        <w:t xml:space="preserve">Door dit prijsmechanisme wordt de kans op een daadwerkelijk tekort automatisch verkleind. Desondanks kunnen hoge prijzen grote impact hebben op een deel van de afnemers. Deze prijspieken zullen zonder ingrijpen naar verwachting frequenter zijn en hoger uitvallen dan we tot nu toe gewend zijn. Daarnaast kan het, in de meer extreme gevallen van langdurige en ernstige schaarste, voorkomen dat niet in de gehele Nederlandse vraag naar elektriciteit kan worden voorzien. In een dergelijk extreem scenario kan onvrijwillige afschakeling als gevolg van de onbalans tussen vraag en aanbod een noodmaatregel zijn. Hierbij zou een netbeheerder de elektriciteitslevering naar een bepaald gebied tijdelijk kunnen onderbreken met als doel om langduriger en grootschaliger stroomuitval te voorkomen. Dit scenario is tot op heden in Nederland noch de rest van Europa gematerialiseerd als gevolg van voorzieningszekerheidsproblemen. De MVZ 2026 geeft aan dat een situatie met tekorten in de peiljaren 2028 en 2030 naar verwachting van korte duur zal zijn. Desalniettemin blijft dit een onwenselijke ontwikkeling vanwege het belang van elektriciteit voor onze samenleving. </w:t>
      </w:r>
    </w:p>
    <w:p w:rsidRPr="009D45FA" w:rsidR="004B4F44" w:rsidP="004B4F44" w:rsidRDefault="004B4F44" w14:paraId="771B2B52" w14:textId="77777777">
      <w:pPr>
        <w:rPr>
          <w:szCs w:val="18"/>
        </w:rPr>
      </w:pPr>
    </w:p>
    <w:p w:rsidRPr="009D45FA" w:rsidR="004B4F44" w:rsidP="004B4F44" w:rsidRDefault="004B4F44" w14:paraId="75705FBB" w14:textId="77777777">
      <w:pPr>
        <w:rPr>
          <w:b/>
          <w:bCs/>
          <w:szCs w:val="18"/>
        </w:rPr>
      </w:pPr>
      <w:r w:rsidRPr="009D45FA">
        <w:rPr>
          <w:b/>
          <w:bCs/>
          <w:szCs w:val="18"/>
        </w:rPr>
        <w:t xml:space="preserve">Borging van de voorzieningszekerheid </w:t>
      </w:r>
    </w:p>
    <w:p w:rsidRPr="009D45FA" w:rsidR="004B4F44" w:rsidP="004B4F44" w:rsidRDefault="004B4F44" w14:paraId="73157D12" w14:textId="2DD7BD09">
      <w:r w:rsidRPr="009D45FA">
        <w:t xml:space="preserve">De ontwikkelingen zoals geschetst in de MVZ en ERAA zijn voor het kabinet aanleiding om te kiezen voor een marktbreed capaciteitsmechanisme, een instrument waarmee aanbieders van elektriciteit worden vergoed voor de beschikbaarheid van productiecapaciteit, opslag of vraagrespons. Er zijn ook andere opties om de voorzieningszekerheid te borgen, zoals het stimuleren van vraagrespons. Om die reden zijn zowel de potentie van (a) vraagrespons voor voorzieningszekerheid als (b) verschillende typen capaciteitsmechanismen in de </w:t>
      </w:r>
      <w:r w:rsidRPr="009D45FA">
        <w:lastRenderedPageBreak/>
        <w:t>Nederlandse context onderzocht. De onderzoeken waarin dit is gebeurd, zijn reeds aan de Kamer aangeboden</w:t>
      </w:r>
      <w:r w:rsidRPr="009D45FA">
        <w:rPr>
          <w:rStyle w:val="Voetnootmarkering"/>
        </w:rPr>
        <w:footnoteReference w:id="8"/>
      </w:r>
      <w:r w:rsidRPr="009D45FA">
        <w:rPr>
          <w:szCs w:val="18"/>
        </w:rPr>
        <w:t xml:space="preserve">. </w:t>
      </w:r>
    </w:p>
    <w:p w:rsidRPr="009D45FA" w:rsidR="004B4F44" w:rsidP="004B4F44" w:rsidRDefault="004B4F44" w14:paraId="1A6C0A5C" w14:textId="46F67D6C">
      <w:pPr>
        <w:pStyle w:val="Lijstalinea"/>
        <w:numPr>
          <w:ilvl w:val="0"/>
          <w:numId w:val="29"/>
        </w:numPr>
        <w:spacing w:before="120" w:after="120" w:line="278" w:lineRule="auto"/>
        <w:ind w:left="714" w:hanging="357"/>
        <w:rPr>
          <w:rFonts w:ascii="Verdana" w:hAnsi="Verdana"/>
          <w:i/>
          <w:sz w:val="18"/>
        </w:rPr>
      </w:pPr>
      <w:r w:rsidRPr="009D45FA">
        <w:rPr>
          <w:rFonts w:ascii="Verdana" w:hAnsi="Verdana"/>
          <w:i/>
          <w:sz w:val="18"/>
        </w:rPr>
        <w:t xml:space="preserve">De potentie van vraagrespons </w:t>
      </w:r>
    </w:p>
    <w:p w:rsidRPr="009D45FA" w:rsidR="004B4F44" w:rsidP="004B4F44" w:rsidRDefault="004B4F44" w14:paraId="3DD637C6" w14:textId="24265C4C">
      <w:r w:rsidRPr="009D45FA">
        <w:t>Inzet van vraagrespons, waarbij het elektriciteitsverbruik bewust wordt aangepast als reactie op (prijs)prikkels, kan leiden tot een beperking van de piekvraag op momenten met weinig wind en zon. Daarmee kan de voorzieningszekerheid verbeteren. In opdracht van het vorige kabinet heeft Magnus Energy onderzoek gedaan naar het potentieel van vraagrespons, waarbij is gekeken naar technische en economische mogelijkheden en barrières die de ontwikkeling ervan belemmeren. Het onderzoek constateert dat vraagrespons de potentie heeft om een belangrijke bijdrage te leveren aan de voorzieningszekerheid in het energiesysteem van de toekomst, maar dat deze bijdrage sterk verschilt per sector. Zo zijn de glastuinbouw en een deel van de industrie al goed in staat om op prijssignalen te reageren. Het niet-flexibele deel van de industrie en andere sectoren, zoals datacenters, zijn daarentegen sterk afhankelijk van een stabiele elektriciteitsvoorziening en hebben slechts beperkte ruimte voor vraagrespons. Magnus Energy noemt als barrières voor het ontsluiten van vraagrespons onder andere de beperkte blootstelling aan prijsprikkels, een gebrek aan automatisering en het ontbreken van ervaring met extreme prijspieken, waardoor het gevoel van urgentie op dit moment bij veel afnemers ontbreekt. TNO heeft ook een onderzoek uitgevoerd naar vraagrespons, met een specifieke scope op de industrie</w:t>
      </w:r>
      <w:r w:rsidRPr="009D45FA">
        <w:rPr>
          <w:rStyle w:val="Voetnootmarkering"/>
        </w:rPr>
        <w:footnoteReference w:id="9"/>
      </w:r>
      <w:r w:rsidRPr="009D45FA">
        <w:rPr>
          <w:szCs w:val="18"/>
        </w:rPr>
        <w:t xml:space="preserve">. </w:t>
      </w:r>
      <w:r w:rsidRPr="009D45FA">
        <w:t xml:space="preserve">De conclusies van dit onderzoek komen grotendeels overeen met de bevindingen van Magnus Energy voor de industrie. Op basis van beide onderzoeken concludeert het kabinet dat vraagrespons een bijdrage kan leveren aan de voorzieningszekerheid, maar dat dit niet voldoende zal zijn om het risico voor de voorzieningszekerheid volledig te mitigeren. </w:t>
      </w:r>
      <w:r w:rsidRPr="009D45FA" w:rsidR="083C0438">
        <w:t>Onder andere tijdsafhankelijke nettarieven zullen op termijn de toename van vraagrespons</w:t>
      </w:r>
      <w:r w:rsidRPr="009D45FA" w:rsidR="1954F2C4">
        <w:t xml:space="preserve"> </w:t>
      </w:r>
      <w:r w:rsidRPr="00EE11E8" w:rsidR="1954F2C4">
        <w:t>stimuleren. Het kabinet neemt waar nodig en mogelijk zo</w:t>
      </w:r>
      <w:r w:rsidRPr="00EE11E8" w:rsidR="4635D6F4">
        <w:t>veel mogelijk barrières voor vraagrespons weg.</w:t>
      </w:r>
      <w:r w:rsidRPr="00A65B1C" w:rsidR="4635D6F4">
        <w:t xml:space="preserve"> </w:t>
      </w:r>
      <w:r w:rsidRPr="002E5A85" w:rsidR="4635D6F4">
        <w:t xml:space="preserve">Ook </w:t>
      </w:r>
      <w:r w:rsidRPr="002E5A85" w:rsidR="00766716">
        <w:t xml:space="preserve">een </w:t>
      </w:r>
      <w:r w:rsidRPr="002E5A85" w:rsidR="4635D6F4">
        <w:t>capaciteitsmechanisme</w:t>
      </w:r>
      <w:r w:rsidRPr="002E5A85" w:rsidR="31FBB30B">
        <w:t xml:space="preserve"> </w:t>
      </w:r>
      <w:r w:rsidRPr="002E5A85" w:rsidR="00F87B91">
        <w:t xml:space="preserve">kan </w:t>
      </w:r>
      <w:r w:rsidRPr="002E5A85" w:rsidR="4635D6F4">
        <w:t>via jaarlijkse vaste vergoedingen</w:t>
      </w:r>
      <w:r w:rsidRPr="009D45FA" w:rsidR="4635D6F4">
        <w:t xml:space="preserve"> </w:t>
      </w:r>
      <w:r w:rsidRPr="009D45FA" w:rsidR="237F4D63">
        <w:t>investeringszekerheid in</w:t>
      </w:r>
      <w:r w:rsidRPr="009D45FA" w:rsidR="141E3FCA">
        <w:t xml:space="preserve"> </w:t>
      </w:r>
      <w:r w:rsidRPr="009D45FA" w:rsidR="40EE5E78">
        <w:t>vraagrespons</w:t>
      </w:r>
      <w:r w:rsidR="00F87B91">
        <w:t xml:space="preserve"> stimuleren</w:t>
      </w:r>
      <w:r w:rsidRPr="009D45FA" w:rsidR="3294C676">
        <w:t>.</w:t>
      </w:r>
      <w:r w:rsidR="00766716">
        <w:t xml:space="preserve"> Dit wordt verderop in de brief toegelicht.</w:t>
      </w:r>
    </w:p>
    <w:p w:rsidRPr="009D45FA" w:rsidR="004B4F44" w:rsidP="004B4F44" w:rsidRDefault="004B4F44" w14:paraId="5E26844A" w14:textId="77777777">
      <w:pPr>
        <w:pStyle w:val="Lijstalinea"/>
        <w:numPr>
          <w:ilvl w:val="0"/>
          <w:numId w:val="29"/>
        </w:numPr>
        <w:spacing w:before="120" w:after="120" w:line="278" w:lineRule="auto"/>
        <w:ind w:left="714" w:hanging="357"/>
        <w:rPr>
          <w:rFonts w:ascii="Verdana" w:hAnsi="Verdana"/>
          <w:i/>
          <w:sz w:val="18"/>
        </w:rPr>
      </w:pPr>
      <w:r w:rsidRPr="009D45FA">
        <w:rPr>
          <w:rFonts w:ascii="Verdana" w:hAnsi="Verdana"/>
          <w:i/>
          <w:sz w:val="18"/>
        </w:rPr>
        <w:t>Capaciteitsmechanismen in de Nederlandse context</w:t>
      </w:r>
    </w:p>
    <w:p w:rsidRPr="009D45FA" w:rsidR="004B4F44" w:rsidP="004B4F44" w:rsidRDefault="004B4F44" w14:paraId="06ADF12A" w14:textId="4049EC5B">
      <w:pPr>
        <w:rPr>
          <w:szCs w:val="18"/>
        </w:rPr>
      </w:pPr>
      <w:r w:rsidRPr="009D45FA">
        <w:t>Er zijn verschillende vormen van capaciteitsmechanismen. Guidehouse en Frontier Economics hebben in opdracht van het vorige kabinet capaciteitsmechanismen in de Nederlandse context onderzocht. Hiertoe hebben zij een breed scala van</w:t>
      </w:r>
      <w:r w:rsidRPr="009D45FA">
        <w:rPr>
          <w:szCs w:val="18"/>
        </w:rPr>
        <w:t xml:space="preserve"> </w:t>
      </w:r>
      <w:r w:rsidRPr="009D45FA">
        <w:t>acht verschillende instrumenten bestudeerd op hun geschiktheid om de voorzieningszekerheid in Nederland te borgen</w:t>
      </w:r>
      <w:r w:rsidRPr="009D45FA">
        <w:rPr>
          <w:szCs w:val="18"/>
        </w:rPr>
        <w:t xml:space="preserve">, </w:t>
      </w:r>
      <w:r w:rsidRPr="009D45FA">
        <w:t>aan de hand van een uitgebreid beoordelingskader</w:t>
      </w:r>
      <w:r w:rsidRPr="009D45FA">
        <w:rPr>
          <w:rStyle w:val="Voetnootmarkering"/>
        </w:rPr>
        <w:footnoteReference w:id="10"/>
      </w:r>
      <w:r w:rsidRPr="009D45FA">
        <w:rPr>
          <w:szCs w:val="18"/>
        </w:rPr>
        <w:t xml:space="preserve">. </w:t>
      </w:r>
      <w:r w:rsidRPr="009D45FA">
        <w:t xml:space="preserve">Doordat alle opties grondig zijn gewogen en beoordeeld op hun toepasbaarheid binnen de Nederlandse context, levert het onderzoek een waardevolle bijdrage aan het publieke debat. De analyse wijst uit dat twee van de </w:t>
      </w:r>
      <w:r w:rsidRPr="009D45FA">
        <w:lastRenderedPageBreak/>
        <w:t>acht, namelijk zowel een strategische reserve als een marktbreed capaciteitsmechanisme</w:t>
      </w:r>
      <w:r w:rsidRPr="009D45FA">
        <w:rPr>
          <w:rStyle w:val="Voetnootmarkering"/>
        </w:rPr>
        <w:footnoteReference w:id="11"/>
      </w:r>
      <w:r w:rsidRPr="009D45FA">
        <w:t>, passende instrumenten zijn voor de Nederlandse situatie</w:t>
      </w:r>
      <w:r w:rsidRPr="009D45FA">
        <w:rPr>
          <w:szCs w:val="18"/>
        </w:rPr>
        <w:t>,</w:t>
      </w:r>
      <w:r w:rsidRPr="009D45FA">
        <w:t xml:space="preserve"> mede vanwege de mate waarop deze twee instrumenten gericht, betrouwbaar, efficiënt en op tijd de voorzieningszekerheid kunnen borgen. Beide instrumenten zijn in de Europese context het meest bekend en worden breed toegepast. Net als een marktbreed capaciteitsmechanisme verkleint een strategische reserve het risico van onvrijwillige afschakeling</w:t>
      </w:r>
      <w:r w:rsidRPr="009D45FA" w:rsidR="00F84CD0">
        <w:t>.</w:t>
      </w:r>
      <w:r w:rsidRPr="009D45FA">
        <w:t xml:space="preserve"> </w:t>
      </w:r>
      <w:r w:rsidRPr="009D45FA" w:rsidR="00F84CD0">
        <w:t>B</w:t>
      </w:r>
      <w:r w:rsidRPr="009D45FA">
        <w:t>eide instrumenten dragen zo bij aan een hogere voorzieningszekerheid van elektriciteit.</w:t>
      </w:r>
    </w:p>
    <w:p w:rsidRPr="009D45FA" w:rsidR="004B4F44" w:rsidP="004B4F44" w:rsidRDefault="004B4F44" w14:paraId="491F8299" w14:textId="77777777">
      <w:pPr>
        <w:rPr>
          <w:color w:val="000000" w:themeColor="text1"/>
          <w:szCs w:val="18"/>
        </w:rPr>
      </w:pPr>
    </w:p>
    <w:p w:rsidRPr="00EF12BB" w:rsidR="00EF12BB" w:rsidP="00EF12BB" w:rsidRDefault="003C1834" w14:paraId="70FD8BC1" w14:textId="1B54B891">
      <w:pPr>
        <w:rPr>
          <w:color w:val="000000" w:themeColor="text1"/>
        </w:rPr>
      </w:pPr>
      <w:r w:rsidRPr="584AD19F">
        <w:rPr>
          <w:color w:val="000000" w:themeColor="text1"/>
        </w:rPr>
        <w:t>Bij e</w:t>
      </w:r>
      <w:r w:rsidRPr="584AD19F" w:rsidR="004B4F44">
        <w:rPr>
          <w:color w:val="000000" w:themeColor="text1"/>
        </w:rPr>
        <w:t xml:space="preserve">en marktbreed capaciteitsmechanisme </w:t>
      </w:r>
      <w:r w:rsidRPr="584AD19F">
        <w:rPr>
          <w:color w:val="000000" w:themeColor="text1"/>
        </w:rPr>
        <w:t>vergoedt</w:t>
      </w:r>
      <w:r w:rsidRPr="584AD19F" w:rsidR="004B4F44">
        <w:rPr>
          <w:color w:val="000000" w:themeColor="text1"/>
        </w:rPr>
        <w:t xml:space="preserve"> een centrale inkoper via </w:t>
      </w:r>
      <w:r w:rsidRPr="584AD19F" w:rsidR="00A8263B">
        <w:rPr>
          <w:color w:val="000000" w:themeColor="text1"/>
        </w:rPr>
        <w:t xml:space="preserve">jaarlijkse </w:t>
      </w:r>
      <w:r w:rsidRPr="584AD19F" w:rsidR="004B4F44">
        <w:rPr>
          <w:color w:val="000000" w:themeColor="text1"/>
        </w:rPr>
        <w:t>veilingen</w:t>
      </w:r>
      <w:r w:rsidRPr="584AD19F">
        <w:rPr>
          <w:color w:val="000000" w:themeColor="text1"/>
        </w:rPr>
        <w:t xml:space="preserve"> </w:t>
      </w:r>
      <w:r w:rsidRPr="584AD19F" w:rsidR="004B4F44">
        <w:rPr>
          <w:color w:val="000000" w:themeColor="text1"/>
        </w:rPr>
        <w:t xml:space="preserve">aanbieders van productiecapaciteit, opslag en vraagrespons om de voorzieningszekerheid op het gewenste niveau te borgen. </w:t>
      </w:r>
      <w:r w:rsidRPr="584AD19F" w:rsidR="00035965">
        <w:rPr>
          <w:color w:val="000000" w:themeColor="text1"/>
        </w:rPr>
        <w:t>De</w:t>
      </w:r>
      <w:r w:rsidRPr="584AD19F" w:rsidR="004B4F44">
        <w:rPr>
          <w:color w:val="000000" w:themeColor="text1"/>
        </w:rPr>
        <w:t xml:space="preserve"> voor Nederland benodigde capaciteitsbehoefte </w:t>
      </w:r>
      <w:r w:rsidRPr="584AD19F" w:rsidR="00035965">
        <w:rPr>
          <w:color w:val="000000" w:themeColor="text1"/>
        </w:rPr>
        <w:t xml:space="preserve">wordt </w:t>
      </w:r>
      <w:r w:rsidRPr="584AD19F" w:rsidR="00766716">
        <w:rPr>
          <w:color w:val="000000" w:themeColor="text1"/>
        </w:rPr>
        <w:t xml:space="preserve">in dit geval </w:t>
      </w:r>
      <w:r w:rsidRPr="584AD19F" w:rsidR="004B4F44">
        <w:rPr>
          <w:color w:val="000000" w:themeColor="text1"/>
        </w:rPr>
        <w:t xml:space="preserve">vergoed, met uitzondering van aanbieders waarbij overstimulering zou optreden omdat zij al op een andere wijze financiële compensatie ontvangen (bijvoorbeeld vanuit (verduurzamings-)subsidies). </w:t>
      </w:r>
      <w:r w:rsidRPr="584AD19F" w:rsidR="005A219D">
        <w:rPr>
          <w:color w:val="000000" w:themeColor="text1"/>
        </w:rPr>
        <w:t>Indien zij geselecteerd worden in de jaarlijkse veilingen, blijven d</w:t>
      </w:r>
      <w:r w:rsidRPr="584AD19F" w:rsidR="004B4F44">
        <w:rPr>
          <w:color w:val="000000" w:themeColor="text1"/>
        </w:rPr>
        <w:t>eelnemers aan het marktbreed capaciteitsmechanisme actief op de Europese elektriciteitsmarkt</w:t>
      </w:r>
      <w:r w:rsidRPr="584AD19F" w:rsidR="000F5080">
        <w:rPr>
          <w:color w:val="000000" w:themeColor="text1"/>
        </w:rPr>
        <w:t>,</w:t>
      </w:r>
      <w:r w:rsidRPr="584AD19F" w:rsidR="004B4F44">
        <w:rPr>
          <w:color w:val="000000" w:themeColor="text1"/>
        </w:rPr>
        <w:t xml:space="preserve"> </w:t>
      </w:r>
      <w:r w:rsidRPr="584AD19F" w:rsidR="005A219D">
        <w:rPr>
          <w:color w:val="000000" w:themeColor="text1"/>
        </w:rPr>
        <w:t xml:space="preserve">maar </w:t>
      </w:r>
      <w:r w:rsidRPr="584AD19F" w:rsidR="004B4F44">
        <w:rPr>
          <w:color w:val="000000" w:themeColor="text1"/>
        </w:rPr>
        <w:t xml:space="preserve">ontvangen een </w:t>
      </w:r>
      <w:r w:rsidRPr="584AD19F" w:rsidR="008A3964">
        <w:rPr>
          <w:color w:val="000000" w:themeColor="text1"/>
        </w:rPr>
        <w:t xml:space="preserve">vast </w:t>
      </w:r>
      <w:r w:rsidRPr="584AD19F" w:rsidR="004B4F44">
        <w:rPr>
          <w:color w:val="000000" w:themeColor="text1"/>
        </w:rPr>
        <w:t>extra inkomen naast hun reguliere opbrengsten</w:t>
      </w:r>
      <w:r w:rsidRPr="584AD19F" w:rsidR="00E867B3">
        <w:rPr>
          <w:color w:val="000000" w:themeColor="text1"/>
        </w:rPr>
        <w:t xml:space="preserve"> uit </w:t>
      </w:r>
      <w:r w:rsidRPr="584AD19F" w:rsidR="005A219D">
        <w:rPr>
          <w:color w:val="000000" w:themeColor="text1"/>
        </w:rPr>
        <w:t>de markt</w:t>
      </w:r>
      <w:r w:rsidRPr="584AD19F" w:rsidR="00CB21C4">
        <w:rPr>
          <w:color w:val="000000" w:themeColor="text1"/>
        </w:rPr>
        <w:t xml:space="preserve"> </w:t>
      </w:r>
      <w:r w:rsidRPr="584AD19F" w:rsidR="008A3964">
        <w:rPr>
          <w:color w:val="000000" w:themeColor="text1"/>
        </w:rPr>
        <w:t>om een deel van de jaarlijkse vaste kosten van vraagrespons, batterijen of centrales te dekken</w:t>
      </w:r>
      <w:r w:rsidRPr="584AD19F" w:rsidR="004B4F44">
        <w:rPr>
          <w:color w:val="000000" w:themeColor="text1"/>
        </w:rPr>
        <w:t>. Deze afspraken worden vastgelegd via</w:t>
      </w:r>
      <w:r w:rsidRPr="584AD19F" w:rsidR="007F6217">
        <w:rPr>
          <w:color w:val="000000" w:themeColor="text1"/>
        </w:rPr>
        <w:t xml:space="preserve"> </w:t>
      </w:r>
      <w:r w:rsidRPr="584AD19F" w:rsidR="004B4F44">
        <w:rPr>
          <w:color w:val="000000" w:themeColor="text1"/>
        </w:rPr>
        <w:t>capaciteitscontracten</w:t>
      </w:r>
      <w:r w:rsidRPr="584AD19F" w:rsidR="00560A3F">
        <w:rPr>
          <w:color w:val="000000" w:themeColor="text1"/>
        </w:rPr>
        <w:t xml:space="preserve"> </w:t>
      </w:r>
      <w:r w:rsidRPr="584AD19F" w:rsidR="00F61814">
        <w:rPr>
          <w:color w:val="000000" w:themeColor="text1"/>
        </w:rPr>
        <w:t>met een looptijd van één jaar, afgesloten één tot enkele jaren van tevoren</w:t>
      </w:r>
      <w:r w:rsidRPr="584AD19F" w:rsidR="00A22A18">
        <w:rPr>
          <w:color w:val="000000" w:themeColor="text1"/>
        </w:rPr>
        <w:t>,</w:t>
      </w:r>
      <w:r w:rsidRPr="584AD19F" w:rsidR="00F61814">
        <w:rPr>
          <w:color w:val="000000" w:themeColor="text1"/>
        </w:rPr>
        <w:t xml:space="preserve"> </w:t>
      </w:r>
      <w:r w:rsidRPr="584AD19F" w:rsidR="004B4F44">
        <w:rPr>
          <w:color w:val="000000" w:themeColor="text1"/>
        </w:rPr>
        <w:t>met beschikbaarheid tijdens schaarstemomenten als één van de kernverplichtingen</w:t>
      </w:r>
      <w:r w:rsidRPr="584AD19F" w:rsidR="00DF0F17">
        <w:rPr>
          <w:color w:val="000000" w:themeColor="text1"/>
        </w:rPr>
        <w:t xml:space="preserve"> in die periode</w:t>
      </w:r>
      <w:r w:rsidRPr="584AD19F" w:rsidR="004B4F44">
        <w:rPr>
          <w:color w:val="000000" w:themeColor="text1"/>
        </w:rPr>
        <w:t xml:space="preserve">. </w:t>
      </w:r>
      <w:r w:rsidRPr="584AD19F" w:rsidR="00EA38A8">
        <w:rPr>
          <w:color w:val="000000" w:themeColor="text1"/>
        </w:rPr>
        <w:t>Bij investeringen die nodig zijn voor vraagrespons, nieuwe batterijen</w:t>
      </w:r>
      <w:r w:rsidRPr="584AD19F" w:rsidR="00A22A18">
        <w:rPr>
          <w:color w:val="000000" w:themeColor="text1"/>
        </w:rPr>
        <w:t xml:space="preserve">, </w:t>
      </w:r>
      <w:r w:rsidRPr="584AD19F" w:rsidR="00EA38A8">
        <w:rPr>
          <w:color w:val="000000" w:themeColor="text1"/>
        </w:rPr>
        <w:t>centrales of investeringen in groot onderhoud daarvan, kunnen ook contracten voor meer dan één jaar beschikbaar gesteld worden</w:t>
      </w:r>
      <w:r w:rsidRPr="584AD19F" w:rsidR="00A04626">
        <w:rPr>
          <w:color w:val="000000" w:themeColor="text1"/>
        </w:rPr>
        <w:t>. De</w:t>
      </w:r>
      <w:r w:rsidRPr="584AD19F" w:rsidR="00EA38A8">
        <w:rPr>
          <w:color w:val="000000" w:themeColor="text1"/>
        </w:rPr>
        <w:t xml:space="preserve"> contractduur </w:t>
      </w:r>
      <w:r w:rsidRPr="584AD19F" w:rsidR="00C12A62">
        <w:rPr>
          <w:color w:val="000000" w:themeColor="text1"/>
        </w:rPr>
        <w:t xml:space="preserve">is </w:t>
      </w:r>
      <w:r w:rsidRPr="584AD19F" w:rsidR="00A97548">
        <w:rPr>
          <w:color w:val="000000" w:themeColor="text1"/>
        </w:rPr>
        <w:t xml:space="preserve">dan </w:t>
      </w:r>
      <w:r w:rsidRPr="584AD19F" w:rsidR="00EA38A8">
        <w:rPr>
          <w:color w:val="000000" w:themeColor="text1"/>
        </w:rPr>
        <w:t xml:space="preserve">afhankelijk van de hoogte van de investering. </w:t>
      </w:r>
      <w:r w:rsidRPr="584AD19F" w:rsidR="00623E0D">
        <w:rPr>
          <w:color w:val="000000" w:themeColor="text1"/>
        </w:rPr>
        <w:t xml:space="preserve">Hierbij zal de maximale contractduur bij de nadere uitwerking van het capaciteitsmechanisme worden bepaald, o.a. rekening houdend met de voorwaarden uit het EU-staatsteunkader. Daarnaast zullen de voorwaarden voor deelname aan het capaciteitsmechanisme in lijn zijn met de verduurzaming van het energiesysteem. </w:t>
      </w:r>
      <w:r w:rsidRPr="584AD19F" w:rsidR="004B4F44">
        <w:rPr>
          <w:color w:val="000000" w:themeColor="text1"/>
        </w:rPr>
        <w:t xml:space="preserve">Bij een strategische reserve wordt een beperkt aantal aanbieders betaald voor hun beschikbaarheid buiten de elektriciteitsmarkt. De capaciteit onder een strategische reserve wordt alleen ingezet in situaties van schaarste, dit in tegenstelling tot een marktbreed capaciteitsmechanisme. </w:t>
      </w:r>
      <w:r w:rsidRPr="584AD19F" w:rsidR="00780388">
        <w:rPr>
          <w:color w:val="000000" w:themeColor="text1"/>
        </w:rPr>
        <w:t>Elk capaciteitsmechanisme brengt kosten met zich mee</w:t>
      </w:r>
      <w:r w:rsidRPr="584AD19F" w:rsidR="008C0E91">
        <w:rPr>
          <w:color w:val="000000" w:themeColor="text1"/>
        </w:rPr>
        <w:t xml:space="preserve">, die in veel gevallen via de tarieven worden doorberekend aan elektriciteitsverbruikers. </w:t>
      </w:r>
      <w:r w:rsidRPr="00EF12BB" w:rsidR="00EF12BB">
        <w:rPr>
          <w:color w:val="000000" w:themeColor="text1"/>
        </w:rPr>
        <w:t xml:space="preserve">De tarieven zullen dus stijgen door een capaciteitsmechanisme. </w:t>
      </w:r>
      <w:r w:rsidRPr="00FF20AF" w:rsidR="00EF12BB">
        <w:rPr>
          <w:color w:val="000000" w:themeColor="text1"/>
        </w:rPr>
        <w:t>Hier </w:t>
      </w:r>
      <w:r w:rsidRPr="00235B9B" w:rsidR="00C01B92">
        <w:rPr>
          <w:color w:val="000000" w:themeColor="text1"/>
        </w:rPr>
        <w:t xml:space="preserve">staan </w:t>
      </w:r>
      <w:r w:rsidRPr="00FF20AF" w:rsidR="00EF12BB">
        <w:rPr>
          <w:color w:val="000000" w:themeColor="text1"/>
        </w:rPr>
        <w:t>wel</w:t>
      </w:r>
      <w:r w:rsidRPr="00235B9B" w:rsidR="00C01B92">
        <w:rPr>
          <w:color w:val="000000" w:themeColor="text1"/>
        </w:rPr>
        <w:t xml:space="preserve"> baten tegenover,</w:t>
      </w:r>
      <w:r w:rsidRPr="00FF20AF" w:rsidR="00EF12BB">
        <w:rPr>
          <w:color w:val="000000" w:themeColor="text1"/>
        </w:rPr>
        <w:t> </w:t>
      </w:r>
      <w:r w:rsidRPr="00235B9B" w:rsidR="003B51B0">
        <w:rPr>
          <w:color w:val="000000" w:themeColor="text1"/>
        </w:rPr>
        <w:t>zo</w:t>
      </w:r>
      <w:r w:rsidRPr="00235B9B" w:rsidR="00FF4AAF">
        <w:rPr>
          <w:color w:val="000000" w:themeColor="text1"/>
        </w:rPr>
        <w:t>als een</w:t>
      </w:r>
      <w:r w:rsidRPr="00FF20AF" w:rsidR="00EF12BB">
        <w:rPr>
          <w:color w:val="000000" w:themeColor="text1"/>
        </w:rPr>
        <w:t> </w:t>
      </w:r>
      <w:r w:rsidRPr="00235B9B" w:rsidR="00894FCE">
        <w:rPr>
          <w:color w:val="000000" w:themeColor="text1"/>
        </w:rPr>
        <w:t>lager</w:t>
      </w:r>
      <w:r w:rsidRPr="00FF20AF" w:rsidR="00EF12BB">
        <w:rPr>
          <w:color w:val="000000" w:themeColor="text1"/>
        </w:rPr>
        <w:t> </w:t>
      </w:r>
      <w:r w:rsidRPr="00235B9B" w:rsidR="00FF4AAF">
        <w:rPr>
          <w:color w:val="000000" w:themeColor="text1"/>
        </w:rPr>
        <w:t xml:space="preserve">risico op stroomuitval en </w:t>
      </w:r>
      <w:r w:rsidRPr="00FF20AF" w:rsidR="00EF12BB">
        <w:rPr>
          <w:color w:val="000000" w:themeColor="text1"/>
        </w:rPr>
        <w:t xml:space="preserve">dus meer beschikbaarheid van elektriciteit. Daarmee worden de </w:t>
      </w:r>
      <w:r w:rsidRPr="00235B9B" w:rsidR="2CCB53B3">
        <w:rPr>
          <w:color w:val="000000" w:themeColor="text1"/>
        </w:rPr>
        <w:t>bijbehorende (maatschappelijke) kosten</w:t>
      </w:r>
      <w:r w:rsidRPr="00FF20AF" w:rsidR="00EF12BB">
        <w:rPr>
          <w:color w:val="000000" w:themeColor="text1"/>
        </w:rPr>
        <w:t xml:space="preserve"> voor stroomuitval vermeden.</w:t>
      </w:r>
    </w:p>
    <w:p w:rsidRPr="009D45FA" w:rsidR="00EF12BB" w:rsidP="004B4F44" w:rsidRDefault="00EF12BB" w14:paraId="2400F7F0" w14:textId="77777777">
      <w:pPr>
        <w:rPr>
          <w:color w:val="000000" w:themeColor="text1"/>
        </w:rPr>
      </w:pPr>
    </w:p>
    <w:p w:rsidRPr="009D45FA" w:rsidR="004B4F44" w:rsidP="004B4F44" w:rsidRDefault="004B4F44" w14:paraId="263A3CE0" w14:textId="38FAFB41">
      <w:pPr>
        <w:rPr>
          <w:color w:val="000000" w:themeColor="text1"/>
        </w:rPr>
      </w:pPr>
      <w:r w:rsidRPr="009D45FA">
        <w:t xml:space="preserve">De keuze voor hetzij een strategische reserve hetzij een marktbreed capaciteitsmechanisme is sterk afhankelijk van de timing, duur en omvang van het voorzieningszekerheidsprobleem. Guidehouse en Frontier Economics adviseren dat een strategische reserve vooral een oplossing is voor een tijdelijk probleem </w:t>
      </w:r>
      <w:r w:rsidRPr="009D45FA">
        <w:lastRenderedPageBreak/>
        <w:t xml:space="preserve">omdat bestaande centrales </w:t>
      </w:r>
      <w:r w:rsidRPr="009D45FA" w:rsidR="51E45949">
        <w:t xml:space="preserve">of vraagrespons </w:t>
      </w:r>
      <w:r w:rsidRPr="009D45FA">
        <w:t xml:space="preserve">uit de markt worden geplaatst, terwijl een marktbreed capaciteitsmechanisme beter past bij een structureel probleem omdat het via de beschikbaarheidsvergoeding zowel het behoud van bestaande capaciteit als nieuwe investeringen stimuleert. </w:t>
      </w:r>
      <w:r w:rsidRPr="009D45FA">
        <w:rPr>
          <w:color w:val="000000" w:themeColor="text1"/>
        </w:rPr>
        <w:t>Ook identificeren genoemde onderzoeksbureaus een combinatie-optie waarbij door snel een strategische reserve in te voeren tijd wordt gewonnen, om daarna een meer op de Nederlandse situatie toegespitst marktbreed capaciteitsmechanisme te implementeren.</w:t>
      </w:r>
    </w:p>
    <w:p w:rsidRPr="009D45FA" w:rsidR="004B4F44" w:rsidP="004B4F44" w:rsidRDefault="004B4F44" w14:paraId="4D8CFF3C" w14:textId="77777777">
      <w:pPr>
        <w:rPr>
          <w:color w:val="000000" w:themeColor="text1"/>
          <w:szCs w:val="18"/>
        </w:rPr>
      </w:pPr>
    </w:p>
    <w:p w:rsidR="00A22A18" w:rsidP="004B4F44" w:rsidRDefault="004B4F44" w14:paraId="0EC1E738" w14:textId="77777777">
      <w:pPr>
        <w:rPr>
          <w:i/>
          <w:iCs/>
          <w:color w:val="000000" w:themeColor="text1"/>
          <w:szCs w:val="18"/>
        </w:rPr>
      </w:pPr>
      <w:r w:rsidRPr="009D45FA">
        <w:rPr>
          <w:i/>
          <w:iCs/>
          <w:color w:val="000000" w:themeColor="text1"/>
          <w:szCs w:val="18"/>
        </w:rPr>
        <w:t xml:space="preserve">Keuze voor een marktbreed capaciteitsmechanisme </w:t>
      </w:r>
    </w:p>
    <w:p w:rsidRPr="00A22A18" w:rsidR="004B4F44" w:rsidP="004B4F44" w:rsidRDefault="004B4F44" w14:paraId="215DF2BF" w14:textId="3BD252DE">
      <w:pPr>
        <w:rPr>
          <w:i/>
          <w:iCs/>
          <w:color w:val="000000" w:themeColor="text1"/>
          <w:szCs w:val="18"/>
        </w:rPr>
      </w:pPr>
      <w:r w:rsidRPr="009D45FA">
        <w:rPr>
          <w:szCs w:val="18"/>
        </w:rPr>
        <w:t xml:space="preserve">De optie om eerst een strategische reserve in te voeren </w:t>
      </w:r>
      <w:r w:rsidRPr="009D45FA" w:rsidR="00063BAE">
        <w:rPr>
          <w:szCs w:val="18"/>
        </w:rPr>
        <w:t xml:space="preserve">en </w:t>
      </w:r>
      <w:r w:rsidRPr="009D45FA">
        <w:rPr>
          <w:szCs w:val="18"/>
        </w:rPr>
        <w:t>daarna een marktbreed capaciteitsmechanisme in te stellen om tijd te winnen, heeft volgens het kabinet weinig meerwaarde omdat deze optie een dubbele implementatielast met zich meebrengt. De Europese Commissie heeft goedkeuringsprocessen van marktbrede capaciteitsmechanismen gestroomlijnd, waardoor deze bij het volgen van de nieuwe staatssteungoedkeuringskaders naar verwachting sneller geïmplementeerd kunnen worden dan in het verleden.</w:t>
      </w:r>
    </w:p>
    <w:p w:rsidRPr="009D45FA" w:rsidR="004B4F44" w:rsidP="004B4F44" w:rsidRDefault="004B4F44" w14:paraId="64EDAA8D" w14:textId="77777777">
      <w:pPr>
        <w:rPr>
          <w:szCs w:val="18"/>
        </w:rPr>
      </w:pPr>
    </w:p>
    <w:p w:rsidRPr="009D45FA" w:rsidR="004B4F44" w:rsidP="004B4F44" w:rsidRDefault="004B4F44" w14:paraId="2C3647F4" w14:textId="59BC06C4">
      <w:r w:rsidRPr="00A22A18">
        <w:t>Een strategische reserve is minder geschikt om de risico’s uit de MVZ 2026 te mitigeren, omdat deze risico’s voor de voorzieningszekerheid het gevolg zijn van structurele veranderingen op de elektriciteitsmarkt</w:t>
      </w:r>
      <w:r w:rsidRPr="00A22A18">
        <w:rPr>
          <w:szCs w:val="18"/>
        </w:rPr>
        <w:t xml:space="preserve">. </w:t>
      </w:r>
      <w:r w:rsidRPr="00A22A18">
        <w:t xml:space="preserve">Met name de daling in draaiuren voor regelbaar vermogen uit elektriciteitscentrales, als gevolg van concurrentie met hernieuwbare productie en batterijen, maakt het blijvend minder aantrekkelijk om in Nederland te investeren. Dit effect wordt versterkt doordat buurlanden via capaciteitsmechanismen investeringen in onder andere regelbaar vermogen ondersteunen, waardoor het voor </w:t>
      </w:r>
      <w:r w:rsidRPr="00A22A18" w:rsidR="00A22A18">
        <w:t>aanbieders van elektriciteit</w:t>
      </w:r>
      <w:r w:rsidRPr="00A22A18">
        <w:t xml:space="preserve"> aantrekkelijker kan zijn om in deze landen te investeren. Tot slot is sprake van veroudering van de Nederlandse gascentrales en het verbod op inzet van kolen voor elektriciteitsproductie vanaf 2030</w:t>
      </w:r>
      <w:r w:rsidRPr="00A22A18">
        <w:rPr>
          <w:rStyle w:val="Voetnootmarkering"/>
        </w:rPr>
        <w:footnoteReference w:id="12"/>
      </w:r>
      <w:r w:rsidRPr="00A22A18">
        <w:t>. Een marktbreed capaciteitsmechanisme lost deze structurele problemen wél op doordat het instandhouding</w:t>
      </w:r>
      <w:r w:rsidRPr="00A22A18" w:rsidR="49C29310">
        <w:t xml:space="preserve"> </w:t>
      </w:r>
      <w:r w:rsidRPr="00A22A18" w:rsidR="00F8512D">
        <w:t xml:space="preserve">van </w:t>
      </w:r>
      <w:r w:rsidRPr="00A22A18" w:rsidR="49C29310">
        <w:t>en investeringen in vraagrespons, batterijen en centrales</w:t>
      </w:r>
      <w:r w:rsidRPr="00A22A18">
        <w:t xml:space="preserve"> stimuleert.</w:t>
      </w:r>
      <w:r w:rsidRPr="009D45FA">
        <w:t xml:space="preserve"> </w:t>
      </w:r>
      <w:r w:rsidR="003D347D">
        <w:t xml:space="preserve">De </w:t>
      </w:r>
      <w:r w:rsidR="0034286F">
        <w:t>beoordeling</w:t>
      </w:r>
      <w:r w:rsidR="003D347D">
        <w:t xml:space="preserve"> van het kabinet is daarom dat een marktbreed capaciteitsmechanisme op de lange termijn </w:t>
      </w:r>
      <w:r w:rsidR="003F4652">
        <w:t>de meest</w:t>
      </w:r>
      <w:r w:rsidR="003D347D">
        <w:t xml:space="preserve"> toekomstgerichte oplossing is. </w:t>
      </w:r>
    </w:p>
    <w:p w:rsidR="003F4652" w:rsidP="004B4F44" w:rsidRDefault="003F4652" w14:paraId="56195C24" w14:textId="77777777"/>
    <w:p w:rsidR="003C1DB6" w:rsidP="004B4F44" w:rsidRDefault="004B4F44" w14:paraId="3E273B66" w14:textId="77777777">
      <w:r w:rsidRPr="009D45FA">
        <w:t>Daarnaast brengt een marktbreed capaciteitsmechanisme ook een aantal aanvullende voordelen met zich mee. Omdat het mechanisme volgens EU-regels technologieneutraal dient te zijn, stimuleert het ook innovatieve oplossingen zoals vraag</w:t>
      </w:r>
      <w:r w:rsidR="006A01DE">
        <w:t>respons</w:t>
      </w:r>
      <w:r w:rsidR="00A22A18">
        <w:t xml:space="preserve"> en </w:t>
      </w:r>
      <w:r w:rsidRPr="009D45FA">
        <w:t xml:space="preserve">opslagcapaciteit en </w:t>
      </w:r>
      <w:r w:rsidRPr="009D45FA" w:rsidR="1CDC2ABF">
        <w:t>k</w:t>
      </w:r>
      <w:r w:rsidR="006A01DE">
        <w:t xml:space="preserve">an </w:t>
      </w:r>
      <w:r w:rsidRPr="009D45FA" w:rsidR="1CDC2ABF">
        <w:t xml:space="preserve">ook </w:t>
      </w:r>
      <w:r w:rsidRPr="009D45FA">
        <w:t>meer decentrale opwek vanaf een bepaalde vermogensgrens inbieden. Zo leidt het tot meer vraagrespons</w:t>
      </w:r>
      <w:r w:rsidRPr="009D45FA" w:rsidR="44DB71F7">
        <w:t>,</w:t>
      </w:r>
      <w:r w:rsidRPr="009D45FA">
        <w:t xml:space="preserve"> opslag </w:t>
      </w:r>
      <w:r w:rsidRPr="009D45FA" w:rsidR="2DD282A9">
        <w:t xml:space="preserve">en </w:t>
      </w:r>
      <w:r w:rsidR="00766716">
        <w:t>productie</w:t>
      </w:r>
      <w:r w:rsidRPr="009D45FA" w:rsidR="00766716">
        <w:t xml:space="preserve">capaciteit </w:t>
      </w:r>
      <w:r w:rsidRPr="009D45FA">
        <w:t xml:space="preserve">op de elektriciteitsmarkt dan in een situatie zonder deze maatregel. Door </w:t>
      </w:r>
      <w:r w:rsidRPr="009D45FA" w:rsidR="2055596F">
        <w:t>de</w:t>
      </w:r>
      <w:r w:rsidRPr="009D45FA">
        <w:t xml:space="preserve"> resulterende </w:t>
      </w:r>
      <w:r w:rsidRPr="009D45FA" w:rsidR="555BE942">
        <w:t>lagere vraag</w:t>
      </w:r>
      <w:r w:rsidR="00766716">
        <w:t xml:space="preserve"> via vraagrespons</w:t>
      </w:r>
      <w:r w:rsidRPr="009D45FA" w:rsidR="555BE942">
        <w:t xml:space="preserve"> of het </w:t>
      </w:r>
      <w:r w:rsidRPr="009D45FA">
        <w:t xml:space="preserve">hogere aanbod van elektriciteit </w:t>
      </w:r>
      <w:r w:rsidR="00766716">
        <w:t xml:space="preserve">via opslag dan wel productiecapaciteit </w:t>
      </w:r>
      <w:r w:rsidRPr="009D45FA">
        <w:t xml:space="preserve">ontstaan gemiddeld genomen minder en lagere prijspieken, met als gevolg lagere gemiddelde groothandelsprijzen dan zonder het marktbreed capaciteitsmechanisme het geval zou zijn. Elektriciteitsprijsverschillen van jaar op jaar blijven tegelijkertijd in grote mate afhankelijk van de weersomstandigheden en ontwikkelingen in de gas- en </w:t>
      </w:r>
      <w:r w:rsidRPr="009D45FA">
        <w:lastRenderedPageBreak/>
        <w:t>ETS-prijs. Daarnaast zijn prijspieken afhankelijk van de situatie in de landen om ons heen en van beleidsontwikkelingen van buurlanden</w:t>
      </w:r>
      <w:r w:rsidRPr="009D45FA" w:rsidR="00AA791D">
        <w:t>.</w:t>
      </w:r>
    </w:p>
    <w:p w:rsidRPr="003C1DB6" w:rsidR="004B4F44" w:rsidP="004B4F44" w:rsidRDefault="003C1DB6" w14:paraId="11F1B737" w14:textId="68271395">
      <w:r>
        <w:t>H</w:t>
      </w:r>
      <w:r w:rsidRPr="009D45FA" w:rsidR="004B4F44">
        <w:t xml:space="preserve">et kabinet is van oordeel dat de voordelen van een marktbreed capaciteitsmechanisme groter zijn dan het nadeel van de ermee gemoeide hogere kosten als gevolg van het vergoeden van de </w:t>
      </w:r>
      <w:r w:rsidR="00A22A18">
        <w:t>benodigde</w:t>
      </w:r>
      <w:r w:rsidRPr="009D45FA" w:rsidR="004B4F44">
        <w:t xml:space="preserve"> capaciteitsbehoefte in de markt. Het kabinet wordt </w:t>
      </w:r>
      <w:r w:rsidR="00CB21C4">
        <w:t>hierin</w:t>
      </w:r>
      <w:r w:rsidRPr="009D45FA" w:rsidR="004B4F44">
        <w:t xml:space="preserve"> gesterkt door de gesprekken die het ministerie van Economische Zaken en Klimaat met stakeholders heeft gevoerd</w:t>
      </w:r>
      <w:r w:rsidR="00725FA0">
        <w:t xml:space="preserve">. </w:t>
      </w:r>
      <w:r w:rsidRPr="009D45FA" w:rsidR="004B4F44">
        <w:t xml:space="preserve">Uit deze gesprekken komt het beeld naar voren dat stakeholders over het algemeen de voorkeur geven aan het beheersen van risico’s voor de voorzieningszekerheid, ook wanneer dit tot (beheersbaar) hogere kosten leidt. Ondanks het feit dat de hoogte van het acceptatieniveau voor risico’s omtrent voorzieningszekerheid per sector wisselt, is er een vrij brede acceptatie van additionele kosten van een marktbreed capaciteitsmechanisme om zo het risico op incidenteel hoge uitschieters van de elektriciteitsprijs te dempen. </w:t>
      </w:r>
      <w:r w:rsidRPr="009D45FA" w:rsidR="00C836F7">
        <w:t>Later in deze brief</w:t>
      </w:r>
      <w:r w:rsidRPr="009D45FA" w:rsidR="00B427A4">
        <w:t xml:space="preserve"> </w:t>
      </w:r>
      <w:r w:rsidR="000E1198">
        <w:t xml:space="preserve">wordt </w:t>
      </w:r>
      <w:r w:rsidRPr="009D45FA" w:rsidR="00B427A4">
        <w:t>nader ingegaan</w:t>
      </w:r>
      <w:r w:rsidRPr="009D45FA" w:rsidR="00C836F7">
        <w:t xml:space="preserve"> op de kosten</w:t>
      </w:r>
      <w:r w:rsidR="00A22A18">
        <w:t xml:space="preserve"> </w:t>
      </w:r>
      <w:r w:rsidRPr="009D45FA" w:rsidR="00C836F7">
        <w:t xml:space="preserve">en baten van het marktbreed capaciteitsmechanisme. </w:t>
      </w:r>
    </w:p>
    <w:p w:rsidRPr="009D45FA" w:rsidR="004B4F44" w:rsidP="004B4F44" w:rsidRDefault="004B4F44" w14:paraId="6BCAA6EF" w14:textId="77777777">
      <w:pPr>
        <w:rPr>
          <w:szCs w:val="18"/>
        </w:rPr>
      </w:pPr>
    </w:p>
    <w:p w:rsidRPr="009D45FA" w:rsidR="004B4F44" w:rsidP="004B4F44" w:rsidRDefault="004B4F44" w14:paraId="010E71EE" w14:textId="5184A282">
      <w:pPr>
        <w:rPr>
          <w:szCs w:val="18"/>
        </w:rPr>
      </w:pPr>
      <w:r w:rsidRPr="009D45FA">
        <w:t>Het kabinet heeft in de afgelopen periode intensief voorwerk verricht voor een zo snel mogelijke en effectieve implementatie van een</w:t>
      </w:r>
      <w:r w:rsidRPr="009D45FA">
        <w:rPr>
          <w:szCs w:val="18"/>
        </w:rPr>
        <w:t xml:space="preserve"> </w:t>
      </w:r>
      <w:r w:rsidRPr="009D45FA">
        <w:t>marktbreed capaciteitsmechanisme als structurele oplossing. Zo is een goed beeld opgebouwd van de relevante ontwerpkeuzes die gemaakt moeten worden</w:t>
      </w:r>
      <w:r w:rsidRPr="009D45FA">
        <w:rPr>
          <w:rStyle w:val="Voetnootmarkering"/>
        </w:rPr>
        <w:footnoteReference w:id="13"/>
      </w:r>
      <w:r w:rsidRPr="009D45FA">
        <w:t>, mede op basis van het onderzoek van Guidehouse en Frontier Economics en aanvullende inzichten uit ambtelijke werkbezoeken aan België, dat een marktbreed capaciteitsmechanisme heeft, en Duitsland, dat een marktbreed capaciteitsmechanisme wil invoeren. Daarnaast heeft een voorbereidend gesprek plaatsgevonden met de Europese Commissi</w:t>
      </w:r>
      <w:r w:rsidRPr="009D45FA" w:rsidR="00371659">
        <w:t>e</w:t>
      </w:r>
      <w:r w:rsidR="00A22A18">
        <w:t xml:space="preserve"> en </w:t>
      </w:r>
      <w:r w:rsidRPr="009D45FA">
        <w:t>zijn voorbereidingen getroffen voor noodzakelijke implementatiestappen zoals het schrijven van een verplicht uitvoeringsplan</w:t>
      </w:r>
      <w:r w:rsidRPr="009D45FA">
        <w:rPr>
          <w:rStyle w:val="Voetnootmarkering"/>
        </w:rPr>
        <w:footnoteReference w:id="14"/>
      </w:r>
      <w:r w:rsidR="00766716">
        <w:rPr>
          <w:szCs w:val="18"/>
        </w:rPr>
        <w:t xml:space="preserve">. </w:t>
      </w:r>
    </w:p>
    <w:p w:rsidRPr="009D45FA" w:rsidR="004B4F44" w:rsidP="004B4F44" w:rsidRDefault="004B4F44" w14:paraId="6753BE2B" w14:textId="77777777">
      <w:pPr>
        <w:rPr>
          <w:szCs w:val="18"/>
        </w:rPr>
      </w:pPr>
    </w:p>
    <w:p w:rsidR="00A22A18" w:rsidP="004B4F44" w:rsidRDefault="004B4F44" w14:paraId="3DB40893" w14:textId="77777777">
      <w:pPr>
        <w:rPr>
          <w:i/>
          <w:iCs/>
          <w:szCs w:val="18"/>
        </w:rPr>
      </w:pPr>
      <w:r w:rsidRPr="009D45FA">
        <w:rPr>
          <w:i/>
          <w:iCs/>
          <w:szCs w:val="18"/>
        </w:rPr>
        <w:t xml:space="preserve">Eerste contouren van het marktbrede capaciteitsmechanisme in Nederland </w:t>
      </w:r>
    </w:p>
    <w:p w:rsidRPr="00A22A18" w:rsidR="004B4F44" w:rsidP="004B4F44" w:rsidRDefault="004B4F44" w14:paraId="769947C1" w14:textId="60560160">
      <w:pPr>
        <w:rPr>
          <w:i/>
          <w:iCs/>
          <w:szCs w:val="18"/>
        </w:rPr>
      </w:pPr>
      <w:r w:rsidRPr="009D45FA">
        <w:t xml:space="preserve">De focus van het kabinet ligt de komende periode op het vormgeven van het marktbrede capaciteitsmechanisme. De inzet is om dit instrument in nauwe samenwerking met de ACM en TenneT en met brede betrokkenheid van stakeholders verder uit te werken. </w:t>
      </w:r>
      <w:r w:rsidRPr="009D45FA" w:rsidR="003A5C6D">
        <w:t>Bij de uitwerking zullen</w:t>
      </w:r>
      <w:r w:rsidRPr="009D45FA" w:rsidR="00B64D7F">
        <w:t xml:space="preserve"> de laatste inzichten uit de actualisatie van het N</w:t>
      </w:r>
      <w:r w:rsidR="00CB21C4">
        <w:t xml:space="preserve">ationaal </w:t>
      </w:r>
      <w:r w:rsidRPr="009D45FA" w:rsidR="00B64D7F">
        <w:t>P</w:t>
      </w:r>
      <w:r w:rsidR="00CB21C4">
        <w:t xml:space="preserve">lan </w:t>
      </w:r>
      <w:r w:rsidRPr="009D45FA" w:rsidR="00B64D7F">
        <w:t>E</w:t>
      </w:r>
      <w:r w:rsidR="00CB21C4">
        <w:t>nergiesysteem (NPE)</w:t>
      </w:r>
      <w:r w:rsidRPr="009D45FA" w:rsidR="00B64D7F">
        <w:t>, dat rond de zomer verschijnt, worden meegenomen.</w:t>
      </w:r>
      <w:r w:rsidRPr="009D45FA" w:rsidR="003A5C6D">
        <w:t xml:space="preserve"> </w:t>
      </w:r>
      <w:r w:rsidRPr="009D45FA">
        <w:t>Hoewel veel van de ontwerpkeuzes nog niet definitief zijn en het uiteindelijke ontwerp door de Europese Commissie getoetst moet worden aan de staatssteunkaders</w:t>
      </w:r>
      <w:r w:rsidRPr="009D45FA">
        <w:rPr>
          <w:rStyle w:val="Voetnootmarkering"/>
        </w:rPr>
        <w:footnoteReference w:id="15"/>
      </w:r>
      <w:r w:rsidRPr="009D45FA">
        <w:t xml:space="preserve"> en de eisen in de Elektriciteitsverordening</w:t>
      </w:r>
      <w:r w:rsidRPr="009D45FA">
        <w:rPr>
          <w:rStyle w:val="Voetnootmarkering"/>
        </w:rPr>
        <w:footnoteReference w:id="16"/>
      </w:r>
      <w:r w:rsidRPr="009D45FA">
        <w:t xml:space="preserve">, is het wel mogelijk om enkele contouren op hoofdlijnen te schetsen. </w:t>
      </w:r>
    </w:p>
    <w:p w:rsidRPr="009D45FA" w:rsidR="004B4F44" w:rsidP="004B4F44" w:rsidRDefault="004B4F44" w14:paraId="3A43CAD9" w14:textId="77777777">
      <w:pPr>
        <w:rPr>
          <w:szCs w:val="18"/>
        </w:rPr>
      </w:pPr>
    </w:p>
    <w:p w:rsidRPr="009D45FA" w:rsidR="004B4F44" w:rsidP="004B4F44" w:rsidRDefault="004B4F44" w14:paraId="7162AC30" w14:textId="57357E86">
      <w:pPr>
        <w:rPr>
          <w:szCs w:val="18"/>
        </w:rPr>
      </w:pPr>
      <w:r w:rsidRPr="009D45FA">
        <w:lastRenderedPageBreak/>
        <w:t>TenneT zal uitvoerder van het marktbrede capaciteitsmechanisme zijn</w:t>
      </w:r>
      <w:r w:rsidRPr="009D45FA">
        <w:rPr>
          <w:rStyle w:val="Voetnootmarkering"/>
        </w:rPr>
        <w:footnoteReference w:id="17"/>
      </w:r>
      <w:r w:rsidRPr="009D45FA">
        <w:rPr>
          <w:szCs w:val="18"/>
        </w:rPr>
        <w:t xml:space="preserve">. </w:t>
      </w:r>
      <w:r w:rsidRPr="009D45FA">
        <w:t>Dit betekent dat TenneT</w:t>
      </w:r>
      <w:r w:rsidRPr="009D45FA">
        <w:rPr>
          <w:szCs w:val="18"/>
        </w:rPr>
        <w:t xml:space="preserve"> </w:t>
      </w:r>
      <w:r w:rsidRPr="009D45FA">
        <w:t>de</w:t>
      </w:r>
      <w:r w:rsidRPr="009D45FA">
        <w:rPr>
          <w:szCs w:val="18"/>
        </w:rPr>
        <w:t xml:space="preserve"> </w:t>
      </w:r>
      <w:r w:rsidRPr="009D45FA">
        <w:t>capaciteitsveilingen zal organiseren, de daadwerkelijke beschikbaarheid van deelnemende capaciteit zal monitoren en eventueel boetes zal opleggen in het geval van niet-beschikbaarheid van deze capaciteit</w:t>
      </w:r>
      <w:r w:rsidRPr="009D45FA">
        <w:rPr>
          <w:szCs w:val="18"/>
        </w:rPr>
        <w:t xml:space="preserve">. </w:t>
      </w:r>
    </w:p>
    <w:p w:rsidRPr="009D45FA" w:rsidR="004B4F44" w:rsidP="004B4F44" w:rsidRDefault="004B4F44" w14:paraId="304DEEE3" w14:textId="77777777">
      <w:pPr>
        <w:rPr>
          <w:i/>
          <w:iCs/>
          <w:szCs w:val="18"/>
          <w:u w:val="single"/>
        </w:rPr>
      </w:pPr>
    </w:p>
    <w:p w:rsidRPr="009D45FA" w:rsidR="00C762D6" w:rsidP="004B4F44" w:rsidRDefault="004B4F44" w14:paraId="275E080F" w14:textId="1F0304A6">
      <w:r>
        <w:t>De jaarlijkse kosten van een marktbreed capaciteitsmechanisme zijn lastig</w:t>
      </w:r>
      <w:r w:rsidR="00320BDE">
        <w:t xml:space="preserve"> om precies</w:t>
      </w:r>
      <w:r>
        <w:t xml:space="preserve"> in te schatten. Capaciteitsmechanismen in andere Europese landen kunnen helpen om een beeld op hoofdlijnen te vormen. In België bedroegen bijvoorbeeld de jaarlijkse kosten van geveilde capaciteit €183 mln. voor 2025-2026 en €125 mln. voor 2026-2027. Het Belgische marktbrede capaciteitsmechanisme is relatief goedkoop en betreft het contracteren van bijna drie keer minder vermogen dan in Nederland nodig kan zijn. </w:t>
      </w:r>
      <w:r w:rsidR="000B2115">
        <w:t xml:space="preserve">Bij toepassing van </w:t>
      </w:r>
      <w:r w:rsidR="00225A66">
        <w:t xml:space="preserve">vergelijkbare ontwerpkeuzes als in </w:t>
      </w:r>
      <w:r w:rsidR="008C5A9E">
        <w:t>België</w:t>
      </w:r>
      <w:r w:rsidR="00225A66">
        <w:t xml:space="preserve">, zouden de Nederlandse </w:t>
      </w:r>
      <w:r w:rsidR="002041C3">
        <w:t>ramingen</w:t>
      </w:r>
      <w:r w:rsidR="00225A66">
        <w:t xml:space="preserve"> uitkomen op </w:t>
      </w:r>
      <w:r w:rsidR="2C3D9A1F">
        <w:t>€</w:t>
      </w:r>
      <w:r w:rsidR="00225A66">
        <w:t xml:space="preserve">300-600 mln. </w:t>
      </w:r>
      <w:r w:rsidR="002041C3">
        <w:t xml:space="preserve">aan jaarlijkse kosten. </w:t>
      </w:r>
      <w:r>
        <w:t>De kosten worden beïnvloed door onder andere de vraagontwikkeling naar elektriciteit, vormgeving van de veilingen, kostenontwikkelingen van energieopslag, vraagrespons en regelbaar vermogen en de mate waarin grote revisies</w:t>
      </w:r>
      <w:r w:rsidR="003E0323">
        <w:t xml:space="preserve"> of </w:t>
      </w:r>
      <w:r>
        <w:t>nieuwbouw nodig zijn om aan de vraag te voldoen.</w:t>
      </w:r>
      <w:r w:rsidR="00DD3F1E">
        <w:t xml:space="preserve"> </w:t>
      </w:r>
      <w:r w:rsidR="200C5277">
        <w:t xml:space="preserve">De baten van een marktbreed capaciteitsmechanisme bestaan uit de vermeden elektriciteitsuitval en uit vermeden prijspieken. Zowel de </w:t>
      </w:r>
      <w:r w:rsidR="140C3B34">
        <w:t xml:space="preserve">omvang van de vermeden elektriciteitsuitval als waarde die het vermijden ervan heeft, heeft grote bandbreedtes. </w:t>
      </w:r>
      <w:r w:rsidR="47F2AF5F">
        <w:t xml:space="preserve">Al met al </w:t>
      </w:r>
      <w:r w:rsidR="6EAE8E73">
        <w:t>kan</w:t>
      </w:r>
      <w:r w:rsidR="47F2AF5F">
        <w:t xml:space="preserve"> het saldo van kosten en baten </w:t>
      </w:r>
      <w:r w:rsidR="43037E97">
        <w:t>zowel positief uitgerekend worden, als bij andere aannames per saldo negatief zijn.</w:t>
      </w:r>
      <w:r w:rsidR="64A32CAE">
        <w:t xml:space="preserve"> </w:t>
      </w:r>
      <w:r w:rsidR="251042DA">
        <w:t xml:space="preserve">Een marktbreed capaciteitsmechanisme fungeert als verzekering om het risico op uitval te verminderen. Daarbij zijn niet alleen de kwantitatieve baten relevant, maar </w:t>
      </w:r>
      <w:r w:rsidR="00A22A18">
        <w:t>we</w:t>
      </w:r>
      <w:r w:rsidR="000E1198">
        <w:t>egt</w:t>
      </w:r>
      <w:r w:rsidR="00A22A18">
        <w:t xml:space="preserve"> </w:t>
      </w:r>
      <w:r w:rsidR="251042DA">
        <w:t xml:space="preserve">ook de maatschappelijke impact van het eventuele uitval mee in deze afweging. </w:t>
      </w:r>
      <w:r w:rsidR="00816810">
        <w:t xml:space="preserve">Om te bepalen of de maatregel het beoogde maatschappelijke effect heeft, </w:t>
      </w:r>
      <w:r w:rsidR="00E265F4">
        <w:t>zal</w:t>
      </w:r>
      <w:r w:rsidR="00816810">
        <w:t xml:space="preserve"> </w:t>
      </w:r>
      <w:r w:rsidR="004C3D8B">
        <w:t>het ontwerp</w:t>
      </w:r>
      <w:r w:rsidR="00816810">
        <w:t xml:space="preserve"> ervan jaarlijks geëvalueerd</w:t>
      </w:r>
      <w:r w:rsidR="004C3D8B">
        <w:t xml:space="preserve"> en waar nodig bijgesteld</w:t>
      </w:r>
      <w:r w:rsidR="00E265F4">
        <w:t xml:space="preserve"> worden</w:t>
      </w:r>
      <w:r w:rsidR="00816810">
        <w:t xml:space="preserve">. </w:t>
      </w:r>
      <w:r w:rsidR="00766716">
        <w:t>Op deze wijze zal het capaciteitsmechanisme steeds zoveel mogelijk in lijn zijn met de op dat moment in Nederland geldende behoefte.</w:t>
      </w:r>
    </w:p>
    <w:p w:rsidRPr="009D45FA" w:rsidR="004B4F44" w:rsidP="004B4F44" w:rsidRDefault="004B4F44" w14:paraId="7E27C629" w14:textId="77777777">
      <w:pPr>
        <w:rPr>
          <w:szCs w:val="18"/>
        </w:rPr>
      </w:pPr>
    </w:p>
    <w:p w:rsidRPr="009D45FA" w:rsidR="004B4F44" w:rsidP="004B4F44" w:rsidRDefault="004B4F44" w14:paraId="20482B97" w14:textId="77777777">
      <w:pPr>
        <w:rPr>
          <w:szCs w:val="18"/>
        </w:rPr>
      </w:pPr>
      <w:r w:rsidRPr="009D45FA">
        <w:t>De kosten van het marktbrede capaciteitsmechanisme zullen door de netbeheerders bij de eindgebruiker in rekening worden gebracht via tarieven. Volgens de EU-staatssteunkaders moeten de kosten namelijk worden doorberekend aan de eindgebruikers van elektriciteit op zo’n manier dat er een prikkel is om op schaarstemomenten van wind en zon minder elektriciteit te gebruiken. De Europese Commissie heeft een voorkeur voor verrekening van de kosten op basis van verbruik tijdens schaarste</w:t>
      </w:r>
      <w:r w:rsidRPr="009D45FA">
        <w:rPr>
          <w:rStyle w:val="Voetnootmarkering"/>
        </w:rPr>
        <w:footnoteReference w:id="18"/>
      </w:r>
      <w:r w:rsidRPr="009D45FA">
        <w:t>. Deze verrekening kan gebeuren door jaarlijks een heffing toe te passen op de naar verwachting duurste uren om daarmee de gebruikers een prikkel te geven op deze momenten minder elektriciteit te verbruiken en daarmee het tekort te verkleinen. Dit draagt bij aan het beperken van de kosten</w:t>
      </w:r>
      <w:r w:rsidRPr="009D45FA">
        <w:rPr>
          <w:szCs w:val="18"/>
        </w:rPr>
        <w:t xml:space="preserve">. </w:t>
      </w:r>
      <w:r w:rsidRPr="009D45FA">
        <w:t xml:space="preserve">Het volgen van deze eisen betekent dat gebruikers van elektriciteit met name in perioden van risico's op schaarste geconfronteerd zullen worden met hogere kosten voor het gebruik van elektriciteit in die uren. Het is van belang om hierbij op te merken dat deze kosten (deels) worden </w:t>
      </w:r>
      <w:r w:rsidRPr="009D45FA">
        <w:lastRenderedPageBreak/>
        <w:t>gecompenseerd door de vermeden prijsstijgingen als gevolg van de inzet van een marktbreed capaciteitsmechanisme. De netbeheerders werken aan een voorstel om de kosten van een marktbreed capaciteitsmechanisme te verwerken in de tarieven. Het is aan de ACM om de uiteindelijke doorberekening van kosten naar de eindgebruikers vast te stellen.</w:t>
      </w:r>
    </w:p>
    <w:p w:rsidRPr="009D45FA" w:rsidR="004B4F44" w:rsidP="004B4F44" w:rsidRDefault="004B4F44" w14:paraId="1278F924" w14:textId="77777777">
      <w:pPr>
        <w:rPr>
          <w:i/>
          <w:iCs/>
          <w:szCs w:val="18"/>
        </w:rPr>
      </w:pPr>
    </w:p>
    <w:p w:rsidRPr="009D45FA" w:rsidR="00074F2F" w:rsidP="004B4F44" w:rsidRDefault="004B4F44" w14:paraId="3E08EE06" w14:textId="0803290E">
      <w:pPr>
        <w:rPr>
          <w:szCs w:val="18"/>
        </w:rPr>
      </w:pPr>
      <w:r w:rsidRPr="009D45FA">
        <w:t>Het kabinet heeft oog voor de stijgende elektriciteitskosten</w:t>
      </w:r>
      <w:r w:rsidRPr="009D45FA">
        <w:rPr>
          <w:szCs w:val="18"/>
        </w:rPr>
        <w:t xml:space="preserve"> </w:t>
      </w:r>
      <w:r w:rsidRPr="009D45FA">
        <w:t>en zal zich maximaal inzetten om de kosten van het mechanisme zo laag mogelijk te houden. Hiervoor kijkt het kabinet ook naar de ervaring in buurlanden. Net als in deze landen het geval is, overweegt het kabinet de inzet van</w:t>
      </w:r>
      <w:r w:rsidRPr="009D45FA">
        <w:rPr>
          <w:szCs w:val="18"/>
        </w:rPr>
        <w:t xml:space="preserve"> </w:t>
      </w:r>
      <w:r w:rsidRPr="009D45FA">
        <w:t>terugbetalingsmechanismen bij prijspieken om overwinsten van elektriciteitsaanbieders te voorkomen en om</w:t>
      </w:r>
      <w:r w:rsidRPr="009D45FA">
        <w:rPr>
          <w:szCs w:val="18"/>
        </w:rPr>
        <w:t xml:space="preserve"> </w:t>
      </w:r>
      <w:r w:rsidRPr="009D45FA">
        <w:t>een maximale prijs te hanteren</w:t>
      </w:r>
      <w:r w:rsidRPr="009D45FA">
        <w:rPr>
          <w:szCs w:val="18"/>
        </w:rPr>
        <w:t xml:space="preserve"> </w:t>
      </w:r>
      <w:r w:rsidRPr="009D45FA">
        <w:t>voor het aanbieden van bestaande capaciteit</w:t>
      </w:r>
      <w:r w:rsidRPr="009D45FA">
        <w:rPr>
          <w:szCs w:val="18"/>
        </w:rPr>
        <w:t xml:space="preserve">. </w:t>
      </w:r>
    </w:p>
    <w:p w:rsidRPr="009D45FA" w:rsidR="00074F2F" w:rsidP="004B4F44" w:rsidRDefault="00074F2F" w14:paraId="30F4909B" w14:textId="77777777">
      <w:pPr>
        <w:rPr>
          <w:szCs w:val="18"/>
        </w:rPr>
      </w:pPr>
    </w:p>
    <w:p w:rsidRPr="009D45FA" w:rsidR="004B4F44" w:rsidP="004B4F44" w:rsidRDefault="004B4F44" w14:paraId="0BBD10DB" w14:textId="7819923D">
      <w:pPr>
        <w:rPr>
          <w:szCs w:val="18"/>
        </w:rPr>
      </w:pPr>
      <w:r w:rsidRPr="009D45FA">
        <w:t>Het streven is om de eerste veilingen voor het marktbrede capaciteitsmechanisme te organiseren in 2028</w:t>
      </w:r>
      <w:r w:rsidRPr="009D45FA" w:rsidR="00860FF3">
        <w:t xml:space="preserve"> met oog op inwerkingtreding in 2029-2030</w:t>
      </w:r>
      <w:r w:rsidRPr="009D45FA">
        <w:t>. Dit</w:t>
      </w:r>
      <w:r w:rsidRPr="009D45FA">
        <w:rPr>
          <w:szCs w:val="18"/>
        </w:rPr>
        <w:t xml:space="preserve"> </w:t>
      </w:r>
      <w:r w:rsidRPr="009D45FA">
        <w:t>is mede</w:t>
      </w:r>
      <w:r w:rsidRPr="009D45FA">
        <w:rPr>
          <w:szCs w:val="18"/>
        </w:rPr>
        <w:t xml:space="preserve"> </w:t>
      </w:r>
      <w:r w:rsidRPr="009D45FA">
        <w:t>afhankelijk van onder andere</w:t>
      </w:r>
      <w:r w:rsidRPr="009D45FA">
        <w:rPr>
          <w:szCs w:val="18"/>
        </w:rPr>
        <w:t xml:space="preserve"> </w:t>
      </w:r>
      <w:r w:rsidRPr="009D45FA">
        <w:t xml:space="preserve">het tijdig ontvangen van staatssteungoedkeuring van de Europese Commissie en tijdige inwerkingtreding van het EMD-wetsvoorstel, dat in Nederland de juridische basis voor een marktbreed capaciteitsmechanisme biedt, zoals </w:t>
      </w:r>
      <w:r w:rsidR="00DE01A9">
        <w:t>binnenkort</w:t>
      </w:r>
      <w:r w:rsidRPr="009D45FA">
        <w:t xml:space="preserve"> ingediend </w:t>
      </w:r>
      <w:r w:rsidR="00DE01A9">
        <w:t xml:space="preserve">zal worden </w:t>
      </w:r>
      <w:r w:rsidRPr="009D45FA">
        <w:t>bij de Kamer</w:t>
      </w:r>
      <w:r w:rsidR="005B66AE">
        <w:t>.</w:t>
      </w:r>
    </w:p>
    <w:p w:rsidRPr="009D45FA" w:rsidR="004B4F44" w:rsidP="004B4F44" w:rsidRDefault="004B4F44" w14:paraId="6F7A17A5" w14:textId="77777777">
      <w:pPr>
        <w:rPr>
          <w:szCs w:val="18"/>
        </w:rPr>
      </w:pPr>
    </w:p>
    <w:p w:rsidRPr="009D45FA" w:rsidR="004B4F44" w:rsidP="004B4F44" w:rsidRDefault="004B4F44" w14:paraId="6F3C6298" w14:textId="77777777">
      <w:pPr>
        <w:rPr>
          <w:b/>
          <w:bCs/>
          <w:szCs w:val="18"/>
        </w:rPr>
      </w:pPr>
      <w:r w:rsidRPr="009D45FA">
        <w:rPr>
          <w:b/>
          <w:bCs/>
          <w:szCs w:val="18"/>
        </w:rPr>
        <w:t xml:space="preserve">Bredere beleidscontext van een marktbreed capaciteitsmechanisme </w:t>
      </w:r>
    </w:p>
    <w:p w:rsidRPr="009D45FA" w:rsidR="004B4F44" w:rsidP="004B4F44" w:rsidRDefault="004B4F44" w14:paraId="7A9F5488" w14:textId="77777777">
      <w:pPr>
        <w:rPr>
          <w:szCs w:val="18"/>
        </w:rPr>
      </w:pPr>
      <w:r w:rsidRPr="009D45FA">
        <w:rPr>
          <w:szCs w:val="18"/>
        </w:rPr>
        <w:t xml:space="preserve">Het ontwerp van een marktbreed capaciteitsmechanisme vraagt ook om keuzes die in een bredere context moeten worden bezien, zoals het raakvlak met beleid op verduurzaming, netcongestie en weerbaarheid en de wisselwerking met de Europese elektriciteitsmarkt. </w:t>
      </w:r>
    </w:p>
    <w:p w:rsidRPr="009D45FA" w:rsidR="004B4F44" w:rsidP="004B4F44" w:rsidRDefault="004B4F44" w14:paraId="19B7F944" w14:textId="77777777">
      <w:pPr>
        <w:rPr>
          <w:szCs w:val="18"/>
        </w:rPr>
      </w:pPr>
    </w:p>
    <w:p w:rsidRPr="009D45FA" w:rsidR="004B4F44" w:rsidP="004B4F44" w:rsidRDefault="004B4F44" w14:paraId="4D7AD43A" w14:textId="33411449">
      <w:pPr>
        <w:rPr>
          <w:rFonts w:eastAsia="Verdana" w:cs="Verdana"/>
        </w:rPr>
      </w:pPr>
      <w:r w:rsidRPr="009D45FA">
        <w:rPr>
          <w:rFonts w:eastAsia="Verdana" w:cs="Verdana"/>
        </w:rPr>
        <w:t>In de Europese staatssteunkaders zijn voor deelname aan een capaciteitsmechanisme eisen opgenomen die een bijdrage leveren aan de verduurzamingsdoelstellingen, zoals minimale verduurzamingseisen voor fossiele capaciteit</w:t>
      </w:r>
      <w:r w:rsidRPr="009D45FA">
        <w:rPr>
          <w:rStyle w:val="Voetnootmarkering"/>
          <w:rFonts w:eastAsia="Verdana" w:cs="Verdana"/>
        </w:rPr>
        <w:footnoteReference w:id="19"/>
      </w:r>
      <w:r w:rsidRPr="009D45FA">
        <w:rPr>
          <w:rFonts w:eastAsiaTheme="minorEastAsia"/>
        </w:rPr>
        <w:t xml:space="preserve">. Deze eisen sluiten volledig kolengestookte centrales uit van deelname. Dit geldt niet voor andere vormen van regelbaar vermogen, zoals gas, waterstof- en biomassacentrales (eventueel met CCS/BECCS). Door het integreren van verduurzamingseisen ontstaan voor de sector prikkels om (verder) te verduurzamen, ook voor de momenten dat geen wind of zon beschikbaar is. </w:t>
      </w:r>
      <w:r w:rsidRPr="00FC1EB8">
        <w:rPr>
          <w:rFonts w:eastAsia="Verdana" w:cs="Verdana"/>
        </w:rPr>
        <w:t xml:space="preserve">Daarnaast </w:t>
      </w:r>
      <w:r w:rsidRPr="00FC1EB8" w:rsidR="00D45036">
        <w:rPr>
          <w:rFonts w:eastAsia="Verdana" w:cs="Verdana"/>
        </w:rPr>
        <w:t xml:space="preserve">zijn er in het ontwerp van een marktbreed capaciteitsmechanisme mogelijkheden om keuzes te maken die deelname van CO2-vrije technieken als opslag en vraagrespons stimuleren. </w:t>
      </w:r>
      <w:r w:rsidRPr="00FC1EB8" w:rsidR="00F7079B">
        <w:rPr>
          <w:rFonts w:eastAsia="Verdana" w:cs="Verdana"/>
        </w:rPr>
        <w:t xml:space="preserve">Het </w:t>
      </w:r>
      <w:r w:rsidRPr="00FC1EB8" w:rsidR="00F7079B">
        <w:rPr>
          <w:rFonts w:eastAsiaTheme="minorEastAsia"/>
        </w:rPr>
        <w:t>kabinet zal daarom bij het vormgeven</w:t>
      </w:r>
      <w:r w:rsidRPr="00FC1EB8" w:rsidR="00F7079B">
        <w:rPr>
          <w:rFonts w:eastAsia="Aptos" w:cs="Arial"/>
        </w:rPr>
        <w:t xml:space="preserve"> </w:t>
      </w:r>
      <w:r w:rsidR="00F7079B">
        <w:rPr>
          <w:rFonts w:eastAsia="Aptos" w:cs="Arial"/>
        </w:rPr>
        <w:t xml:space="preserve">van het capaciteitsmechanisme </w:t>
      </w:r>
      <w:r w:rsidRPr="00FC1EB8" w:rsidR="00F7079B">
        <w:rPr>
          <w:rFonts w:eastAsia="Aptos" w:cs="Arial"/>
        </w:rPr>
        <w:t xml:space="preserve">aandacht hebben voor </w:t>
      </w:r>
      <w:r w:rsidR="00F7079B">
        <w:rPr>
          <w:rFonts w:eastAsia="Aptos" w:cs="Arial"/>
        </w:rPr>
        <w:t xml:space="preserve">de bijdrage aan de door het kabinet beoogde lijn van CO2-reductie in de elektriciteitsketen. </w:t>
      </w:r>
      <w:r w:rsidR="000F453F">
        <w:rPr>
          <w:rFonts w:eastAsia="Aptos" w:cs="Arial"/>
        </w:rPr>
        <w:t xml:space="preserve">In lijn met de aanbevelingen van Magnus Energy </w:t>
      </w:r>
      <w:r w:rsidR="00F7079B">
        <w:rPr>
          <w:rFonts w:eastAsia="Aptos" w:cs="Arial"/>
        </w:rPr>
        <w:t xml:space="preserve">zullen onder andere </w:t>
      </w:r>
      <w:r w:rsidRPr="00FC1EB8" w:rsidR="00F7079B">
        <w:rPr>
          <w:rFonts w:eastAsia="Aptos" w:cs="Arial"/>
        </w:rPr>
        <w:t>de positie van opslag en vraagrespons</w:t>
      </w:r>
      <w:r w:rsidR="00F7079B">
        <w:rPr>
          <w:rFonts w:eastAsia="Aptos" w:cs="Arial"/>
        </w:rPr>
        <w:t xml:space="preserve"> worden meegenomen</w:t>
      </w:r>
      <w:r w:rsidR="00EF3672">
        <w:rPr>
          <w:rFonts w:eastAsia="Aptos" w:cs="Arial"/>
        </w:rPr>
        <w:t>, waardoor een combinatie van technieken in</w:t>
      </w:r>
      <w:r w:rsidR="007064B5">
        <w:rPr>
          <w:rFonts w:eastAsia="Aptos" w:cs="Arial"/>
        </w:rPr>
        <w:t xml:space="preserve"> </w:t>
      </w:r>
      <w:r w:rsidR="00EF3672">
        <w:rPr>
          <w:rFonts w:eastAsia="Aptos" w:cs="Arial"/>
        </w:rPr>
        <w:t xml:space="preserve">de benodigde capaciteit kan voorzien. </w:t>
      </w:r>
    </w:p>
    <w:p w:rsidRPr="009D45FA" w:rsidR="004B4F44" w:rsidP="004B4F44" w:rsidRDefault="004B4F44" w14:paraId="159A95C7" w14:textId="77777777">
      <w:pPr>
        <w:rPr>
          <w:rFonts w:eastAsia="Verdana" w:cs="Verdana"/>
          <w:szCs w:val="18"/>
        </w:rPr>
      </w:pPr>
    </w:p>
    <w:p w:rsidRPr="009D45FA" w:rsidR="004B4F44" w:rsidP="004B4F44" w:rsidRDefault="004B4F44" w14:paraId="7C2C816B" w14:textId="693724CF">
      <w:pPr>
        <w:rPr>
          <w:strike/>
          <w:szCs w:val="18"/>
        </w:rPr>
      </w:pPr>
      <w:r w:rsidRPr="009D45FA">
        <w:rPr>
          <w:rFonts w:eastAsia="Verdana" w:cs="Verdana"/>
        </w:rPr>
        <w:t>Naast de verduurzamingsopgave zet het kabinet zich ook in voor het aanpakken van netcongestie, zoals o.a. beschreven in de Kamerbrief van 2 april jl.</w:t>
      </w:r>
      <w:r w:rsidRPr="009D45FA">
        <w:rPr>
          <w:rStyle w:val="Voetnootmarkering"/>
          <w:rFonts w:eastAsia="Verdana" w:cs="Verdana"/>
        </w:rPr>
        <w:footnoteReference w:id="20"/>
      </w:r>
      <w:r w:rsidRPr="009D45FA">
        <w:rPr>
          <w:rFonts w:eastAsia="Verdana" w:cs="Verdana"/>
        </w:rPr>
        <w:t xml:space="preserve"> </w:t>
      </w:r>
      <w:r w:rsidRPr="009D45FA">
        <w:t xml:space="preserve">Het </w:t>
      </w:r>
      <w:r w:rsidRPr="009D45FA">
        <w:lastRenderedPageBreak/>
        <w:t>kabinet verwacht dat de introductie van een marktbreed capaciteitsmechanisme een positief effect zal hebben op het tegengaan van netcongestie. In eerste instantie doordat het een prikkel geeft voor behoud van regelbaar vermogen, vraagrespons en opslag.</w:t>
      </w:r>
      <w:r w:rsidRPr="009D45FA">
        <w:rPr>
          <w:szCs w:val="18"/>
        </w:rPr>
        <w:t xml:space="preserve"> </w:t>
      </w:r>
      <w:r w:rsidRPr="009D45FA">
        <w:t>Dit kan bijdragen aan het vermijden, verminderen of vertragen van het ontstaan van nieuwe congestieproblemen doordat deze capaciteit niet of pas op een later moment op kritieke plekken verdwijnt. Om de voorzieningszekerheid verder te ondersteunen, is het daarnaast van belang dat capaciteit die in de komende jaren voor netcongestie én de borging van voorzieningszekerheid gecontracteerd wordt in samenhang wordt bezien, om tot een efficiënte vergoeding te komen.</w:t>
      </w:r>
      <w:r w:rsidRPr="009D45FA" w:rsidDel="002A415D">
        <w:rPr>
          <w:szCs w:val="18"/>
        </w:rPr>
        <w:t xml:space="preserve"> </w:t>
      </w:r>
      <w:r w:rsidRPr="009D45FA">
        <w:t>Dit kan ten eerste wanneer netbeheerders die capaciteit voor netcongestie contracteren, deze capaciteit ook toestaan om op de markt actief te zijn. Op de markt kan deze capaciteit immers ook bijdragen aan voorzieningszekerheid. Dit kan ten tweede doordat netbeheerders eerst zoveel mogelijk de capaciteit contracteren</w:t>
      </w:r>
      <w:r w:rsidRPr="009D45FA" w:rsidR="00F83AE4">
        <w:t xml:space="preserve"> op de locatie</w:t>
      </w:r>
      <w:r w:rsidRPr="009D45FA">
        <w:t xml:space="preserve"> die voor netcongestie nodig is. Daarna kan TenneT de resterende voor voorzieningszekerheid benodigde capaciteit contracteren via het marktbreed capaciteitsmechanisme, waarbij de locatie niet meer uitmaakt.</w:t>
      </w:r>
      <w:r w:rsidRPr="009D45FA">
        <w:rPr>
          <w:strike/>
        </w:rPr>
        <w:t xml:space="preserve"> </w:t>
      </w:r>
    </w:p>
    <w:p w:rsidRPr="009D45FA" w:rsidR="004B4F44" w:rsidP="004B4F44" w:rsidRDefault="004B4F44" w14:paraId="1753D118" w14:textId="77777777">
      <w:pPr>
        <w:rPr>
          <w:szCs w:val="18"/>
        </w:rPr>
      </w:pPr>
    </w:p>
    <w:p w:rsidRPr="009D45FA" w:rsidR="004B4F44" w:rsidP="004B4F44" w:rsidRDefault="004B4F44" w14:paraId="526DE998" w14:textId="368ABA40">
      <w:pPr>
        <w:rPr>
          <w:szCs w:val="18"/>
        </w:rPr>
      </w:pPr>
      <w:r w:rsidRPr="009D45FA">
        <w:rPr>
          <w:szCs w:val="18"/>
        </w:rPr>
        <w:t xml:space="preserve">Daarnaast heeft het kabinet aandacht voor het vergroten van de weerbaarheid van het energiesysteem. Weerbaarheid omvat niet alleen het voldoende beschikbaar hebben van aanbod om aan de vraag te voldoen, maar ook het vermogen van het systeem om schokken op te vangen. Door het borgen van voldoende aanbod om aan de (piek)vraag in </w:t>
      </w:r>
      <w:r w:rsidRPr="009D45FA" w:rsidR="00747F69">
        <w:rPr>
          <w:szCs w:val="18"/>
        </w:rPr>
        <w:t>schaarste periodes</w:t>
      </w:r>
      <w:r w:rsidRPr="009D45FA">
        <w:rPr>
          <w:szCs w:val="18"/>
        </w:rPr>
        <w:t xml:space="preserve"> van zon en wind te voldoen, draagt een marktbreed capaciteitsmechanisme bij aan de continuïteit van het energiesysteem. De directe beschikbaarheid van aanbod binnen de eigen landsgrenzen vergroot de robuustheid van het systeem en maakt het systeem minder kwetsbaar bij schaarste. Een marktbreed capaciteitsmechanisme kan daarmee bijdragen aan de bredere weerbaarheidsopgave. </w:t>
      </w:r>
    </w:p>
    <w:p w:rsidRPr="009D45FA" w:rsidR="004B4F44" w:rsidP="004B4F44" w:rsidRDefault="004B4F44" w14:paraId="5B7F4FC1" w14:textId="77777777">
      <w:pPr>
        <w:rPr>
          <w:szCs w:val="18"/>
        </w:rPr>
      </w:pPr>
    </w:p>
    <w:p w:rsidRPr="009D45FA" w:rsidR="004B4F44" w:rsidP="004B4F44" w:rsidRDefault="004B4F44" w14:paraId="5DA752A5" w14:textId="326A940A">
      <w:pPr>
        <w:rPr>
          <w:szCs w:val="18"/>
        </w:rPr>
      </w:pPr>
      <w:r w:rsidRPr="009D45FA">
        <w:rPr>
          <w:szCs w:val="18"/>
        </w:rPr>
        <w:t xml:space="preserve">Met de keuze om een marktbreed capaciteitsmechanisme in te voeren sluit Nederland aan bij buurlanden zoals Duitsland, België, Frankrijk en het Verenigd Koninkrijk die dit ook hebben of (gaan) invoeren. Daarmee wordt het gelijke speelveld voor investeringen in Nederland verbeterd. Bovendien biedt het ruimte voor grensoverschrijdende samenwerking. Tegelijk wil het kabinet zoveel mogelijk barrières voor marktpartijen voorkomen die in meerdere landen actief zijn. Het kabinet zet zich daarom onder andere via het Pentalaterale Energieforum in voor het waar mogelijk harmoniseren en coördineren van capaciteitsmechanismen in de Noordwest-Europese regio. Deze regionale afstemming biedt mogelijkheden voor een kosteneffectieve inrichting. </w:t>
      </w:r>
    </w:p>
    <w:p w:rsidRPr="009D45FA" w:rsidR="004B4F44" w:rsidP="004B4F44" w:rsidRDefault="004B4F44" w14:paraId="4FB37FB8" w14:textId="77777777">
      <w:pPr>
        <w:rPr>
          <w:szCs w:val="18"/>
        </w:rPr>
      </w:pPr>
    </w:p>
    <w:p w:rsidRPr="009D45FA" w:rsidR="004B4F44" w:rsidP="004B4F44" w:rsidRDefault="004B4F44" w14:paraId="771A6964" w14:textId="77777777">
      <w:pPr>
        <w:rPr>
          <w:b/>
          <w:bCs/>
          <w:iCs/>
          <w:szCs w:val="18"/>
        </w:rPr>
      </w:pPr>
      <w:r w:rsidRPr="009D45FA">
        <w:rPr>
          <w:b/>
          <w:bCs/>
          <w:iCs/>
          <w:szCs w:val="18"/>
        </w:rPr>
        <w:t>Vervolgproces</w:t>
      </w:r>
    </w:p>
    <w:p w:rsidRPr="009D45FA" w:rsidR="004425CC" w:rsidP="00810C93" w:rsidRDefault="004B4F44" w14:paraId="554F0653" w14:textId="6C764CA4">
      <w:r w:rsidRPr="009D45FA">
        <w:rPr>
          <w:szCs w:val="18"/>
        </w:rPr>
        <w:t xml:space="preserve">Gezien de urgentie van het borgen van de voorzieningszekerheid, zoals ook blijkt uit de MVZ 2026, streeft het kabinet ernaar om de eerste tender voor capaciteitsveilingen in 2028 te houden voor het leveringsjaar 2029-2030. De komende maanden zal het kabinet, in samenwerking met TenneT en ACM, en met betrokkenheid van stakeholders, voortvarend werken aan het ontwerpen van het marktbrede capaciteitsmechanisme, het verkrijgen van EU-staatssteungoedkeuring en het voorbereiden van de uitvoering. In een volgende </w:t>
      </w:r>
      <w:r w:rsidRPr="009D45FA">
        <w:rPr>
          <w:szCs w:val="18"/>
        </w:rPr>
        <w:lastRenderedPageBreak/>
        <w:t>brief, die voorzien is</w:t>
      </w:r>
      <w:r w:rsidR="009551B2">
        <w:rPr>
          <w:szCs w:val="18"/>
        </w:rPr>
        <w:t xml:space="preserve"> </w:t>
      </w:r>
      <w:r w:rsidR="00F7079B">
        <w:rPr>
          <w:szCs w:val="18"/>
        </w:rPr>
        <w:t>in de loop van de tweede helft van 2026</w:t>
      </w:r>
      <w:r w:rsidRPr="009D45FA">
        <w:rPr>
          <w:szCs w:val="18"/>
        </w:rPr>
        <w:t>, zal het kabinet de Kamer informeren over de voortgang daarvan.</w:t>
      </w:r>
    </w:p>
    <w:p w:rsidRPr="009D45FA" w:rsidR="006B3C17" w:rsidP="00810C93" w:rsidRDefault="006B3C17" w14:paraId="53B283D4" w14:textId="77777777"/>
    <w:p w:rsidRPr="009D45FA" w:rsidR="00D23B52" w:rsidP="00D23B52" w:rsidRDefault="00D23B52" w14:paraId="29547A5F" w14:textId="77777777">
      <w:pPr>
        <w:pStyle w:val="Normaalweb"/>
        <w:spacing w:before="0" w:beforeAutospacing="0" w:after="0" w:afterAutospacing="0"/>
        <w:rPr>
          <w:rFonts w:ascii="Verdana" w:hAnsi="Verdana"/>
          <w:sz w:val="18"/>
          <w:szCs w:val="18"/>
        </w:rPr>
      </w:pPr>
    </w:p>
    <w:p w:rsidRPr="009D45FA" w:rsidR="00D23B52" w:rsidP="00D23B52" w:rsidRDefault="00D23B52" w14:paraId="28E756AB" w14:textId="77777777">
      <w:pPr>
        <w:pStyle w:val="Normaalweb"/>
        <w:spacing w:before="0" w:beforeAutospacing="0" w:after="0" w:afterAutospacing="0"/>
        <w:rPr>
          <w:rFonts w:ascii="Verdana" w:hAnsi="Verdana"/>
          <w:sz w:val="18"/>
          <w:szCs w:val="18"/>
        </w:rPr>
      </w:pPr>
    </w:p>
    <w:p w:rsidRPr="009D45FA" w:rsidR="00D23B52" w:rsidP="00D23B52" w:rsidRDefault="00D23B52" w14:paraId="4DF4B4E3" w14:textId="77777777">
      <w:pPr>
        <w:pStyle w:val="Normaalweb"/>
        <w:spacing w:before="0" w:beforeAutospacing="0" w:after="0" w:afterAutospacing="0"/>
        <w:rPr>
          <w:rFonts w:ascii="Verdana" w:hAnsi="Verdana"/>
          <w:sz w:val="18"/>
          <w:szCs w:val="18"/>
        </w:rPr>
      </w:pPr>
    </w:p>
    <w:p w:rsidRPr="009D45FA" w:rsidR="00D23B52" w:rsidP="00D23B52" w:rsidRDefault="00D23B52" w14:paraId="3FCC4F57" w14:textId="77777777">
      <w:pPr>
        <w:pStyle w:val="Normaalweb"/>
        <w:spacing w:before="0" w:beforeAutospacing="0" w:after="0" w:afterAutospacing="0"/>
        <w:rPr>
          <w:rFonts w:ascii="Verdana" w:hAnsi="Verdana"/>
          <w:sz w:val="18"/>
          <w:szCs w:val="18"/>
        </w:rPr>
      </w:pPr>
    </w:p>
    <w:p w:rsidRPr="009D45FA" w:rsidR="00D23B52" w:rsidP="00D23B52" w:rsidRDefault="0077605C" w14:paraId="1C0CA582" w14:textId="77777777">
      <w:pPr>
        <w:pStyle w:val="Normaalweb"/>
        <w:spacing w:before="0" w:beforeAutospacing="0" w:after="0" w:afterAutospacing="0"/>
        <w:rPr>
          <w:rFonts w:ascii="Verdana" w:hAnsi="Verdana"/>
          <w:sz w:val="18"/>
          <w:szCs w:val="18"/>
        </w:rPr>
      </w:pPr>
      <w:r w:rsidRPr="009D45FA">
        <w:rPr>
          <w:rFonts w:ascii="Verdana" w:hAnsi="Verdana"/>
          <w:sz w:val="18"/>
          <w:szCs w:val="18"/>
        </w:rPr>
        <w:t>Stientje van Veldhoven-van der Meer</w:t>
      </w:r>
    </w:p>
    <w:p w:rsidR="00BD2D73" w:rsidP="004B4F44" w:rsidRDefault="0077605C" w14:paraId="26D63496" w14:textId="29554FEF">
      <w:pPr>
        <w:pStyle w:val="Normaalweb"/>
        <w:spacing w:before="0" w:beforeAutospacing="0" w:after="0" w:afterAutospacing="0"/>
      </w:pPr>
      <w:r w:rsidRPr="009D45FA">
        <w:t>Minister van Klimaat en Groene Groei</w:t>
      </w:r>
    </w:p>
    <w:sectPr w:rsidR="00BD2D73" w:rsidSect="00802FF0">
      <w:headerReference w:type="default" r:id="rId8"/>
      <w:footerReference w:type="default" r:id="rId9"/>
      <w:headerReference w:type="first" r:id="rId10"/>
      <w:footerReference w:type="first" r:id="rId11"/>
      <w:pgSz w:w="11906" w:h="16838" w:code="9"/>
      <w:pgMar w:top="2269"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7A51" w14:textId="77777777" w:rsidR="004321C3" w:rsidRDefault="004321C3">
      <w:r>
        <w:separator/>
      </w:r>
    </w:p>
    <w:p w14:paraId="15FE4AFF" w14:textId="77777777" w:rsidR="004321C3" w:rsidRDefault="004321C3"/>
  </w:endnote>
  <w:endnote w:type="continuationSeparator" w:id="0">
    <w:p w14:paraId="4514697F" w14:textId="77777777" w:rsidR="004321C3" w:rsidRDefault="004321C3">
      <w:r>
        <w:continuationSeparator/>
      </w:r>
    </w:p>
    <w:p w14:paraId="3B200C5F" w14:textId="77777777" w:rsidR="004321C3" w:rsidRDefault="00432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14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445B2" w14:paraId="1FA75349" w14:textId="77777777" w:rsidTr="00CA6A25">
      <w:trPr>
        <w:trHeight w:hRule="exact" w:val="240"/>
      </w:trPr>
      <w:tc>
        <w:tcPr>
          <w:tcW w:w="7601" w:type="dxa"/>
        </w:tcPr>
        <w:p w14:paraId="5A962EC6" w14:textId="77777777" w:rsidR="00527BD4" w:rsidRDefault="00527BD4" w:rsidP="003F1F6B">
          <w:pPr>
            <w:pStyle w:val="Huisstijl-Rubricering"/>
          </w:pPr>
        </w:p>
      </w:tc>
      <w:tc>
        <w:tcPr>
          <w:tcW w:w="2156" w:type="dxa"/>
        </w:tcPr>
        <w:p w14:paraId="4E8D594A" w14:textId="383D475C" w:rsidR="00527BD4" w:rsidRPr="00645414" w:rsidRDefault="007760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82B5C">
            <w:t>12</w:t>
          </w:r>
          <w:r w:rsidR="004425CC">
            <w:fldChar w:fldCharType="end"/>
          </w:r>
        </w:p>
      </w:tc>
    </w:tr>
  </w:tbl>
  <w:p w14:paraId="7132E47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445B2" w14:paraId="2A2ADAAC" w14:textId="77777777" w:rsidTr="00CA6A25">
      <w:trPr>
        <w:trHeight w:hRule="exact" w:val="240"/>
      </w:trPr>
      <w:tc>
        <w:tcPr>
          <w:tcW w:w="7601" w:type="dxa"/>
        </w:tcPr>
        <w:p w14:paraId="4F57180E" w14:textId="77777777" w:rsidR="00527BD4" w:rsidRDefault="00527BD4" w:rsidP="008C356D">
          <w:pPr>
            <w:pStyle w:val="Huisstijl-Rubricering"/>
          </w:pPr>
        </w:p>
      </w:tc>
      <w:tc>
        <w:tcPr>
          <w:tcW w:w="2170" w:type="dxa"/>
        </w:tcPr>
        <w:p w14:paraId="5B42BBC8" w14:textId="465779FD" w:rsidR="00527BD4" w:rsidRPr="00ED539E" w:rsidRDefault="007760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782B5C">
            <w:t>12</w:t>
          </w:r>
          <w:r w:rsidR="006A013B">
            <w:fldChar w:fldCharType="end"/>
          </w:r>
        </w:p>
      </w:tc>
    </w:tr>
  </w:tbl>
  <w:p w14:paraId="4913CB5B" w14:textId="77777777" w:rsidR="00527BD4" w:rsidRPr="00BC3B53" w:rsidRDefault="00527BD4" w:rsidP="008C356D">
    <w:pPr>
      <w:pStyle w:val="Voettekst"/>
      <w:spacing w:line="240" w:lineRule="auto"/>
      <w:rPr>
        <w:sz w:val="2"/>
        <w:szCs w:val="2"/>
      </w:rPr>
    </w:pPr>
  </w:p>
  <w:p w14:paraId="176D37D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DCB6" w14:textId="77777777" w:rsidR="004321C3" w:rsidRDefault="004321C3">
      <w:r>
        <w:separator/>
      </w:r>
    </w:p>
    <w:p w14:paraId="24612ECD" w14:textId="77777777" w:rsidR="004321C3" w:rsidRDefault="004321C3"/>
  </w:footnote>
  <w:footnote w:type="continuationSeparator" w:id="0">
    <w:p w14:paraId="0E8C2866" w14:textId="77777777" w:rsidR="004321C3" w:rsidRDefault="004321C3">
      <w:r>
        <w:continuationSeparator/>
      </w:r>
    </w:p>
    <w:p w14:paraId="31F68DAC" w14:textId="77777777" w:rsidR="004321C3" w:rsidRDefault="004321C3"/>
  </w:footnote>
  <w:footnote w:id="1">
    <w:p w14:paraId="759EF408" w14:textId="08101237" w:rsidR="004B4F44" w:rsidRPr="00D105BA" w:rsidRDefault="004B4F44" w:rsidP="004B4F44">
      <w:pPr>
        <w:pStyle w:val="Voetnoottekst"/>
        <w:rPr>
          <w:sz w:val="14"/>
          <w:szCs w:val="14"/>
        </w:rPr>
      </w:pPr>
      <w:r w:rsidRPr="00D105BA">
        <w:rPr>
          <w:rStyle w:val="Voetnootmarkering"/>
          <w:sz w:val="14"/>
          <w:szCs w:val="14"/>
        </w:rPr>
        <w:footnoteRef/>
      </w:r>
      <w:r w:rsidRPr="00D105BA">
        <w:rPr>
          <w:sz w:val="14"/>
          <w:szCs w:val="14"/>
        </w:rPr>
        <w:t xml:space="preserve"> De Engelse term</w:t>
      </w:r>
      <w:r w:rsidR="000D3F33">
        <w:rPr>
          <w:sz w:val="14"/>
          <w:szCs w:val="14"/>
        </w:rPr>
        <w:t xml:space="preserve"> </w:t>
      </w:r>
      <w:r w:rsidRPr="00D105BA">
        <w:rPr>
          <w:sz w:val="14"/>
          <w:szCs w:val="14"/>
        </w:rPr>
        <w:t>‘resource adequacy’</w:t>
      </w:r>
      <w:r w:rsidR="000D3F33">
        <w:rPr>
          <w:sz w:val="14"/>
          <w:szCs w:val="14"/>
        </w:rPr>
        <w:t xml:space="preserve"> </w:t>
      </w:r>
      <w:r w:rsidRPr="00D105BA">
        <w:rPr>
          <w:sz w:val="14"/>
          <w:szCs w:val="14"/>
        </w:rPr>
        <w:t xml:space="preserve">wordt in het Nederlands vaak vertaald als voorzieningszekerheid om de mate waarin voldoende elektriciteitsaanbod is om op elk moment aan de Nederlandse elektriciteitsvraag te voldoen aan te duiden. Het begrip leveringszekerheid verwijst naast voorzieningszekerheid eveneens naar bijvoorbeeld transportzekerheid en systeemveiligheid. Om beter aan te sluiten bij (Europese) wetgeving, wordt vanaf nu de term voorzieningszekerheid gebruikt. </w:t>
      </w:r>
    </w:p>
  </w:footnote>
  <w:footnote w:id="2">
    <w:p w14:paraId="6E04BFCE" w14:textId="77777777" w:rsidR="004B4F44" w:rsidRPr="00D105BA" w:rsidRDefault="004B4F44" w:rsidP="004B4F44">
      <w:pPr>
        <w:pStyle w:val="Voetnoottekst"/>
        <w:rPr>
          <w:sz w:val="14"/>
          <w:szCs w:val="14"/>
        </w:rPr>
      </w:pPr>
      <w:r w:rsidRPr="00D105BA">
        <w:rPr>
          <w:rStyle w:val="Voetnootmarkering"/>
          <w:sz w:val="14"/>
          <w:szCs w:val="14"/>
        </w:rPr>
        <w:footnoteRef/>
      </w:r>
      <w:r w:rsidRPr="00D105BA">
        <w:rPr>
          <w:sz w:val="14"/>
          <w:szCs w:val="14"/>
        </w:rPr>
        <w:t xml:space="preserve"> Kamerstukken II 2024/25, 29023, nr. 570.</w:t>
      </w:r>
    </w:p>
  </w:footnote>
  <w:footnote w:id="3">
    <w:p w14:paraId="473F2710" w14:textId="77777777" w:rsidR="004B4F44" w:rsidRPr="00D105BA" w:rsidRDefault="004B4F44" w:rsidP="004B4F44">
      <w:pPr>
        <w:pStyle w:val="Voetnoottekst"/>
        <w:rPr>
          <w:sz w:val="14"/>
          <w:szCs w:val="14"/>
        </w:rPr>
      </w:pPr>
      <w:r w:rsidRPr="00D105BA">
        <w:rPr>
          <w:rStyle w:val="Voetnootmarkering"/>
          <w:sz w:val="14"/>
          <w:szCs w:val="14"/>
        </w:rPr>
        <w:footnoteRef/>
      </w:r>
      <w:r w:rsidRPr="00D105BA">
        <w:rPr>
          <w:sz w:val="14"/>
          <w:szCs w:val="14"/>
        </w:rPr>
        <w:t xml:space="preserve"> De motie van het lid Grinwis c.s., Kamerstukken II, 2024/25, 29023, nr. 573, motie van het lid Flach, Kamerstukken II 2024/25, 29023, nr. 578 en de motie van het lid Van den Berg, Kamerstukken II, 2025/26, 29023, nr. 617. </w:t>
      </w:r>
    </w:p>
  </w:footnote>
  <w:footnote w:id="4">
    <w:p w14:paraId="5CCA79EF" w14:textId="7DA07388" w:rsidR="004B4F44" w:rsidRPr="00D105BA" w:rsidRDefault="004B4F44" w:rsidP="004B4F44">
      <w:pPr>
        <w:pStyle w:val="Voetnoottekst"/>
        <w:rPr>
          <w:sz w:val="14"/>
          <w:szCs w:val="14"/>
        </w:rPr>
      </w:pPr>
      <w:r w:rsidRPr="00D105BA">
        <w:rPr>
          <w:rStyle w:val="Voetnootmarkering"/>
          <w:sz w:val="14"/>
          <w:szCs w:val="14"/>
        </w:rPr>
        <w:footnoteRef/>
      </w:r>
      <w:r w:rsidRPr="00D105BA">
        <w:rPr>
          <w:sz w:val="14"/>
          <w:szCs w:val="14"/>
        </w:rPr>
        <w:t xml:space="preserve"> TZ202601-027</w:t>
      </w:r>
      <w:r w:rsidR="00170ECD">
        <w:rPr>
          <w:sz w:val="14"/>
          <w:szCs w:val="14"/>
        </w:rPr>
        <w:t xml:space="preserve"> en TZ202604-110</w:t>
      </w:r>
    </w:p>
  </w:footnote>
  <w:footnote w:id="5">
    <w:p w14:paraId="5952EDDA" w14:textId="77777777" w:rsidR="00BB7C94" w:rsidRDefault="00BB7C94" w:rsidP="00BB7C94">
      <w:pPr>
        <w:pStyle w:val="Voetnoottekst"/>
      </w:pPr>
      <w:r w:rsidRPr="00D105BA">
        <w:rPr>
          <w:rStyle w:val="Voetnootmarkering"/>
          <w:sz w:val="14"/>
          <w:szCs w:val="14"/>
        </w:rPr>
        <w:footnoteRef/>
      </w:r>
      <w:r w:rsidRPr="00D105BA">
        <w:rPr>
          <w:sz w:val="14"/>
          <w:szCs w:val="14"/>
        </w:rPr>
        <w:t xml:space="preserve"> </w:t>
      </w:r>
      <w:r w:rsidRPr="00F15D34">
        <w:rPr>
          <w:sz w:val="14"/>
          <w:szCs w:val="14"/>
        </w:rPr>
        <w:t>Wet verbod op kolen bij elektriciteitsproductie</w:t>
      </w:r>
      <w:r>
        <w:rPr>
          <w:sz w:val="14"/>
          <w:szCs w:val="14"/>
        </w:rPr>
        <w:t>, artikelen 2 en 3.</w:t>
      </w:r>
    </w:p>
  </w:footnote>
  <w:footnote w:id="6">
    <w:p w14:paraId="5734F6B0" w14:textId="77777777" w:rsidR="004B4F44" w:rsidRPr="009B3475" w:rsidRDefault="004B4F44" w:rsidP="004B4F44">
      <w:pPr>
        <w:pStyle w:val="Voetnoottekst"/>
        <w:rPr>
          <w:sz w:val="14"/>
          <w:szCs w:val="14"/>
        </w:rPr>
      </w:pPr>
      <w:r w:rsidRPr="009B3475">
        <w:rPr>
          <w:rStyle w:val="Voetnootmarkering"/>
          <w:sz w:val="14"/>
          <w:szCs w:val="14"/>
        </w:rPr>
        <w:footnoteRef/>
      </w:r>
      <w:r w:rsidRPr="009B3475">
        <w:rPr>
          <w:sz w:val="14"/>
          <w:szCs w:val="14"/>
        </w:rPr>
        <w:t xml:space="preserve"> </w:t>
      </w:r>
      <w:hyperlink r:id="rId1" w:anchor="Results" w:history="1">
        <w:r w:rsidRPr="009B3475">
          <w:rPr>
            <w:rStyle w:val="Hyperlink"/>
            <w:sz w:val="14"/>
            <w:szCs w:val="14"/>
          </w:rPr>
          <w:t>https://www.entsoe.eu/eraa/2025/reports&amp;results/#Results</w:t>
        </w:r>
      </w:hyperlink>
      <w:r w:rsidRPr="009B3475">
        <w:rPr>
          <w:sz w:val="14"/>
          <w:szCs w:val="14"/>
        </w:rPr>
        <w:t xml:space="preserve"> </w:t>
      </w:r>
    </w:p>
  </w:footnote>
  <w:footnote w:id="7">
    <w:p w14:paraId="37C2922A" w14:textId="79A8E083" w:rsidR="0B6F9A51" w:rsidRDefault="0B6F9A51" w:rsidP="00030002">
      <w:pPr>
        <w:pStyle w:val="Voetnoottekst"/>
        <w:rPr>
          <w:rFonts w:eastAsia="Verdana" w:cs="Verdana"/>
          <w:szCs w:val="13"/>
        </w:rPr>
      </w:pPr>
      <w:r w:rsidRPr="0B6F9A51">
        <w:rPr>
          <w:rStyle w:val="Voetnootmarkering"/>
        </w:rPr>
        <w:footnoteRef/>
      </w:r>
      <w:r>
        <w:t xml:space="preserve"> </w:t>
      </w:r>
      <w:hyperlink r:id="rId2" w:history="1">
        <w:r w:rsidRPr="0B6F9A51">
          <w:rPr>
            <w:rStyle w:val="Hyperlink"/>
            <w:rFonts w:eastAsia="Verdana" w:cs="Verdana"/>
            <w:szCs w:val="13"/>
          </w:rPr>
          <w:t>https://www.acer.europa.eu/news/acer-calls-improvements-2025-european-resource-adequacy-assessment-eraa</w:t>
        </w:r>
      </w:hyperlink>
      <w:r w:rsidRPr="0B6F9A51">
        <w:rPr>
          <w:rFonts w:eastAsia="Verdana" w:cs="Verdana"/>
          <w:szCs w:val="13"/>
        </w:rPr>
        <w:t xml:space="preserve"> </w:t>
      </w:r>
    </w:p>
  </w:footnote>
  <w:footnote w:id="8">
    <w:p w14:paraId="25E8B23A" w14:textId="77777777" w:rsidR="004B4F44" w:rsidRPr="00F626C4" w:rsidRDefault="004B4F44" w:rsidP="004B4F44">
      <w:pPr>
        <w:pStyle w:val="Voetnoottekst"/>
        <w:rPr>
          <w:sz w:val="14"/>
          <w:szCs w:val="14"/>
        </w:rPr>
      </w:pPr>
      <w:r w:rsidRPr="00F626C4">
        <w:rPr>
          <w:rStyle w:val="Voetnootmarkering"/>
          <w:sz w:val="14"/>
          <w:szCs w:val="14"/>
        </w:rPr>
        <w:footnoteRef/>
      </w:r>
      <w:r w:rsidRPr="00F626C4">
        <w:rPr>
          <w:sz w:val="14"/>
          <w:szCs w:val="14"/>
        </w:rPr>
        <w:t xml:space="preserve"> Kamerstukken II 2025/26, 29023, nr. 627</w:t>
      </w:r>
    </w:p>
  </w:footnote>
  <w:footnote w:id="9">
    <w:p w14:paraId="6B0A314F" w14:textId="77777777" w:rsidR="004B4F44" w:rsidRPr="00F626C4" w:rsidRDefault="004B4F44" w:rsidP="004B4F44">
      <w:pPr>
        <w:pStyle w:val="Voetnoottekst"/>
        <w:rPr>
          <w:sz w:val="14"/>
          <w:szCs w:val="14"/>
        </w:rPr>
      </w:pPr>
      <w:r w:rsidRPr="00F626C4">
        <w:rPr>
          <w:rStyle w:val="Voetnootmarkering"/>
          <w:sz w:val="14"/>
          <w:szCs w:val="14"/>
        </w:rPr>
        <w:footnoteRef/>
      </w:r>
      <w:r w:rsidRPr="00F626C4">
        <w:rPr>
          <w:sz w:val="14"/>
          <w:szCs w:val="14"/>
        </w:rPr>
        <w:t xml:space="preserve"> https://energy.nl/publications/industriele-vraagrespons</w:t>
      </w:r>
    </w:p>
  </w:footnote>
  <w:footnote w:id="10">
    <w:p w14:paraId="0112A687" w14:textId="77777777" w:rsidR="004B4F44" w:rsidRPr="00F626C4" w:rsidRDefault="004B4F44" w:rsidP="004B4F44">
      <w:pPr>
        <w:pStyle w:val="Voetnoottekst"/>
        <w:rPr>
          <w:sz w:val="14"/>
          <w:szCs w:val="14"/>
        </w:rPr>
      </w:pPr>
      <w:r w:rsidRPr="00F626C4">
        <w:rPr>
          <w:rStyle w:val="Voetnootmarkering"/>
          <w:sz w:val="14"/>
          <w:szCs w:val="14"/>
        </w:rPr>
        <w:footnoteRef/>
      </w:r>
      <w:r w:rsidRPr="00F626C4">
        <w:rPr>
          <w:sz w:val="14"/>
          <w:szCs w:val="14"/>
        </w:rPr>
        <w:t xml:space="preserve"> De verschillende instrumenten zijn onder andere beoordeeld op basis van de mate waarin ze gericht, betrouwbaar, efficiënt en op tijd de voorzieningszekerheid in Nederland kunnen waarborgen. Na een voorselectie zijn de overgebleven instrumenten verder beoordeeld op complexiteit, flexibiliteit, financiering, verduurzaming en mogelijkheden voor locatieprikkels.</w:t>
      </w:r>
    </w:p>
  </w:footnote>
  <w:footnote w:id="11">
    <w:p w14:paraId="438B4237" w14:textId="77777777" w:rsidR="004B4F44" w:rsidRPr="00F626C4" w:rsidRDefault="004B4F44" w:rsidP="004B4F44">
      <w:pPr>
        <w:pStyle w:val="Voetnoottekst"/>
        <w:rPr>
          <w:sz w:val="14"/>
          <w:szCs w:val="14"/>
        </w:rPr>
      </w:pPr>
      <w:r w:rsidRPr="00F626C4">
        <w:rPr>
          <w:rStyle w:val="Voetnootmarkering"/>
          <w:sz w:val="14"/>
          <w:szCs w:val="14"/>
        </w:rPr>
        <w:footnoteRef/>
      </w:r>
      <w:r w:rsidRPr="00F626C4">
        <w:rPr>
          <w:sz w:val="14"/>
          <w:szCs w:val="14"/>
        </w:rPr>
        <w:t xml:space="preserve"> Guidehouse en Frontier Economics gebruiken hiervoor de term centraal capaciteitsmechanisme, wat een andere benaming is voor een marktbreed capaciteitsmechanisme.</w:t>
      </w:r>
    </w:p>
  </w:footnote>
  <w:footnote w:id="12">
    <w:p w14:paraId="50780229" w14:textId="77777777" w:rsidR="004B4F44" w:rsidRPr="00EF2882" w:rsidRDefault="004B4F44" w:rsidP="004B4F44">
      <w:pPr>
        <w:pStyle w:val="Voetnoottekst"/>
        <w:rPr>
          <w:sz w:val="14"/>
          <w:szCs w:val="14"/>
        </w:rPr>
      </w:pPr>
      <w:r w:rsidRPr="00EF2882">
        <w:rPr>
          <w:rStyle w:val="Voetnootmarkering"/>
          <w:sz w:val="14"/>
          <w:szCs w:val="14"/>
        </w:rPr>
        <w:footnoteRef/>
      </w:r>
      <w:r w:rsidRPr="00EF2882">
        <w:rPr>
          <w:sz w:val="14"/>
          <w:szCs w:val="14"/>
        </w:rPr>
        <w:t xml:space="preserve"> Ingegeven door de Wet verbod op kolen bij elektriciteitsproductie</w:t>
      </w:r>
    </w:p>
  </w:footnote>
  <w:footnote w:id="13">
    <w:p w14:paraId="26F7BD75" w14:textId="77777777" w:rsidR="004B4F44" w:rsidRPr="00CF19B2" w:rsidRDefault="004B4F44" w:rsidP="004B4F44">
      <w:pPr>
        <w:pStyle w:val="Voetnoottekst"/>
        <w:rPr>
          <w:sz w:val="14"/>
          <w:szCs w:val="14"/>
        </w:rPr>
      </w:pPr>
      <w:r w:rsidRPr="00CF19B2">
        <w:rPr>
          <w:rStyle w:val="Voetnootmarkering"/>
          <w:sz w:val="14"/>
          <w:szCs w:val="14"/>
        </w:rPr>
        <w:footnoteRef/>
      </w:r>
      <w:r w:rsidRPr="00CF19B2">
        <w:rPr>
          <w:sz w:val="14"/>
          <w:szCs w:val="14"/>
        </w:rPr>
        <w:t xml:space="preserve"> </w:t>
      </w:r>
      <w:r w:rsidRPr="000674DB">
        <w:rPr>
          <w:sz w:val="14"/>
          <w:szCs w:val="14"/>
        </w:rPr>
        <w:t xml:space="preserve">Voorbeelden van </w:t>
      </w:r>
      <w:r>
        <w:rPr>
          <w:sz w:val="14"/>
          <w:szCs w:val="14"/>
        </w:rPr>
        <w:t>ontwerp</w:t>
      </w:r>
      <w:r w:rsidRPr="000674DB">
        <w:rPr>
          <w:sz w:val="14"/>
          <w:szCs w:val="14"/>
        </w:rPr>
        <w:t>keuzes zijn de definitie van de capaciteitsbehoefte, timing en aantal veilingen, financiering en kostenbeperken</w:t>
      </w:r>
      <w:r>
        <w:rPr>
          <w:sz w:val="14"/>
          <w:szCs w:val="14"/>
        </w:rPr>
        <w:t>de maatregelen</w:t>
      </w:r>
      <w:r w:rsidRPr="000674DB">
        <w:rPr>
          <w:sz w:val="14"/>
          <w:szCs w:val="14"/>
        </w:rPr>
        <w:t xml:space="preserve">, </w:t>
      </w:r>
      <w:r>
        <w:rPr>
          <w:sz w:val="14"/>
          <w:szCs w:val="14"/>
        </w:rPr>
        <w:t>e.d.</w:t>
      </w:r>
    </w:p>
  </w:footnote>
  <w:footnote w:id="14">
    <w:p w14:paraId="092BEDD3" w14:textId="77777777" w:rsidR="004B4F44" w:rsidRPr="00127AC2" w:rsidRDefault="004B4F44" w:rsidP="004B4F44">
      <w:pPr>
        <w:pStyle w:val="Voetnoottekst"/>
      </w:pPr>
      <w:r w:rsidRPr="00CF19B2">
        <w:rPr>
          <w:rStyle w:val="Voetnootmarkering"/>
          <w:sz w:val="14"/>
          <w:szCs w:val="14"/>
        </w:rPr>
        <w:footnoteRef/>
      </w:r>
      <w:r w:rsidRPr="00CF19B2">
        <w:rPr>
          <w:sz w:val="14"/>
          <w:szCs w:val="14"/>
        </w:rPr>
        <w:t xml:space="preserve"> </w:t>
      </w:r>
      <w:r w:rsidRPr="000674DB">
        <w:rPr>
          <w:sz w:val="14"/>
          <w:szCs w:val="14"/>
        </w:rPr>
        <w:t>Verordening (EU) 2019/943 betreffende de interne markt van elektriciteit</w:t>
      </w:r>
      <w:r>
        <w:rPr>
          <w:sz w:val="14"/>
          <w:szCs w:val="14"/>
        </w:rPr>
        <w:t>, m.n. artikelen 20 en 21.</w:t>
      </w:r>
    </w:p>
  </w:footnote>
  <w:footnote w:id="15">
    <w:p w14:paraId="754F7398" w14:textId="77777777" w:rsidR="004B4F44" w:rsidRPr="000674DB" w:rsidRDefault="004B4F44" w:rsidP="004B4F44">
      <w:pPr>
        <w:pStyle w:val="Voetnoottekst"/>
        <w:rPr>
          <w:sz w:val="14"/>
          <w:szCs w:val="14"/>
          <w:highlight w:val="yellow"/>
        </w:rPr>
      </w:pPr>
      <w:r w:rsidRPr="000674DB">
        <w:rPr>
          <w:rStyle w:val="Voetnootmarkering"/>
          <w:sz w:val="14"/>
          <w:szCs w:val="14"/>
        </w:rPr>
        <w:footnoteRef/>
      </w:r>
      <w:r w:rsidRPr="000674DB">
        <w:rPr>
          <w:sz w:val="14"/>
          <w:szCs w:val="14"/>
        </w:rPr>
        <w:t xml:space="preserve"> Richtsnoeren staatssteun ten behoeve van klimaat, milieubescherming en energie 2022 (CEEAG)</w:t>
      </w:r>
      <w:r>
        <w:rPr>
          <w:sz w:val="14"/>
          <w:szCs w:val="14"/>
        </w:rPr>
        <w:t xml:space="preserve"> </w:t>
      </w:r>
      <w:r w:rsidRPr="000674DB">
        <w:rPr>
          <w:sz w:val="14"/>
          <w:szCs w:val="14"/>
        </w:rPr>
        <w:t>en Kader voor staatssteunmaatregelen ter ondersteuning van de Clean Industrial Deal (CISAF)</w:t>
      </w:r>
      <w:r>
        <w:rPr>
          <w:sz w:val="14"/>
          <w:szCs w:val="14"/>
        </w:rPr>
        <w:t>.</w:t>
      </w:r>
    </w:p>
  </w:footnote>
  <w:footnote w:id="16">
    <w:p w14:paraId="0412740D" w14:textId="77777777" w:rsidR="004B4F44" w:rsidRPr="000674DB" w:rsidRDefault="004B4F44" w:rsidP="004B4F44">
      <w:pPr>
        <w:pStyle w:val="Voetnoottekst"/>
        <w:rPr>
          <w:sz w:val="14"/>
          <w:szCs w:val="14"/>
        </w:rPr>
      </w:pPr>
      <w:r w:rsidRPr="000674DB">
        <w:rPr>
          <w:rStyle w:val="Voetnootmarkering"/>
          <w:sz w:val="14"/>
          <w:szCs w:val="14"/>
        </w:rPr>
        <w:footnoteRef/>
      </w:r>
      <w:r w:rsidRPr="000674DB">
        <w:rPr>
          <w:sz w:val="14"/>
          <w:szCs w:val="14"/>
        </w:rPr>
        <w:t xml:space="preserve"> Verordening (EU) 2019/943 betreffende de interne markt van elektriciteit</w:t>
      </w:r>
      <w:r>
        <w:rPr>
          <w:sz w:val="14"/>
          <w:szCs w:val="14"/>
        </w:rPr>
        <w:t>, m.n. artikelen 11 en 20 tot en met 26.</w:t>
      </w:r>
    </w:p>
  </w:footnote>
  <w:footnote w:id="17">
    <w:p w14:paraId="52FAC481" w14:textId="3D9264AA" w:rsidR="004B4F44" w:rsidRPr="009B4718" w:rsidRDefault="004B4F44" w:rsidP="004B4F44">
      <w:pPr>
        <w:pStyle w:val="Voetnoottekst"/>
        <w:rPr>
          <w:sz w:val="14"/>
          <w:szCs w:val="14"/>
        </w:rPr>
      </w:pPr>
      <w:r w:rsidRPr="776929DA">
        <w:rPr>
          <w:rStyle w:val="Voetnootmarkering"/>
          <w:sz w:val="14"/>
          <w:szCs w:val="14"/>
        </w:rPr>
        <w:footnoteRef/>
      </w:r>
      <w:r w:rsidRPr="009B4718">
        <w:rPr>
          <w:sz w:val="14"/>
          <w:szCs w:val="14"/>
        </w:rPr>
        <w:t xml:space="preserve"> Energiewet artikel 5.12, zoals nog te wijzigen met het </w:t>
      </w:r>
      <w:r w:rsidR="005B66AE">
        <w:rPr>
          <w:sz w:val="14"/>
          <w:szCs w:val="14"/>
        </w:rPr>
        <w:t xml:space="preserve">binnenkort </w:t>
      </w:r>
      <w:r w:rsidR="003B1A98">
        <w:rPr>
          <w:sz w:val="14"/>
          <w:szCs w:val="14"/>
        </w:rPr>
        <w:t>in te dien</w:t>
      </w:r>
      <w:r w:rsidR="005B66AE">
        <w:rPr>
          <w:sz w:val="14"/>
          <w:szCs w:val="14"/>
        </w:rPr>
        <w:t>e</w:t>
      </w:r>
      <w:r w:rsidR="003B1A98">
        <w:rPr>
          <w:sz w:val="14"/>
          <w:szCs w:val="14"/>
        </w:rPr>
        <w:t>n</w:t>
      </w:r>
      <w:r w:rsidR="005B66AE" w:rsidRPr="005B66AE">
        <w:rPr>
          <w:sz w:val="14"/>
          <w:szCs w:val="14"/>
        </w:rPr>
        <w:t xml:space="preserve"> </w:t>
      </w:r>
      <w:r w:rsidR="005B66AE" w:rsidRPr="009B4718">
        <w:rPr>
          <w:sz w:val="14"/>
          <w:szCs w:val="14"/>
        </w:rPr>
        <w:t>wetsvoorstel</w:t>
      </w:r>
      <w:r w:rsidR="005B66AE">
        <w:rPr>
          <w:sz w:val="14"/>
          <w:szCs w:val="14"/>
        </w:rPr>
        <w:t xml:space="preserve"> </w:t>
      </w:r>
      <w:r w:rsidRPr="009B4718">
        <w:rPr>
          <w:sz w:val="14"/>
          <w:szCs w:val="14"/>
        </w:rPr>
        <w:t>bij de Tweede Kamer</w:t>
      </w:r>
      <w:r w:rsidR="005B66AE">
        <w:rPr>
          <w:sz w:val="14"/>
          <w:szCs w:val="14"/>
        </w:rPr>
        <w:t xml:space="preserve">. </w:t>
      </w:r>
    </w:p>
  </w:footnote>
  <w:footnote w:id="18">
    <w:p w14:paraId="79516206" w14:textId="77777777" w:rsidR="004B4F44" w:rsidRPr="005A6F84" w:rsidRDefault="004B4F44" w:rsidP="004B4F44">
      <w:pPr>
        <w:pStyle w:val="Voetnoottekst"/>
        <w:rPr>
          <w:sz w:val="14"/>
          <w:szCs w:val="14"/>
        </w:rPr>
      </w:pPr>
      <w:r w:rsidRPr="00F4587D">
        <w:rPr>
          <w:rStyle w:val="Voetnootmarkering"/>
          <w:sz w:val="14"/>
          <w:szCs w:val="14"/>
        </w:rPr>
        <w:footnoteRef/>
      </w:r>
      <w:r w:rsidRPr="005A6F84">
        <w:rPr>
          <w:sz w:val="14"/>
          <w:szCs w:val="14"/>
        </w:rPr>
        <w:t xml:space="preserve"> </w:t>
      </w:r>
      <w:r w:rsidRPr="000674DB">
        <w:rPr>
          <w:sz w:val="14"/>
          <w:szCs w:val="14"/>
        </w:rPr>
        <w:t>Kader voor staatssteunmaatregelen ter ondersteuning van de Clean Industrial Deal (CISAF)</w:t>
      </w:r>
      <w:r>
        <w:rPr>
          <w:sz w:val="14"/>
          <w:szCs w:val="14"/>
        </w:rPr>
        <w:t>, bijlage I, regel 26 in de tabel.</w:t>
      </w:r>
    </w:p>
  </w:footnote>
  <w:footnote w:id="19">
    <w:p w14:paraId="746C3742" w14:textId="57B865E7" w:rsidR="004B4F44" w:rsidRPr="005A6F84" w:rsidRDefault="004B4F44" w:rsidP="004B4F44">
      <w:pPr>
        <w:pStyle w:val="Voetnoottekst"/>
      </w:pPr>
      <w:r w:rsidRPr="00B64FC9">
        <w:rPr>
          <w:rStyle w:val="Voetnootmarkering"/>
          <w:sz w:val="14"/>
          <w:szCs w:val="14"/>
        </w:rPr>
        <w:footnoteRef/>
      </w:r>
      <w:r w:rsidRPr="00B64FC9">
        <w:rPr>
          <w:sz w:val="14"/>
          <w:szCs w:val="14"/>
        </w:rPr>
        <w:t xml:space="preserve"> </w:t>
      </w:r>
      <w:r w:rsidRPr="005A6F84">
        <w:rPr>
          <w:sz w:val="14"/>
          <w:szCs w:val="14"/>
        </w:rPr>
        <w:t>Elektriciteitsverordening 2019/943</w:t>
      </w:r>
      <w:r w:rsidR="00881212">
        <w:rPr>
          <w:sz w:val="14"/>
          <w:szCs w:val="14"/>
        </w:rPr>
        <w:t xml:space="preserve">, </w:t>
      </w:r>
      <w:r w:rsidRPr="005A6F84">
        <w:rPr>
          <w:sz w:val="14"/>
          <w:szCs w:val="14"/>
        </w:rPr>
        <w:t>artikel 22</w:t>
      </w:r>
      <w:r w:rsidR="00FA631D">
        <w:rPr>
          <w:sz w:val="14"/>
          <w:szCs w:val="14"/>
        </w:rPr>
        <w:t>: bevat als grenzen 550 g CO2 per kWh en 350 kg CO2 per kW.</w:t>
      </w:r>
    </w:p>
  </w:footnote>
  <w:footnote w:id="20">
    <w:p w14:paraId="7690D729" w14:textId="77777777" w:rsidR="004B4F44" w:rsidRPr="005A6F84" w:rsidRDefault="004B4F44" w:rsidP="004B4F44">
      <w:pPr>
        <w:pStyle w:val="Voetnoottekst"/>
        <w:rPr>
          <w:sz w:val="14"/>
          <w:szCs w:val="14"/>
        </w:rPr>
      </w:pPr>
      <w:r w:rsidRPr="005A6F84">
        <w:rPr>
          <w:rStyle w:val="Voetnootmarkering"/>
          <w:sz w:val="14"/>
          <w:szCs w:val="14"/>
        </w:rPr>
        <w:footnoteRef/>
      </w:r>
      <w:r w:rsidRPr="005A6F84">
        <w:rPr>
          <w:sz w:val="14"/>
          <w:szCs w:val="14"/>
        </w:rPr>
        <w:t xml:space="preserve"> </w:t>
      </w:r>
      <w:r w:rsidRPr="00CB427D">
        <w:rPr>
          <w:sz w:val="14"/>
          <w:szCs w:val="14"/>
        </w:rPr>
        <w:t xml:space="preserve">Kamerstukken II 2025/26, </w:t>
      </w:r>
      <w:r>
        <w:rPr>
          <w:sz w:val="14"/>
          <w:szCs w:val="14"/>
        </w:rPr>
        <w:t>29023</w:t>
      </w:r>
      <w:r w:rsidRPr="00CB427D">
        <w:rPr>
          <w:sz w:val="14"/>
          <w:szCs w:val="14"/>
        </w:rPr>
        <w:t xml:space="preserve">, nr. </w:t>
      </w:r>
      <w:r>
        <w:rPr>
          <w:sz w:val="14"/>
          <w:szCs w:val="14"/>
        </w:rPr>
        <w:t>640.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445B2" w14:paraId="78137086" w14:textId="77777777" w:rsidTr="00A50CF6">
      <w:tc>
        <w:tcPr>
          <w:tcW w:w="2156" w:type="dxa"/>
        </w:tcPr>
        <w:p w14:paraId="29CB51F2" w14:textId="77777777" w:rsidR="00527BD4" w:rsidRPr="005819CE" w:rsidRDefault="0077605C" w:rsidP="00A50CF6">
          <w:pPr>
            <w:pStyle w:val="Huisstijl-Adres"/>
            <w:rPr>
              <w:b/>
            </w:rPr>
          </w:pPr>
          <w:r>
            <w:rPr>
              <w:b/>
            </w:rPr>
            <w:t>Directoraat-generaal Klimaat en Energie</w:t>
          </w:r>
          <w:r w:rsidRPr="005819CE">
            <w:rPr>
              <w:b/>
            </w:rPr>
            <w:br/>
          </w:r>
          <w:r>
            <w:t>Directie Energiemarkt</w:t>
          </w:r>
        </w:p>
      </w:tc>
    </w:tr>
    <w:tr w:rsidR="00D445B2" w14:paraId="115735AE" w14:textId="77777777" w:rsidTr="00A50CF6">
      <w:trPr>
        <w:trHeight w:hRule="exact" w:val="200"/>
      </w:trPr>
      <w:tc>
        <w:tcPr>
          <w:tcW w:w="2156" w:type="dxa"/>
        </w:tcPr>
        <w:p w14:paraId="1CD0CD0D" w14:textId="77777777" w:rsidR="00527BD4" w:rsidRPr="005819CE" w:rsidRDefault="00527BD4" w:rsidP="00A50CF6"/>
      </w:tc>
    </w:tr>
    <w:tr w:rsidR="00D445B2" w14:paraId="35B7AC6D" w14:textId="77777777" w:rsidTr="00502512">
      <w:trPr>
        <w:trHeight w:hRule="exact" w:val="774"/>
      </w:trPr>
      <w:tc>
        <w:tcPr>
          <w:tcW w:w="2156" w:type="dxa"/>
        </w:tcPr>
        <w:p w14:paraId="59B31266" w14:textId="77777777" w:rsidR="00527BD4" w:rsidRDefault="0077605C" w:rsidP="003A5290">
          <w:pPr>
            <w:pStyle w:val="Huisstijl-Kopje"/>
          </w:pPr>
          <w:r>
            <w:t>Ons kenmerk</w:t>
          </w:r>
        </w:p>
        <w:p w14:paraId="45D5CA1E" w14:textId="77777777" w:rsidR="00527BD4" w:rsidRPr="005819CE" w:rsidRDefault="0077605C" w:rsidP="004425CC">
          <w:pPr>
            <w:pStyle w:val="Huisstijl-Kopje"/>
          </w:pPr>
          <w:r>
            <w:rPr>
              <w:b w:val="0"/>
            </w:rPr>
            <w:t>KGG_DGKE_EM</w:t>
          </w:r>
          <w:r w:rsidRPr="00502512">
            <w:rPr>
              <w:b w:val="0"/>
            </w:rPr>
            <w:t xml:space="preserve"> / </w:t>
          </w:r>
          <w:r>
            <w:rPr>
              <w:b w:val="0"/>
            </w:rPr>
            <w:t>105472518</w:t>
          </w:r>
        </w:p>
      </w:tc>
    </w:tr>
  </w:tbl>
  <w:p w14:paraId="625EAF08" w14:textId="77777777" w:rsidR="00527BD4" w:rsidRDefault="00527BD4" w:rsidP="008C356D">
    <w:pPr>
      <w:pStyle w:val="Koptekst"/>
      <w:rPr>
        <w:rFonts w:cs="Verdana-Bold"/>
        <w:b/>
        <w:bCs/>
        <w:smallCaps/>
        <w:szCs w:val="18"/>
      </w:rPr>
    </w:pPr>
  </w:p>
  <w:p w14:paraId="656DB326" w14:textId="77777777" w:rsidR="00527BD4" w:rsidRDefault="00527BD4" w:rsidP="008C356D"/>
  <w:p w14:paraId="3C7EB290" w14:textId="77777777" w:rsidR="00527BD4" w:rsidRPr="00740712" w:rsidRDefault="00527BD4" w:rsidP="008C356D"/>
  <w:p w14:paraId="63951E85" w14:textId="77777777" w:rsidR="00527BD4" w:rsidRPr="00217880" w:rsidRDefault="00527BD4" w:rsidP="008C356D">
    <w:pPr>
      <w:spacing w:line="0" w:lineRule="atLeast"/>
      <w:rPr>
        <w:sz w:val="2"/>
        <w:szCs w:val="2"/>
      </w:rPr>
    </w:pPr>
  </w:p>
  <w:p w14:paraId="6AC0B6D8" w14:textId="77777777" w:rsidR="00527BD4" w:rsidRDefault="00527BD4" w:rsidP="004F44C2">
    <w:pPr>
      <w:pStyle w:val="Koptekst"/>
      <w:rPr>
        <w:rFonts w:cs="Verdana-Bold"/>
        <w:b/>
        <w:bCs/>
        <w:smallCaps/>
        <w:szCs w:val="18"/>
      </w:rPr>
    </w:pPr>
  </w:p>
  <w:p w14:paraId="7E337733" w14:textId="77777777" w:rsidR="00527BD4" w:rsidRDefault="00527BD4" w:rsidP="004F44C2"/>
  <w:p w14:paraId="1770CD9A" w14:textId="77777777" w:rsidR="00527BD4" w:rsidRPr="00740712" w:rsidRDefault="00527BD4" w:rsidP="004F44C2"/>
  <w:p w14:paraId="5D8C39F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445B2" w14:paraId="5D30A3AC" w14:textId="77777777" w:rsidTr="00751A6A">
      <w:trPr>
        <w:trHeight w:val="2636"/>
      </w:trPr>
      <w:tc>
        <w:tcPr>
          <w:tcW w:w="737" w:type="dxa"/>
        </w:tcPr>
        <w:p w14:paraId="1B59D511" w14:textId="77777777" w:rsidR="00527BD4" w:rsidRDefault="00527BD4" w:rsidP="00D0609E">
          <w:pPr>
            <w:framePr w:w="6340" w:h="2750" w:hRule="exact" w:hSpace="180" w:wrap="around" w:vAnchor="page" w:hAnchor="text" w:x="3873" w:y="-140"/>
            <w:spacing w:line="240" w:lineRule="auto"/>
          </w:pPr>
        </w:p>
      </w:tc>
      <w:tc>
        <w:tcPr>
          <w:tcW w:w="5156" w:type="dxa"/>
        </w:tcPr>
        <w:p w14:paraId="604FAF43" w14:textId="77777777" w:rsidR="00527BD4" w:rsidRDefault="0077605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6942C25" wp14:editId="4D6E518C">
                <wp:extent cx="2343600" cy="1580400"/>
                <wp:effectExtent l="0" t="0" r="0" b="1270"/>
                <wp:docPr id="1252177393" name="Afbeelding 1252177393"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C037F1E" w14:textId="77777777" w:rsidR="007269E3" w:rsidRDefault="007269E3" w:rsidP="00651CEE">
          <w:pPr>
            <w:framePr w:w="6340" w:h="2750" w:hRule="exact" w:hSpace="180" w:wrap="around" w:vAnchor="page" w:hAnchor="text" w:x="3873" w:y="-140"/>
            <w:spacing w:line="240" w:lineRule="auto"/>
          </w:pPr>
        </w:p>
      </w:tc>
    </w:tr>
  </w:tbl>
  <w:p w14:paraId="2E03EE67" w14:textId="77777777" w:rsidR="00527BD4" w:rsidRDefault="00527BD4" w:rsidP="00D0609E">
    <w:pPr>
      <w:framePr w:w="6340" w:h="2750" w:hRule="exact" w:hSpace="180" w:wrap="around" w:vAnchor="page" w:hAnchor="text" w:x="3873" w:y="-140"/>
    </w:pPr>
  </w:p>
  <w:p w14:paraId="67DDB4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445B2" w:rsidRPr="00E51013" w14:paraId="4C1AC2A1" w14:textId="77777777" w:rsidTr="00A50CF6">
      <w:tc>
        <w:tcPr>
          <w:tcW w:w="2160" w:type="dxa"/>
        </w:tcPr>
        <w:p w14:paraId="3F754A5E" w14:textId="77777777" w:rsidR="00527BD4" w:rsidRPr="005819CE" w:rsidRDefault="0077605C" w:rsidP="00A50CF6">
          <w:pPr>
            <w:pStyle w:val="Huisstijl-Adres"/>
            <w:rPr>
              <w:b/>
            </w:rPr>
          </w:pPr>
          <w:r>
            <w:rPr>
              <w:b/>
            </w:rPr>
            <w:t>Directoraat-generaal Klimaat en Energie</w:t>
          </w:r>
          <w:r w:rsidRPr="005819CE">
            <w:rPr>
              <w:b/>
            </w:rPr>
            <w:br/>
          </w:r>
          <w:r>
            <w:t>Directie Energiemarkt</w:t>
          </w:r>
        </w:p>
        <w:p w14:paraId="11B2C6AD" w14:textId="77777777" w:rsidR="00527BD4" w:rsidRPr="00BE5ED9" w:rsidRDefault="0077605C" w:rsidP="00A50CF6">
          <w:pPr>
            <w:pStyle w:val="Huisstijl-Adres"/>
          </w:pPr>
          <w:r>
            <w:rPr>
              <w:b/>
            </w:rPr>
            <w:t>Bezoekadres</w:t>
          </w:r>
          <w:r>
            <w:rPr>
              <w:b/>
            </w:rPr>
            <w:br/>
          </w:r>
          <w:r>
            <w:t>Bezuidenhoutseweg 73</w:t>
          </w:r>
          <w:r w:rsidRPr="005819CE">
            <w:br/>
          </w:r>
          <w:r>
            <w:t>2594 AC Den Haag</w:t>
          </w:r>
        </w:p>
        <w:p w14:paraId="127C9C1D" w14:textId="77777777" w:rsidR="00EF495B" w:rsidRDefault="0077605C" w:rsidP="0098788A">
          <w:pPr>
            <w:pStyle w:val="Huisstijl-Adres"/>
          </w:pPr>
          <w:r>
            <w:rPr>
              <w:b/>
            </w:rPr>
            <w:t>Postadres</w:t>
          </w:r>
          <w:r>
            <w:rPr>
              <w:b/>
            </w:rPr>
            <w:br/>
          </w:r>
          <w:r>
            <w:t>Postbus 20401</w:t>
          </w:r>
          <w:r w:rsidRPr="005819CE">
            <w:br/>
            <w:t>2500 E</w:t>
          </w:r>
          <w:r>
            <w:t>K</w:t>
          </w:r>
          <w:r w:rsidRPr="005819CE">
            <w:t xml:space="preserve"> Den Haag</w:t>
          </w:r>
        </w:p>
        <w:p w14:paraId="517DC007" w14:textId="77777777" w:rsidR="00EF495B" w:rsidRPr="005B3814" w:rsidRDefault="0077605C" w:rsidP="0098788A">
          <w:pPr>
            <w:pStyle w:val="Huisstijl-Adres"/>
          </w:pPr>
          <w:r>
            <w:rPr>
              <w:b/>
            </w:rPr>
            <w:t>Overheidsidentificatienr</w:t>
          </w:r>
          <w:r>
            <w:rPr>
              <w:b/>
            </w:rPr>
            <w:br/>
          </w:r>
          <w:r w:rsidRPr="005B3814">
            <w:t>00000001003214369000</w:t>
          </w:r>
        </w:p>
        <w:p w14:paraId="54C2B15B" w14:textId="202F6898" w:rsidR="00527BD4" w:rsidRPr="00A24505" w:rsidRDefault="0077605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445B2" w:rsidRPr="00E51013" w14:paraId="35D7C111" w14:textId="77777777" w:rsidTr="00A50CF6">
      <w:trPr>
        <w:trHeight w:hRule="exact" w:val="200"/>
      </w:trPr>
      <w:tc>
        <w:tcPr>
          <w:tcW w:w="2160" w:type="dxa"/>
        </w:tcPr>
        <w:p w14:paraId="39A97AC6" w14:textId="77777777" w:rsidR="00527BD4" w:rsidRPr="00A24505" w:rsidRDefault="00527BD4" w:rsidP="00A50CF6"/>
      </w:tc>
    </w:tr>
    <w:tr w:rsidR="00D445B2" w14:paraId="782CFFDD" w14:textId="77777777" w:rsidTr="00A50CF6">
      <w:tc>
        <w:tcPr>
          <w:tcW w:w="2160" w:type="dxa"/>
        </w:tcPr>
        <w:p w14:paraId="3116796D" w14:textId="77777777" w:rsidR="000C0163" w:rsidRPr="005819CE" w:rsidRDefault="0077605C" w:rsidP="000C0163">
          <w:pPr>
            <w:pStyle w:val="Huisstijl-Kopje"/>
          </w:pPr>
          <w:r>
            <w:t>Ons kenmerk</w:t>
          </w:r>
          <w:r w:rsidRPr="005819CE">
            <w:t xml:space="preserve"> </w:t>
          </w:r>
        </w:p>
        <w:p w14:paraId="3500BBAF" w14:textId="09C6BC1B" w:rsidR="00527BD4" w:rsidRPr="005819CE" w:rsidRDefault="0077605C" w:rsidP="00A24505">
          <w:pPr>
            <w:pStyle w:val="Huisstijl-Gegeven"/>
          </w:pPr>
          <w:r>
            <w:t>KGG_DGKE_EM</w:t>
          </w:r>
          <w:r w:rsidR="00926AE2">
            <w:t xml:space="preserve"> / </w:t>
          </w:r>
          <w:r>
            <w:t>105472518</w:t>
          </w:r>
        </w:p>
      </w:tc>
    </w:tr>
  </w:tbl>
  <w:p w14:paraId="7160B29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445B2" w14:paraId="5E2C70DA" w14:textId="77777777" w:rsidTr="007610AA">
      <w:trPr>
        <w:trHeight w:val="400"/>
      </w:trPr>
      <w:tc>
        <w:tcPr>
          <w:tcW w:w="7520" w:type="dxa"/>
          <w:gridSpan w:val="2"/>
        </w:tcPr>
        <w:p w14:paraId="25AFA3D2" w14:textId="77777777" w:rsidR="00527BD4" w:rsidRPr="00BC3B53" w:rsidRDefault="0077605C" w:rsidP="00A50CF6">
          <w:pPr>
            <w:pStyle w:val="Huisstijl-Retouradres"/>
          </w:pPr>
          <w:r>
            <w:t>&gt; Retouradres Postbus 20401 2500 EK Den Haag</w:t>
          </w:r>
        </w:p>
      </w:tc>
    </w:tr>
    <w:tr w:rsidR="00D445B2" w14:paraId="0B8A9036" w14:textId="77777777" w:rsidTr="007610AA">
      <w:tc>
        <w:tcPr>
          <w:tcW w:w="7520" w:type="dxa"/>
          <w:gridSpan w:val="2"/>
        </w:tcPr>
        <w:p w14:paraId="69F2328F" w14:textId="77777777" w:rsidR="00527BD4" w:rsidRPr="00983E8F" w:rsidRDefault="00527BD4" w:rsidP="00A50CF6">
          <w:pPr>
            <w:pStyle w:val="Huisstijl-Rubricering"/>
          </w:pPr>
        </w:p>
      </w:tc>
    </w:tr>
    <w:tr w:rsidR="00D445B2" w14:paraId="2B91C107" w14:textId="77777777" w:rsidTr="007610AA">
      <w:trPr>
        <w:trHeight w:hRule="exact" w:val="2440"/>
      </w:trPr>
      <w:tc>
        <w:tcPr>
          <w:tcW w:w="7520" w:type="dxa"/>
          <w:gridSpan w:val="2"/>
        </w:tcPr>
        <w:p w14:paraId="5DCB2F8C" w14:textId="77777777" w:rsidR="00527BD4" w:rsidRDefault="0077605C" w:rsidP="00A50CF6">
          <w:pPr>
            <w:pStyle w:val="Huisstijl-NAW"/>
          </w:pPr>
          <w:r>
            <w:t>De Voorzitter van de Tweede Kamer</w:t>
          </w:r>
        </w:p>
        <w:p w14:paraId="56EBF615" w14:textId="77777777" w:rsidR="00D445B2" w:rsidRDefault="0077605C">
          <w:pPr>
            <w:pStyle w:val="Huisstijl-NAW"/>
          </w:pPr>
          <w:r>
            <w:t>der Staten-Generaal</w:t>
          </w:r>
        </w:p>
        <w:p w14:paraId="354C76DF" w14:textId="77777777" w:rsidR="00D445B2" w:rsidRDefault="0077605C">
          <w:pPr>
            <w:pStyle w:val="Huisstijl-NAW"/>
          </w:pPr>
          <w:r>
            <w:t>Prinses Irenestraat 6</w:t>
          </w:r>
        </w:p>
        <w:p w14:paraId="51790A6C" w14:textId="77777777" w:rsidR="00D445B2" w:rsidRDefault="0077605C">
          <w:pPr>
            <w:pStyle w:val="Huisstijl-NAW"/>
          </w:pPr>
          <w:r>
            <w:t>2595 BD DEN HAAG</w:t>
          </w:r>
        </w:p>
      </w:tc>
    </w:tr>
    <w:tr w:rsidR="00D445B2" w14:paraId="4F4517C1" w14:textId="77777777" w:rsidTr="007610AA">
      <w:trPr>
        <w:trHeight w:hRule="exact" w:val="400"/>
      </w:trPr>
      <w:tc>
        <w:tcPr>
          <w:tcW w:w="7520" w:type="dxa"/>
          <w:gridSpan w:val="2"/>
        </w:tcPr>
        <w:p w14:paraId="11A703A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445B2" w14:paraId="23CDDD2F" w14:textId="77777777" w:rsidTr="007610AA">
      <w:trPr>
        <w:trHeight w:val="240"/>
      </w:trPr>
      <w:tc>
        <w:tcPr>
          <w:tcW w:w="900" w:type="dxa"/>
        </w:tcPr>
        <w:p w14:paraId="28AD3662" w14:textId="77777777" w:rsidR="00527BD4" w:rsidRPr="007709EF" w:rsidRDefault="0077605C" w:rsidP="00A50CF6">
          <w:pPr>
            <w:rPr>
              <w:szCs w:val="18"/>
            </w:rPr>
          </w:pPr>
          <w:r>
            <w:rPr>
              <w:szCs w:val="18"/>
            </w:rPr>
            <w:t>Datum</w:t>
          </w:r>
        </w:p>
      </w:tc>
      <w:tc>
        <w:tcPr>
          <w:tcW w:w="6620" w:type="dxa"/>
        </w:tcPr>
        <w:p w14:paraId="180C1D54" w14:textId="2CA919D3" w:rsidR="00527BD4" w:rsidRPr="007709EF" w:rsidRDefault="00A24505" w:rsidP="00A50CF6">
          <w:r>
            <w:t>19 juni 2026</w:t>
          </w:r>
        </w:p>
      </w:tc>
    </w:tr>
    <w:tr w:rsidR="00D445B2" w14:paraId="65ED6623" w14:textId="77777777" w:rsidTr="007610AA">
      <w:trPr>
        <w:trHeight w:val="240"/>
      </w:trPr>
      <w:tc>
        <w:tcPr>
          <w:tcW w:w="900" w:type="dxa"/>
        </w:tcPr>
        <w:p w14:paraId="2BAB1A5C" w14:textId="77777777" w:rsidR="00527BD4" w:rsidRPr="007709EF" w:rsidRDefault="0077605C" w:rsidP="00A50CF6">
          <w:pPr>
            <w:rPr>
              <w:szCs w:val="18"/>
            </w:rPr>
          </w:pPr>
          <w:r>
            <w:rPr>
              <w:szCs w:val="18"/>
            </w:rPr>
            <w:t>Betreft</w:t>
          </w:r>
        </w:p>
      </w:tc>
      <w:tc>
        <w:tcPr>
          <w:tcW w:w="6620" w:type="dxa"/>
        </w:tcPr>
        <w:p w14:paraId="5E1EFD6F" w14:textId="77777777" w:rsidR="00527BD4" w:rsidRPr="007709EF" w:rsidRDefault="0077605C" w:rsidP="00A50CF6">
          <w:r>
            <w:t>Voorzieningszekerheid van elektriciteit</w:t>
          </w:r>
        </w:p>
      </w:tc>
    </w:tr>
  </w:tbl>
  <w:p w14:paraId="5F742C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C775F8"/>
    <w:multiLevelType w:val="hybridMultilevel"/>
    <w:tmpl w:val="FAD20EA6"/>
    <w:lvl w:ilvl="0" w:tplc="611495B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6ACA49C4">
      <w:start w:val="1"/>
      <w:numFmt w:val="bullet"/>
      <w:pStyle w:val="Lijstopsomteken"/>
      <w:lvlText w:val="•"/>
      <w:lvlJc w:val="left"/>
      <w:pPr>
        <w:tabs>
          <w:tab w:val="num" w:pos="227"/>
        </w:tabs>
        <w:ind w:left="227" w:hanging="227"/>
      </w:pPr>
      <w:rPr>
        <w:rFonts w:ascii="Verdana" w:hAnsi="Verdana" w:hint="default"/>
        <w:sz w:val="18"/>
        <w:szCs w:val="18"/>
      </w:rPr>
    </w:lvl>
    <w:lvl w:ilvl="1" w:tplc="3E0CCDEA" w:tentative="1">
      <w:start w:val="1"/>
      <w:numFmt w:val="bullet"/>
      <w:lvlText w:val="o"/>
      <w:lvlJc w:val="left"/>
      <w:pPr>
        <w:tabs>
          <w:tab w:val="num" w:pos="1440"/>
        </w:tabs>
        <w:ind w:left="1440" w:hanging="360"/>
      </w:pPr>
      <w:rPr>
        <w:rFonts w:ascii="Courier New" w:hAnsi="Courier New" w:cs="Courier New" w:hint="default"/>
      </w:rPr>
    </w:lvl>
    <w:lvl w:ilvl="2" w:tplc="0C962328" w:tentative="1">
      <w:start w:val="1"/>
      <w:numFmt w:val="bullet"/>
      <w:lvlText w:val=""/>
      <w:lvlJc w:val="left"/>
      <w:pPr>
        <w:tabs>
          <w:tab w:val="num" w:pos="2160"/>
        </w:tabs>
        <w:ind w:left="2160" w:hanging="360"/>
      </w:pPr>
      <w:rPr>
        <w:rFonts w:ascii="Wingdings" w:hAnsi="Wingdings" w:hint="default"/>
      </w:rPr>
    </w:lvl>
    <w:lvl w:ilvl="3" w:tplc="0F161314" w:tentative="1">
      <w:start w:val="1"/>
      <w:numFmt w:val="bullet"/>
      <w:lvlText w:val=""/>
      <w:lvlJc w:val="left"/>
      <w:pPr>
        <w:tabs>
          <w:tab w:val="num" w:pos="2880"/>
        </w:tabs>
        <w:ind w:left="2880" w:hanging="360"/>
      </w:pPr>
      <w:rPr>
        <w:rFonts w:ascii="Symbol" w:hAnsi="Symbol" w:hint="default"/>
      </w:rPr>
    </w:lvl>
    <w:lvl w:ilvl="4" w:tplc="2F4851F4" w:tentative="1">
      <w:start w:val="1"/>
      <w:numFmt w:val="bullet"/>
      <w:lvlText w:val="o"/>
      <w:lvlJc w:val="left"/>
      <w:pPr>
        <w:tabs>
          <w:tab w:val="num" w:pos="3600"/>
        </w:tabs>
        <w:ind w:left="3600" w:hanging="360"/>
      </w:pPr>
      <w:rPr>
        <w:rFonts w:ascii="Courier New" w:hAnsi="Courier New" w:cs="Courier New" w:hint="default"/>
      </w:rPr>
    </w:lvl>
    <w:lvl w:ilvl="5" w:tplc="8F3ECF12" w:tentative="1">
      <w:start w:val="1"/>
      <w:numFmt w:val="bullet"/>
      <w:lvlText w:val=""/>
      <w:lvlJc w:val="left"/>
      <w:pPr>
        <w:tabs>
          <w:tab w:val="num" w:pos="4320"/>
        </w:tabs>
        <w:ind w:left="4320" w:hanging="360"/>
      </w:pPr>
      <w:rPr>
        <w:rFonts w:ascii="Wingdings" w:hAnsi="Wingdings" w:hint="default"/>
      </w:rPr>
    </w:lvl>
    <w:lvl w:ilvl="6" w:tplc="6E00514E" w:tentative="1">
      <w:start w:val="1"/>
      <w:numFmt w:val="bullet"/>
      <w:lvlText w:val=""/>
      <w:lvlJc w:val="left"/>
      <w:pPr>
        <w:tabs>
          <w:tab w:val="num" w:pos="5040"/>
        </w:tabs>
        <w:ind w:left="5040" w:hanging="360"/>
      </w:pPr>
      <w:rPr>
        <w:rFonts w:ascii="Symbol" w:hAnsi="Symbol" w:hint="default"/>
      </w:rPr>
    </w:lvl>
    <w:lvl w:ilvl="7" w:tplc="76981F00" w:tentative="1">
      <w:start w:val="1"/>
      <w:numFmt w:val="bullet"/>
      <w:lvlText w:val="o"/>
      <w:lvlJc w:val="left"/>
      <w:pPr>
        <w:tabs>
          <w:tab w:val="num" w:pos="5760"/>
        </w:tabs>
        <w:ind w:left="5760" w:hanging="360"/>
      </w:pPr>
      <w:rPr>
        <w:rFonts w:ascii="Courier New" w:hAnsi="Courier New" w:cs="Courier New" w:hint="default"/>
      </w:rPr>
    </w:lvl>
    <w:lvl w:ilvl="8" w:tplc="C4C445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723BF9"/>
    <w:multiLevelType w:val="hybridMultilevel"/>
    <w:tmpl w:val="FD44A5C6"/>
    <w:lvl w:ilvl="0" w:tplc="404AC0F6">
      <w:start w:val="1"/>
      <w:numFmt w:val="decimal"/>
      <w:lvlText w:val="%1."/>
      <w:lvlJc w:val="left"/>
      <w:pPr>
        <w:ind w:left="1020" w:hanging="360"/>
      </w:pPr>
    </w:lvl>
    <w:lvl w:ilvl="1" w:tplc="18720E34">
      <w:start w:val="1"/>
      <w:numFmt w:val="decimal"/>
      <w:lvlText w:val="%2."/>
      <w:lvlJc w:val="left"/>
      <w:pPr>
        <w:ind w:left="1020" w:hanging="360"/>
      </w:pPr>
    </w:lvl>
    <w:lvl w:ilvl="2" w:tplc="551C9088">
      <w:start w:val="1"/>
      <w:numFmt w:val="decimal"/>
      <w:lvlText w:val="%3."/>
      <w:lvlJc w:val="left"/>
      <w:pPr>
        <w:ind w:left="1020" w:hanging="360"/>
      </w:pPr>
    </w:lvl>
    <w:lvl w:ilvl="3" w:tplc="1728AB74">
      <w:start w:val="1"/>
      <w:numFmt w:val="decimal"/>
      <w:lvlText w:val="%4."/>
      <w:lvlJc w:val="left"/>
      <w:pPr>
        <w:ind w:left="1020" w:hanging="360"/>
      </w:pPr>
    </w:lvl>
    <w:lvl w:ilvl="4" w:tplc="FBA2067A">
      <w:start w:val="1"/>
      <w:numFmt w:val="decimal"/>
      <w:lvlText w:val="%5."/>
      <w:lvlJc w:val="left"/>
      <w:pPr>
        <w:ind w:left="1020" w:hanging="360"/>
      </w:pPr>
    </w:lvl>
    <w:lvl w:ilvl="5" w:tplc="E326CA44">
      <w:start w:val="1"/>
      <w:numFmt w:val="decimal"/>
      <w:lvlText w:val="%6."/>
      <w:lvlJc w:val="left"/>
      <w:pPr>
        <w:ind w:left="1020" w:hanging="360"/>
      </w:pPr>
    </w:lvl>
    <w:lvl w:ilvl="6" w:tplc="43964F94">
      <w:start w:val="1"/>
      <w:numFmt w:val="decimal"/>
      <w:lvlText w:val="%7."/>
      <w:lvlJc w:val="left"/>
      <w:pPr>
        <w:ind w:left="1020" w:hanging="360"/>
      </w:pPr>
    </w:lvl>
    <w:lvl w:ilvl="7" w:tplc="3D507358">
      <w:start w:val="1"/>
      <w:numFmt w:val="decimal"/>
      <w:lvlText w:val="%8."/>
      <w:lvlJc w:val="left"/>
      <w:pPr>
        <w:ind w:left="1020" w:hanging="360"/>
      </w:pPr>
    </w:lvl>
    <w:lvl w:ilvl="8" w:tplc="51020E9E">
      <w:start w:val="1"/>
      <w:numFmt w:val="decimal"/>
      <w:lvlText w:val="%9."/>
      <w:lvlJc w:val="left"/>
      <w:pPr>
        <w:ind w:left="1020" w:hanging="36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46DD7"/>
    <w:multiLevelType w:val="hybridMultilevel"/>
    <w:tmpl w:val="F3743A36"/>
    <w:lvl w:ilvl="0" w:tplc="B1B2ABC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55FEF"/>
    <w:multiLevelType w:val="hybridMultilevel"/>
    <w:tmpl w:val="50F0923E"/>
    <w:lvl w:ilvl="0" w:tplc="3C108A5C">
      <w:start w:val="1"/>
      <w:numFmt w:val="bullet"/>
      <w:pStyle w:val="Lijstopsomteken2"/>
      <w:lvlText w:val="–"/>
      <w:lvlJc w:val="left"/>
      <w:pPr>
        <w:tabs>
          <w:tab w:val="num" w:pos="227"/>
        </w:tabs>
        <w:ind w:left="227" w:firstLine="0"/>
      </w:pPr>
      <w:rPr>
        <w:rFonts w:ascii="Verdana" w:hAnsi="Verdana" w:hint="default"/>
      </w:rPr>
    </w:lvl>
    <w:lvl w:ilvl="1" w:tplc="8C5072AC" w:tentative="1">
      <w:start w:val="1"/>
      <w:numFmt w:val="bullet"/>
      <w:lvlText w:val="o"/>
      <w:lvlJc w:val="left"/>
      <w:pPr>
        <w:tabs>
          <w:tab w:val="num" w:pos="1440"/>
        </w:tabs>
        <w:ind w:left="1440" w:hanging="360"/>
      </w:pPr>
      <w:rPr>
        <w:rFonts w:ascii="Courier New" w:hAnsi="Courier New" w:cs="Courier New" w:hint="default"/>
      </w:rPr>
    </w:lvl>
    <w:lvl w:ilvl="2" w:tplc="CFA2FC76" w:tentative="1">
      <w:start w:val="1"/>
      <w:numFmt w:val="bullet"/>
      <w:lvlText w:val=""/>
      <w:lvlJc w:val="left"/>
      <w:pPr>
        <w:tabs>
          <w:tab w:val="num" w:pos="2160"/>
        </w:tabs>
        <w:ind w:left="2160" w:hanging="360"/>
      </w:pPr>
      <w:rPr>
        <w:rFonts w:ascii="Wingdings" w:hAnsi="Wingdings" w:hint="default"/>
      </w:rPr>
    </w:lvl>
    <w:lvl w:ilvl="3" w:tplc="E69EFB20" w:tentative="1">
      <w:start w:val="1"/>
      <w:numFmt w:val="bullet"/>
      <w:lvlText w:val=""/>
      <w:lvlJc w:val="left"/>
      <w:pPr>
        <w:tabs>
          <w:tab w:val="num" w:pos="2880"/>
        </w:tabs>
        <w:ind w:left="2880" w:hanging="360"/>
      </w:pPr>
      <w:rPr>
        <w:rFonts w:ascii="Symbol" w:hAnsi="Symbol" w:hint="default"/>
      </w:rPr>
    </w:lvl>
    <w:lvl w:ilvl="4" w:tplc="C0DE99A6" w:tentative="1">
      <w:start w:val="1"/>
      <w:numFmt w:val="bullet"/>
      <w:lvlText w:val="o"/>
      <w:lvlJc w:val="left"/>
      <w:pPr>
        <w:tabs>
          <w:tab w:val="num" w:pos="3600"/>
        </w:tabs>
        <w:ind w:left="3600" w:hanging="360"/>
      </w:pPr>
      <w:rPr>
        <w:rFonts w:ascii="Courier New" w:hAnsi="Courier New" w:cs="Courier New" w:hint="default"/>
      </w:rPr>
    </w:lvl>
    <w:lvl w:ilvl="5" w:tplc="141A8D00" w:tentative="1">
      <w:start w:val="1"/>
      <w:numFmt w:val="bullet"/>
      <w:lvlText w:val=""/>
      <w:lvlJc w:val="left"/>
      <w:pPr>
        <w:tabs>
          <w:tab w:val="num" w:pos="4320"/>
        </w:tabs>
        <w:ind w:left="4320" w:hanging="360"/>
      </w:pPr>
      <w:rPr>
        <w:rFonts w:ascii="Wingdings" w:hAnsi="Wingdings" w:hint="default"/>
      </w:rPr>
    </w:lvl>
    <w:lvl w:ilvl="6" w:tplc="C77A3F1A" w:tentative="1">
      <w:start w:val="1"/>
      <w:numFmt w:val="bullet"/>
      <w:lvlText w:val=""/>
      <w:lvlJc w:val="left"/>
      <w:pPr>
        <w:tabs>
          <w:tab w:val="num" w:pos="5040"/>
        </w:tabs>
        <w:ind w:left="5040" w:hanging="360"/>
      </w:pPr>
      <w:rPr>
        <w:rFonts w:ascii="Symbol" w:hAnsi="Symbol" w:hint="default"/>
      </w:rPr>
    </w:lvl>
    <w:lvl w:ilvl="7" w:tplc="422C0EFA" w:tentative="1">
      <w:start w:val="1"/>
      <w:numFmt w:val="bullet"/>
      <w:lvlText w:val="o"/>
      <w:lvlJc w:val="left"/>
      <w:pPr>
        <w:tabs>
          <w:tab w:val="num" w:pos="5760"/>
        </w:tabs>
        <w:ind w:left="5760" w:hanging="360"/>
      </w:pPr>
      <w:rPr>
        <w:rFonts w:ascii="Courier New" w:hAnsi="Courier New" w:cs="Courier New" w:hint="default"/>
      </w:rPr>
    </w:lvl>
    <w:lvl w:ilvl="8" w:tplc="0A1650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93829"/>
    <w:multiLevelType w:val="hybridMultilevel"/>
    <w:tmpl w:val="5204D794"/>
    <w:lvl w:ilvl="0" w:tplc="E4204B58">
      <w:start w:val="1"/>
      <w:numFmt w:val="bullet"/>
      <w:lvlText w:val=""/>
      <w:lvlJc w:val="left"/>
      <w:pPr>
        <w:ind w:left="1080" w:hanging="360"/>
      </w:pPr>
      <w:rPr>
        <w:rFonts w:ascii="Symbol" w:hAnsi="Symbol"/>
      </w:rPr>
    </w:lvl>
    <w:lvl w:ilvl="1" w:tplc="BF4C7C56">
      <w:start w:val="1"/>
      <w:numFmt w:val="bullet"/>
      <w:lvlText w:val=""/>
      <w:lvlJc w:val="left"/>
      <w:pPr>
        <w:ind w:left="1080" w:hanging="360"/>
      </w:pPr>
      <w:rPr>
        <w:rFonts w:ascii="Symbol" w:hAnsi="Symbol"/>
      </w:rPr>
    </w:lvl>
    <w:lvl w:ilvl="2" w:tplc="5180EF22">
      <w:start w:val="1"/>
      <w:numFmt w:val="bullet"/>
      <w:lvlText w:val=""/>
      <w:lvlJc w:val="left"/>
      <w:pPr>
        <w:ind w:left="1080" w:hanging="360"/>
      </w:pPr>
      <w:rPr>
        <w:rFonts w:ascii="Symbol" w:hAnsi="Symbol"/>
      </w:rPr>
    </w:lvl>
    <w:lvl w:ilvl="3" w:tplc="8AC66C14">
      <w:start w:val="1"/>
      <w:numFmt w:val="bullet"/>
      <w:lvlText w:val=""/>
      <w:lvlJc w:val="left"/>
      <w:pPr>
        <w:ind w:left="1080" w:hanging="360"/>
      </w:pPr>
      <w:rPr>
        <w:rFonts w:ascii="Symbol" w:hAnsi="Symbol"/>
      </w:rPr>
    </w:lvl>
    <w:lvl w:ilvl="4" w:tplc="A1ACB0DC">
      <w:start w:val="1"/>
      <w:numFmt w:val="bullet"/>
      <w:lvlText w:val=""/>
      <w:lvlJc w:val="left"/>
      <w:pPr>
        <w:ind w:left="1080" w:hanging="360"/>
      </w:pPr>
      <w:rPr>
        <w:rFonts w:ascii="Symbol" w:hAnsi="Symbol"/>
      </w:rPr>
    </w:lvl>
    <w:lvl w:ilvl="5" w:tplc="776CE80C">
      <w:start w:val="1"/>
      <w:numFmt w:val="bullet"/>
      <w:lvlText w:val=""/>
      <w:lvlJc w:val="left"/>
      <w:pPr>
        <w:ind w:left="1080" w:hanging="360"/>
      </w:pPr>
      <w:rPr>
        <w:rFonts w:ascii="Symbol" w:hAnsi="Symbol"/>
      </w:rPr>
    </w:lvl>
    <w:lvl w:ilvl="6" w:tplc="D554804E">
      <w:start w:val="1"/>
      <w:numFmt w:val="bullet"/>
      <w:lvlText w:val=""/>
      <w:lvlJc w:val="left"/>
      <w:pPr>
        <w:ind w:left="1080" w:hanging="360"/>
      </w:pPr>
      <w:rPr>
        <w:rFonts w:ascii="Symbol" w:hAnsi="Symbol"/>
      </w:rPr>
    </w:lvl>
    <w:lvl w:ilvl="7" w:tplc="CB0C2E06">
      <w:start w:val="1"/>
      <w:numFmt w:val="bullet"/>
      <w:lvlText w:val=""/>
      <w:lvlJc w:val="left"/>
      <w:pPr>
        <w:ind w:left="1080" w:hanging="360"/>
      </w:pPr>
      <w:rPr>
        <w:rFonts w:ascii="Symbol" w:hAnsi="Symbol"/>
      </w:rPr>
    </w:lvl>
    <w:lvl w:ilvl="8" w:tplc="F31C0AD4">
      <w:start w:val="1"/>
      <w:numFmt w:val="bullet"/>
      <w:lvlText w:val=""/>
      <w:lvlJc w:val="left"/>
      <w:pPr>
        <w:ind w:left="1080" w:hanging="360"/>
      </w:pPr>
      <w:rPr>
        <w:rFonts w:ascii="Symbol" w:hAnsi="Symbol"/>
      </w:rPr>
    </w:lvl>
  </w:abstractNum>
  <w:abstractNum w:abstractNumId="17" w15:restartNumberingAfterBreak="0">
    <w:nsid w:val="20B506CE"/>
    <w:multiLevelType w:val="hybridMultilevel"/>
    <w:tmpl w:val="5BF2D404"/>
    <w:lvl w:ilvl="0" w:tplc="55F64AB6">
      <w:start w:val="1"/>
      <w:numFmt w:val="bullet"/>
      <w:lvlText w:val="•"/>
      <w:lvlJc w:val="left"/>
      <w:pPr>
        <w:tabs>
          <w:tab w:val="num" w:pos="720"/>
        </w:tabs>
        <w:ind w:left="720" w:hanging="360"/>
      </w:pPr>
      <w:rPr>
        <w:rFonts w:ascii="Arial" w:hAnsi="Arial" w:hint="default"/>
      </w:rPr>
    </w:lvl>
    <w:lvl w:ilvl="1" w:tplc="A9B2B35E">
      <w:start w:val="1"/>
      <w:numFmt w:val="bullet"/>
      <w:lvlText w:val="•"/>
      <w:lvlJc w:val="left"/>
      <w:pPr>
        <w:tabs>
          <w:tab w:val="num" w:pos="1440"/>
        </w:tabs>
        <w:ind w:left="1440" w:hanging="360"/>
      </w:pPr>
      <w:rPr>
        <w:rFonts w:ascii="Arial" w:hAnsi="Arial" w:hint="default"/>
      </w:rPr>
    </w:lvl>
    <w:lvl w:ilvl="2" w:tplc="8AFC534E" w:tentative="1">
      <w:start w:val="1"/>
      <w:numFmt w:val="bullet"/>
      <w:lvlText w:val="•"/>
      <w:lvlJc w:val="left"/>
      <w:pPr>
        <w:tabs>
          <w:tab w:val="num" w:pos="2160"/>
        </w:tabs>
        <w:ind w:left="2160" w:hanging="360"/>
      </w:pPr>
      <w:rPr>
        <w:rFonts w:ascii="Arial" w:hAnsi="Arial" w:hint="default"/>
      </w:rPr>
    </w:lvl>
    <w:lvl w:ilvl="3" w:tplc="6C322914" w:tentative="1">
      <w:start w:val="1"/>
      <w:numFmt w:val="bullet"/>
      <w:lvlText w:val="•"/>
      <w:lvlJc w:val="left"/>
      <w:pPr>
        <w:tabs>
          <w:tab w:val="num" w:pos="2880"/>
        </w:tabs>
        <w:ind w:left="2880" w:hanging="360"/>
      </w:pPr>
      <w:rPr>
        <w:rFonts w:ascii="Arial" w:hAnsi="Arial" w:hint="default"/>
      </w:rPr>
    </w:lvl>
    <w:lvl w:ilvl="4" w:tplc="495CDA44" w:tentative="1">
      <w:start w:val="1"/>
      <w:numFmt w:val="bullet"/>
      <w:lvlText w:val="•"/>
      <w:lvlJc w:val="left"/>
      <w:pPr>
        <w:tabs>
          <w:tab w:val="num" w:pos="3600"/>
        </w:tabs>
        <w:ind w:left="3600" w:hanging="360"/>
      </w:pPr>
      <w:rPr>
        <w:rFonts w:ascii="Arial" w:hAnsi="Arial" w:hint="default"/>
      </w:rPr>
    </w:lvl>
    <w:lvl w:ilvl="5" w:tplc="07D48B3C" w:tentative="1">
      <w:start w:val="1"/>
      <w:numFmt w:val="bullet"/>
      <w:lvlText w:val="•"/>
      <w:lvlJc w:val="left"/>
      <w:pPr>
        <w:tabs>
          <w:tab w:val="num" w:pos="4320"/>
        </w:tabs>
        <w:ind w:left="4320" w:hanging="360"/>
      </w:pPr>
      <w:rPr>
        <w:rFonts w:ascii="Arial" w:hAnsi="Arial" w:hint="default"/>
      </w:rPr>
    </w:lvl>
    <w:lvl w:ilvl="6" w:tplc="ECAE67F8" w:tentative="1">
      <w:start w:val="1"/>
      <w:numFmt w:val="bullet"/>
      <w:lvlText w:val="•"/>
      <w:lvlJc w:val="left"/>
      <w:pPr>
        <w:tabs>
          <w:tab w:val="num" w:pos="5040"/>
        </w:tabs>
        <w:ind w:left="5040" w:hanging="360"/>
      </w:pPr>
      <w:rPr>
        <w:rFonts w:ascii="Arial" w:hAnsi="Arial" w:hint="default"/>
      </w:rPr>
    </w:lvl>
    <w:lvl w:ilvl="7" w:tplc="1C4CD2BC" w:tentative="1">
      <w:start w:val="1"/>
      <w:numFmt w:val="bullet"/>
      <w:lvlText w:val="•"/>
      <w:lvlJc w:val="left"/>
      <w:pPr>
        <w:tabs>
          <w:tab w:val="num" w:pos="5760"/>
        </w:tabs>
        <w:ind w:left="5760" w:hanging="360"/>
      </w:pPr>
      <w:rPr>
        <w:rFonts w:ascii="Arial" w:hAnsi="Arial" w:hint="default"/>
      </w:rPr>
    </w:lvl>
    <w:lvl w:ilvl="8" w:tplc="206E5D1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773889"/>
    <w:multiLevelType w:val="multilevel"/>
    <w:tmpl w:val="4244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7D55C6"/>
    <w:multiLevelType w:val="hybridMultilevel"/>
    <w:tmpl w:val="B4709F6E"/>
    <w:lvl w:ilvl="0" w:tplc="B61CBDCE">
      <w:start w:val="1"/>
      <w:numFmt w:val="decimal"/>
      <w:lvlText w:val="%1."/>
      <w:lvlJc w:val="left"/>
      <w:pPr>
        <w:ind w:left="1020" w:hanging="360"/>
      </w:pPr>
    </w:lvl>
    <w:lvl w:ilvl="1" w:tplc="127215BC">
      <w:start w:val="1"/>
      <w:numFmt w:val="decimal"/>
      <w:lvlText w:val="%2."/>
      <w:lvlJc w:val="left"/>
      <w:pPr>
        <w:ind w:left="1020" w:hanging="360"/>
      </w:pPr>
    </w:lvl>
    <w:lvl w:ilvl="2" w:tplc="12E2DE1A">
      <w:start w:val="1"/>
      <w:numFmt w:val="decimal"/>
      <w:lvlText w:val="%3."/>
      <w:lvlJc w:val="left"/>
      <w:pPr>
        <w:ind w:left="1020" w:hanging="360"/>
      </w:pPr>
    </w:lvl>
    <w:lvl w:ilvl="3" w:tplc="180E40CE">
      <w:start w:val="1"/>
      <w:numFmt w:val="decimal"/>
      <w:lvlText w:val="%4."/>
      <w:lvlJc w:val="left"/>
      <w:pPr>
        <w:ind w:left="1020" w:hanging="360"/>
      </w:pPr>
    </w:lvl>
    <w:lvl w:ilvl="4" w:tplc="A15A8A32">
      <w:start w:val="1"/>
      <w:numFmt w:val="decimal"/>
      <w:lvlText w:val="%5."/>
      <w:lvlJc w:val="left"/>
      <w:pPr>
        <w:ind w:left="1020" w:hanging="360"/>
      </w:pPr>
    </w:lvl>
    <w:lvl w:ilvl="5" w:tplc="0F5A2C76">
      <w:start w:val="1"/>
      <w:numFmt w:val="decimal"/>
      <w:lvlText w:val="%6."/>
      <w:lvlJc w:val="left"/>
      <w:pPr>
        <w:ind w:left="1020" w:hanging="360"/>
      </w:pPr>
    </w:lvl>
    <w:lvl w:ilvl="6" w:tplc="06926AF4">
      <w:start w:val="1"/>
      <w:numFmt w:val="decimal"/>
      <w:lvlText w:val="%7."/>
      <w:lvlJc w:val="left"/>
      <w:pPr>
        <w:ind w:left="1020" w:hanging="360"/>
      </w:pPr>
    </w:lvl>
    <w:lvl w:ilvl="7" w:tplc="A2A07F1A">
      <w:start w:val="1"/>
      <w:numFmt w:val="decimal"/>
      <w:lvlText w:val="%8."/>
      <w:lvlJc w:val="left"/>
      <w:pPr>
        <w:ind w:left="1020" w:hanging="360"/>
      </w:pPr>
    </w:lvl>
    <w:lvl w:ilvl="8" w:tplc="817875AE">
      <w:start w:val="1"/>
      <w:numFmt w:val="decimal"/>
      <w:lvlText w:val="%9."/>
      <w:lvlJc w:val="left"/>
      <w:pPr>
        <w:ind w:left="1020" w:hanging="360"/>
      </w:pPr>
    </w:lvl>
  </w:abstractNum>
  <w:abstractNum w:abstractNumId="20" w15:restartNumberingAfterBreak="0">
    <w:nsid w:val="355254DF"/>
    <w:multiLevelType w:val="hybridMultilevel"/>
    <w:tmpl w:val="66A2EC9E"/>
    <w:lvl w:ilvl="0" w:tplc="038EDD26">
      <w:start w:val="1"/>
      <w:numFmt w:val="decimal"/>
      <w:lvlText w:val="%1."/>
      <w:lvlJc w:val="left"/>
      <w:pPr>
        <w:ind w:left="1020" w:hanging="360"/>
      </w:pPr>
    </w:lvl>
    <w:lvl w:ilvl="1" w:tplc="805CDD06">
      <w:start w:val="1"/>
      <w:numFmt w:val="decimal"/>
      <w:lvlText w:val="%2."/>
      <w:lvlJc w:val="left"/>
      <w:pPr>
        <w:ind w:left="1020" w:hanging="360"/>
      </w:pPr>
    </w:lvl>
    <w:lvl w:ilvl="2" w:tplc="F3602932">
      <w:start w:val="1"/>
      <w:numFmt w:val="decimal"/>
      <w:lvlText w:val="%3."/>
      <w:lvlJc w:val="left"/>
      <w:pPr>
        <w:ind w:left="1020" w:hanging="360"/>
      </w:pPr>
    </w:lvl>
    <w:lvl w:ilvl="3" w:tplc="BADCFFA2">
      <w:start w:val="1"/>
      <w:numFmt w:val="decimal"/>
      <w:lvlText w:val="%4."/>
      <w:lvlJc w:val="left"/>
      <w:pPr>
        <w:ind w:left="1020" w:hanging="360"/>
      </w:pPr>
    </w:lvl>
    <w:lvl w:ilvl="4" w:tplc="B1DCE68C">
      <w:start w:val="1"/>
      <w:numFmt w:val="decimal"/>
      <w:lvlText w:val="%5."/>
      <w:lvlJc w:val="left"/>
      <w:pPr>
        <w:ind w:left="1020" w:hanging="360"/>
      </w:pPr>
    </w:lvl>
    <w:lvl w:ilvl="5" w:tplc="45A8975C">
      <w:start w:val="1"/>
      <w:numFmt w:val="decimal"/>
      <w:lvlText w:val="%6."/>
      <w:lvlJc w:val="left"/>
      <w:pPr>
        <w:ind w:left="1020" w:hanging="360"/>
      </w:pPr>
    </w:lvl>
    <w:lvl w:ilvl="6" w:tplc="3F086602">
      <w:start w:val="1"/>
      <w:numFmt w:val="decimal"/>
      <w:lvlText w:val="%7."/>
      <w:lvlJc w:val="left"/>
      <w:pPr>
        <w:ind w:left="1020" w:hanging="360"/>
      </w:pPr>
    </w:lvl>
    <w:lvl w:ilvl="7" w:tplc="EEA856EC">
      <w:start w:val="1"/>
      <w:numFmt w:val="decimal"/>
      <w:lvlText w:val="%8."/>
      <w:lvlJc w:val="left"/>
      <w:pPr>
        <w:ind w:left="1020" w:hanging="360"/>
      </w:pPr>
    </w:lvl>
    <w:lvl w:ilvl="8" w:tplc="F4B0B322">
      <w:start w:val="1"/>
      <w:numFmt w:val="decimal"/>
      <w:lvlText w:val="%9."/>
      <w:lvlJc w:val="left"/>
      <w:pPr>
        <w:ind w:left="1020" w:hanging="360"/>
      </w:pPr>
    </w:lvl>
  </w:abstractNum>
  <w:abstractNum w:abstractNumId="21" w15:restartNumberingAfterBreak="0">
    <w:nsid w:val="3FFB330B"/>
    <w:multiLevelType w:val="hybridMultilevel"/>
    <w:tmpl w:val="A600BC8C"/>
    <w:lvl w:ilvl="0" w:tplc="15E8D18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2F04F1"/>
    <w:multiLevelType w:val="hybridMultilevel"/>
    <w:tmpl w:val="8674B1E6"/>
    <w:lvl w:ilvl="0" w:tplc="757CA32A">
      <w:start w:val="1"/>
      <w:numFmt w:val="decimal"/>
      <w:lvlText w:val="%1."/>
      <w:lvlJc w:val="left"/>
      <w:pPr>
        <w:ind w:left="1020" w:hanging="360"/>
      </w:pPr>
    </w:lvl>
    <w:lvl w:ilvl="1" w:tplc="ECAC2F82">
      <w:start w:val="1"/>
      <w:numFmt w:val="decimal"/>
      <w:lvlText w:val="%2."/>
      <w:lvlJc w:val="left"/>
      <w:pPr>
        <w:ind w:left="1020" w:hanging="360"/>
      </w:pPr>
    </w:lvl>
    <w:lvl w:ilvl="2" w:tplc="EE5CEDB8">
      <w:start w:val="1"/>
      <w:numFmt w:val="decimal"/>
      <w:lvlText w:val="%3."/>
      <w:lvlJc w:val="left"/>
      <w:pPr>
        <w:ind w:left="1020" w:hanging="360"/>
      </w:pPr>
    </w:lvl>
    <w:lvl w:ilvl="3" w:tplc="592C5286">
      <w:start w:val="1"/>
      <w:numFmt w:val="decimal"/>
      <w:lvlText w:val="%4."/>
      <w:lvlJc w:val="left"/>
      <w:pPr>
        <w:ind w:left="1020" w:hanging="360"/>
      </w:pPr>
    </w:lvl>
    <w:lvl w:ilvl="4" w:tplc="6B948930">
      <w:start w:val="1"/>
      <w:numFmt w:val="decimal"/>
      <w:lvlText w:val="%5."/>
      <w:lvlJc w:val="left"/>
      <w:pPr>
        <w:ind w:left="1020" w:hanging="360"/>
      </w:pPr>
    </w:lvl>
    <w:lvl w:ilvl="5" w:tplc="93F22270">
      <w:start w:val="1"/>
      <w:numFmt w:val="decimal"/>
      <w:lvlText w:val="%6."/>
      <w:lvlJc w:val="left"/>
      <w:pPr>
        <w:ind w:left="1020" w:hanging="360"/>
      </w:pPr>
    </w:lvl>
    <w:lvl w:ilvl="6" w:tplc="91B8B6F2">
      <w:start w:val="1"/>
      <w:numFmt w:val="decimal"/>
      <w:lvlText w:val="%7."/>
      <w:lvlJc w:val="left"/>
      <w:pPr>
        <w:ind w:left="1020" w:hanging="360"/>
      </w:pPr>
    </w:lvl>
    <w:lvl w:ilvl="7" w:tplc="0714ED1E">
      <w:start w:val="1"/>
      <w:numFmt w:val="decimal"/>
      <w:lvlText w:val="%8."/>
      <w:lvlJc w:val="left"/>
      <w:pPr>
        <w:ind w:left="1020" w:hanging="360"/>
      </w:pPr>
    </w:lvl>
    <w:lvl w:ilvl="8" w:tplc="2C7E3928">
      <w:start w:val="1"/>
      <w:numFmt w:val="decimal"/>
      <w:lvlText w:val="%9."/>
      <w:lvlJc w:val="left"/>
      <w:pPr>
        <w:ind w:left="1020" w:hanging="360"/>
      </w:pPr>
    </w:lvl>
  </w:abstractNum>
  <w:abstractNum w:abstractNumId="24" w15:restartNumberingAfterBreak="0">
    <w:nsid w:val="63BB3E4D"/>
    <w:multiLevelType w:val="multilevel"/>
    <w:tmpl w:val="7DB2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CE281E"/>
    <w:multiLevelType w:val="hybridMultilevel"/>
    <w:tmpl w:val="41B4F5B4"/>
    <w:lvl w:ilvl="0" w:tplc="3458A49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1179BF"/>
    <w:multiLevelType w:val="multilevel"/>
    <w:tmpl w:val="C23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D12410"/>
    <w:multiLevelType w:val="hybridMultilevel"/>
    <w:tmpl w:val="534C1B2A"/>
    <w:lvl w:ilvl="0" w:tplc="A170E298">
      <w:start w:val="1"/>
      <w:numFmt w:val="decimal"/>
      <w:lvlText w:val="%1."/>
      <w:lvlJc w:val="left"/>
      <w:pPr>
        <w:ind w:left="1020" w:hanging="360"/>
      </w:pPr>
    </w:lvl>
    <w:lvl w:ilvl="1" w:tplc="7122AF74">
      <w:start w:val="1"/>
      <w:numFmt w:val="decimal"/>
      <w:lvlText w:val="%2."/>
      <w:lvlJc w:val="left"/>
      <w:pPr>
        <w:ind w:left="1020" w:hanging="360"/>
      </w:pPr>
    </w:lvl>
    <w:lvl w:ilvl="2" w:tplc="AC387AEC">
      <w:start w:val="1"/>
      <w:numFmt w:val="decimal"/>
      <w:lvlText w:val="%3."/>
      <w:lvlJc w:val="left"/>
      <w:pPr>
        <w:ind w:left="1020" w:hanging="360"/>
      </w:pPr>
    </w:lvl>
    <w:lvl w:ilvl="3" w:tplc="34261E68">
      <w:start w:val="1"/>
      <w:numFmt w:val="decimal"/>
      <w:lvlText w:val="%4."/>
      <w:lvlJc w:val="left"/>
      <w:pPr>
        <w:ind w:left="1020" w:hanging="360"/>
      </w:pPr>
    </w:lvl>
    <w:lvl w:ilvl="4" w:tplc="C56EC29A">
      <w:start w:val="1"/>
      <w:numFmt w:val="decimal"/>
      <w:lvlText w:val="%5."/>
      <w:lvlJc w:val="left"/>
      <w:pPr>
        <w:ind w:left="1020" w:hanging="360"/>
      </w:pPr>
    </w:lvl>
    <w:lvl w:ilvl="5" w:tplc="0B46F692">
      <w:start w:val="1"/>
      <w:numFmt w:val="decimal"/>
      <w:lvlText w:val="%6."/>
      <w:lvlJc w:val="left"/>
      <w:pPr>
        <w:ind w:left="1020" w:hanging="360"/>
      </w:pPr>
    </w:lvl>
    <w:lvl w:ilvl="6" w:tplc="ECA65736">
      <w:start w:val="1"/>
      <w:numFmt w:val="decimal"/>
      <w:lvlText w:val="%7."/>
      <w:lvlJc w:val="left"/>
      <w:pPr>
        <w:ind w:left="1020" w:hanging="360"/>
      </w:pPr>
    </w:lvl>
    <w:lvl w:ilvl="7" w:tplc="44D27D00">
      <w:start w:val="1"/>
      <w:numFmt w:val="decimal"/>
      <w:lvlText w:val="%8."/>
      <w:lvlJc w:val="left"/>
      <w:pPr>
        <w:ind w:left="1020" w:hanging="360"/>
      </w:pPr>
    </w:lvl>
    <w:lvl w:ilvl="8" w:tplc="D90C596E">
      <w:start w:val="1"/>
      <w:numFmt w:val="decimal"/>
      <w:lvlText w:val="%9."/>
      <w:lvlJc w:val="left"/>
      <w:pPr>
        <w:ind w:left="1020" w:hanging="360"/>
      </w:pPr>
    </w:lvl>
  </w:abstractNum>
  <w:abstractNum w:abstractNumId="28" w15:restartNumberingAfterBreak="0">
    <w:nsid w:val="7383403F"/>
    <w:multiLevelType w:val="hybridMultilevel"/>
    <w:tmpl w:val="F1B683FA"/>
    <w:lvl w:ilvl="0" w:tplc="42CE4D9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8DA0DE"/>
    <w:multiLevelType w:val="hybridMultilevel"/>
    <w:tmpl w:val="FFFFFFFF"/>
    <w:lvl w:ilvl="0" w:tplc="187803BA">
      <w:start w:val="1"/>
      <w:numFmt w:val="bullet"/>
      <w:lvlText w:val=""/>
      <w:lvlJc w:val="left"/>
      <w:pPr>
        <w:ind w:left="720" w:hanging="360"/>
      </w:pPr>
      <w:rPr>
        <w:rFonts w:ascii="Symbol" w:hAnsi="Symbol" w:hint="default"/>
      </w:rPr>
    </w:lvl>
    <w:lvl w:ilvl="1" w:tplc="7826CE6C">
      <w:start w:val="1"/>
      <w:numFmt w:val="bullet"/>
      <w:lvlText w:val="o"/>
      <w:lvlJc w:val="left"/>
      <w:pPr>
        <w:ind w:left="1440" w:hanging="360"/>
      </w:pPr>
      <w:rPr>
        <w:rFonts w:ascii="Courier New" w:hAnsi="Courier New" w:hint="default"/>
      </w:rPr>
    </w:lvl>
    <w:lvl w:ilvl="2" w:tplc="9BACA464">
      <w:start w:val="1"/>
      <w:numFmt w:val="bullet"/>
      <w:lvlText w:val=""/>
      <w:lvlJc w:val="left"/>
      <w:pPr>
        <w:ind w:left="2160" w:hanging="360"/>
      </w:pPr>
      <w:rPr>
        <w:rFonts w:ascii="Wingdings" w:hAnsi="Wingdings" w:hint="default"/>
      </w:rPr>
    </w:lvl>
    <w:lvl w:ilvl="3" w:tplc="1286E8E6">
      <w:start w:val="1"/>
      <w:numFmt w:val="bullet"/>
      <w:lvlText w:val=""/>
      <w:lvlJc w:val="left"/>
      <w:pPr>
        <w:ind w:left="2880" w:hanging="360"/>
      </w:pPr>
      <w:rPr>
        <w:rFonts w:ascii="Symbol" w:hAnsi="Symbol" w:hint="default"/>
      </w:rPr>
    </w:lvl>
    <w:lvl w:ilvl="4" w:tplc="5C84D276">
      <w:start w:val="1"/>
      <w:numFmt w:val="bullet"/>
      <w:lvlText w:val="o"/>
      <w:lvlJc w:val="left"/>
      <w:pPr>
        <w:ind w:left="3600" w:hanging="360"/>
      </w:pPr>
      <w:rPr>
        <w:rFonts w:ascii="Courier New" w:hAnsi="Courier New" w:hint="default"/>
      </w:rPr>
    </w:lvl>
    <w:lvl w:ilvl="5" w:tplc="76BA30D4">
      <w:start w:val="1"/>
      <w:numFmt w:val="bullet"/>
      <w:lvlText w:val=""/>
      <w:lvlJc w:val="left"/>
      <w:pPr>
        <w:ind w:left="4320" w:hanging="360"/>
      </w:pPr>
      <w:rPr>
        <w:rFonts w:ascii="Wingdings" w:hAnsi="Wingdings" w:hint="default"/>
      </w:rPr>
    </w:lvl>
    <w:lvl w:ilvl="6" w:tplc="98C42CC8">
      <w:start w:val="1"/>
      <w:numFmt w:val="bullet"/>
      <w:lvlText w:val=""/>
      <w:lvlJc w:val="left"/>
      <w:pPr>
        <w:ind w:left="5040" w:hanging="360"/>
      </w:pPr>
      <w:rPr>
        <w:rFonts w:ascii="Symbol" w:hAnsi="Symbol" w:hint="default"/>
      </w:rPr>
    </w:lvl>
    <w:lvl w:ilvl="7" w:tplc="6BEA86A4">
      <w:start w:val="1"/>
      <w:numFmt w:val="bullet"/>
      <w:lvlText w:val="o"/>
      <w:lvlJc w:val="left"/>
      <w:pPr>
        <w:ind w:left="5760" w:hanging="360"/>
      </w:pPr>
      <w:rPr>
        <w:rFonts w:ascii="Courier New" w:hAnsi="Courier New" w:hint="default"/>
      </w:rPr>
    </w:lvl>
    <w:lvl w:ilvl="8" w:tplc="B2643430">
      <w:start w:val="1"/>
      <w:numFmt w:val="bullet"/>
      <w:lvlText w:val=""/>
      <w:lvlJc w:val="left"/>
      <w:pPr>
        <w:ind w:left="6480" w:hanging="360"/>
      </w:pPr>
      <w:rPr>
        <w:rFonts w:ascii="Wingdings" w:hAnsi="Wingdings" w:hint="default"/>
      </w:rPr>
    </w:lvl>
  </w:abstractNum>
  <w:num w:numId="1" w16cid:durableId="1417675432">
    <w:abstractNumId w:val="11"/>
  </w:num>
  <w:num w:numId="2" w16cid:durableId="1177648142">
    <w:abstractNumId w:val="7"/>
  </w:num>
  <w:num w:numId="3" w16cid:durableId="569969305">
    <w:abstractNumId w:val="6"/>
  </w:num>
  <w:num w:numId="4" w16cid:durableId="2103258260">
    <w:abstractNumId w:val="5"/>
  </w:num>
  <w:num w:numId="5" w16cid:durableId="1013461441">
    <w:abstractNumId w:val="4"/>
  </w:num>
  <w:num w:numId="6" w16cid:durableId="1291668047">
    <w:abstractNumId w:val="8"/>
  </w:num>
  <w:num w:numId="7" w16cid:durableId="1567299044">
    <w:abstractNumId w:val="3"/>
  </w:num>
  <w:num w:numId="8" w16cid:durableId="1136795845">
    <w:abstractNumId w:val="2"/>
  </w:num>
  <w:num w:numId="9" w16cid:durableId="225184841">
    <w:abstractNumId w:val="1"/>
  </w:num>
  <w:num w:numId="10" w16cid:durableId="730084689">
    <w:abstractNumId w:val="0"/>
  </w:num>
  <w:num w:numId="11" w16cid:durableId="1192959261">
    <w:abstractNumId w:val="9"/>
  </w:num>
  <w:num w:numId="12" w16cid:durableId="2114931900">
    <w:abstractNumId w:val="13"/>
  </w:num>
  <w:num w:numId="13" w16cid:durableId="227035863">
    <w:abstractNumId w:val="22"/>
  </w:num>
  <w:num w:numId="14" w16cid:durableId="143356371">
    <w:abstractNumId w:val="15"/>
  </w:num>
  <w:num w:numId="15" w16cid:durableId="1229416052">
    <w:abstractNumId w:val="29"/>
  </w:num>
  <w:num w:numId="16" w16cid:durableId="1310983275">
    <w:abstractNumId w:val="10"/>
  </w:num>
  <w:num w:numId="17" w16cid:durableId="1009914229">
    <w:abstractNumId w:val="14"/>
  </w:num>
  <w:num w:numId="18" w16cid:durableId="1763842636">
    <w:abstractNumId w:val="25"/>
  </w:num>
  <w:num w:numId="19" w16cid:durableId="911886386">
    <w:abstractNumId w:val="18"/>
  </w:num>
  <w:num w:numId="20" w16cid:durableId="321617203">
    <w:abstractNumId w:val="26"/>
  </w:num>
  <w:num w:numId="21" w16cid:durableId="884634400">
    <w:abstractNumId w:val="24"/>
  </w:num>
  <w:num w:numId="22" w16cid:durableId="1508406306">
    <w:abstractNumId w:val="16"/>
  </w:num>
  <w:num w:numId="23" w16cid:durableId="447161702">
    <w:abstractNumId w:val="23"/>
  </w:num>
  <w:num w:numId="24" w16cid:durableId="4525126">
    <w:abstractNumId w:val="12"/>
  </w:num>
  <w:num w:numId="25" w16cid:durableId="1736466600">
    <w:abstractNumId w:val="17"/>
  </w:num>
  <w:num w:numId="26" w16cid:durableId="1182544809">
    <w:abstractNumId w:val="20"/>
  </w:num>
  <w:num w:numId="27" w16cid:durableId="851990709">
    <w:abstractNumId w:val="27"/>
  </w:num>
  <w:num w:numId="28" w16cid:durableId="2128424884">
    <w:abstractNumId w:val="19"/>
  </w:num>
  <w:num w:numId="29" w16cid:durableId="1031149262">
    <w:abstractNumId w:val="21"/>
  </w:num>
  <w:num w:numId="30" w16cid:durableId="2013214437">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051"/>
    <w:rsid w:val="00001B8D"/>
    <w:rsid w:val="00001EB3"/>
    <w:rsid w:val="000034C3"/>
    <w:rsid w:val="00003756"/>
    <w:rsid w:val="000049FB"/>
    <w:rsid w:val="00004B8C"/>
    <w:rsid w:val="0000517C"/>
    <w:rsid w:val="00005603"/>
    <w:rsid w:val="00005D8D"/>
    <w:rsid w:val="00006406"/>
    <w:rsid w:val="00007515"/>
    <w:rsid w:val="00010651"/>
    <w:rsid w:val="0001144B"/>
    <w:rsid w:val="000122EA"/>
    <w:rsid w:val="00013862"/>
    <w:rsid w:val="00013F6D"/>
    <w:rsid w:val="00014161"/>
    <w:rsid w:val="00014A0F"/>
    <w:rsid w:val="000159FA"/>
    <w:rsid w:val="00016012"/>
    <w:rsid w:val="00016EC6"/>
    <w:rsid w:val="000177F6"/>
    <w:rsid w:val="00020189"/>
    <w:rsid w:val="00020CA5"/>
    <w:rsid w:val="00020EE4"/>
    <w:rsid w:val="00021EDB"/>
    <w:rsid w:val="00021FE8"/>
    <w:rsid w:val="00023184"/>
    <w:rsid w:val="00023E9A"/>
    <w:rsid w:val="000265D2"/>
    <w:rsid w:val="00026F26"/>
    <w:rsid w:val="000273FD"/>
    <w:rsid w:val="00030002"/>
    <w:rsid w:val="00030D81"/>
    <w:rsid w:val="00031487"/>
    <w:rsid w:val="00031A71"/>
    <w:rsid w:val="00031FF3"/>
    <w:rsid w:val="000321B8"/>
    <w:rsid w:val="0003281B"/>
    <w:rsid w:val="0003368C"/>
    <w:rsid w:val="00033CDD"/>
    <w:rsid w:val="00034A84"/>
    <w:rsid w:val="00034BE1"/>
    <w:rsid w:val="00035445"/>
    <w:rsid w:val="00035965"/>
    <w:rsid w:val="00035E67"/>
    <w:rsid w:val="000366F3"/>
    <w:rsid w:val="00040A9D"/>
    <w:rsid w:val="00040CC3"/>
    <w:rsid w:val="0004146C"/>
    <w:rsid w:val="00041AC5"/>
    <w:rsid w:val="00041CE6"/>
    <w:rsid w:val="0004292E"/>
    <w:rsid w:val="00042B6D"/>
    <w:rsid w:val="000433BB"/>
    <w:rsid w:val="00043C28"/>
    <w:rsid w:val="00045C9F"/>
    <w:rsid w:val="0004629A"/>
    <w:rsid w:val="00047191"/>
    <w:rsid w:val="000509A0"/>
    <w:rsid w:val="000509EA"/>
    <w:rsid w:val="0005259A"/>
    <w:rsid w:val="00053E69"/>
    <w:rsid w:val="00053F0D"/>
    <w:rsid w:val="000600EA"/>
    <w:rsid w:val="0006024D"/>
    <w:rsid w:val="000606F6"/>
    <w:rsid w:val="00062887"/>
    <w:rsid w:val="000629BA"/>
    <w:rsid w:val="00062ABC"/>
    <w:rsid w:val="000635E0"/>
    <w:rsid w:val="00063633"/>
    <w:rsid w:val="0006375C"/>
    <w:rsid w:val="000639A7"/>
    <w:rsid w:val="00063BAE"/>
    <w:rsid w:val="00067080"/>
    <w:rsid w:val="000676E6"/>
    <w:rsid w:val="000713D3"/>
    <w:rsid w:val="00071588"/>
    <w:rsid w:val="000717CF"/>
    <w:rsid w:val="00071F28"/>
    <w:rsid w:val="0007201C"/>
    <w:rsid w:val="00073364"/>
    <w:rsid w:val="00073EBD"/>
    <w:rsid w:val="00073FF1"/>
    <w:rsid w:val="00074079"/>
    <w:rsid w:val="00074E53"/>
    <w:rsid w:val="00074F2F"/>
    <w:rsid w:val="00075ED3"/>
    <w:rsid w:val="0007643F"/>
    <w:rsid w:val="00076CF2"/>
    <w:rsid w:val="00081BFF"/>
    <w:rsid w:val="00082E14"/>
    <w:rsid w:val="00083B3F"/>
    <w:rsid w:val="000845DA"/>
    <w:rsid w:val="00086AF0"/>
    <w:rsid w:val="0009001D"/>
    <w:rsid w:val="00090971"/>
    <w:rsid w:val="00091432"/>
    <w:rsid w:val="0009161E"/>
    <w:rsid w:val="00091803"/>
    <w:rsid w:val="00091C29"/>
    <w:rsid w:val="00091F69"/>
    <w:rsid w:val="0009229A"/>
    <w:rsid w:val="00092799"/>
    <w:rsid w:val="000928EB"/>
    <w:rsid w:val="00092C5F"/>
    <w:rsid w:val="000949B1"/>
    <w:rsid w:val="000960CC"/>
    <w:rsid w:val="000960FB"/>
    <w:rsid w:val="00096680"/>
    <w:rsid w:val="0009708D"/>
    <w:rsid w:val="00097712"/>
    <w:rsid w:val="000A0561"/>
    <w:rsid w:val="000A0F36"/>
    <w:rsid w:val="000A174A"/>
    <w:rsid w:val="000A2DB7"/>
    <w:rsid w:val="000A2F16"/>
    <w:rsid w:val="000A3E0A"/>
    <w:rsid w:val="000A489F"/>
    <w:rsid w:val="000A48AF"/>
    <w:rsid w:val="000A65AC"/>
    <w:rsid w:val="000A7027"/>
    <w:rsid w:val="000A7159"/>
    <w:rsid w:val="000A7294"/>
    <w:rsid w:val="000B033D"/>
    <w:rsid w:val="000B2115"/>
    <w:rsid w:val="000B2F54"/>
    <w:rsid w:val="000B321A"/>
    <w:rsid w:val="000B38F6"/>
    <w:rsid w:val="000B66D0"/>
    <w:rsid w:val="000B676B"/>
    <w:rsid w:val="000B6778"/>
    <w:rsid w:val="000B7090"/>
    <w:rsid w:val="000B7281"/>
    <w:rsid w:val="000B7FAB"/>
    <w:rsid w:val="000C0163"/>
    <w:rsid w:val="000C0AB0"/>
    <w:rsid w:val="000C12AA"/>
    <w:rsid w:val="000C179A"/>
    <w:rsid w:val="000C1BA1"/>
    <w:rsid w:val="000C1E36"/>
    <w:rsid w:val="000C245C"/>
    <w:rsid w:val="000C2A71"/>
    <w:rsid w:val="000C2C3A"/>
    <w:rsid w:val="000C3EA9"/>
    <w:rsid w:val="000C465B"/>
    <w:rsid w:val="000C482D"/>
    <w:rsid w:val="000C5641"/>
    <w:rsid w:val="000C6F2B"/>
    <w:rsid w:val="000C77FF"/>
    <w:rsid w:val="000D0225"/>
    <w:rsid w:val="000D24FC"/>
    <w:rsid w:val="000D3F33"/>
    <w:rsid w:val="000D481B"/>
    <w:rsid w:val="000D5317"/>
    <w:rsid w:val="000E0BF1"/>
    <w:rsid w:val="000E1198"/>
    <w:rsid w:val="000E2D80"/>
    <w:rsid w:val="000E30E7"/>
    <w:rsid w:val="000E3409"/>
    <w:rsid w:val="000E3FD6"/>
    <w:rsid w:val="000E429B"/>
    <w:rsid w:val="000E4E2D"/>
    <w:rsid w:val="000E5551"/>
    <w:rsid w:val="000E6071"/>
    <w:rsid w:val="000E7895"/>
    <w:rsid w:val="000F161D"/>
    <w:rsid w:val="000F2DE4"/>
    <w:rsid w:val="000F2E0A"/>
    <w:rsid w:val="000F3CAA"/>
    <w:rsid w:val="000F453F"/>
    <w:rsid w:val="000F5080"/>
    <w:rsid w:val="000F6181"/>
    <w:rsid w:val="000F6712"/>
    <w:rsid w:val="000F7099"/>
    <w:rsid w:val="000F7BA3"/>
    <w:rsid w:val="00100D63"/>
    <w:rsid w:val="0010274C"/>
    <w:rsid w:val="00102ABB"/>
    <w:rsid w:val="0010473E"/>
    <w:rsid w:val="001055AF"/>
    <w:rsid w:val="00105A96"/>
    <w:rsid w:val="00106AD5"/>
    <w:rsid w:val="001070C1"/>
    <w:rsid w:val="00110353"/>
    <w:rsid w:val="00110F2E"/>
    <w:rsid w:val="00111065"/>
    <w:rsid w:val="00111369"/>
    <w:rsid w:val="00111869"/>
    <w:rsid w:val="00111978"/>
    <w:rsid w:val="00112215"/>
    <w:rsid w:val="00112D11"/>
    <w:rsid w:val="00113428"/>
    <w:rsid w:val="00115D85"/>
    <w:rsid w:val="001165CF"/>
    <w:rsid w:val="001170F5"/>
    <w:rsid w:val="00117254"/>
    <w:rsid w:val="00117909"/>
    <w:rsid w:val="00121BF0"/>
    <w:rsid w:val="00121C2B"/>
    <w:rsid w:val="00121C33"/>
    <w:rsid w:val="00123704"/>
    <w:rsid w:val="00123830"/>
    <w:rsid w:val="001239E8"/>
    <w:rsid w:val="001240F6"/>
    <w:rsid w:val="0012440F"/>
    <w:rsid w:val="0012553B"/>
    <w:rsid w:val="001266F5"/>
    <w:rsid w:val="00126DD5"/>
    <w:rsid w:val="00126E02"/>
    <w:rsid w:val="001270C7"/>
    <w:rsid w:val="00130306"/>
    <w:rsid w:val="00132540"/>
    <w:rsid w:val="001326C1"/>
    <w:rsid w:val="00133F0F"/>
    <w:rsid w:val="00137A2C"/>
    <w:rsid w:val="001402F9"/>
    <w:rsid w:val="0014122C"/>
    <w:rsid w:val="00141263"/>
    <w:rsid w:val="00141BB8"/>
    <w:rsid w:val="00142333"/>
    <w:rsid w:val="0014462A"/>
    <w:rsid w:val="001457FA"/>
    <w:rsid w:val="001464CA"/>
    <w:rsid w:val="0014786A"/>
    <w:rsid w:val="001479C8"/>
    <w:rsid w:val="001510CE"/>
    <w:rsid w:val="001516A4"/>
    <w:rsid w:val="00151E5F"/>
    <w:rsid w:val="001526FE"/>
    <w:rsid w:val="00152E94"/>
    <w:rsid w:val="00152E96"/>
    <w:rsid w:val="00153BA4"/>
    <w:rsid w:val="00153E28"/>
    <w:rsid w:val="001544E3"/>
    <w:rsid w:val="001547C8"/>
    <w:rsid w:val="00156417"/>
    <w:rsid w:val="00156521"/>
    <w:rsid w:val="001569AB"/>
    <w:rsid w:val="00160539"/>
    <w:rsid w:val="0016107F"/>
    <w:rsid w:val="00161387"/>
    <w:rsid w:val="0016411B"/>
    <w:rsid w:val="00164D63"/>
    <w:rsid w:val="00165D3A"/>
    <w:rsid w:val="0016725C"/>
    <w:rsid w:val="001674C2"/>
    <w:rsid w:val="001704EE"/>
    <w:rsid w:val="0017065B"/>
    <w:rsid w:val="00170ECD"/>
    <w:rsid w:val="00171DA3"/>
    <w:rsid w:val="0017228F"/>
    <w:rsid w:val="001726F3"/>
    <w:rsid w:val="00173492"/>
    <w:rsid w:val="00173B84"/>
    <w:rsid w:val="00173C51"/>
    <w:rsid w:val="00173CD1"/>
    <w:rsid w:val="0017463C"/>
    <w:rsid w:val="00174CC2"/>
    <w:rsid w:val="00176179"/>
    <w:rsid w:val="00176CC6"/>
    <w:rsid w:val="00177670"/>
    <w:rsid w:val="0018070D"/>
    <w:rsid w:val="001807EF"/>
    <w:rsid w:val="00180B58"/>
    <w:rsid w:val="00181BE4"/>
    <w:rsid w:val="00181DEB"/>
    <w:rsid w:val="00181DFC"/>
    <w:rsid w:val="00181E40"/>
    <w:rsid w:val="001831C1"/>
    <w:rsid w:val="00184C61"/>
    <w:rsid w:val="0018505D"/>
    <w:rsid w:val="00185576"/>
    <w:rsid w:val="00185951"/>
    <w:rsid w:val="00185AEC"/>
    <w:rsid w:val="00187824"/>
    <w:rsid w:val="00190E60"/>
    <w:rsid w:val="00190FA9"/>
    <w:rsid w:val="00191CED"/>
    <w:rsid w:val="00191EDA"/>
    <w:rsid w:val="00194219"/>
    <w:rsid w:val="00194222"/>
    <w:rsid w:val="00195574"/>
    <w:rsid w:val="00196B8B"/>
    <w:rsid w:val="00197363"/>
    <w:rsid w:val="00197B3E"/>
    <w:rsid w:val="001A086D"/>
    <w:rsid w:val="001A250F"/>
    <w:rsid w:val="001A2BEA"/>
    <w:rsid w:val="001A5416"/>
    <w:rsid w:val="001A6C13"/>
    <w:rsid w:val="001A6D93"/>
    <w:rsid w:val="001B309B"/>
    <w:rsid w:val="001B350F"/>
    <w:rsid w:val="001B4E11"/>
    <w:rsid w:val="001B6A79"/>
    <w:rsid w:val="001B7C69"/>
    <w:rsid w:val="001C0189"/>
    <w:rsid w:val="001C071E"/>
    <w:rsid w:val="001C25E6"/>
    <w:rsid w:val="001C2E01"/>
    <w:rsid w:val="001C2F95"/>
    <w:rsid w:val="001C32EC"/>
    <w:rsid w:val="001C38BD"/>
    <w:rsid w:val="001C4D5A"/>
    <w:rsid w:val="001C6BEB"/>
    <w:rsid w:val="001C755C"/>
    <w:rsid w:val="001D073C"/>
    <w:rsid w:val="001D08E2"/>
    <w:rsid w:val="001D1021"/>
    <w:rsid w:val="001D10B6"/>
    <w:rsid w:val="001D1272"/>
    <w:rsid w:val="001D1818"/>
    <w:rsid w:val="001D3117"/>
    <w:rsid w:val="001D3606"/>
    <w:rsid w:val="001D4001"/>
    <w:rsid w:val="001D5167"/>
    <w:rsid w:val="001D68AB"/>
    <w:rsid w:val="001D6DEE"/>
    <w:rsid w:val="001D7DFF"/>
    <w:rsid w:val="001E1776"/>
    <w:rsid w:val="001E2AB1"/>
    <w:rsid w:val="001E31EF"/>
    <w:rsid w:val="001E3492"/>
    <w:rsid w:val="001E34C6"/>
    <w:rsid w:val="001E3940"/>
    <w:rsid w:val="001E3A78"/>
    <w:rsid w:val="001E54F2"/>
    <w:rsid w:val="001E5581"/>
    <w:rsid w:val="001E5C5C"/>
    <w:rsid w:val="001E7D96"/>
    <w:rsid w:val="001F1300"/>
    <w:rsid w:val="001F304B"/>
    <w:rsid w:val="001F3C70"/>
    <w:rsid w:val="001F53BC"/>
    <w:rsid w:val="001F6CEC"/>
    <w:rsid w:val="001F6F2A"/>
    <w:rsid w:val="00200D88"/>
    <w:rsid w:val="00201F68"/>
    <w:rsid w:val="00202B09"/>
    <w:rsid w:val="002041C3"/>
    <w:rsid w:val="0020423E"/>
    <w:rsid w:val="002044C8"/>
    <w:rsid w:val="00206D53"/>
    <w:rsid w:val="002071E3"/>
    <w:rsid w:val="00210DEA"/>
    <w:rsid w:val="00212F2A"/>
    <w:rsid w:val="002149C0"/>
    <w:rsid w:val="002149D8"/>
    <w:rsid w:val="00214F2B"/>
    <w:rsid w:val="00215235"/>
    <w:rsid w:val="00215AF1"/>
    <w:rsid w:val="00216AE1"/>
    <w:rsid w:val="00217880"/>
    <w:rsid w:val="002213A2"/>
    <w:rsid w:val="00222048"/>
    <w:rsid w:val="0022288C"/>
    <w:rsid w:val="00222D66"/>
    <w:rsid w:val="0022410F"/>
    <w:rsid w:val="00224A8A"/>
    <w:rsid w:val="00224CE7"/>
    <w:rsid w:val="00225A66"/>
    <w:rsid w:val="002271E2"/>
    <w:rsid w:val="0022738A"/>
    <w:rsid w:val="00227870"/>
    <w:rsid w:val="002305F5"/>
    <w:rsid w:val="002309A8"/>
    <w:rsid w:val="00231546"/>
    <w:rsid w:val="00231F9D"/>
    <w:rsid w:val="00232167"/>
    <w:rsid w:val="0023282D"/>
    <w:rsid w:val="00233466"/>
    <w:rsid w:val="002355C7"/>
    <w:rsid w:val="00235B9B"/>
    <w:rsid w:val="002369BF"/>
    <w:rsid w:val="00236B92"/>
    <w:rsid w:val="00236CFE"/>
    <w:rsid w:val="002374AD"/>
    <w:rsid w:val="002405F6"/>
    <w:rsid w:val="00240697"/>
    <w:rsid w:val="00240A15"/>
    <w:rsid w:val="0024117D"/>
    <w:rsid w:val="00241D72"/>
    <w:rsid w:val="002427D8"/>
    <w:rsid w:val="002428E3"/>
    <w:rsid w:val="00243031"/>
    <w:rsid w:val="0024311D"/>
    <w:rsid w:val="002431FF"/>
    <w:rsid w:val="00243847"/>
    <w:rsid w:val="00244C36"/>
    <w:rsid w:val="002464B2"/>
    <w:rsid w:val="00247AB7"/>
    <w:rsid w:val="00247AEB"/>
    <w:rsid w:val="00247B64"/>
    <w:rsid w:val="0025274B"/>
    <w:rsid w:val="0025297E"/>
    <w:rsid w:val="00254B37"/>
    <w:rsid w:val="00255790"/>
    <w:rsid w:val="00260BAF"/>
    <w:rsid w:val="002624A4"/>
    <w:rsid w:val="002627D4"/>
    <w:rsid w:val="00263C2B"/>
    <w:rsid w:val="002641B4"/>
    <w:rsid w:val="002650F7"/>
    <w:rsid w:val="002659B1"/>
    <w:rsid w:val="00267380"/>
    <w:rsid w:val="00270B78"/>
    <w:rsid w:val="00272481"/>
    <w:rsid w:val="002734B6"/>
    <w:rsid w:val="00273F3B"/>
    <w:rsid w:val="00274261"/>
    <w:rsid w:val="00274D15"/>
    <w:rsid w:val="00274D99"/>
    <w:rsid w:val="00274DB7"/>
    <w:rsid w:val="00274F42"/>
    <w:rsid w:val="00275543"/>
    <w:rsid w:val="00275913"/>
    <w:rsid w:val="00275984"/>
    <w:rsid w:val="002770BD"/>
    <w:rsid w:val="00280F74"/>
    <w:rsid w:val="00281518"/>
    <w:rsid w:val="002822CA"/>
    <w:rsid w:val="00282716"/>
    <w:rsid w:val="002840FA"/>
    <w:rsid w:val="002846CE"/>
    <w:rsid w:val="002859A5"/>
    <w:rsid w:val="00285F83"/>
    <w:rsid w:val="0028602C"/>
    <w:rsid w:val="00286998"/>
    <w:rsid w:val="0028708A"/>
    <w:rsid w:val="00287C7E"/>
    <w:rsid w:val="00287CA9"/>
    <w:rsid w:val="002911BB"/>
    <w:rsid w:val="002913FF"/>
    <w:rsid w:val="00291A8E"/>
    <w:rsid w:val="00291AB7"/>
    <w:rsid w:val="00291D60"/>
    <w:rsid w:val="00292EB2"/>
    <w:rsid w:val="0029422B"/>
    <w:rsid w:val="00294A6E"/>
    <w:rsid w:val="00294ED4"/>
    <w:rsid w:val="002954C8"/>
    <w:rsid w:val="00296235"/>
    <w:rsid w:val="002970EC"/>
    <w:rsid w:val="00297852"/>
    <w:rsid w:val="002A0938"/>
    <w:rsid w:val="002A1C6E"/>
    <w:rsid w:val="002A3E0B"/>
    <w:rsid w:val="002A44F6"/>
    <w:rsid w:val="002A5892"/>
    <w:rsid w:val="002A69AE"/>
    <w:rsid w:val="002B0EFD"/>
    <w:rsid w:val="002B153C"/>
    <w:rsid w:val="002B23FB"/>
    <w:rsid w:val="002B3883"/>
    <w:rsid w:val="002B3C05"/>
    <w:rsid w:val="002B3DE7"/>
    <w:rsid w:val="002B4310"/>
    <w:rsid w:val="002B4B6E"/>
    <w:rsid w:val="002B52FC"/>
    <w:rsid w:val="002B57CA"/>
    <w:rsid w:val="002B76FB"/>
    <w:rsid w:val="002B7A6B"/>
    <w:rsid w:val="002B7FAA"/>
    <w:rsid w:val="002C0D7A"/>
    <w:rsid w:val="002C13B2"/>
    <w:rsid w:val="002C1FC4"/>
    <w:rsid w:val="002C2830"/>
    <w:rsid w:val="002C3B92"/>
    <w:rsid w:val="002C73FF"/>
    <w:rsid w:val="002C7CD1"/>
    <w:rsid w:val="002D001A"/>
    <w:rsid w:val="002D016F"/>
    <w:rsid w:val="002D03E3"/>
    <w:rsid w:val="002D0774"/>
    <w:rsid w:val="002D08A4"/>
    <w:rsid w:val="002D16A5"/>
    <w:rsid w:val="002D1CCE"/>
    <w:rsid w:val="002D28E2"/>
    <w:rsid w:val="002D3025"/>
    <w:rsid w:val="002D317B"/>
    <w:rsid w:val="002D3587"/>
    <w:rsid w:val="002D4ECE"/>
    <w:rsid w:val="002D502D"/>
    <w:rsid w:val="002D63A6"/>
    <w:rsid w:val="002D7A2C"/>
    <w:rsid w:val="002E0D3A"/>
    <w:rsid w:val="002E0F69"/>
    <w:rsid w:val="002E5A85"/>
    <w:rsid w:val="002E6A26"/>
    <w:rsid w:val="002E74D4"/>
    <w:rsid w:val="002F06E0"/>
    <w:rsid w:val="002F1798"/>
    <w:rsid w:val="002F1A60"/>
    <w:rsid w:val="002F1FBA"/>
    <w:rsid w:val="002F21BE"/>
    <w:rsid w:val="002F34AF"/>
    <w:rsid w:val="002F3B6A"/>
    <w:rsid w:val="002F5147"/>
    <w:rsid w:val="002F5D35"/>
    <w:rsid w:val="002F68BD"/>
    <w:rsid w:val="002F6DFE"/>
    <w:rsid w:val="002F6E63"/>
    <w:rsid w:val="002F7485"/>
    <w:rsid w:val="002F78E8"/>
    <w:rsid w:val="002F7ABD"/>
    <w:rsid w:val="0030055C"/>
    <w:rsid w:val="00301AFF"/>
    <w:rsid w:val="00301FFE"/>
    <w:rsid w:val="00302178"/>
    <w:rsid w:val="00302CAD"/>
    <w:rsid w:val="00304C82"/>
    <w:rsid w:val="00304C9F"/>
    <w:rsid w:val="00304D60"/>
    <w:rsid w:val="00304F77"/>
    <w:rsid w:val="00305C71"/>
    <w:rsid w:val="00305DAC"/>
    <w:rsid w:val="00305F10"/>
    <w:rsid w:val="00307BE2"/>
    <w:rsid w:val="00310321"/>
    <w:rsid w:val="003103AA"/>
    <w:rsid w:val="00310409"/>
    <w:rsid w:val="00310E57"/>
    <w:rsid w:val="00310E72"/>
    <w:rsid w:val="003124EB"/>
    <w:rsid w:val="00312597"/>
    <w:rsid w:val="003132C6"/>
    <w:rsid w:val="00313EC2"/>
    <w:rsid w:val="0031538F"/>
    <w:rsid w:val="003163B1"/>
    <w:rsid w:val="00316C9B"/>
    <w:rsid w:val="00316FC9"/>
    <w:rsid w:val="00317B0A"/>
    <w:rsid w:val="00320BDE"/>
    <w:rsid w:val="00321535"/>
    <w:rsid w:val="00321F2F"/>
    <w:rsid w:val="00322AB6"/>
    <w:rsid w:val="00326C78"/>
    <w:rsid w:val="00327BA5"/>
    <w:rsid w:val="00327BE0"/>
    <w:rsid w:val="00327DC8"/>
    <w:rsid w:val="003303AE"/>
    <w:rsid w:val="003316BA"/>
    <w:rsid w:val="00332709"/>
    <w:rsid w:val="00332752"/>
    <w:rsid w:val="0033326F"/>
    <w:rsid w:val="00334154"/>
    <w:rsid w:val="00334185"/>
    <w:rsid w:val="00334297"/>
    <w:rsid w:val="00334D2C"/>
    <w:rsid w:val="0033631F"/>
    <w:rsid w:val="003372C4"/>
    <w:rsid w:val="00337CA9"/>
    <w:rsid w:val="00337E5B"/>
    <w:rsid w:val="00337F95"/>
    <w:rsid w:val="003401F0"/>
    <w:rsid w:val="00340ECA"/>
    <w:rsid w:val="003410A7"/>
    <w:rsid w:val="00341FA0"/>
    <w:rsid w:val="0034286F"/>
    <w:rsid w:val="0034378F"/>
    <w:rsid w:val="00344569"/>
    <w:rsid w:val="00344981"/>
    <w:rsid w:val="00344F3D"/>
    <w:rsid w:val="00345299"/>
    <w:rsid w:val="00345858"/>
    <w:rsid w:val="00346AAE"/>
    <w:rsid w:val="003475A9"/>
    <w:rsid w:val="00350215"/>
    <w:rsid w:val="003514E2"/>
    <w:rsid w:val="00351A8D"/>
    <w:rsid w:val="0035208E"/>
    <w:rsid w:val="0035266C"/>
    <w:rsid w:val="003526BB"/>
    <w:rsid w:val="00352BCF"/>
    <w:rsid w:val="00352DFB"/>
    <w:rsid w:val="003533B9"/>
    <w:rsid w:val="00353932"/>
    <w:rsid w:val="00353B15"/>
    <w:rsid w:val="0035464B"/>
    <w:rsid w:val="003566D0"/>
    <w:rsid w:val="00360324"/>
    <w:rsid w:val="00360D15"/>
    <w:rsid w:val="003615B6"/>
    <w:rsid w:val="00361A56"/>
    <w:rsid w:val="00362328"/>
    <w:rsid w:val="0036252A"/>
    <w:rsid w:val="003643BC"/>
    <w:rsid w:val="00364D9D"/>
    <w:rsid w:val="003650D0"/>
    <w:rsid w:val="00365168"/>
    <w:rsid w:val="00365917"/>
    <w:rsid w:val="00366177"/>
    <w:rsid w:val="0036661C"/>
    <w:rsid w:val="00366DFD"/>
    <w:rsid w:val="003674CA"/>
    <w:rsid w:val="00370078"/>
    <w:rsid w:val="0037030E"/>
    <w:rsid w:val="003703D2"/>
    <w:rsid w:val="00370B64"/>
    <w:rsid w:val="00370D04"/>
    <w:rsid w:val="00371048"/>
    <w:rsid w:val="00371659"/>
    <w:rsid w:val="00371BC4"/>
    <w:rsid w:val="00372789"/>
    <w:rsid w:val="00372E17"/>
    <w:rsid w:val="0037396C"/>
    <w:rsid w:val="00373EC4"/>
    <w:rsid w:val="0037421D"/>
    <w:rsid w:val="00376093"/>
    <w:rsid w:val="00376743"/>
    <w:rsid w:val="003779BE"/>
    <w:rsid w:val="003809C9"/>
    <w:rsid w:val="00380ABE"/>
    <w:rsid w:val="003812D2"/>
    <w:rsid w:val="00383DA1"/>
    <w:rsid w:val="003845FA"/>
    <w:rsid w:val="00384740"/>
    <w:rsid w:val="0038596E"/>
    <w:rsid w:val="00385F30"/>
    <w:rsid w:val="003868E5"/>
    <w:rsid w:val="00386D95"/>
    <w:rsid w:val="003908E6"/>
    <w:rsid w:val="003909AD"/>
    <w:rsid w:val="003909C0"/>
    <w:rsid w:val="003922D6"/>
    <w:rsid w:val="00393696"/>
    <w:rsid w:val="00393963"/>
    <w:rsid w:val="00393DFA"/>
    <w:rsid w:val="00393EFB"/>
    <w:rsid w:val="00395575"/>
    <w:rsid w:val="00395672"/>
    <w:rsid w:val="00396A8F"/>
    <w:rsid w:val="003A06C8"/>
    <w:rsid w:val="003A0D7C"/>
    <w:rsid w:val="003A0E1B"/>
    <w:rsid w:val="003A136E"/>
    <w:rsid w:val="003A16E6"/>
    <w:rsid w:val="003A37A9"/>
    <w:rsid w:val="003A3AE8"/>
    <w:rsid w:val="003A443B"/>
    <w:rsid w:val="003A5290"/>
    <w:rsid w:val="003A5C6D"/>
    <w:rsid w:val="003B0155"/>
    <w:rsid w:val="003B04AB"/>
    <w:rsid w:val="003B1A98"/>
    <w:rsid w:val="003B2C0D"/>
    <w:rsid w:val="003B3149"/>
    <w:rsid w:val="003B3182"/>
    <w:rsid w:val="003B51B0"/>
    <w:rsid w:val="003B53B3"/>
    <w:rsid w:val="003B701F"/>
    <w:rsid w:val="003B7EE7"/>
    <w:rsid w:val="003C0CCE"/>
    <w:rsid w:val="003C10F9"/>
    <w:rsid w:val="003C1834"/>
    <w:rsid w:val="003C1DB6"/>
    <w:rsid w:val="003C1E9C"/>
    <w:rsid w:val="003C2B71"/>
    <w:rsid w:val="003C2CCB"/>
    <w:rsid w:val="003C4BBA"/>
    <w:rsid w:val="003C5703"/>
    <w:rsid w:val="003C5AC5"/>
    <w:rsid w:val="003C612C"/>
    <w:rsid w:val="003C7B2F"/>
    <w:rsid w:val="003C7CAB"/>
    <w:rsid w:val="003D0889"/>
    <w:rsid w:val="003D1111"/>
    <w:rsid w:val="003D2774"/>
    <w:rsid w:val="003D2895"/>
    <w:rsid w:val="003D318E"/>
    <w:rsid w:val="003D31DE"/>
    <w:rsid w:val="003D347D"/>
    <w:rsid w:val="003D39EC"/>
    <w:rsid w:val="003D5A30"/>
    <w:rsid w:val="003D5DED"/>
    <w:rsid w:val="003D6251"/>
    <w:rsid w:val="003D70C3"/>
    <w:rsid w:val="003D7CFB"/>
    <w:rsid w:val="003E0015"/>
    <w:rsid w:val="003E0323"/>
    <w:rsid w:val="003E059D"/>
    <w:rsid w:val="003E08D1"/>
    <w:rsid w:val="003E12F4"/>
    <w:rsid w:val="003E140B"/>
    <w:rsid w:val="003E1B08"/>
    <w:rsid w:val="003E2520"/>
    <w:rsid w:val="003E2A0D"/>
    <w:rsid w:val="003E3DD5"/>
    <w:rsid w:val="003E4251"/>
    <w:rsid w:val="003E4EA2"/>
    <w:rsid w:val="003E5FF8"/>
    <w:rsid w:val="003E607F"/>
    <w:rsid w:val="003F07C6"/>
    <w:rsid w:val="003F18D1"/>
    <w:rsid w:val="003F1F6B"/>
    <w:rsid w:val="003F2F5F"/>
    <w:rsid w:val="003F31A6"/>
    <w:rsid w:val="003F3757"/>
    <w:rsid w:val="003F38BD"/>
    <w:rsid w:val="003F40BB"/>
    <w:rsid w:val="003F44B7"/>
    <w:rsid w:val="003F4652"/>
    <w:rsid w:val="003F54E6"/>
    <w:rsid w:val="003F7626"/>
    <w:rsid w:val="004008E9"/>
    <w:rsid w:val="00401403"/>
    <w:rsid w:val="00401E4A"/>
    <w:rsid w:val="00403727"/>
    <w:rsid w:val="004037F1"/>
    <w:rsid w:val="004038F9"/>
    <w:rsid w:val="0040477D"/>
    <w:rsid w:val="00404FB4"/>
    <w:rsid w:val="004063C3"/>
    <w:rsid w:val="00407C44"/>
    <w:rsid w:val="00410688"/>
    <w:rsid w:val="0041170B"/>
    <w:rsid w:val="00411CC4"/>
    <w:rsid w:val="00412162"/>
    <w:rsid w:val="00412792"/>
    <w:rsid w:val="00413530"/>
    <w:rsid w:val="00413B8D"/>
    <w:rsid w:val="00413D48"/>
    <w:rsid w:val="0041436B"/>
    <w:rsid w:val="004212BD"/>
    <w:rsid w:val="00421995"/>
    <w:rsid w:val="00423236"/>
    <w:rsid w:val="00423AA9"/>
    <w:rsid w:val="004241DC"/>
    <w:rsid w:val="00424321"/>
    <w:rsid w:val="00424471"/>
    <w:rsid w:val="00425375"/>
    <w:rsid w:val="0042559F"/>
    <w:rsid w:val="004259BE"/>
    <w:rsid w:val="00425EE5"/>
    <w:rsid w:val="004264F1"/>
    <w:rsid w:val="00426890"/>
    <w:rsid w:val="004321C3"/>
    <w:rsid w:val="0043223C"/>
    <w:rsid w:val="00433441"/>
    <w:rsid w:val="004353E8"/>
    <w:rsid w:val="00436DF6"/>
    <w:rsid w:val="00441AC2"/>
    <w:rsid w:val="0044249B"/>
    <w:rsid w:val="004425CC"/>
    <w:rsid w:val="00442E5B"/>
    <w:rsid w:val="004439A4"/>
    <w:rsid w:val="004454EA"/>
    <w:rsid w:val="004461F4"/>
    <w:rsid w:val="0044725E"/>
    <w:rsid w:val="00450043"/>
    <w:rsid w:val="0045023C"/>
    <w:rsid w:val="00450388"/>
    <w:rsid w:val="00450684"/>
    <w:rsid w:val="004516F7"/>
    <w:rsid w:val="00451868"/>
    <w:rsid w:val="0045198F"/>
    <w:rsid w:val="00451A5B"/>
    <w:rsid w:val="00452BCD"/>
    <w:rsid w:val="00452CEA"/>
    <w:rsid w:val="004538E7"/>
    <w:rsid w:val="004540A4"/>
    <w:rsid w:val="004542F0"/>
    <w:rsid w:val="00454C53"/>
    <w:rsid w:val="004560BC"/>
    <w:rsid w:val="004561C0"/>
    <w:rsid w:val="00457B18"/>
    <w:rsid w:val="00457CA0"/>
    <w:rsid w:val="00460127"/>
    <w:rsid w:val="004617C9"/>
    <w:rsid w:val="00464A82"/>
    <w:rsid w:val="0046549B"/>
    <w:rsid w:val="00465B52"/>
    <w:rsid w:val="0046708E"/>
    <w:rsid w:val="00470C14"/>
    <w:rsid w:val="00470FD2"/>
    <w:rsid w:val="00471829"/>
    <w:rsid w:val="004721B3"/>
    <w:rsid w:val="00472A65"/>
    <w:rsid w:val="004732EB"/>
    <w:rsid w:val="00474123"/>
    <w:rsid w:val="00474463"/>
    <w:rsid w:val="00474B75"/>
    <w:rsid w:val="00474CD8"/>
    <w:rsid w:val="0047712A"/>
    <w:rsid w:val="004774CC"/>
    <w:rsid w:val="00477648"/>
    <w:rsid w:val="00477743"/>
    <w:rsid w:val="00477E40"/>
    <w:rsid w:val="00477FA3"/>
    <w:rsid w:val="0048078B"/>
    <w:rsid w:val="0048327E"/>
    <w:rsid w:val="00483F0B"/>
    <w:rsid w:val="004853AC"/>
    <w:rsid w:val="00486F29"/>
    <w:rsid w:val="004903EC"/>
    <w:rsid w:val="00492BCB"/>
    <w:rsid w:val="00492E65"/>
    <w:rsid w:val="00493597"/>
    <w:rsid w:val="0049593E"/>
    <w:rsid w:val="00495D6B"/>
    <w:rsid w:val="00496319"/>
    <w:rsid w:val="00496AE5"/>
    <w:rsid w:val="00497279"/>
    <w:rsid w:val="004978EA"/>
    <w:rsid w:val="004A0AFB"/>
    <w:rsid w:val="004A163B"/>
    <w:rsid w:val="004A2DF7"/>
    <w:rsid w:val="004A36C7"/>
    <w:rsid w:val="004A3D57"/>
    <w:rsid w:val="004A46DA"/>
    <w:rsid w:val="004A553D"/>
    <w:rsid w:val="004A5A73"/>
    <w:rsid w:val="004A5BBB"/>
    <w:rsid w:val="004A670A"/>
    <w:rsid w:val="004A6ED8"/>
    <w:rsid w:val="004B07A2"/>
    <w:rsid w:val="004B0F45"/>
    <w:rsid w:val="004B28B4"/>
    <w:rsid w:val="004B2E23"/>
    <w:rsid w:val="004B4797"/>
    <w:rsid w:val="004B4A58"/>
    <w:rsid w:val="004B4F44"/>
    <w:rsid w:val="004B5465"/>
    <w:rsid w:val="004B58F0"/>
    <w:rsid w:val="004B60E0"/>
    <w:rsid w:val="004B70F0"/>
    <w:rsid w:val="004B72C9"/>
    <w:rsid w:val="004B7967"/>
    <w:rsid w:val="004B7E12"/>
    <w:rsid w:val="004C15D5"/>
    <w:rsid w:val="004C18A4"/>
    <w:rsid w:val="004C21A8"/>
    <w:rsid w:val="004C37F7"/>
    <w:rsid w:val="004C3D8B"/>
    <w:rsid w:val="004C4E18"/>
    <w:rsid w:val="004C53A8"/>
    <w:rsid w:val="004C611F"/>
    <w:rsid w:val="004C7A40"/>
    <w:rsid w:val="004D1DAF"/>
    <w:rsid w:val="004D23BA"/>
    <w:rsid w:val="004D2BAE"/>
    <w:rsid w:val="004D3910"/>
    <w:rsid w:val="004D3B63"/>
    <w:rsid w:val="004D4740"/>
    <w:rsid w:val="004D505E"/>
    <w:rsid w:val="004D658F"/>
    <w:rsid w:val="004D72CA"/>
    <w:rsid w:val="004E0727"/>
    <w:rsid w:val="004E10DD"/>
    <w:rsid w:val="004E2242"/>
    <w:rsid w:val="004E2BDD"/>
    <w:rsid w:val="004E2DFA"/>
    <w:rsid w:val="004E40A3"/>
    <w:rsid w:val="004E6409"/>
    <w:rsid w:val="004E6B70"/>
    <w:rsid w:val="004E6C84"/>
    <w:rsid w:val="004E7190"/>
    <w:rsid w:val="004E74AE"/>
    <w:rsid w:val="004E7A04"/>
    <w:rsid w:val="004E7D4F"/>
    <w:rsid w:val="004F0019"/>
    <w:rsid w:val="004F1804"/>
    <w:rsid w:val="004F22E3"/>
    <w:rsid w:val="004F2564"/>
    <w:rsid w:val="004F2B43"/>
    <w:rsid w:val="004F42FF"/>
    <w:rsid w:val="004F43C4"/>
    <w:rsid w:val="004F44C2"/>
    <w:rsid w:val="004F5BCF"/>
    <w:rsid w:val="004F7C3A"/>
    <w:rsid w:val="0050034D"/>
    <w:rsid w:val="0050109C"/>
    <w:rsid w:val="00501492"/>
    <w:rsid w:val="005020EE"/>
    <w:rsid w:val="00502512"/>
    <w:rsid w:val="00502EB1"/>
    <w:rsid w:val="0050370C"/>
    <w:rsid w:val="00503FD2"/>
    <w:rsid w:val="0050488C"/>
    <w:rsid w:val="00504FA7"/>
    <w:rsid w:val="00505262"/>
    <w:rsid w:val="00505369"/>
    <w:rsid w:val="00505853"/>
    <w:rsid w:val="0050614D"/>
    <w:rsid w:val="00506266"/>
    <w:rsid w:val="0050703D"/>
    <w:rsid w:val="005109CC"/>
    <w:rsid w:val="00510B7A"/>
    <w:rsid w:val="00510C59"/>
    <w:rsid w:val="00513268"/>
    <w:rsid w:val="00514545"/>
    <w:rsid w:val="00515281"/>
    <w:rsid w:val="00516022"/>
    <w:rsid w:val="005167B9"/>
    <w:rsid w:val="0051686F"/>
    <w:rsid w:val="00517CDB"/>
    <w:rsid w:val="00520062"/>
    <w:rsid w:val="00520353"/>
    <w:rsid w:val="00521106"/>
    <w:rsid w:val="00521CEE"/>
    <w:rsid w:val="00521FC1"/>
    <w:rsid w:val="00522013"/>
    <w:rsid w:val="00522D6C"/>
    <w:rsid w:val="00522EB8"/>
    <w:rsid w:val="0052337F"/>
    <w:rsid w:val="005237BF"/>
    <w:rsid w:val="005237ED"/>
    <w:rsid w:val="005239A4"/>
    <w:rsid w:val="005244FF"/>
    <w:rsid w:val="00525CAD"/>
    <w:rsid w:val="005273A9"/>
    <w:rsid w:val="00527BD4"/>
    <w:rsid w:val="00530901"/>
    <w:rsid w:val="00530D2D"/>
    <w:rsid w:val="005316C7"/>
    <w:rsid w:val="00532045"/>
    <w:rsid w:val="005330E6"/>
    <w:rsid w:val="0053434D"/>
    <w:rsid w:val="00534708"/>
    <w:rsid w:val="00534DBD"/>
    <w:rsid w:val="00535735"/>
    <w:rsid w:val="00536D48"/>
    <w:rsid w:val="00537095"/>
    <w:rsid w:val="005403C8"/>
    <w:rsid w:val="00540660"/>
    <w:rsid w:val="00540941"/>
    <w:rsid w:val="005429DC"/>
    <w:rsid w:val="005431BD"/>
    <w:rsid w:val="0054392F"/>
    <w:rsid w:val="005443AF"/>
    <w:rsid w:val="005459BF"/>
    <w:rsid w:val="005479F9"/>
    <w:rsid w:val="00547CAD"/>
    <w:rsid w:val="00550322"/>
    <w:rsid w:val="005507EB"/>
    <w:rsid w:val="00550A47"/>
    <w:rsid w:val="00551CBE"/>
    <w:rsid w:val="00552FB6"/>
    <w:rsid w:val="005565F9"/>
    <w:rsid w:val="00560A3F"/>
    <w:rsid w:val="0056167C"/>
    <w:rsid w:val="00561DB0"/>
    <w:rsid w:val="00562364"/>
    <w:rsid w:val="00564768"/>
    <w:rsid w:val="00565076"/>
    <w:rsid w:val="00565D56"/>
    <w:rsid w:val="0056674A"/>
    <w:rsid w:val="005675D8"/>
    <w:rsid w:val="00567BEB"/>
    <w:rsid w:val="00570F04"/>
    <w:rsid w:val="005720A5"/>
    <w:rsid w:val="005728CA"/>
    <w:rsid w:val="00573041"/>
    <w:rsid w:val="005731CF"/>
    <w:rsid w:val="005739C5"/>
    <w:rsid w:val="00574421"/>
    <w:rsid w:val="00575304"/>
    <w:rsid w:val="00575B80"/>
    <w:rsid w:val="00575C45"/>
    <w:rsid w:val="0057620F"/>
    <w:rsid w:val="005766C8"/>
    <w:rsid w:val="00577579"/>
    <w:rsid w:val="005810B1"/>
    <w:rsid w:val="00581647"/>
    <w:rsid w:val="005819CE"/>
    <w:rsid w:val="0058298D"/>
    <w:rsid w:val="00583299"/>
    <w:rsid w:val="0058392B"/>
    <w:rsid w:val="00584C1A"/>
    <w:rsid w:val="00585C4E"/>
    <w:rsid w:val="005862AC"/>
    <w:rsid w:val="005874DC"/>
    <w:rsid w:val="00587A0F"/>
    <w:rsid w:val="005924BA"/>
    <w:rsid w:val="00593590"/>
    <w:rsid w:val="00593C2B"/>
    <w:rsid w:val="00595231"/>
    <w:rsid w:val="00596166"/>
    <w:rsid w:val="00596EB7"/>
    <w:rsid w:val="00597F64"/>
    <w:rsid w:val="005A02D5"/>
    <w:rsid w:val="005A0711"/>
    <w:rsid w:val="005A12F9"/>
    <w:rsid w:val="005A15A8"/>
    <w:rsid w:val="005A1BBE"/>
    <w:rsid w:val="005A207F"/>
    <w:rsid w:val="005A219D"/>
    <w:rsid w:val="005A2F35"/>
    <w:rsid w:val="005A4ED6"/>
    <w:rsid w:val="005A6EE0"/>
    <w:rsid w:val="005B0896"/>
    <w:rsid w:val="005B0AE2"/>
    <w:rsid w:val="005B18B4"/>
    <w:rsid w:val="005B2893"/>
    <w:rsid w:val="005B3814"/>
    <w:rsid w:val="005B4096"/>
    <w:rsid w:val="005B463E"/>
    <w:rsid w:val="005B5E31"/>
    <w:rsid w:val="005B66AE"/>
    <w:rsid w:val="005B7B71"/>
    <w:rsid w:val="005B7DD1"/>
    <w:rsid w:val="005B7F1A"/>
    <w:rsid w:val="005C01D0"/>
    <w:rsid w:val="005C085D"/>
    <w:rsid w:val="005C0F15"/>
    <w:rsid w:val="005C34DA"/>
    <w:rsid w:val="005C34E1"/>
    <w:rsid w:val="005C3FE0"/>
    <w:rsid w:val="005C4D4A"/>
    <w:rsid w:val="005C509A"/>
    <w:rsid w:val="005C5AED"/>
    <w:rsid w:val="005C6808"/>
    <w:rsid w:val="005C740C"/>
    <w:rsid w:val="005C7B67"/>
    <w:rsid w:val="005C7F54"/>
    <w:rsid w:val="005D09A3"/>
    <w:rsid w:val="005D0DF8"/>
    <w:rsid w:val="005D1E9B"/>
    <w:rsid w:val="005D1E9C"/>
    <w:rsid w:val="005D2DBC"/>
    <w:rsid w:val="005D625B"/>
    <w:rsid w:val="005D6FBD"/>
    <w:rsid w:val="005D7974"/>
    <w:rsid w:val="005E06F3"/>
    <w:rsid w:val="005E0815"/>
    <w:rsid w:val="005E190D"/>
    <w:rsid w:val="005E275F"/>
    <w:rsid w:val="005E2F3B"/>
    <w:rsid w:val="005E32AF"/>
    <w:rsid w:val="005E4815"/>
    <w:rsid w:val="005F0828"/>
    <w:rsid w:val="005F14F8"/>
    <w:rsid w:val="005F1CC7"/>
    <w:rsid w:val="005F3DA0"/>
    <w:rsid w:val="005F4B25"/>
    <w:rsid w:val="005F564A"/>
    <w:rsid w:val="005F60C7"/>
    <w:rsid w:val="005F62D3"/>
    <w:rsid w:val="005F6D11"/>
    <w:rsid w:val="005F7CD1"/>
    <w:rsid w:val="006000C7"/>
    <w:rsid w:val="00600ACE"/>
    <w:rsid w:val="00600CF0"/>
    <w:rsid w:val="006010D2"/>
    <w:rsid w:val="0060243A"/>
    <w:rsid w:val="0060363E"/>
    <w:rsid w:val="006048F4"/>
    <w:rsid w:val="00605A55"/>
    <w:rsid w:val="0060660A"/>
    <w:rsid w:val="006066CF"/>
    <w:rsid w:val="00606C02"/>
    <w:rsid w:val="00607535"/>
    <w:rsid w:val="006108AD"/>
    <w:rsid w:val="006113D9"/>
    <w:rsid w:val="00613B1D"/>
    <w:rsid w:val="00615182"/>
    <w:rsid w:val="00616E81"/>
    <w:rsid w:val="00617105"/>
    <w:rsid w:val="006172BA"/>
    <w:rsid w:val="00617A44"/>
    <w:rsid w:val="00617EBA"/>
    <w:rsid w:val="006202B6"/>
    <w:rsid w:val="006211BC"/>
    <w:rsid w:val="00621564"/>
    <w:rsid w:val="006223F2"/>
    <w:rsid w:val="00623A7F"/>
    <w:rsid w:val="00623D7E"/>
    <w:rsid w:val="00623E0D"/>
    <w:rsid w:val="00624032"/>
    <w:rsid w:val="006245E5"/>
    <w:rsid w:val="006246ED"/>
    <w:rsid w:val="00624881"/>
    <w:rsid w:val="00624CA2"/>
    <w:rsid w:val="00625CD0"/>
    <w:rsid w:val="0062627D"/>
    <w:rsid w:val="006269DB"/>
    <w:rsid w:val="00626AA1"/>
    <w:rsid w:val="00627432"/>
    <w:rsid w:val="00627C0C"/>
    <w:rsid w:val="00627C4E"/>
    <w:rsid w:val="00630E2D"/>
    <w:rsid w:val="00630EBD"/>
    <w:rsid w:val="0063105D"/>
    <w:rsid w:val="00631854"/>
    <w:rsid w:val="00632DCE"/>
    <w:rsid w:val="006356B6"/>
    <w:rsid w:val="0063685E"/>
    <w:rsid w:val="00637E92"/>
    <w:rsid w:val="00637EAC"/>
    <w:rsid w:val="006402A1"/>
    <w:rsid w:val="00640D8C"/>
    <w:rsid w:val="00640FA6"/>
    <w:rsid w:val="00641D2E"/>
    <w:rsid w:val="00642543"/>
    <w:rsid w:val="0064259C"/>
    <w:rsid w:val="00643757"/>
    <w:rsid w:val="00643FAA"/>
    <w:rsid w:val="006448E4"/>
    <w:rsid w:val="00645414"/>
    <w:rsid w:val="006456CA"/>
    <w:rsid w:val="00645CE3"/>
    <w:rsid w:val="00647F1B"/>
    <w:rsid w:val="00650E22"/>
    <w:rsid w:val="00651B18"/>
    <w:rsid w:val="00651CEE"/>
    <w:rsid w:val="00651FC9"/>
    <w:rsid w:val="00652868"/>
    <w:rsid w:val="006528C4"/>
    <w:rsid w:val="00653606"/>
    <w:rsid w:val="00653D2C"/>
    <w:rsid w:val="006542D0"/>
    <w:rsid w:val="00654825"/>
    <w:rsid w:val="00654B50"/>
    <w:rsid w:val="00654C2B"/>
    <w:rsid w:val="00654F6B"/>
    <w:rsid w:val="006573B9"/>
    <w:rsid w:val="00657706"/>
    <w:rsid w:val="00657B21"/>
    <w:rsid w:val="00660081"/>
    <w:rsid w:val="006610E9"/>
    <w:rsid w:val="00661591"/>
    <w:rsid w:val="006626DA"/>
    <w:rsid w:val="00662E21"/>
    <w:rsid w:val="00663389"/>
    <w:rsid w:val="00664678"/>
    <w:rsid w:val="0066632F"/>
    <w:rsid w:val="006701AA"/>
    <w:rsid w:val="00670243"/>
    <w:rsid w:val="0067069C"/>
    <w:rsid w:val="00671277"/>
    <w:rsid w:val="00671AAC"/>
    <w:rsid w:val="00671D89"/>
    <w:rsid w:val="006743DB"/>
    <w:rsid w:val="00674A89"/>
    <w:rsid w:val="00674F3D"/>
    <w:rsid w:val="0067514D"/>
    <w:rsid w:val="006754B1"/>
    <w:rsid w:val="00675522"/>
    <w:rsid w:val="00675E51"/>
    <w:rsid w:val="00676BE9"/>
    <w:rsid w:val="00677545"/>
    <w:rsid w:val="0068203E"/>
    <w:rsid w:val="00683B25"/>
    <w:rsid w:val="00683F9E"/>
    <w:rsid w:val="00684971"/>
    <w:rsid w:val="00684BBB"/>
    <w:rsid w:val="00685545"/>
    <w:rsid w:val="00685998"/>
    <w:rsid w:val="00686089"/>
    <w:rsid w:val="006864B3"/>
    <w:rsid w:val="006872FF"/>
    <w:rsid w:val="00687903"/>
    <w:rsid w:val="00692D64"/>
    <w:rsid w:val="00692DF3"/>
    <w:rsid w:val="0069325F"/>
    <w:rsid w:val="00694A73"/>
    <w:rsid w:val="00697E70"/>
    <w:rsid w:val="006A000E"/>
    <w:rsid w:val="006A013B"/>
    <w:rsid w:val="006A01DE"/>
    <w:rsid w:val="006A10F8"/>
    <w:rsid w:val="006A2100"/>
    <w:rsid w:val="006A29AD"/>
    <w:rsid w:val="006A386D"/>
    <w:rsid w:val="006A402C"/>
    <w:rsid w:val="006A5C3B"/>
    <w:rsid w:val="006A61DD"/>
    <w:rsid w:val="006A72E0"/>
    <w:rsid w:val="006A7E34"/>
    <w:rsid w:val="006AA560"/>
    <w:rsid w:val="006B0BF3"/>
    <w:rsid w:val="006B13A4"/>
    <w:rsid w:val="006B1E2C"/>
    <w:rsid w:val="006B241A"/>
    <w:rsid w:val="006B26B1"/>
    <w:rsid w:val="006B3BBE"/>
    <w:rsid w:val="006B3C17"/>
    <w:rsid w:val="006B4663"/>
    <w:rsid w:val="006B4967"/>
    <w:rsid w:val="006B4CA7"/>
    <w:rsid w:val="006B5019"/>
    <w:rsid w:val="006B594D"/>
    <w:rsid w:val="006B775E"/>
    <w:rsid w:val="006B7BC7"/>
    <w:rsid w:val="006B7F30"/>
    <w:rsid w:val="006C0583"/>
    <w:rsid w:val="006C0A4B"/>
    <w:rsid w:val="006C2535"/>
    <w:rsid w:val="006C2AC2"/>
    <w:rsid w:val="006C35A4"/>
    <w:rsid w:val="006C3AED"/>
    <w:rsid w:val="006C441E"/>
    <w:rsid w:val="006C4B90"/>
    <w:rsid w:val="006C5C80"/>
    <w:rsid w:val="006C6E06"/>
    <w:rsid w:val="006D1016"/>
    <w:rsid w:val="006D17F2"/>
    <w:rsid w:val="006D1F6D"/>
    <w:rsid w:val="006D2210"/>
    <w:rsid w:val="006D2617"/>
    <w:rsid w:val="006D40F2"/>
    <w:rsid w:val="006D461E"/>
    <w:rsid w:val="006D4D9D"/>
    <w:rsid w:val="006D4F12"/>
    <w:rsid w:val="006D5622"/>
    <w:rsid w:val="006D5BF3"/>
    <w:rsid w:val="006D69DB"/>
    <w:rsid w:val="006D7E32"/>
    <w:rsid w:val="006E1516"/>
    <w:rsid w:val="006E169A"/>
    <w:rsid w:val="006E2438"/>
    <w:rsid w:val="006E3546"/>
    <w:rsid w:val="006E3FA9"/>
    <w:rsid w:val="006E43F0"/>
    <w:rsid w:val="006E55F7"/>
    <w:rsid w:val="006E5D42"/>
    <w:rsid w:val="006E5ED9"/>
    <w:rsid w:val="006E6448"/>
    <w:rsid w:val="006E6556"/>
    <w:rsid w:val="006E7D82"/>
    <w:rsid w:val="006F038F"/>
    <w:rsid w:val="006F0F93"/>
    <w:rsid w:val="006F1A67"/>
    <w:rsid w:val="006F31F2"/>
    <w:rsid w:val="006F66E1"/>
    <w:rsid w:val="006F6B4B"/>
    <w:rsid w:val="006F7494"/>
    <w:rsid w:val="006F751F"/>
    <w:rsid w:val="00700714"/>
    <w:rsid w:val="00700F7E"/>
    <w:rsid w:val="00703AD9"/>
    <w:rsid w:val="00703EBC"/>
    <w:rsid w:val="00704402"/>
    <w:rsid w:val="00705433"/>
    <w:rsid w:val="00705846"/>
    <w:rsid w:val="007064B5"/>
    <w:rsid w:val="007070EA"/>
    <w:rsid w:val="00707AC6"/>
    <w:rsid w:val="00707EFD"/>
    <w:rsid w:val="00710C98"/>
    <w:rsid w:val="0071221C"/>
    <w:rsid w:val="00712761"/>
    <w:rsid w:val="00712855"/>
    <w:rsid w:val="007129DB"/>
    <w:rsid w:val="00713428"/>
    <w:rsid w:val="00713709"/>
    <w:rsid w:val="007142D0"/>
    <w:rsid w:val="00714DC5"/>
    <w:rsid w:val="00715237"/>
    <w:rsid w:val="00720B31"/>
    <w:rsid w:val="00721AE1"/>
    <w:rsid w:val="007235CF"/>
    <w:rsid w:val="007241D8"/>
    <w:rsid w:val="00725004"/>
    <w:rsid w:val="007254A5"/>
    <w:rsid w:val="00725748"/>
    <w:rsid w:val="00725FA0"/>
    <w:rsid w:val="007269E3"/>
    <w:rsid w:val="00726BBF"/>
    <w:rsid w:val="00727B19"/>
    <w:rsid w:val="00730D7B"/>
    <w:rsid w:val="00731EF0"/>
    <w:rsid w:val="00732F79"/>
    <w:rsid w:val="007342F9"/>
    <w:rsid w:val="00735587"/>
    <w:rsid w:val="00735D88"/>
    <w:rsid w:val="00736CC8"/>
    <w:rsid w:val="007370F9"/>
    <w:rsid w:val="0073720D"/>
    <w:rsid w:val="0073726F"/>
    <w:rsid w:val="00737507"/>
    <w:rsid w:val="00737822"/>
    <w:rsid w:val="00737E8F"/>
    <w:rsid w:val="00740712"/>
    <w:rsid w:val="00742AB9"/>
    <w:rsid w:val="00744B8A"/>
    <w:rsid w:val="00745634"/>
    <w:rsid w:val="00745AFF"/>
    <w:rsid w:val="00746C31"/>
    <w:rsid w:val="00747696"/>
    <w:rsid w:val="00747F69"/>
    <w:rsid w:val="00750CC1"/>
    <w:rsid w:val="00751A6A"/>
    <w:rsid w:val="007524AC"/>
    <w:rsid w:val="00752BCE"/>
    <w:rsid w:val="00754444"/>
    <w:rsid w:val="00754FBF"/>
    <w:rsid w:val="0075706B"/>
    <w:rsid w:val="007610AA"/>
    <w:rsid w:val="007611E0"/>
    <w:rsid w:val="0076145C"/>
    <w:rsid w:val="00762C8A"/>
    <w:rsid w:val="007642A0"/>
    <w:rsid w:val="00764A5B"/>
    <w:rsid w:val="0076534A"/>
    <w:rsid w:val="00766716"/>
    <w:rsid w:val="00766C1C"/>
    <w:rsid w:val="00766DEA"/>
    <w:rsid w:val="007700B8"/>
    <w:rsid w:val="007709EF"/>
    <w:rsid w:val="00770AB4"/>
    <w:rsid w:val="00770AC1"/>
    <w:rsid w:val="00770C64"/>
    <w:rsid w:val="00771C67"/>
    <w:rsid w:val="00772E6B"/>
    <w:rsid w:val="00773716"/>
    <w:rsid w:val="0077382A"/>
    <w:rsid w:val="00774510"/>
    <w:rsid w:val="00774571"/>
    <w:rsid w:val="00774E6C"/>
    <w:rsid w:val="0077605C"/>
    <w:rsid w:val="00776805"/>
    <w:rsid w:val="00780388"/>
    <w:rsid w:val="007805F7"/>
    <w:rsid w:val="00782701"/>
    <w:rsid w:val="00782766"/>
    <w:rsid w:val="00782B5C"/>
    <w:rsid w:val="00783202"/>
    <w:rsid w:val="00783530"/>
    <w:rsid w:val="00783559"/>
    <w:rsid w:val="0078485F"/>
    <w:rsid w:val="00790CEC"/>
    <w:rsid w:val="00790EE9"/>
    <w:rsid w:val="00791052"/>
    <w:rsid w:val="0079113C"/>
    <w:rsid w:val="007927E6"/>
    <w:rsid w:val="00794101"/>
    <w:rsid w:val="0079551B"/>
    <w:rsid w:val="00797AA5"/>
    <w:rsid w:val="007A06C8"/>
    <w:rsid w:val="007A21C5"/>
    <w:rsid w:val="007A26BD"/>
    <w:rsid w:val="007A2960"/>
    <w:rsid w:val="007A328A"/>
    <w:rsid w:val="007A3561"/>
    <w:rsid w:val="007A3D2C"/>
    <w:rsid w:val="007A4105"/>
    <w:rsid w:val="007A5756"/>
    <w:rsid w:val="007A6A1F"/>
    <w:rsid w:val="007A6DC6"/>
    <w:rsid w:val="007B07E9"/>
    <w:rsid w:val="007B1C4A"/>
    <w:rsid w:val="007B334D"/>
    <w:rsid w:val="007B4073"/>
    <w:rsid w:val="007B4503"/>
    <w:rsid w:val="007B4B56"/>
    <w:rsid w:val="007B4BDE"/>
    <w:rsid w:val="007B4C64"/>
    <w:rsid w:val="007B7979"/>
    <w:rsid w:val="007C0C5F"/>
    <w:rsid w:val="007C2619"/>
    <w:rsid w:val="007C32D6"/>
    <w:rsid w:val="007C3339"/>
    <w:rsid w:val="007C3A25"/>
    <w:rsid w:val="007C406E"/>
    <w:rsid w:val="007C5183"/>
    <w:rsid w:val="007C7573"/>
    <w:rsid w:val="007D058F"/>
    <w:rsid w:val="007D1299"/>
    <w:rsid w:val="007D1EC5"/>
    <w:rsid w:val="007D2807"/>
    <w:rsid w:val="007D29EB"/>
    <w:rsid w:val="007D2C29"/>
    <w:rsid w:val="007D46F0"/>
    <w:rsid w:val="007D46F9"/>
    <w:rsid w:val="007D7373"/>
    <w:rsid w:val="007E05B3"/>
    <w:rsid w:val="007E06FF"/>
    <w:rsid w:val="007E1BE4"/>
    <w:rsid w:val="007E1E4F"/>
    <w:rsid w:val="007E2B20"/>
    <w:rsid w:val="007E3AB7"/>
    <w:rsid w:val="007E4DF0"/>
    <w:rsid w:val="007E525D"/>
    <w:rsid w:val="007E5599"/>
    <w:rsid w:val="007E5D98"/>
    <w:rsid w:val="007E652E"/>
    <w:rsid w:val="007E6A88"/>
    <w:rsid w:val="007F02B4"/>
    <w:rsid w:val="007F03E9"/>
    <w:rsid w:val="007F1488"/>
    <w:rsid w:val="007F1C23"/>
    <w:rsid w:val="007F1FE4"/>
    <w:rsid w:val="007F28E8"/>
    <w:rsid w:val="007F3EA0"/>
    <w:rsid w:val="007F439C"/>
    <w:rsid w:val="007F465E"/>
    <w:rsid w:val="007F4A0C"/>
    <w:rsid w:val="007F5331"/>
    <w:rsid w:val="007F6217"/>
    <w:rsid w:val="007F6554"/>
    <w:rsid w:val="007F6D95"/>
    <w:rsid w:val="00800B71"/>
    <w:rsid w:val="00800CCA"/>
    <w:rsid w:val="008015C8"/>
    <w:rsid w:val="00802FF0"/>
    <w:rsid w:val="00803F82"/>
    <w:rsid w:val="00804723"/>
    <w:rsid w:val="00804E2D"/>
    <w:rsid w:val="008059A5"/>
    <w:rsid w:val="00806120"/>
    <w:rsid w:val="00806B34"/>
    <w:rsid w:val="00806F63"/>
    <w:rsid w:val="00807EC2"/>
    <w:rsid w:val="00807F88"/>
    <w:rsid w:val="00810561"/>
    <w:rsid w:val="00810C93"/>
    <w:rsid w:val="008115B3"/>
    <w:rsid w:val="00812028"/>
    <w:rsid w:val="00812B3F"/>
    <w:rsid w:val="00812DD8"/>
    <w:rsid w:val="00812F22"/>
    <w:rsid w:val="00813082"/>
    <w:rsid w:val="00813C56"/>
    <w:rsid w:val="00813E65"/>
    <w:rsid w:val="00814237"/>
    <w:rsid w:val="0081474C"/>
    <w:rsid w:val="00814D03"/>
    <w:rsid w:val="00814D8F"/>
    <w:rsid w:val="00815631"/>
    <w:rsid w:val="00816810"/>
    <w:rsid w:val="0082019D"/>
    <w:rsid w:val="00820371"/>
    <w:rsid w:val="00820E39"/>
    <w:rsid w:val="00821FC1"/>
    <w:rsid w:val="00821FFF"/>
    <w:rsid w:val="00822771"/>
    <w:rsid w:val="00823AE2"/>
    <w:rsid w:val="00824AF5"/>
    <w:rsid w:val="00825B8B"/>
    <w:rsid w:val="0082622D"/>
    <w:rsid w:val="00826C43"/>
    <w:rsid w:val="008277F5"/>
    <w:rsid w:val="00830D19"/>
    <w:rsid w:val="00831440"/>
    <w:rsid w:val="0083178B"/>
    <w:rsid w:val="00831EE4"/>
    <w:rsid w:val="0083308A"/>
    <w:rsid w:val="00833695"/>
    <w:rsid w:val="008336B7"/>
    <w:rsid w:val="008339D0"/>
    <w:rsid w:val="00833A8E"/>
    <w:rsid w:val="00833DE5"/>
    <w:rsid w:val="0083489C"/>
    <w:rsid w:val="00835EFB"/>
    <w:rsid w:val="00836ACA"/>
    <w:rsid w:val="008413ED"/>
    <w:rsid w:val="00842CD8"/>
    <w:rsid w:val="008431FA"/>
    <w:rsid w:val="00846A20"/>
    <w:rsid w:val="00846E2C"/>
    <w:rsid w:val="00847301"/>
    <w:rsid w:val="00847444"/>
    <w:rsid w:val="008476A8"/>
    <w:rsid w:val="00847B8B"/>
    <w:rsid w:val="008504C6"/>
    <w:rsid w:val="008517C6"/>
    <w:rsid w:val="00853E41"/>
    <w:rsid w:val="0085477F"/>
    <w:rsid w:val="008547BA"/>
    <w:rsid w:val="008547CA"/>
    <w:rsid w:val="00854AE7"/>
    <w:rsid w:val="008553C7"/>
    <w:rsid w:val="0085578E"/>
    <w:rsid w:val="00857820"/>
    <w:rsid w:val="00857B7F"/>
    <w:rsid w:val="00857F01"/>
    <w:rsid w:val="00857FEB"/>
    <w:rsid w:val="008601AF"/>
    <w:rsid w:val="00860AC8"/>
    <w:rsid w:val="00860FF3"/>
    <w:rsid w:val="00861053"/>
    <w:rsid w:val="00861E0B"/>
    <w:rsid w:val="008624E1"/>
    <w:rsid w:val="008628E9"/>
    <w:rsid w:val="00862B3D"/>
    <w:rsid w:val="00866C3D"/>
    <w:rsid w:val="0087009A"/>
    <w:rsid w:val="008702FD"/>
    <w:rsid w:val="00870FEE"/>
    <w:rsid w:val="00871BF3"/>
    <w:rsid w:val="00872271"/>
    <w:rsid w:val="008735E8"/>
    <w:rsid w:val="008738B5"/>
    <w:rsid w:val="008747B0"/>
    <w:rsid w:val="008748F3"/>
    <w:rsid w:val="00874AEA"/>
    <w:rsid w:val="00874E89"/>
    <w:rsid w:val="0087559C"/>
    <w:rsid w:val="00875FBD"/>
    <w:rsid w:val="00877C2C"/>
    <w:rsid w:val="00880BFA"/>
    <w:rsid w:val="00880CE9"/>
    <w:rsid w:val="00881212"/>
    <w:rsid w:val="00883137"/>
    <w:rsid w:val="00883948"/>
    <w:rsid w:val="00885C17"/>
    <w:rsid w:val="0088682D"/>
    <w:rsid w:val="0088707E"/>
    <w:rsid w:val="0089051D"/>
    <w:rsid w:val="0089117B"/>
    <w:rsid w:val="00892812"/>
    <w:rsid w:val="00892E7C"/>
    <w:rsid w:val="00893E03"/>
    <w:rsid w:val="00894A3B"/>
    <w:rsid w:val="00894FCE"/>
    <w:rsid w:val="0089589E"/>
    <w:rsid w:val="00895C4D"/>
    <w:rsid w:val="008A1A5D"/>
    <w:rsid w:val="008A1F5D"/>
    <w:rsid w:val="008A2451"/>
    <w:rsid w:val="008A28F5"/>
    <w:rsid w:val="008A2B67"/>
    <w:rsid w:val="008A3964"/>
    <w:rsid w:val="008A6401"/>
    <w:rsid w:val="008A6E4D"/>
    <w:rsid w:val="008A6EF1"/>
    <w:rsid w:val="008A705A"/>
    <w:rsid w:val="008A7608"/>
    <w:rsid w:val="008B0F58"/>
    <w:rsid w:val="008B1198"/>
    <w:rsid w:val="008B1281"/>
    <w:rsid w:val="008B1332"/>
    <w:rsid w:val="008B179B"/>
    <w:rsid w:val="008B3471"/>
    <w:rsid w:val="008B3929"/>
    <w:rsid w:val="008B40A4"/>
    <w:rsid w:val="008B4125"/>
    <w:rsid w:val="008B4548"/>
    <w:rsid w:val="008B4CB3"/>
    <w:rsid w:val="008B567B"/>
    <w:rsid w:val="008B5C28"/>
    <w:rsid w:val="008B6A3C"/>
    <w:rsid w:val="008B77C7"/>
    <w:rsid w:val="008B7B24"/>
    <w:rsid w:val="008C0C2E"/>
    <w:rsid w:val="008C0E91"/>
    <w:rsid w:val="008C16DE"/>
    <w:rsid w:val="008C2955"/>
    <w:rsid w:val="008C356D"/>
    <w:rsid w:val="008C36FF"/>
    <w:rsid w:val="008C4A50"/>
    <w:rsid w:val="008C4C8C"/>
    <w:rsid w:val="008C521D"/>
    <w:rsid w:val="008C5842"/>
    <w:rsid w:val="008C5A9E"/>
    <w:rsid w:val="008C674F"/>
    <w:rsid w:val="008C6A8D"/>
    <w:rsid w:val="008C7BA2"/>
    <w:rsid w:val="008C7EC8"/>
    <w:rsid w:val="008D02DC"/>
    <w:rsid w:val="008D0947"/>
    <w:rsid w:val="008D1570"/>
    <w:rsid w:val="008D1FD5"/>
    <w:rsid w:val="008D241D"/>
    <w:rsid w:val="008D27F7"/>
    <w:rsid w:val="008D2AB4"/>
    <w:rsid w:val="008D43B5"/>
    <w:rsid w:val="008D531D"/>
    <w:rsid w:val="008D6F46"/>
    <w:rsid w:val="008D7E87"/>
    <w:rsid w:val="008E0934"/>
    <w:rsid w:val="008E0B3F"/>
    <w:rsid w:val="008E0ECE"/>
    <w:rsid w:val="008E1AB6"/>
    <w:rsid w:val="008E230F"/>
    <w:rsid w:val="008E27E3"/>
    <w:rsid w:val="008E49AD"/>
    <w:rsid w:val="008E5AFE"/>
    <w:rsid w:val="008E698E"/>
    <w:rsid w:val="008E709B"/>
    <w:rsid w:val="008E7318"/>
    <w:rsid w:val="008E7903"/>
    <w:rsid w:val="008F0094"/>
    <w:rsid w:val="008F0805"/>
    <w:rsid w:val="008F1577"/>
    <w:rsid w:val="008F1A90"/>
    <w:rsid w:val="008F2584"/>
    <w:rsid w:val="008F3246"/>
    <w:rsid w:val="008F3C1B"/>
    <w:rsid w:val="008F3E99"/>
    <w:rsid w:val="008F508C"/>
    <w:rsid w:val="008F5C13"/>
    <w:rsid w:val="008F61DC"/>
    <w:rsid w:val="008F6391"/>
    <w:rsid w:val="008F6CBF"/>
    <w:rsid w:val="00900C34"/>
    <w:rsid w:val="009013DC"/>
    <w:rsid w:val="009018F6"/>
    <w:rsid w:val="00901BE9"/>
    <w:rsid w:val="0090271B"/>
    <w:rsid w:val="0090376E"/>
    <w:rsid w:val="00903816"/>
    <w:rsid w:val="00904120"/>
    <w:rsid w:val="00904D8F"/>
    <w:rsid w:val="00906C2E"/>
    <w:rsid w:val="00907221"/>
    <w:rsid w:val="00907ABA"/>
    <w:rsid w:val="00910052"/>
    <w:rsid w:val="00910642"/>
    <w:rsid w:val="00910DBF"/>
    <w:rsid w:val="00910DDF"/>
    <w:rsid w:val="00911AE8"/>
    <w:rsid w:val="00911AF3"/>
    <w:rsid w:val="00911F1C"/>
    <w:rsid w:val="0091225B"/>
    <w:rsid w:val="009137E4"/>
    <w:rsid w:val="00913F8B"/>
    <w:rsid w:val="00914DCB"/>
    <w:rsid w:val="00916C55"/>
    <w:rsid w:val="009214A3"/>
    <w:rsid w:val="00921D9C"/>
    <w:rsid w:val="00921F2C"/>
    <w:rsid w:val="00921F74"/>
    <w:rsid w:val="00922290"/>
    <w:rsid w:val="00923B29"/>
    <w:rsid w:val="0092426A"/>
    <w:rsid w:val="00924B19"/>
    <w:rsid w:val="0092500E"/>
    <w:rsid w:val="00925AE3"/>
    <w:rsid w:val="00925C1F"/>
    <w:rsid w:val="00926AE2"/>
    <w:rsid w:val="0092711F"/>
    <w:rsid w:val="009304C1"/>
    <w:rsid w:val="00930A4F"/>
    <w:rsid w:val="00930B13"/>
    <w:rsid w:val="00930CEB"/>
    <w:rsid w:val="009311C8"/>
    <w:rsid w:val="00933358"/>
    <w:rsid w:val="00933376"/>
    <w:rsid w:val="0093379A"/>
    <w:rsid w:val="00933A2F"/>
    <w:rsid w:val="009362D1"/>
    <w:rsid w:val="00936772"/>
    <w:rsid w:val="00937971"/>
    <w:rsid w:val="009379D6"/>
    <w:rsid w:val="00940807"/>
    <w:rsid w:val="00940AC4"/>
    <w:rsid w:val="0094330E"/>
    <w:rsid w:val="00943E6B"/>
    <w:rsid w:val="00944C8A"/>
    <w:rsid w:val="00945DDC"/>
    <w:rsid w:val="009468F1"/>
    <w:rsid w:val="009469D4"/>
    <w:rsid w:val="00947F6B"/>
    <w:rsid w:val="00950EFD"/>
    <w:rsid w:val="00951F9F"/>
    <w:rsid w:val="009551B2"/>
    <w:rsid w:val="00955534"/>
    <w:rsid w:val="009555AC"/>
    <w:rsid w:val="00960ABD"/>
    <w:rsid w:val="00961102"/>
    <w:rsid w:val="00961644"/>
    <w:rsid w:val="009620A0"/>
    <w:rsid w:val="00963BDD"/>
    <w:rsid w:val="00964E1D"/>
    <w:rsid w:val="00966F9D"/>
    <w:rsid w:val="00970AFA"/>
    <w:rsid w:val="009716D8"/>
    <w:rsid w:val="009718F9"/>
    <w:rsid w:val="00971F42"/>
    <w:rsid w:val="00972829"/>
    <w:rsid w:val="00972890"/>
    <w:rsid w:val="00972954"/>
    <w:rsid w:val="00972A8A"/>
    <w:rsid w:val="00972FB9"/>
    <w:rsid w:val="00974408"/>
    <w:rsid w:val="00975112"/>
    <w:rsid w:val="00976B15"/>
    <w:rsid w:val="009773DC"/>
    <w:rsid w:val="009774F5"/>
    <w:rsid w:val="00977CA4"/>
    <w:rsid w:val="009801B2"/>
    <w:rsid w:val="00981768"/>
    <w:rsid w:val="00981BF3"/>
    <w:rsid w:val="009829AD"/>
    <w:rsid w:val="00983893"/>
    <w:rsid w:val="00983E8F"/>
    <w:rsid w:val="00983F8B"/>
    <w:rsid w:val="00986EE2"/>
    <w:rsid w:val="0098788A"/>
    <w:rsid w:val="009879C1"/>
    <w:rsid w:val="00992801"/>
    <w:rsid w:val="0099287E"/>
    <w:rsid w:val="00992F3C"/>
    <w:rsid w:val="009931F3"/>
    <w:rsid w:val="0099333B"/>
    <w:rsid w:val="0099347F"/>
    <w:rsid w:val="00993876"/>
    <w:rsid w:val="00994671"/>
    <w:rsid w:val="00994871"/>
    <w:rsid w:val="00994FDA"/>
    <w:rsid w:val="00996A5F"/>
    <w:rsid w:val="00996F02"/>
    <w:rsid w:val="009970F6"/>
    <w:rsid w:val="00997853"/>
    <w:rsid w:val="00997CC9"/>
    <w:rsid w:val="00997E57"/>
    <w:rsid w:val="009A11BB"/>
    <w:rsid w:val="009A18BA"/>
    <w:rsid w:val="009A1FBC"/>
    <w:rsid w:val="009A203F"/>
    <w:rsid w:val="009A31BF"/>
    <w:rsid w:val="009A3B71"/>
    <w:rsid w:val="009A42A1"/>
    <w:rsid w:val="009A46CD"/>
    <w:rsid w:val="009A5AB8"/>
    <w:rsid w:val="009A61BC"/>
    <w:rsid w:val="009B0138"/>
    <w:rsid w:val="009B0DB4"/>
    <w:rsid w:val="009B0FE9"/>
    <w:rsid w:val="009B173A"/>
    <w:rsid w:val="009B29A9"/>
    <w:rsid w:val="009B32B0"/>
    <w:rsid w:val="009B334B"/>
    <w:rsid w:val="009B47F4"/>
    <w:rsid w:val="009B5316"/>
    <w:rsid w:val="009B6CBB"/>
    <w:rsid w:val="009C1C9C"/>
    <w:rsid w:val="009C24CC"/>
    <w:rsid w:val="009C3F20"/>
    <w:rsid w:val="009C4AF2"/>
    <w:rsid w:val="009C5E2F"/>
    <w:rsid w:val="009C6C80"/>
    <w:rsid w:val="009C7CA1"/>
    <w:rsid w:val="009D043D"/>
    <w:rsid w:val="009D04BB"/>
    <w:rsid w:val="009D234C"/>
    <w:rsid w:val="009D2B0F"/>
    <w:rsid w:val="009D45FA"/>
    <w:rsid w:val="009D6225"/>
    <w:rsid w:val="009D66CE"/>
    <w:rsid w:val="009D772F"/>
    <w:rsid w:val="009E0082"/>
    <w:rsid w:val="009E0D94"/>
    <w:rsid w:val="009E1D3E"/>
    <w:rsid w:val="009E20D0"/>
    <w:rsid w:val="009E2320"/>
    <w:rsid w:val="009E3C59"/>
    <w:rsid w:val="009E41C0"/>
    <w:rsid w:val="009E4B1B"/>
    <w:rsid w:val="009E4DBA"/>
    <w:rsid w:val="009E53EC"/>
    <w:rsid w:val="009E6A9B"/>
    <w:rsid w:val="009F050D"/>
    <w:rsid w:val="009F098C"/>
    <w:rsid w:val="009F0F84"/>
    <w:rsid w:val="009F1B6E"/>
    <w:rsid w:val="009F3259"/>
    <w:rsid w:val="009F3C0F"/>
    <w:rsid w:val="009F5A7D"/>
    <w:rsid w:val="009F62B3"/>
    <w:rsid w:val="009F6E02"/>
    <w:rsid w:val="009F72C8"/>
    <w:rsid w:val="009F74EB"/>
    <w:rsid w:val="009F7E4B"/>
    <w:rsid w:val="00A0190F"/>
    <w:rsid w:val="00A02FB9"/>
    <w:rsid w:val="00A037D5"/>
    <w:rsid w:val="00A037DC"/>
    <w:rsid w:val="00A04626"/>
    <w:rsid w:val="00A056DE"/>
    <w:rsid w:val="00A05EA4"/>
    <w:rsid w:val="00A07AFA"/>
    <w:rsid w:val="00A111FD"/>
    <w:rsid w:val="00A128AD"/>
    <w:rsid w:val="00A12EB7"/>
    <w:rsid w:val="00A135C1"/>
    <w:rsid w:val="00A13BD0"/>
    <w:rsid w:val="00A14E3C"/>
    <w:rsid w:val="00A15FDB"/>
    <w:rsid w:val="00A16237"/>
    <w:rsid w:val="00A16D7E"/>
    <w:rsid w:val="00A170A7"/>
    <w:rsid w:val="00A202EF"/>
    <w:rsid w:val="00A20762"/>
    <w:rsid w:val="00A208A9"/>
    <w:rsid w:val="00A21228"/>
    <w:rsid w:val="00A21E0A"/>
    <w:rsid w:val="00A21E76"/>
    <w:rsid w:val="00A22A18"/>
    <w:rsid w:val="00A23BC0"/>
    <w:rsid w:val="00A23BC8"/>
    <w:rsid w:val="00A23D66"/>
    <w:rsid w:val="00A24505"/>
    <w:rsid w:val="00A245F8"/>
    <w:rsid w:val="00A252F6"/>
    <w:rsid w:val="00A25FA8"/>
    <w:rsid w:val="00A27AB4"/>
    <w:rsid w:val="00A30A51"/>
    <w:rsid w:val="00A30D98"/>
    <w:rsid w:val="00A30E68"/>
    <w:rsid w:val="00A315FE"/>
    <w:rsid w:val="00A31933"/>
    <w:rsid w:val="00A329D2"/>
    <w:rsid w:val="00A332CC"/>
    <w:rsid w:val="00A336F4"/>
    <w:rsid w:val="00A34868"/>
    <w:rsid w:val="00A34AA0"/>
    <w:rsid w:val="00A34D99"/>
    <w:rsid w:val="00A36B2C"/>
    <w:rsid w:val="00A3715C"/>
    <w:rsid w:val="00A37E00"/>
    <w:rsid w:val="00A40041"/>
    <w:rsid w:val="00A405DC"/>
    <w:rsid w:val="00A40D36"/>
    <w:rsid w:val="00A413B4"/>
    <w:rsid w:val="00A41518"/>
    <w:rsid w:val="00A41A81"/>
    <w:rsid w:val="00A41AF6"/>
    <w:rsid w:val="00A41FE2"/>
    <w:rsid w:val="00A42719"/>
    <w:rsid w:val="00A43661"/>
    <w:rsid w:val="00A44242"/>
    <w:rsid w:val="00A45573"/>
    <w:rsid w:val="00A458D5"/>
    <w:rsid w:val="00A459F5"/>
    <w:rsid w:val="00A46FEF"/>
    <w:rsid w:val="00A47948"/>
    <w:rsid w:val="00A5024F"/>
    <w:rsid w:val="00A5095E"/>
    <w:rsid w:val="00A50BA2"/>
    <w:rsid w:val="00A50CF6"/>
    <w:rsid w:val="00A5102A"/>
    <w:rsid w:val="00A52019"/>
    <w:rsid w:val="00A5469D"/>
    <w:rsid w:val="00A549BF"/>
    <w:rsid w:val="00A54EAF"/>
    <w:rsid w:val="00A5530F"/>
    <w:rsid w:val="00A55E2F"/>
    <w:rsid w:val="00A56946"/>
    <w:rsid w:val="00A57C14"/>
    <w:rsid w:val="00A6170E"/>
    <w:rsid w:val="00A617B3"/>
    <w:rsid w:val="00A6321D"/>
    <w:rsid w:val="00A63588"/>
    <w:rsid w:val="00A63B8C"/>
    <w:rsid w:val="00A6459E"/>
    <w:rsid w:val="00A64C0F"/>
    <w:rsid w:val="00A65949"/>
    <w:rsid w:val="00A65B1C"/>
    <w:rsid w:val="00A65E22"/>
    <w:rsid w:val="00A676CA"/>
    <w:rsid w:val="00A71000"/>
    <w:rsid w:val="00A715F8"/>
    <w:rsid w:val="00A72365"/>
    <w:rsid w:val="00A72650"/>
    <w:rsid w:val="00A72909"/>
    <w:rsid w:val="00A72FB7"/>
    <w:rsid w:val="00A735F2"/>
    <w:rsid w:val="00A7382F"/>
    <w:rsid w:val="00A73903"/>
    <w:rsid w:val="00A74F66"/>
    <w:rsid w:val="00A7519B"/>
    <w:rsid w:val="00A7564E"/>
    <w:rsid w:val="00A76750"/>
    <w:rsid w:val="00A76C49"/>
    <w:rsid w:val="00A76D64"/>
    <w:rsid w:val="00A773E3"/>
    <w:rsid w:val="00A77F6F"/>
    <w:rsid w:val="00A8263B"/>
    <w:rsid w:val="00A831FD"/>
    <w:rsid w:val="00A83352"/>
    <w:rsid w:val="00A83B22"/>
    <w:rsid w:val="00A84085"/>
    <w:rsid w:val="00A841CD"/>
    <w:rsid w:val="00A850A2"/>
    <w:rsid w:val="00A916BC"/>
    <w:rsid w:val="00A91FA3"/>
    <w:rsid w:val="00A927D3"/>
    <w:rsid w:val="00A94041"/>
    <w:rsid w:val="00A95476"/>
    <w:rsid w:val="00A97548"/>
    <w:rsid w:val="00AA26A1"/>
    <w:rsid w:val="00AA4E72"/>
    <w:rsid w:val="00AA5F97"/>
    <w:rsid w:val="00AA67A3"/>
    <w:rsid w:val="00AA777F"/>
    <w:rsid w:val="00AA791D"/>
    <w:rsid w:val="00AA7FC9"/>
    <w:rsid w:val="00AB19FB"/>
    <w:rsid w:val="00AB1CCD"/>
    <w:rsid w:val="00AB237D"/>
    <w:rsid w:val="00AB3233"/>
    <w:rsid w:val="00AB3BAE"/>
    <w:rsid w:val="00AB5933"/>
    <w:rsid w:val="00AB6DE4"/>
    <w:rsid w:val="00AB7FFA"/>
    <w:rsid w:val="00AC1283"/>
    <w:rsid w:val="00AC1939"/>
    <w:rsid w:val="00AC2B22"/>
    <w:rsid w:val="00AC2CDD"/>
    <w:rsid w:val="00AC6CD9"/>
    <w:rsid w:val="00AD1E2B"/>
    <w:rsid w:val="00AD2C70"/>
    <w:rsid w:val="00AD360E"/>
    <w:rsid w:val="00AD4D1F"/>
    <w:rsid w:val="00AD5247"/>
    <w:rsid w:val="00AD79D9"/>
    <w:rsid w:val="00AD7A9A"/>
    <w:rsid w:val="00AE013D"/>
    <w:rsid w:val="00AE0B30"/>
    <w:rsid w:val="00AE1125"/>
    <w:rsid w:val="00AE11B7"/>
    <w:rsid w:val="00AE4D68"/>
    <w:rsid w:val="00AE555D"/>
    <w:rsid w:val="00AE6129"/>
    <w:rsid w:val="00AE66B6"/>
    <w:rsid w:val="00AE6FFC"/>
    <w:rsid w:val="00AE7F68"/>
    <w:rsid w:val="00AF181F"/>
    <w:rsid w:val="00AF2321"/>
    <w:rsid w:val="00AF3B57"/>
    <w:rsid w:val="00AF4066"/>
    <w:rsid w:val="00AF52F6"/>
    <w:rsid w:val="00AF52FD"/>
    <w:rsid w:val="00AF54A8"/>
    <w:rsid w:val="00AF7237"/>
    <w:rsid w:val="00AF797C"/>
    <w:rsid w:val="00B0043A"/>
    <w:rsid w:val="00B00D75"/>
    <w:rsid w:val="00B02DC3"/>
    <w:rsid w:val="00B034BA"/>
    <w:rsid w:val="00B04725"/>
    <w:rsid w:val="00B06978"/>
    <w:rsid w:val="00B070CB"/>
    <w:rsid w:val="00B10D72"/>
    <w:rsid w:val="00B11015"/>
    <w:rsid w:val="00B112AB"/>
    <w:rsid w:val="00B1164A"/>
    <w:rsid w:val="00B11C65"/>
    <w:rsid w:val="00B120D8"/>
    <w:rsid w:val="00B12134"/>
    <w:rsid w:val="00B12456"/>
    <w:rsid w:val="00B13757"/>
    <w:rsid w:val="00B144ED"/>
    <w:rsid w:val="00B1457D"/>
    <w:rsid w:val="00B145F0"/>
    <w:rsid w:val="00B14AC1"/>
    <w:rsid w:val="00B154FE"/>
    <w:rsid w:val="00B15C07"/>
    <w:rsid w:val="00B15D2A"/>
    <w:rsid w:val="00B16669"/>
    <w:rsid w:val="00B16C06"/>
    <w:rsid w:val="00B16F3A"/>
    <w:rsid w:val="00B22074"/>
    <w:rsid w:val="00B23B9B"/>
    <w:rsid w:val="00B23D8A"/>
    <w:rsid w:val="00B24137"/>
    <w:rsid w:val="00B24789"/>
    <w:rsid w:val="00B259C8"/>
    <w:rsid w:val="00B25E0C"/>
    <w:rsid w:val="00B26609"/>
    <w:rsid w:val="00B26661"/>
    <w:rsid w:val="00B26CCF"/>
    <w:rsid w:val="00B26DB4"/>
    <w:rsid w:val="00B30709"/>
    <w:rsid w:val="00B30FC2"/>
    <w:rsid w:val="00B319A0"/>
    <w:rsid w:val="00B31BCD"/>
    <w:rsid w:val="00B331A2"/>
    <w:rsid w:val="00B3440A"/>
    <w:rsid w:val="00B34706"/>
    <w:rsid w:val="00B3581F"/>
    <w:rsid w:val="00B37274"/>
    <w:rsid w:val="00B40159"/>
    <w:rsid w:val="00B40765"/>
    <w:rsid w:val="00B414B2"/>
    <w:rsid w:val="00B425F0"/>
    <w:rsid w:val="00B427A4"/>
    <w:rsid w:val="00B42DFA"/>
    <w:rsid w:val="00B43030"/>
    <w:rsid w:val="00B43471"/>
    <w:rsid w:val="00B44120"/>
    <w:rsid w:val="00B44154"/>
    <w:rsid w:val="00B45F6C"/>
    <w:rsid w:val="00B460C9"/>
    <w:rsid w:val="00B463A7"/>
    <w:rsid w:val="00B469C9"/>
    <w:rsid w:val="00B4760A"/>
    <w:rsid w:val="00B506D7"/>
    <w:rsid w:val="00B50CCD"/>
    <w:rsid w:val="00B531DD"/>
    <w:rsid w:val="00B53957"/>
    <w:rsid w:val="00B53C49"/>
    <w:rsid w:val="00B53FED"/>
    <w:rsid w:val="00B54415"/>
    <w:rsid w:val="00B5473B"/>
    <w:rsid w:val="00B54B32"/>
    <w:rsid w:val="00B55014"/>
    <w:rsid w:val="00B55F3D"/>
    <w:rsid w:val="00B57011"/>
    <w:rsid w:val="00B57681"/>
    <w:rsid w:val="00B61899"/>
    <w:rsid w:val="00B61A21"/>
    <w:rsid w:val="00B61EF5"/>
    <w:rsid w:val="00B62232"/>
    <w:rsid w:val="00B625FE"/>
    <w:rsid w:val="00B626F0"/>
    <w:rsid w:val="00B6433B"/>
    <w:rsid w:val="00B64475"/>
    <w:rsid w:val="00B64D7F"/>
    <w:rsid w:val="00B65632"/>
    <w:rsid w:val="00B67E6F"/>
    <w:rsid w:val="00B7046C"/>
    <w:rsid w:val="00B7096E"/>
    <w:rsid w:val="00B70BF3"/>
    <w:rsid w:val="00B70E69"/>
    <w:rsid w:val="00B71DC2"/>
    <w:rsid w:val="00B723BD"/>
    <w:rsid w:val="00B72B91"/>
    <w:rsid w:val="00B731FA"/>
    <w:rsid w:val="00B7354C"/>
    <w:rsid w:val="00B73DC1"/>
    <w:rsid w:val="00B77FF7"/>
    <w:rsid w:val="00B80F31"/>
    <w:rsid w:val="00B814CE"/>
    <w:rsid w:val="00B81B34"/>
    <w:rsid w:val="00B81F2A"/>
    <w:rsid w:val="00B820F3"/>
    <w:rsid w:val="00B8239E"/>
    <w:rsid w:val="00B849F5"/>
    <w:rsid w:val="00B84A25"/>
    <w:rsid w:val="00B85CAD"/>
    <w:rsid w:val="00B85CE0"/>
    <w:rsid w:val="00B86966"/>
    <w:rsid w:val="00B86E55"/>
    <w:rsid w:val="00B86EF9"/>
    <w:rsid w:val="00B87549"/>
    <w:rsid w:val="00B87D82"/>
    <w:rsid w:val="00B904A4"/>
    <w:rsid w:val="00B905D8"/>
    <w:rsid w:val="00B90A26"/>
    <w:rsid w:val="00B9122C"/>
    <w:rsid w:val="00B91CFC"/>
    <w:rsid w:val="00B92494"/>
    <w:rsid w:val="00B93893"/>
    <w:rsid w:val="00B93CA8"/>
    <w:rsid w:val="00B95B9E"/>
    <w:rsid w:val="00B9624C"/>
    <w:rsid w:val="00BA1397"/>
    <w:rsid w:val="00BA29FB"/>
    <w:rsid w:val="00BA3353"/>
    <w:rsid w:val="00BA396D"/>
    <w:rsid w:val="00BA3DAA"/>
    <w:rsid w:val="00BA4F3F"/>
    <w:rsid w:val="00BA5568"/>
    <w:rsid w:val="00BA76E1"/>
    <w:rsid w:val="00BA7E0A"/>
    <w:rsid w:val="00BB07F3"/>
    <w:rsid w:val="00BB22EA"/>
    <w:rsid w:val="00BB27E7"/>
    <w:rsid w:val="00BB3A26"/>
    <w:rsid w:val="00BB7C94"/>
    <w:rsid w:val="00BC0C84"/>
    <w:rsid w:val="00BC1610"/>
    <w:rsid w:val="00BC1689"/>
    <w:rsid w:val="00BC1D09"/>
    <w:rsid w:val="00BC2447"/>
    <w:rsid w:val="00BC2C00"/>
    <w:rsid w:val="00BC37C7"/>
    <w:rsid w:val="00BC3B53"/>
    <w:rsid w:val="00BC3B96"/>
    <w:rsid w:val="00BC3FFD"/>
    <w:rsid w:val="00BC4AE3"/>
    <w:rsid w:val="00BC5B28"/>
    <w:rsid w:val="00BC66B3"/>
    <w:rsid w:val="00BC69DB"/>
    <w:rsid w:val="00BC6D2B"/>
    <w:rsid w:val="00BC70F5"/>
    <w:rsid w:val="00BD0CBA"/>
    <w:rsid w:val="00BD159B"/>
    <w:rsid w:val="00BD1875"/>
    <w:rsid w:val="00BD1D36"/>
    <w:rsid w:val="00BD1F45"/>
    <w:rsid w:val="00BD2370"/>
    <w:rsid w:val="00BD2A61"/>
    <w:rsid w:val="00BD2D73"/>
    <w:rsid w:val="00BD2E29"/>
    <w:rsid w:val="00BD309B"/>
    <w:rsid w:val="00BD416F"/>
    <w:rsid w:val="00BD4D24"/>
    <w:rsid w:val="00BD5E66"/>
    <w:rsid w:val="00BD65C4"/>
    <w:rsid w:val="00BD7111"/>
    <w:rsid w:val="00BE0E99"/>
    <w:rsid w:val="00BE18C4"/>
    <w:rsid w:val="00BE2480"/>
    <w:rsid w:val="00BE2DDE"/>
    <w:rsid w:val="00BE34DC"/>
    <w:rsid w:val="00BE3F88"/>
    <w:rsid w:val="00BE4756"/>
    <w:rsid w:val="00BE5BFF"/>
    <w:rsid w:val="00BE5ED9"/>
    <w:rsid w:val="00BE6EC7"/>
    <w:rsid w:val="00BE7B41"/>
    <w:rsid w:val="00BF1F70"/>
    <w:rsid w:val="00BF281C"/>
    <w:rsid w:val="00BF2847"/>
    <w:rsid w:val="00BF2E89"/>
    <w:rsid w:val="00BF407D"/>
    <w:rsid w:val="00BF5FC9"/>
    <w:rsid w:val="00BF63FD"/>
    <w:rsid w:val="00C011E5"/>
    <w:rsid w:val="00C018EB"/>
    <w:rsid w:val="00C01B92"/>
    <w:rsid w:val="00C107BA"/>
    <w:rsid w:val="00C10869"/>
    <w:rsid w:val="00C10D99"/>
    <w:rsid w:val="00C11BB5"/>
    <w:rsid w:val="00C127E5"/>
    <w:rsid w:val="00C12A62"/>
    <w:rsid w:val="00C13AE1"/>
    <w:rsid w:val="00C13F39"/>
    <w:rsid w:val="00C14175"/>
    <w:rsid w:val="00C156C4"/>
    <w:rsid w:val="00C15A91"/>
    <w:rsid w:val="00C1713B"/>
    <w:rsid w:val="00C1769B"/>
    <w:rsid w:val="00C17D8C"/>
    <w:rsid w:val="00C206F1"/>
    <w:rsid w:val="00C20D0B"/>
    <w:rsid w:val="00C211A5"/>
    <w:rsid w:val="00C217E1"/>
    <w:rsid w:val="00C219B1"/>
    <w:rsid w:val="00C22D21"/>
    <w:rsid w:val="00C2316F"/>
    <w:rsid w:val="00C237D5"/>
    <w:rsid w:val="00C2487B"/>
    <w:rsid w:val="00C26C17"/>
    <w:rsid w:val="00C30380"/>
    <w:rsid w:val="00C32C28"/>
    <w:rsid w:val="00C33A05"/>
    <w:rsid w:val="00C33EAA"/>
    <w:rsid w:val="00C3436A"/>
    <w:rsid w:val="00C3497A"/>
    <w:rsid w:val="00C363B9"/>
    <w:rsid w:val="00C4015B"/>
    <w:rsid w:val="00C40231"/>
    <w:rsid w:val="00C40C60"/>
    <w:rsid w:val="00C41218"/>
    <w:rsid w:val="00C41DF3"/>
    <w:rsid w:val="00C42BCA"/>
    <w:rsid w:val="00C42FA6"/>
    <w:rsid w:val="00C43FE6"/>
    <w:rsid w:val="00C4646D"/>
    <w:rsid w:val="00C46976"/>
    <w:rsid w:val="00C46D8B"/>
    <w:rsid w:val="00C472D7"/>
    <w:rsid w:val="00C47913"/>
    <w:rsid w:val="00C518E4"/>
    <w:rsid w:val="00C5258E"/>
    <w:rsid w:val="00C530C9"/>
    <w:rsid w:val="00C5331A"/>
    <w:rsid w:val="00C53540"/>
    <w:rsid w:val="00C54A56"/>
    <w:rsid w:val="00C54EFE"/>
    <w:rsid w:val="00C5583F"/>
    <w:rsid w:val="00C56424"/>
    <w:rsid w:val="00C569C0"/>
    <w:rsid w:val="00C56BF5"/>
    <w:rsid w:val="00C56E3D"/>
    <w:rsid w:val="00C57859"/>
    <w:rsid w:val="00C606F9"/>
    <w:rsid w:val="00C619A7"/>
    <w:rsid w:val="00C630E0"/>
    <w:rsid w:val="00C63ED4"/>
    <w:rsid w:val="00C646A6"/>
    <w:rsid w:val="00C6529F"/>
    <w:rsid w:val="00C66C89"/>
    <w:rsid w:val="00C70662"/>
    <w:rsid w:val="00C70D31"/>
    <w:rsid w:val="00C70FF7"/>
    <w:rsid w:val="00C7317F"/>
    <w:rsid w:val="00C73D5F"/>
    <w:rsid w:val="00C7542E"/>
    <w:rsid w:val="00C762D6"/>
    <w:rsid w:val="00C773A2"/>
    <w:rsid w:val="00C800C8"/>
    <w:rsid w:val="00C80A19"/>
    <w:rsid w:val="00C8193D"/>
    <w:rsid w:val="00C81A30"/>
    <w:rsid w:val="00C82029"/>
    <w:rsid w:val="00C82AFE"/>
    <w:rsid w:val="00C836A0"/>
    <w:rsid w:val="00C836F7"/>
    <w:rsid w:val="00C83DBC"/>
    <w:rsid w:val="00C8445B"/>
    <w:rsid w:val="00C8472E"/>
    <w:rsid w:val="00C84E43"/>
    <w:rsid w:val="00C85439"/>
    <w:rsid w:val="00C854AB"/>
    <w:rsid w:val="00C85911"/>
    <w:rsid w:val="00C86A39"/>
    <w:rsid w:val="00C86D18"/>
    <w:rsid w:val="00C90F1C"/>
    <w:rsid w:val="00C90FFF"/>
    <w:rsid w:val="00C91A23"/>
    <w:rsid w:val="00C92B24"/>
    <w:rsid w:val="00C92DA9"/>
    <w:rsid w:val="00C93835"/>
    <w:rsid w:val="00C93B85"/>
    <w:rsid w:val="00C93C1D"/>
    <w:rsid w:val="00C9543D"/>
    <w:rsid w:val="00C95C70"/>
    <w:rsid w:val="00C96F89"/>
    <w:rsid w:val="00C97C80"/>
    <w:rsid w:val="00CA0737"/>
    <w:rsid w:val="00CA0CA0"/>
    <w:rsid w:val="00CA1DEB"/>
    <w:rsid w:val="00CA2E80"/>
    <w:rsid w:val="00CA3DE7"/>
    <w:rsid w:val="00CA47D3"/>
    <w:rsid w:val="00CA48FA"/>
    <w:rsid w:val="00CA4D82"/>
    <w:rsid w:val="00CA500E"/>
    <w:rsid w:val="00CA58B7"/>
    <w:rsid w:val="00CA5D8B"/>
    <w:rsid w:val="00CA5F42"/>
    <w:rsid w:val="00CA6533"/>
    <w:rsid w:val="00CA68D8"/>
    <w:rsid w:val="00CA6A25"/>
    <w:rsid w:val="00CA6A3F"/>
    <w:rsid w:val="00CA7C99"/>
    <w:rsid w:val="00CB0A71"/>
    <w:rsid w:val="00CB13ED"/>
    <w:rsid w:val="00CB21C4"/>
    <w:rsid w:val="00CB2DFF"/>
    <w:rsid w:val="00CB3842"/>
    <w:rsid w:val="00CB3B03"/>
    <w:rsid w:val="00CB6C0B"/>
    <w:rsid w:val="00CC1F0D"/>
    <w:rsid w:val="00CC207D"/>
    <w:rsid w:val="00CC2BAB"/>
    <w:rsid w:val="00CC2F90"/>
    <w:rsid w:val="00CC58F7"/>
    <w:rsid w:val="00CC6290"/>
    <w:rsid w:val="00CC65E5"/>
    <w:rsid w:val="00CC6947"/>
    <w:rsid w:val="00CC724F"/>
    <w:rsid w:val="00CC7DCD"/>
    <w:rsid w:val="00CD1EA3"/>
    <w:rsid w:val="00CD2291"/>
    <w:rsid w:val="00CD233D"/>
    <w:rsid w:val="00CD3499"/>
    <w:rsid w:val="00CD362D"/>
    <w:rsid w:val="00CD4A96"/>
    <w:rsid w:val="00CD548A"/>
    <w:rsid w:val="00CD61D2"/>
    <w:rsid w:val="00CD705D"/>
    <w:rsid w:val="00CE0D87"/>
    <w:rsid w:val="00CE101D"/>
    <w:rsid w:val="00CE1814"/>
    <w:rsid w:val="00CE1A95"/>
    <w:rsid w:val="00CE1C84"/>
    <w:rsid w:val="00CE25A4"/>
    <w:rsid w:val="00CE2FD8"/>
    <w:rsid w:val="00CE5055"/>
    <w:rsid w:val="00CF007F"/>
    <w:rsid w:val="00CF053F"/>
    <w:rsid w:val="00CF12F3"/>
    <w:rsid w:val="00CF1A17"/>
    <w:rsid w:val="00CF1BD9"/>
    <w:rsid w:val="00CF1EC9"/>
    <w:rsid w:val="00CF3085"/>
    <w:rsid w:val="00CF41BC"/>
    <w:rsid w:val="00CF4710"/>
    <w:rsid w:val="00CF531A"/>
    <w:rsid w:val="00CF5C38"/>
    <w:rsid w:val="00CF65AC"/>
    <w:rsid w:val="00D02750"/>
    <w:rsid w:val="00D03361"/>
    <w:rsid w:val="00D0375A"/>
    <w:rsid w:val="00D038B5"/>
    <w:rsid w:val="00D0609E"/>
    <w:rsid w:val="00D06BFA"/>
    <w:rsid w:val="00D06F87"/>
    <w:rsid w:val="00D073AA"/>
    <w:rsid w:val="00D0763E"/>
    <w:rsid w:val="00D078E1"/>
    <w:rsid w:val="00D100E9"/>
    <w:rsid w:val="00D10966"/>
    <w:rsid w:val="00D11B0E"/>
    <w:rsid w:val="00D11C72"/>
    <w:rsid w:val="00D13018"/>
    <w:rsid w:val="00D13053"/>
    <w:rsid w:val="00D13DDA"/>
    <w:rsid w:val="00D16506"/>
    <w:rsid w:val="00D16AB6"/>
    <w:rsid w:val="00D17942"/>
    <w:rsid w:val="00D17CBE"/>
    <w:rsid w:val="00D201D1"/>
    <w:rsid w:val="00D20AB8"/>
    <w:rsid w:val="00D213FA"/>
    <w:rsid w:val="00D2145E"/>
    <w:rsid w:val="00D21E4B"/>
    <w:rsid w:val="00D22441"/>
    <w:rsid w:val="00D22A28"/>
    <w:rsid w:val="00D22D23"/>
    <w:rsid w:val="00D23522"/>
    <w:rsid w:val="00D23B52"/>
    <w:rsid w:val="00D264D6"/>
    <w:rsid w:val="00D26CF4"/>
    <w:rsid w:val="00D26EE1"/>
    <w:rsid w:val="00D316A2"/>
    <w:rsid w:val="00D32C2C"/>
    <w:rsid w:val="00D32F78"/>
    <w:rsid w:val="00D33182"/>
    <w:rsid w:val="00D33509"/>
    <w:rsid w:val="00D33BC2"/>
    <w:rsid w:val="00D33BC9"/>
    <w:rsid w:val="00D33BF0"/>
    <w:rsid w:val="00D33DE0"/>
    <w:rsid w:val="00D35466"/>
    <w:rsid w:val="00D35FCF"/>
    <w:rsid w:val="00D3608C"/>
    <w:rsid w:val="00D360A6"/>
    <w:rsid w:val="00D36447"/>
    <w:rsid w:val="00D40CA5"/>
    <w:rsid w:val="00D42A25"/>
    <w:rsid w:val="00D43AF2"/>
    <w:rsid w:val="00D445B2"/>
    <w:rsid w:val="00D44C19"/>
    <w:rsid w:val="00D44C25"/>
    <w:rsid w:val="00D44F06"/>
    <w:rsid w:val="00D45036"/>
    <w:rsid w:val="00D50785"/>
    <w:rsid w:val="00D509B1"/>
    <w:rsid w:val="00D516BE"/>
    <w:rsid w:val="00D52FEE"/>
    <w:rsid w:val="00D53DBF"/>
    <w:rsid w:val="00D5423B"/>
    <w:rsid w:val="00D54E6A"/>
    <w:rsid w:val="00D54F4E"/>
    <w:rsid w:val="00D55595"/>
    <w:rsid w:val="00D55951"/>
    <w:rsid w:val="00D55A54"/>
    <w:rsid w:val="00D55AF2"/>
    <w:rsid w:val="00D55D4F"/>
    <w:rsid w:val="00D55DB2"/>
    <w:rsid w:val="00D56E01"/>
    <w:rsid w:val="00D57A56"/>
    <w:rsid w:val="00D60115"/>
    <w:rsid w:val="00D604B3"/>
    <w:rsid w:val="00D609BD"/>
    <w:rsid w:val="00D60BA4"/>
    <w:rsid w:val="00D6179D"/>
    <w:rsid w:val="00D62419"/>
    <w:rsid w:val="00D628D6"/>
    <w:rsid w:val="00D63987"/>
    <w:rsid w:val="00D64356"/>
    <w:rsid w:val="00D64E4B"/>
    <w:rsid w:val="00D65515"/>
    <w:rsid w:val="00D669F1"/>
    <w:rsid w:val="00D67805"/>
    <w:rsid w:val="00D67927"/>
    <w:rsid w:val="00D67D4C"/>
    <w:rsid w:val="00D67E0C"/>
    <w:rsid w:val="00D702E5"/>
    <w:rsid w:val="00D71593"/>
    <w:rsid w:val="00D719BD"/>
    <w:rsid w:val="00D72720"/>
    <w:rsid w:val="00D729D6"/>
    <w:rsid w:val="00D72AEF"/>
    <w:rsid w:val="00D75BE8"/>
    <w:rsid w:val="00D7612D"/>
    <w:rsid w:val="00D77870"/>
    <w:rsid w:val="00D80426"/>
    <w:rsid w:val="00D80977"/>
    <w:rsid w:val="00D80CCE"/>
    <w:rsid w:val="00D80CDD"/>
    <w:rsid w:val="00D80E5E"/>
    <w:rsid w:val="00D840C3"/>
    <w:rsid w:val="00D84DC2"/>
    <w:rsid w:val="00D85C4F"/>
    <w:rsid w:val="00D85D24"/>
    <w:rsid w:val="00D85DAC"/>
    <w:rsid w:val="00D86EEA"/>
    <w:rsid w:val="00D8777F"/>
    <w:rsid w:val="00D87CAB"/>
    <w:rsid w:val="00D87D03"/>
    <w:rsid w:val="00D9017D"/>
    <w:rsid w:val="00D91425"/>
    <w:rsid w:val="00D92DD7"/>
    <w:rsid w:val="00D9360B"/>
    <w:rsid w:val="00D95546"/>
    <w:rsid w:val="00D95C88"/>
    <w:rsid w:val="00D96D7F"/>
    <w:rsid w:val="00D97B2E"/>
    <w:rsid w:val="00D97F19"/>
    <w:rsid w:val="00DA09B5"/>
    <w:rsid w:val="00DA15A2"/>
    <w:rsid w:val="00DA1B17"/>
    <w:rsid w:val="00DA241E"/>
    <w:rsid w:val="00DA264B"/>
    <w:rsid w:val="00DA344B"/>
    <w:rsid w:val="00DA3B9A"/>
    <w:rsid w:val="00DA44DC"/>
    <w:rsid w:val="00DA4830"/>
    <w:rsid w:val="00DA5E3F"/>
    <w:rsid w:val="00DA6342"/>
    <w:rsid w:val="00DA7F8A"/>
    <w:rsid w:val="00DB0546"/>
    <w:rsid w:val="00DB0F0D"/>
    <w:rsid w:val="00DB1CB6"/>
    <w:rsid w:val="00DB36FE"/>
    <w:rsid w:val="00DB38FD"/>
    <w:rsid w:val="00DB533A"/>
    <w:rsid w:val="00DB5D3F"/>
    <w:rsid w:val="00DB5D85"/>
    <w:rsid w:val="00DB60AE"/>
    <w:rsid w:val="00DB6307"/>
    <w:rsid w:val="00DB6CF8"/>
    <w:rsid w:val="00DB6D19"/>
    <w:rsid w:val="00DB7420"/>
    <w:rsid w:val="00DC1E5D"/>
    <w:rsid w:val="00DC4BDC"/>
    <w:rsid w:val="00DC61A3"/>
    <w:rsid w:val="00DC7041"/>
    <w:rsid w:val="00DC7408"/>
    <w:rsid w:val="00DD1DCD"/>
    <w:rsid w:val="00DD2200"/>
    <w:rsid w:val="00DD338F"/>
    <w:rsid w:val="00DD3F1E"/>
    <w:rsid w:val="00DD4285"/>
    <w:rsid w:val="00DD44BB"/>
    <w:rsid w:val="00DD458A"/>
    <w:rsid w:val="00DD52D8"/>
    <w:rsid w:val="00DD52E9"/>
    <w:rsid w:val="00DD66F2"/>
    <w:rsid w:val="00DD7A9E"/>
    <w:rsid w:val="00DD7ED1"/>
    <w:rsid w:val="00DE016D"/>
    <w:rsid w:val="00DE01A9"/>
    <w:rsid w:val="00DE1EF8"/>
    <w:rsid w:val="00DE3A5C"/>
    <w:rsid w:val="00DE3FE0"/>
    <w:rsid w:val="00DE42B3"/>
    <w:rsid w:val="00DE4CFB"/>
    <w:rsid w:val="00DE5085"/>
    <w:rsid w:val="00DE5425"/>
    <w:rsid w:val="00DE5583"/>
    <w:rsid w:val="00DE5600"/>
    <w:rsid w:val="00DE578A"/>
    <w:rsid w:val="00DE637A"/>
    <w:rsid w:val="00DE6EC2"/>
    <w:rsid w:val="00DF0393"/>
    <w:rsid w:val="00DF0F17"/>
    <w:rsid w:val="00DF2102"/>
    <w:rsid w:val="00DF222A"/>
    <w:rsid w:val="00DF2583"/>
    <w:rsid w:val="00DF2624"/>
    <w:rsid w:val="00DF31F4"/>
    <w:rsid w:val="00DF3CFA"/>
    <w:rsid w:val="00DF54D9"/>
    <w:rsid w:val="00DF6F33"/>
    <w:rsid w:val="00DF722A"/>
    <w:rsid w:val="00DF7283"/>
    <w:rsid w:val="00DF7B59"/>
    <w:rsid w:val="00E001D4"/>
    <w:rsid w:val="00E004E6"/>
    <w:rsid w:val="00E00E4A"/>
    <w:rsid w:val="00E01A59"/>
    <w:rsid w:val="00E03092"/>
    <w:rsid w:val="00E0359F"/>
    <w:rsid w:val="00E03D94"/>
    <w:rsid w:val="00E07863"/>
    <w:rsid w:val="00E07D9C"/>
    <w:rsid w:val="00E10495"/>
    <w:rsid w:val="00E10DC6"/>
    <w:rsid w:val="00E11323"/>
    <w:rsid w:val="00E11875"/>
    <w:rsid w:val="00E11876"/>
    <w:rsid w:val="00E11F8E"/>
    <w:rsid w:val="00E148B5"/>
    <w:rsid w:val="00E1507E"/>
    <w:rsid w:val="00E15881"/>
    <w:rsid w:val="00E15978"/>
    <w:rsid w:val="00E15A67"/>
    <w:rsid w:val="00E16A8F"/>
    <w:rsid w:val="00E16E77"/>
    <w:rsid w:val="00E17AF4"/>
    <w:rsid w:val="00E17C1D"/>
    <w:rsid w:val="00E217E2"/>
    <w:rsid w:val="00E21DE3"/>
    <w:rsid w:val="00E21F3C"/>
    <w:rsid w:val="00E22347"/>
    <w:rsid w:val="00E22482"/>
    <w:rsid w:val="00E22EDA"/>
    <w:rsid w:val="00E24FE4"/>
    <w:rsid w:val="00E25187"/>
    <w:rsid w:val="00E25782"/>
    <w:rsid w:val="00E26538"/>
    <w:rsid w:val="00E265F4"/>
    <w:rsid w:val="00E26A91"/>
    <w:rsid w:val="00E273C5"/>
    <w:rsid w:val="00E279B0"/>
    <w:rsid w:val="00E307D1"/>
    <w:rsid w:val="00E31251"/>
    <w:rsid w:val="00E313B5"/>
    <w:rsid w:val="00E31970"/>
    <w:rsid w:val="00E3204E"/>
    <w:rsid w:val="00E32EF2"/>
    <w:rsid w:val="00E32EFB"/>
    <w:rsid w:val="00E34922"/>
    <w:rsid w:val="00E34C8E"/>
    <w:rsid w:val="00E34FE5"/>
    <w:rsid w:val="00E36EE2"/>
    <w:rsid w:val="00E3731D"/>
    <w:rsid w:val="00E424BB"/>
    <w:rsid w:val="00E43E15"/>
    <w:rsid w:val="00E43ED3"/>
    <w:rsid w:val="00E451DA"/>
    <w:rsid w:val="00E45328"/>
    <w:rsid w:val="00E455D8"/>
    <w:rsid w:val="00E45607"/>
    <w:rsid w:val="00E45739"/>
    <w:rsid w:val="00E46D2F"/>
    <w:rsid w:val="00E500DE"/>
    <w:rsid w:val="00E506E2"/>
    <w:rsid w:val="00E50B5C"/>
    <w:rsid w:val="00E51013"/>
    <w:rsid w:val="00E51447"/>
    <w:rsid w:val="00E51469"/>
    <w:rsid w:val="00E522C9"/>
    <w:rsid w:val="00E528CE"/>
    <w:rsid w:val="00E529F8"/>
    <w:rsid w:val="00E532D7"/>
    <w:rsid w:val="00E53FE7"/>
    <w:rsid w:val="00E55BED"/>
    <w:rsid w:val="00E55C22"/>
    <w:rsid w:val="00E5627D"/>
    <w:rsid w:val="00E56EB9"/>
    <w:rsid w:val="00E5721A"/>
    <w:rsid w:val="00E606CE"/>
    <w:rsid w:val="00E60A2A"/>
    <w:rsid w:val="00E61E55"/>
    <w:rsid w:val="00E6213C"/>
    <w:rsid w:val="00E634E3"/>
    <w:rsid w:val="00E63E43"/>
    <w:rsid w:val="00E6786E"/>
    <w:rsid w:val="00E7173B"/>
    <w:rsid w:val="00E717C4"/>
    <w:rsid w:val="00E71C16"/>
    <w:rsid w:val="00E71D4C"/>
    <w:rsid w:val="00E72446"/>
    <w:rsid w:val="00E72E3C"/>
    <w:rsid w:val="00E73411"/>
    <w:rsid w:val="00E758FD"/>
    <w:rsid w:val="00E77E18"/>
    <w:rsid w:val="00E77F89"/>
    <w:rsid w:val="00E80111"/>
    <w:rsid w:val="00E80330"/>
    <w:rsid w:val="00E806C5"/>
    <w:rsid w:val="00E80E71"/>
    <w:rsid w:val="00E81382"/>
    <w:rsid w:val="00E8162E"/>
    <w:rsid w:val="00E81948"/>
    <w:rsid w:val="00E81B19"/>
    <w:rsid w:val="00E81BAF"/>
    <w:rsid w:val="00E82359"/>
    <w:rsid w:val="00E82982"/>
    <w:rsid w:val="00E82DC1"/>
    <w:rsid w:val="00E82ECD"/>
    <w:rsid w:val="00E8377B"/>
    <w:rsid w:val="00E850D3"/>
    <w:rsid w:val="00E851AF"/>
    <w:rsid w:val="00E853D6"/>
    <w:rsid w:val="00E85D3D"/>
    <w:rsid w:val="00E867B3"/>
    <w:rsid w:val="00E86E75"/>
    <w:rsid w:val="00E86F73"/>
    <w:rsid w:val="00E87071"/>
    <w:rsid w:val="00E876B9"/>
    <w:rsid w:val="00E87834"/>
    <w:rsid w:val="00E9104D"/>
    <w:rsid w:val="00E911D2"/>
    <w:rsid w:val="00E92D95"/>
    <w:rsid w:val="00E9395E"/>
    <w:rsid w:val="00E93E33"/>
    <w:rsid w:val="00E9490D"/>
    <w:rsid w:val="00E95AAF"/>
    <w:rsid w:val="00E966E8"/>
    <w:rsid w:val="00E97D35"/>
    <w:rsid w:val="00EA04CE"/>
    <w:rsid w:val="00EA09CF"/>
    <w:rsid w:val="00EA2FDB"/>
    <w:rsid w:val="00EA38A8"/>
    <w:rsid w:val="00EA3B3A"/>
    <w:rsid w:val="00EA40E8"/>
    <w:rsid w:val="00EA443F"/>
    <w:rsid w:val="00EB0F11"/>
    <w:rsid w:val="00EB1411"/>
    <w:rsid w:val="00EB283A"/>
    <w:rsid w:val="00EB2F9C"/>
    <w:rsid w:val="00EB334E"/>
    <w:rsid w:val="00EB37DB"/>
    <w:rsid w:val="00EC05F3"/>
    <w:rsid w:val="00EC083F"/>
    <w:rsid w:val="00EC0DFF"/>
    <w:rsid w:val="00EC237D"/>
    <w:rsid w:val="00EC2918"/>
    <w:rsid w:val="00EC2D4E"/>
    <w:rsid w:val="00EC2FFC"/>
    <w:rsid w:val="00EC4D0E"/>
    <w:rsid w:val="00EC4E2B"/>
    <w:rsid w:val="00EC7B01"/>
    <w:rsid w:val="00ED072A"/>
    <w:rsid w:val="00ED42A9"/>
    <w:rsid w:val="00ED4714"/>
    <w:rsid w:val="00ED4AF0"/>
    <w:rsid w:val="00ED520F"/>
    <w:rsid w:val="00ED539E"/>
    <w:rsid w:val="00ED59EC"/>
    <w:rsid w:val="00ED6E77"/>
    <w:rsid w:val="00ED775C"/>
    <w:rsid w:val="00EE106D"/>
    <w:rsid w:val="00EE11E8"/>
    <w:rsid w:val="00EE1321"/>
    <w:rsid w:val="00EE2AE7"/>
    <w:rsid w:val="00EE40C8"/>
    <w:rsid w:val="00EE4A1F"/>
    <w:rsid w:val="00EE4BEC"/>
    <w:rsid w:val="00EE4C2D"/>
    <w:rsid w:val="00EE4E23"/>
    <w:rsid w:val="00EE614B"/>
    <w:rsid w:val="00EE7B58"/>
    <w:rsid w:val="00EE7C78"/>
    <w:rsid w:val="00EF0604"/>
    <w:rsid w:val="00EF12BB"/>
    <w:rsid w:val="00EF1417"/>
    <w:rsid w:val="00EF1B5A"/>
    <w:rsid w:val="00EF24FB"/>
    <w:rsid w:val="00EF2A28"/>
    <w:rsid w:val="00EF2A7A"/>
    <w:rsid w:val="00EF2CCA"/>
    <w:rsid w:val="00EF3672"/>
    <w:rsid w:val="00EF3ACB"/>
    <w:rsid w:val="00EF3ECE"/>
    <w:rsid w:val="00EF495B"/>
    <w:rsid w:val="00EF56E7"/>
    <w:rsid w:val="00EF5D5C"/>
    <w:rsid w:val="00EF60DC"/>
    <w:rsid w:val="00EF66AF"/>
    <w:rsid w:val="00EF6DF6"/>
    <w:rsid w:val="00EF777B"/>
    <w:rsid w:val="00EF7B3D"/>
    <w:rsid w:val="00F003FF"/>
    <w:rsid w:val="00F00EC0"/>
    <w:rsid w:val="00F00F54"/>
    <w:rsid w:val="00F015C1"/>
    <w:rsid w:val="00F02012"/>
    <w:rsid w:val="00F03963"/>
    <w:rsid w:val="00F03C2B"/>
    <w:rsid w:val="00F049D9"/>
    <w:rsid w:val="00F07242"/>
    <w:rsid w:val="00F07724"/>
    <w:rsid w:val="00F108C1"/>
    <w:rsid w:val="00F11068"/>
    <w:rsid w:val="00F12304"/>
    <w:rsid w:val="00F1256D"/>
    <w:rsid w:val="00F13A4E"/>
    <w:rsid w:val="00F1668E"/>
    <w:rsid w:val="00F16974"/>
    <w:rsid w:val="00F17107"/>
    <w:rsid w:val="00F172BB"/>
    <w:rsid w:val="00F17629"/>
    <w:rsid w:val="00F17B10"/>
    <w:rsid w:val="00F203EF"/>
    <w:rsid w:val="00F20E47"/>
    <w:rsid w:val="00F217D3"/>
    <w:rsid w:val="00F21BEF"/>
    <w:rsid w:val="00F21F46"/>
    <w:rsid w:val="00F23095"/>
    <w:rsid w:val="00F2315B"/>
    <w:rsid w:val="00F23D81"/>
    <w:rsid w:val="00F24A77"/>
    <w:rsid w:val="00F25AB9"/>
    <w:rsid w:val="00F274BE"/>
    <w:rsid w:val="00F317CE"/>
    <w:rsid w:val="00F31C50"/>
    <w:rsid w:val="00F33C09"/>
    <w:rsid w:val="00F34805"/>
    <w:rsid w:val="00F36F50"/>
    <w:rsid w:val="00F37F49"/>
    <w:rsid w:val="00F404F6"/>
    <w:rsid w:val="00F406B7"/>
    <w:rsid w:val="00F4153D"/>
    <w:rsid w:val="00F41A6F"/>
    <w:rsid w:val="00F431CB"/>
    <w:rsid w:val="00F45A25"/>
    <w:rsid w:val="00F46274"/>
    <w:rsid w:val="00F466C7"/>
    <w:rsid w:val="00F469E9"/>
    <w:rsid w:val="00F47BD9"/>
    <w:rsid w:val="00F50F76"/>
    <w:rsid w:val="00F50F86"/>
    <w:rsid w:val="00F519D2"/>
    <w:rsid w:val="00F52593"/>
    <w:rsid w:val="00F53B67"/>
    <w:rsid w:val="00F53B9F"/>
    <w:rsid w:val="00F53F91"/>
    <w:rsid w:val="00F54F45"/>
    <w:rsid w:val="00F55E7B"/>
    <w:rsid w:val="00F57782"/>
    <w:rsid w:val="00F60200"/>
    <w:rsid w:val="00F60997"/>
    <w:rsid w:val="00F60F97"/>
    <w:rsid w:val="00F61569"/>
    <w:rsid w:val="00F61814"/>
    <w:rsid w:val="00F61A72"/>
    <w:rsid w:val="00F6281D"/>
    <w:rsid w:val="00F628BC"/>
    <w:rsid w:val="00F62B67"/>
    <w:rsid w:val="00F6318B"/>
    <w:rsid w:val="00F63D32"/>
    <w:rsid w:val="00F64BE4"/>
    <w:rsid w:val="00F66432"/>
    <w:rsid w:val="00F66F13"/>
    <w:rsid w:val="00F7079B"/>
    <w:rsid w:val="00F708B7"/>
    <w:rsid w:val="00F70BCA"/>
    <w:rsid w:val="00F717F8"/>
    <w:rsid w:val="00F71A55"/>
    <w:rsid w:val="00F7278D"/>
    <w:rsid w:val="00F72960"/>
    <w:rsid w:val="00F72CAE"/>
    <w:rsid w:val="00F72EFB"/>
    <w:rsid w:val="00F7348E"/>
    <w:rsid w:val="00F73556"/>
    <w:rsid w:val="00F74073"/>
    <w:rsid w:val="00F74705"/>
    <w:rsid w:val="00F75603"/>
    <w:rsid w:val="00F757B7"/>
    <w:rsid w:val="00F75EAC"/>
    <w:rsid w:val="00F76387"/>
    <w:rsid w:val="00F771CE"/>
    <w:rsid w:val="00F77598"/>
    <w:rsid w:val="00F801D6"/>
    <w:rsid w:val="00F80E6C"/>
    <w:rsid w:val="00F81371"/>
    <w:rsid w:val="00F81B40"/>
    <w:rsid w:val="00F83AE2"/>
    <w:rsid w:val="00F83AE4"/>
    <w:rsid w:val="00F83D6A"/>
    <w:rsid w:val="00F845B4"/>
    <w:rsid w:val="00F84CD0"/>
    <w:rsid w:val="00F8512D"/>
    <w:rsid w:val="00F8659B"/>
    <w:rsid w:val="00F86F93"/>
    <w:rsid w:val="00F8713B"/>
    <w:rsid w:val="00F87B91"/>
    <w:rsid w:val="00F90916"/>
    <w:rsid w:val="00F90F08"/>
    <w:rsid w:val="00F91802"/>
    <w:rsid w:val="00F919CB"/>
    <w:rsid w:val="00F935D9"/>
    <w:rsid w:val="00F93F9E"/>
    <w:rsid w:val="00F94403"/>
    <w:rsid w:val="00F95E66"/>
    <w:rsid w:val="00F96D89"/>
    <w:rsid w:val="00F9725A"/>
    <w:rsid w:val="00FA0A42"/>
    <w:rsid w:val="00FA0E98"/>
    <w:rsid w:val="00FA1CD6"/>
    <w:rsid w:val="00FA2802"/>
    <w:rsid w:val="00FA2CD7"/>
    <w:rsid w:val="00FA32BA"/>
    <w:rsid w:val="00FA368D"/>
    <w:rsid w:val="00FA3C5D"/>
    <w:rsid w:val="00FA4B87"/>
    <w:rsid w:val="00FA4F3C"/>
    <w:rsid w:val="00FA627D"/>
    <w:rsid w:val="00FA631D"/>
    <w:rsid w:val="00FA6C98"/>
    <w:rsid w:val="00FA6E34"/>
    <w:rsid w:val="00FA7AC1"/>
    <w:rsid w:val="00FA7AE3"/>
    <w:rsid w:val="00FA7B41"/>
    <w:rsid w:val="00FB06ED"/>
    <w:rsid w:val="00FB14F8"/>
    <w:rsid w:val="00FB1F92"/>
    <w:rsid w:val="00FB2C6D"/>
    <w:rsid w:val="00FB2C89"/>
    <w:rsid w:val="00FB4468"/>
    <w:rsid w:val="00FB57F1"/>
    <w:rsid w:val="00FB66F1"/>
    <w:rsid w:val="00FB670B"/>
    <w:rsid w:val="00FB68A8"/>
    <w:rsid w:val="00FB6E4D"/>
    <w:rsid w:val="00FB74C3"/>
    <w:rsid w:val="00FB786D"/>
    <w:rsid w:val="00FB7E22"/>
    <w:rsid w:val="00FC0713"/>
    <w:rsid w:val="00FC1558"/>
    <w:rsid w:val="00FC1978"/>
    <w:rsid w:val="00FC1EB8"/>
    <w:rsid w:val="00FC2311"/>
    <w:rsid w:val="00FC3165"/>
    <w:rsid w:val="00FC3431"/>
    <w:rsid w:val="00FC36AB"/>
    <w:rsid w:val="00FC4300"/>
    <w:rsid w:val="00FC44BD"/>
    <w:rsid w:val="00FC460E"/>
    <w:rsid w:val="00FC4A29"/>
    <w:rsid w:val="00FC5B8D"/>
    <w:rsid w:val="00FC6532"/>
    <w:rsid w:val="00FC6986"/>
    <w:rsid w:val="00FC7F66"/>
    <w:rsid w:val="00FD11BA"/>
    <w:rsid w:val="00FD2C80"/>
    <w:rsid w:val="00FD48DC"/>
    <w:rsid w:val="00FD5599"/>
    <w:rsid w:val="00FD5776"/>
    <w:rsid w:val="00FD594F"/>
    <w:rsid w:val="00FE1CB6"/>
    <w:rsid w:val="00FE486B"/>
    <w:rsid w:val="00FE4F08"/>
    <w:rsid w:val="00FE6646"/>
    <w:rsid w:val="00FF02D6"/>
    <w:rsid w:val="00FF116D"/>
    <w:rsid w:val="00FF192E"/>
    <w:rsid w:val="00FF20AF"/>
    <w:rsid w:val="00FF2A0F"/>
    <w:rsid w:val="00FF3DB8"/>
    <w:rsid w:val="00FF47FC"/>
    <w:rsid w:val="00FF48CE"/>
    <w:rsid w:val="00FF4AAF"/>
    <w:rsid w:val="00FF74B3"/>
    <w:rsid w:val="01138772"/>
    <w:rsid w:val="01D6B094"/>
    <w:rsid w:val="01E981F6"/>
    <w:rsid w:val="02241615"/>
    <w:rsid w:val="029400D3"/>
    <w:rsid w:val="02B88CD8"/>
    <w:rsid w:val="02D40C1E"/>
    <w:rsid w:val="03351D60"/>
    <w:rsid w:val="04141089"/>
    <w:rsid w:val="0469861F"/>
    <w:rsid w:val="04BBE8D1"/>
    <w:rsid w:val="04CEAAD4"/>
    <w:rsid w:val="051DE65C"/>
    <w:rsid w:val="05370BB6"/>
    <w:rsid w:val="05766D89"/>
    <w:rsid w:val="05B646F7"/>
    <w:rsid w:val="05B91E7F"/>
    <w:rsid w:val="064EAF86"/>
    <w:rsid w:val="065B7E36"/>
    <w:rsid w:val="06834159"/>
    <w:rsid w:val="06F3B9DB"/>
    <w:rsid w:val="06FF2106"/>
    <w:rsid w:val="0717F287"/>
    <w:rsid w:val="073510AC"/>
    <w:rsid w:val="07D932FD"/>
    <w:rsid w:val="07DC2F91"/>
    <w:rsid w:val="080693DB"/>
    <w:rsid w:val="08277864"/>
    <w:rsid w:val="083C0438"/>
    <w:rsid w:val="0846099D"/>
    <w:rsid w:val="08954B16"/>
    <w:rsid w:val="08ECD519"/>
    <w:rsid w:val="0903C47B"/>
    <w:rsid w:val="09130563"/>
    <w:rsid w:val="091E99AD"/>
    <w:rsid w:val="09296B4C"/>
    <w:rsid w:val="092A648F"/>
    <w:rsid w:val="092F1430"/>
    <w:rsid w:val="09B6E9D5"/>
    <w:rsid w:val="0A4206BC"/>
    <w:rsid w:val="0A9DFE1C"/>
    <w:rsid w:val="0AABB5E9"/>
    <w:rsid w:val="0ACFD861"/>
    <w:rsid w:val="0B6F9A51"/>
    <w:rsid w:val="0B8AE81F"/>
    <w:rsid w:val="0BDB5140"/>
    <w:rsid w:val="0BF5349B"/>
    <w:rsid w:val="0C419D88"/>
    <w:rsid w:val="0C7BB554"/>
    <w:rsid w:val="0CE655A4"/>
    <w:rsid w:val="0D1163C9"/>
    <w:rsid w:val="0D40DB9C"/>
    <w:rsid w:val="0D466552"/>
    <w:rsid w:val="0DD739D6"/>
    <w:rsid w:val="0DDA208C"/>
    <w:rsid w:val="0E2114C4"/>
    <w:rsid w:val="0EC1B606"/>
    <w:rsid w:val="0F2CBFF4"/>
    <w:rsid w:val="0FDF46A4"/>
    <w:rsid w:val="0FE3524B"/>
    <w:rsid w:val="1002EC7F"/>
    <w:rsid w:val="10258A8F"/>
    <w:rsid w:val="106C2A7E"/>
    <w:rsid w:val="10775019"/>
    <w:rsid w:val="108F8CCF"/>
    <w:rsid w:val="10DD7A32"/>
    <w:rsid w:val="10F54C38"/>
    <w:rsid w:val="10FBBF88"/>
    <w:rsid w:val="118B492D"/>
    <w:rsid w:val="11E7F560"/>
    <w:rsid w:val="11F0C05B"/>
    <w:rsid w:val="1241C03F"/>
    <w:rsid w:val="12CD091B"/>
    <w:rsid w:val="130B2723"/>
    <w:rsid w:val="134F999D"/>
    <w:rsid w:val="1388E7AE"/>
    <w:rsid w:val="13B7AD70"/>
    <w:rsid w:val="1408E80F"/>
    <w:rsid w:val="140C3B34"/>
    <w:rsid w:val="141E3FCA"/>
    <w:rsid w:val="14892EB4"/>
    <w:rsid w:val="1501DD01"/>
    <w:rsid w:val="152F792A"/>
    <w:rsid w:val="1621060F"/>
    <w:rsid w:val="163390E6"/>
    <w:rsid w:val="163DE015"/>
    <w:rsid w:val="166BFA52"/>
    <w:rsid w:val="168D941B"/>
    <w:rsid w:val="16B7C7AC"/>
    <w:rsid w:val="16F987E0"/>
    <w:rsid w:val="17569AFC"/>
    <w:rsid w:val="17A0D3DC"/>
    <w:rsid w:val="17C1D2EC"/>
    <w:rsid w:val="17FB150E"/>
    <w:rsid w:val="18093745"/>
    <w:rsid w:val="180FADD4"/>
    <w:rsid w:val="1813EA22"/>
    <w:rsid w:val="181CE728"/>
    <w:rsid w:val="182D2E32"/>
    <w:rsid w:val="18356C5F"/>
    <w:rsid w:val="183CBC57"/>
    <w:rsid w:val="186A1711"/>
    <w:rsid w:val="1876E28E"/>
    <w:rsid w:val="18F152B9"/>
    <w:rsid w:val="191E7B19"/>
    <w:rsid w:val="1954F2C4"/>
    <w:rsid w:val="19AA77D6"/>
    <w:rsid w:val="1A02E3E2"/>
    <w:rsid w:val="1A106F9D"/>
    <w:rsid w:val="1A1F2D76"/>
    <w:rsid w:val="1A2A0015"/>
    <w:rsid w:val="1A411257"/>
    <w:rsid w:val="1A702A62"/>
    <w:rsid w:val="1AA45609"/>
    <w:rsid w:val="1AE14EB0"/>
    <w:rsid w:val="1B0E78D1"/>
    <w:rsid w:val="1B1D9DCF"/>
    <w:rsid w:val="1C04133F"/>
    <w:rsid w:val="1C939E83"/>
    <w:rsid w:val="1CA39CFB"/>
    <w:rsid w:val="1CDC2ABF"/>
    <w:rsid w:val="1CDC7B39"/>
    <w:rsid w:val="1D74CAFE"/>
    <w:rsid w:val="1DC1A012"/>
    <w:rsid w:val="1DE80E97"/>
    <w:rsid w:val="1EEE6427"/>
    <w:rsid w:val="1F28EDB3"/>
    <w:rsid w:val="1F966A30"/>
    <w:rsid w:val="1FD4E14E"/>
    <w:rsid w:val="200C5277"/>
    <w:rsid w:val="2055596F"/>
    <w:rsid w:val="205799E5"/>
    <w:rsid w:val="20B8F4C5"/>
    <w:rsid w:val="20F12350"/>
    <w:rsid w:val="214D6713"/>
    <w:rsid w:val="2174C539"/>
    <w:rsid w:val="21C571D5"/>
    <w:rsid w:val="21E24499"/>
    <w:rsid w:val="2200DE68"/>
    <w:rsid w:val="222F61ED"/>
    <w:rsid w:val="2272EBF9"/>
    <w:rsid w:val="22D80D9F"/>
    <w:rsid w:val="22EED532"/>
    <w:rsid w:val="233C4811"/>
    <w:rsid w:val="2341DBDC"/>
    <w:rsid w:val="237F4D63"/>
    <w:rsid w:val="238318B7"/>
    <w:rsid w:val="23C1EDA3"/>
    <w:rsid w:val="23CA2F0A"/>
    <w:rsid w:val="240E4BA9"/>
    <w:rsid w:val="24D69522"/>
    <w:rsid w:val="251042DA"/>
    <w:rsid w:val="25105244"/>
    <w:rsid w:val="2516CB53"/>
    <w:rsid w:val="2535F401"/>
    <w:rsid w:val="256B32B5"/>
    <w:rsid w:val="25A209D6"/>
    <w:rsid w:val="25BF3DA4"/>
    <w:rsid w:val="25EEF510"/>
    <w:rsid w:val="262DCBF1"/>
    <w:rsid w:val="27336EE7"/>
    <w:rsid w:val="273A62AD"/>
    <w:rsid w:val="275730DB"/>
    <w:rsid w:val="277D21CF"/>
    <w:rsid w:val="28846F49"/>
    <w:rsid w:val="28A2BA0F"/>
    <w:rsid w:val="2937FE45"/>
    <w:rsid w:val="29D868FF"/>
    <w:rsid w:val="29EACF4E"/>
    <w:rsid w:val="2AB73290"/>
    <w:rsid w:val="2B12CDA3"/>
    <w:rsid w:val="2B33039D"/>
    <w:rsid w:val="2B3675CB"/>
    <w:rsid w:val="2B879D14"/>
    <w:rsid w:val="2B9AD96E"/>
    <w:rsid w:val="2BE9902E"/>
    <w:rsid w:val="2BF6A52C"/>
    <w:rsid w:val="2C3D9A1F"/>
    <w:rsid w:val="2C5CA651"/>
    <w:rsid w:val="2C7F48DF"/>
    <w:rsid w:val="2CACE114"/>
    <w:rsid w:val="2CCB53B3"/>
    <w:rsid w:val="2D286081"/>
    <w:rsid w:val="2D7EEB53"/>
    <w:rsid w:val="2DD282A9"/>
    <w:rsid w:val="2E1FBAF9"/>
    <w:rsid w:val="2E4535DF"/>
    <w:rsid w:val="2E5890DC"/>
    <w:rsid w:val="2E90ABE2"/>
    <w:rsid w:val="2F108F3A"/>
    <w:rsid w:val="2F305954"/>
    <w:rsid w:val="2FD3971A"/>
    <w:rsid w:val="2FD9D387"/>
    <w:rsid w:val="2FEC9EAA"/>
    <w:rsid w:val="303936E9"/>
    <w:rsid w:val="3185A718"/>
    <w:rsid w:val="31FBB30B"/>
    <w:rsid w:val="3205A13B"/>
    <w:rsid w:val="32364BC2"/>
    <w:rsid w:val="328184C5"/>
    <w:rsid w:val="3294C676"/>
    <w:rsid w:val="32AEBBD7"/>
    <w:rsid w:val="32CDF74B"/>
    <w:rsid w:val="337E25E8"/>
    <w:rsid w:val="33BBFCFE"/>
    <w:rsid w:val="3405ED07"/>
    <w:rsid w:val="34107FEC"/>
    <w:rsid w:val="351BF740"/>
    <w:rsid w:val="35420952"/>
    <w:rsid w:val="3548873D"/>
    <w:rsid w:val="35C1C834"/>
    <w:rsid w:val="36143E8B"/>
    <w:rsid w:val="365E4DCC"/>
    <w:rsid w:val="36C89A17"/>
    <w:rsid w:val="36EE60F3"/>
    <w:rsid w:val="3774CF1E"/>
    <w:rsid w:val="38581640"/>
    <w:rsid w:val="38EA5EFB"/>
    <w:rsid w:val="395E92E4"/>
    <w:rsid w:val="39768309"/>
    <w:rsid w:val="398BC0AF"/>
    <w:rsid w:val="39A7F666"/>
    <w:rsid w:val="3A66DA37"/>
    <w:rsid w:val="3AB3B310"/>
    <w:rsid w:val="3AB5D3F8"/>
    <w:rsid w:val="3AE4765C"/>
    <w:rsid w:val="3AEAD7B0"/>
    <w:rsid w:val="3BB08CCB"/>
    <w:rsid w:val="3BC12A41"/>
    <w:rsid w:val="3BF19C0D"/>
    <w:rsid w:val="3BF7870B"/>
    <w:rsid w:val="3C022427"/>
    <w:rsid w:val="3C115554"/>
    <w:rsid w:val="3C27430F"/>
    <w:rsid w:val="3C2A6A99"/>
    <w:rsid w:val="3C54AD72"/>
    <w:rsid w:val="3D9A4353"/>
    <w:rsid w:val="3DB54028"/>
    <w:rsid w:val="3E3C3095"/>
    <w:rsid w:val="3E9F3DE2"/>
    <w:rsid w:val="3F573CCE"/>
    <w:rsid w:val="3F5F9A70"/>
    <w:rsid w:val="3FF0F65C"/>
    <w:rsid w:val="3FFE61AD"/>
    <w:rsid w:val="4007C002"/>
    <w:rsid w:val="401D053A"/>
    <w:rsid w:val="403219A1"/>
    <w:rsid w:val="40EE5E78"/>
    <w:rsid w:val="414C6F04"/>
    <w:rsid w:val="41885EC1"/>
    <w:rsid w:val="42185555"/>
    <w:rsid w:val="423846C9"/>
    <w:rsid w:val="4244D512"/>
    <w:rsid w:val="425A2D3C"/>
    <w:rsid w:val="426457C5"/>
    <w:rsid w:val="429904B0"/>
    <w:rsid w:val="42AC5C35"/>
    <w:rsid w:val="43037E97"/>
    <w:rsid w:val="43041282"/>
    <w:rsid w:val="4377E431"/>
    <w:rsid w:val="4382E24A"/>
    <w:rsid w:val="439AC474"/>
    <w:rsid w:val="43F541F8"/>
    <w:rsid w:val="43FCE3AA"/>
    <w:rsid w:val="440EDB12"/>
    <w:rsid w:val="442BB516"/>
    <w:rsid w:val="44C77943"/>
    <w:rsid w:val="44DB71F7"/>
    <w:rsid w:val="44FFEA6E"/>
    <w:rsid w:val="45720BA7"/>
    <w:rsid w:val="45ABBA83"/>
    <w:rsid w:val="45B4A737"/>
    <w:rsid w:val="45B9DDF2"/>
    <w:rsid w:val="460188CB"/>
    <w:rsid w:val="4635D6F4"/>
    <w:rsid w:val="464C5453"/>
    <w:rsid w:val="4690F5E6"/>
    <w:rsid w:val="46CD43A7"/>
    <w:rsid w:val="46EF0EEF"/>
    <w:rsid w:val="473B3DEC"/>
    <w:rsid w:val="47681472"/>
    <w:rsid w:val="47E33B0C"/>
    <w:rsid w:val="47F2AF5F"/>
    <w:rsid w:val="48578502"/>
    <w:rsid w:val="485C8E01"/>
    <w:rsid w:val="486E22B5"/>
    <w:rsid w:val="486E2E36"/>
    <w:rsid w:val="4873C640"/>
    <w:rsid w:val="48E5F79F"/>
    <w:rsid w:val="48ED5E2E"/>
    <w:rsid w:val="490BD414"/>
    <w:rsid w:val="49C04323"/>
    <w:rsid w:val="49C29310"/>
    <w:rsid w:val="4A45749C"/>
    <w:rsid w:val="4A48E70C"/>
    <w:rsid w:val="4A560E92"/>
    <w:rsid w:val="4A8C0209"/>
    <w:rsid w:val="4A94DF94"/>
    <w:rsid w:val="4AD01082"/>
    <w:rsid w:val="4B0A9A33"/>
    <w:rsid w:val="4B78F6F0"/>
    <w:rsid w:val="4B8F9F3A"/>
    <w:rsid w:val="4BBAC03E"/>
    <w:rsid w:val="4BFF22A6"/>
    <w:rsid w:val="4C0EA315"/>
    <w:rsid w:val="4C12FC73"/>
    <w:rsid w:val="4C5C19C2"/>
    <w:rsid w:val="4C9049AE"/>
    <w:rsid w:val="4CAFC1E9"/>
    <w:rsid w:val="4D57FE49"/>
    <w:rsid w:val="4D615FEF"/>
    <w:rsid w:val="4E330C6E"/>
    <w:rsid w:val="4E5AF649"/>
    <w:rsid w:val="4EB205E3"/>
    <w:rsid w:val="4F38321D"/>
    <w:rsid w:val="4F5C2243"/>
    <w:rsid w:val="4F61FAAA"/>
    <w:rsid w:val="4FAE1C5F"/>
    <w:rsid w:val="4FB69700"/>
    <w:rsid w:val="4FEBA24F"/>
    <w:rsid w:val="4FFDF0CB"/>
    <w:rsid w:val="5034010D"/>
    <w:rsid w:val="503BE570"/>
    <w:rsid w:val="504D95DF"/>
    <w:rsid w:val="508855EF"/>
    <w:rsid w:val="514E23D4"/>
    <w:rsid w:val="51656789"/>
    <w:rsid w:val="51E3883A"/>
    <w:rsid w:val="51E45949"/>
    <w:rsid w:val="523BA87A"/>
    <w:rsid w:val="525B58A6"/>
    <w:rsid w:val="530D7F53"/>
    <w:rsid w:val="5362D8E8"/>
    <w:rsid w:val="5377937D"/>
    <w:rsid w:val="54BC3FDE"/>
    <w:rsid w:val="54DFCE89"/>
    <w:rsid w:val="54E1AB20"/>
    <w:rsid w:val="54EC8420"/>
    <w:rsid w:val="555BE942"/>
    <w:rsid w:val="555EB304"/>
    <w:rsid w:val="559FF08A"/>
    <w:rsid w:val="561E6F17"/>
    <w:rsid w:val="5655F101"/>
    <w:rsid w:val="5664EDFC"/>
    <w:rsid w:val="570AEF9A"/>
    <w:rsid w:val="57526E7E"/>
    <w:rsid w:val="57700994"/>
    <w:rsid w:val="57B2113F"/>
    <w:rsid w:val="57E6BD62"/>
    <w:rsid w:val="581194E2"/>
    <w:rsid w:val="584AD19F"/>
    <w:rsid w:val="5869DED0"/>
    <w:rsid w:val="5887E7E8"/>
    <w:rsid w:val="58B1473E"/>
    <w:rsid w:val="58D2A57F"/>
    <w:rsid w:val="590FF659"/>
    <w:rsid w:val="5913819D"/>
    <w:rsid w:val="5948A8E1"/>
    <w:rsid w:val="5974AF5B"/>
    <w:rsid w:val="5A1FCED6"/>
    <w:rsid w:val="5A7C37CB"/>
    <w:rsid w:val="5A949D70"/>
    <w:rsid w:val="5ACA8894"/>
    <w:rsid w:val="5AE8C334"/>
    <w:rsid w:val="5B53F347"/>
    <w:rsid w:val="5B67F606"/>
    <w:rsid w:val="5BC654AE"/>
    <w:rsid w:val="5C215C4A"/>
    <w:rsid w:val="5C2BCCAD"/>
    <w:rsid w:val="5CC081C0"/>
    <w:rsid w:val="5CF614DD"/>
    <w:rsid w:val="5D02C3C5"/>
    <w:rsid w:val="5D59E582"/>
    <w:rsid w:val="5DAF86F7"/>
    <w:rsid w:val="5E4676DB"/>
    <w:rsid w:val="5ED7AC90"/>
    <w:rsid w:val="5EDDF440"/>
    <w:rsid w:val="5F8D8490"/>
    <w:rsid w:val="5FA096CA"/>
    <w:rsid w:val="5FB61843"/>
    <w:rsid w:val="60156C90"/>
    <w:rsid w:val="601AA869"/>
    <w:rsid w:val="60301AF9"/>
    <w:rsid w:val="603A7FC5"/>
    <w:rsid w:val="60D5FA4A"/>
    <w:rsid w:val="61051980"/>
    <w:rsid w:val="61C90BF4"/>
    <w:rsid w:val="61FDFD74"/>
    <w:rsid w:val="620929CF"/>
    <w:rsid w:val="63096937"/>
    <w:rsid w:val="6310F7CD"/>
    <w:rsid w:val="63BBC830"/>
    <w:rsid w:val="63F892FC"/>
    <w:rsid w:val="64400C49"/>
    <w:rsid w:val="646F8ABD"/>
    <w:rsid w:val="649EDB89"/>
    <w:rsid w:val="64A32CAE"/>
    <w:rsid w:val="64B7D1EA"/>
    <w:rsid w:val="64B83E6A"/>
    <w:rsid w:val="652FE957"/>
    <w:rsid w:val="655DEFE1"/>
    <w:rsid w:val="65D8ADEE"/>
    <w:rsid w:val="661E9B07"/>
    <w:rsid w:val="6639A963"/>
    <w:rsid w:val="6659BDCA"/>
    <w:rsid w:val="669887D5"/>
    <w:rsid w:val="66C71CE5"/>
    <w:rsid w:val="66E6057A"/>
    <w:rsid w:val="66F5F128"/>
    <w:rsid w:val="672AD514"/>
    <w:rsid w:val="673B3D22"/>
    <w:rsid w:val="67CC2049"/>
    <w:rsid w:val="67F3ACF0"/>
    <w:rsid w:val="68186410"/>
    <w:rsid w:val="68888C5C"/>
    <w:rsid w:val="68E86E45"/>
    <w:rsid w:val="694C1429"/>
    <w:rsid w:val="694D5AA6"/>
    <w:rsid w:val="69733B93"/>
    <w:rsid w:val="6984B497"/>
    <w:rsid w:val="69AD32A6"/>
    <w:rsid w:val="69CAE796"/>
    <w:rsid w:val="69F82FD3"/>
    <w:rsid w:val="69FE36E5"/>
    <w:rsid w:val="6A2A0828"/>
    <w:rsid w:val="6A2E714F"/>
    <w:rsid w:val="6A3E3C14"/>
    <w:rsid w:val="6A63D9FA"/>
    <w:rsid w:val="6AC20D05"/>
    <w:rsid w:val="6B2753D7"/>
    <w:rsid w:val="6B532E6F"/>
    <w:rsid w:val="6BBE724C"/>
    <w:rsid w:val="6BCF8930"/>
    <w:rsid w:val="6BE7212C"/>
    <w:rsid w:val="6C2B36EB"/>
    <w:rsid w:val="6CD97C5A"/>
    <w:rsid w:val="6D299563"/>
    <w:rsid w:val="6D7C3818"/>
    <w:rsid w:val="6DF69844"/>
    <w:rsid w:val="6E1B726A"/>
    <w:rsid w:val="6E1DE153"/>
    <w:rsid w:val="6E23C10D"/>
    <w:rsid w:val="6E9BEE00"/>
    <w:rsid w:val="6EAE8E73"/>
    <w:rsid w:val="6EBC4551"/>
    <w:rsid w:val="6EE6CCC3"/>
    <w:rsid w:val="6F098660"/>
    <w:rsid w:val="6F731628"/>
    <w:rsid w:val="6FF955AA"/>
    <w:rsid w:val="6FFA577F"/>
    <w:rsid w:val="709ADF71"/>
    <w:rsid w:val="70B20D49"/>
    <w:rsid w:val="70D0C8E6"/>
    <w:rsid w:val="70E5D863"/>
    <w:rsid w:val="70F25107"/>
    <w:rsid w:val="70F43670"/>
    <w:rsid w:val="71C1B101"/>
    <w:rsid w:val="71D0FA53"/>
    <w:rsid w:val="71E15654"/>
    <w:rsid w:val="724019D8"/>
    <w:rsid w:val="7261A5C6"/>
    <w:rsid w:val="7262DB03"/>
    <w:rsid w:val="726A2EA2"/>
    <w:rsid w:val="72C0C2AE"/>
    <w:rsid w:val="7333644C"/>
    <w:rsid w:val="7375F90F"/>
    <w:rsid w:val="738CF826"/>
    <w:rsid w:val="738E1673"/>
    <w:rsid w:val="73AD84D9"/>
    <w:rsid w:val="7472D4FE"/>
    <w:rsid w:val="747C1A63"/>
    <w:rsid w:val="74A15912"/>
    <w:rsid w:val="74B502EB"/>
    <w:rsid w:val="74CA370A"/>
    <w:rsid w:val="74CC46A6"/>
    <w:rsid w:val="74EAE32A"/>
    <w:rsid w:val="75017E7E"/>
    <w:rsid w:val="7535D06C"/>
    <w:rsid w:val="75A7D3D2"/>
    <w:rsid w:val="760033BA"/>
    <w:rsid w:val="760F7521"/>
    <w:rsid w:val="770B93E9"/>
    <w:rsid w:val="772595F5"/>
    <w:rsid w:val="773DF702"/>
    <w:rsid w:val="7774AE27"/>
    <w:rsid w:val="77E38410"/>
    <w:rsid w:val="78076098"/>
    <w:rsid w:val="78253319"/>
    <w:rsid w:val="78606600"/>
    <w:rsid w:val="7873C8DB"/>
    <w:rsid w:val="78BE8FF4"/>
    <w:rsid w:val="78BEB535"/>
    <w:rsid w:val="78D10E58"/>
    <w:rsid w:val="78E107E3"/>
    <w:rsid w:val="78F22F97"/>
    <w:rsid w:val="793C8ADF"/>
    <w:rsid w:val="796641B4"/>
    <w:rsid w:val="79AE6007"/>
    <w:rsid w:val="7AC65D5F"/>
    <w:rsid w:val="7B32E59A"/>
    <w:rsid w:val="7B4979CD"/>
    <w:rsid w:val="7BDDE05D"/>
    <w:rsid w:val="7C339E9E"/>
    <w:rsid w:val="7CDB8534"/>
    <w:rsid w:val="7CEFD2AC"/>
    <w:rsid w:val="7CF06C9E"/>
    <w:rsid w:val="7E14A32F"/>
    <w:rsid w:val="7E50C649"/>
    <w:rsid w:val="7E71B4B5"/>
    <w:rsid w:val="7E9E7CBB"/>
    <w:rsid w:val="7ED472F1"/>
    <w:rsid w:val="7F01A0DF"/>
    <w:rsid w:val="7F1E9D5B"/>
    <w:rsid w:val="7F6E6276"/>
    <w:rsid w:val="7FA9D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6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uiPriority w:val="99"/>
    <w:rsid w:val="00023E9A"/>
    <w:pPr>
      <w:tabs>
        <w:tab w:val="center" w:pos="4536"/>
        <w:tab w:val="right" w:pos="9072"/>
      </w:tabs>
    </w:pPr>
  </w:style>
  <w:style w:type="paragraph" w:styleId="Voettekst">
    <w:name w:val="footer"/>
    <w:basedOn w:val="Standaard"/>
    <w:link w:val="VoettekstChar1"/>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uiPriority w:val="99"/>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uiPriority w:val="99"/>
    <w:semiHidden/>
    <w:unhideWhenUsed/>
    <w:rsid w:val="004B4F44"/>
    <w:rPr>
      <w:vertAlign w:val="superscript"/>
    </w:rPr>
  </w:style>
  <w:style w:type="paragraph" w:styleId="Lijstalinea">
    <w:name w:val="List Paragraph"/>
    <w:basedOn w:val="Standaard"/>
    <w:uiPriority w:val="34"/>
    <w:qFormat/>
    <w:rsid w:val="004B4F44"/>
    <w:pPr>
      <w:spacing w:after="160" w:line="279" w:lineRule="auto"/>
      <w:ind w:left="720"/>
      <w:contextualSpacing/>
    </w:pPr>
    <w:rPr>
      <w:rFonts w:asciiTheme="minorHAnsi" w:eastAsiaTheme="minorHAnsi" w:hAnsiTheme="minorHAnsi" w:cstheme="minorBidi"/>
      <w:sz w:val="24"/>
      <w:lang w:eastAsia="en-US"/>
    </w:rPr>
  </w:style>
  <w:style w:type="paragraph" w:styleId="Revisie">
    <w:name w:val="Revision"/>
    <w:hidden/>
    <w:uiPriority w:val="99"/>
    <w:semiHidden/>
    <w:rsid w:val="004B4F44"/>
    <w:rPr>
      <w:rFonts w:asciiTheme="minorHAnsi" w:eastAsiaTheme="minorHAnsi" w:hAnsiTheme="minorHAnsi" w:cstheme="minorBidi"/>
      <w:sz w:val="24"/>
      <w:szCs w:val="24"/>
      <w:lang w:val="nl-NL"/>
    </w:rPr>
  </w:style>
  <w:style w:type="character" w:styleId="Vermelding">
    <w:name w:val="Mention"/>
    <w:basedOn w:val="Standaardalinea-lettertype"/>
    <w:uiPriority w:val="99"/>
    <w:unhideWhenUsed/>
    <w:rsid w:val="004B4F44"/>
    <w:rPr>
      <w:color w:val="2B579A"/>
      <w:shd w:val="clear" w:color="auto" w:fill="E1DFDD"/>
    </w:rPr>
  </w:style>
  <w:style w:type="character" w:styleId="Onopgelostemelding">
    <w:name w:val="Unresolved Mention"/>
    <w:basedOn w:val="Standaardalinea-lettertype"/>
    <w:uiPriority w:val="99"/>
    <w:semiHidden/>
    <w:unhideWhenUsed/>
    <w:rsid w:val="004B4F44"/>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35B9B"/>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235B9B"/>
    <w:rPr>
      <w:rFonts w:asciiTheme="minorHAnsi" w:eastAsiaTheme="minorHAnsi" w:hAnsiTheme="minorHAnsi"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cer.europa.eu/news/acer-calls-improvements-2025-european-resource-adequacy-assessment-eraa" TargetMode="External"/><Relationship Id="rId1" Type="http://schemas.openxmlformats.org/officeDocument/2006/relationships/hyperlink" Target="https://www.entsoe.eu/eraa/2025/reports&amp;result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4605</ap:Words>
  <ap:Characters>27448</ap:Characters>
  <ap:DocSecurity>0</ap:DocSecurity>
  <ap:Lines>538</ap:Lines>
  <ap:Paragraphs>109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2026-06-19T12:42:00.0000000Z</dcterms:created>
  <dcterms:modified xsi:type="dcterms:W3CDTF">2026-06-19T12:42:00.0000000Z</dcterms:modified>
  <dc:description>------------------------</dc:description>
  <version/>
  <category/>
</coreProperties>
</file>