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33B05" w:rsidR="00CC3DCA" w:rsidP="7825A8D2" w:rsidRDefault="7825A8D2" w14:paraId="2B71FD4E" w14:textId="4E11D9AD">
      <w:pPr>
        <w:pStyle w:val="Heading1"/>
        <w:numPr>
          <w:ilvl w:val="0"/>
          <w:numId w:val="0"/>
        </w:numPr>
        <w:spacing w:after="0" w:line="360" w:lineRule="auto"/>
        <w:rPr>
          <w:rFonts w:ascii="Verdana" w:hAnsi="Verdana"/>
          <w:b/>
          <w:bCs/>
          <w:sz w:val="18"/>
          <w:szCs w:val="18"/>
        </w:rPr>
      </w:pPr>
      <w:bookmarkStart w:name="_Hlk231812446" w:id="0"/>
      <w:r w:rsidRPr="00633B05">
        <w:rPr>
          <w:rFonts w:ascii="Verdana" w:hAnsi="Verdana"/>
          <w:b/>
          <w:bCs/>
          <w:sz w:val="18"/>
          <w:szCs w:val="18"/>
        </w:rPr>
        <w:t xml:space="preserve">Fiche </w:t>
      </w:r>
      <w:r w:rsidR="00F90886">
        <w:rPr>
          <w:rFonts w:ascii="Verdana" w:hAnsi="Verdana"/>
          <w:b/>
          <w:bCs/>
          <w:sz w:val="18"/>
          <w:szCs w:val="18"/>
        </w:rPr>
        <w:t>1</w:t>
      </w:r>
      <w:r w:rsidRPr="00633B05">
        <w:rPr>
          <w:rFonts w:ascii="Verdana" w:hAnsi="Verdana"/>
          <w:b/>
          <w:bCs/>
          <w:sz w:val="18"/>
          <w:szCs w:val="18"/>
        </w:rPr>
        <w:t xml:space="preserve">: </w:t>
      </w:r>
      <w:r w:rsidRPr="00633B05" w:rsidR="003B1046">
        <w:rPr>
          <w:rFonts w:ascii="Verdana" w:hAnsi="Verdana"/>
          <w:b/>
          <w:bCs/>
          <w:sz w:val="18"/>
          <w:szCs w:val="18"/>
        </w:rPr>
        <w:t>Versterking van de wereldwijde veerkracht op gezondheidsgebied tegen de achtergrond van geopolitieke veranderingen</w:t>
      </w:r>
      <w:r w:rsidRPr="00633B05">
        <w:rPr>
          <w:rFonts w:ascii="Verdana" w:hAnsi="Verdana"/>
          <w:b/>
          <w:bCs/>
          <w:sz w:val="18"/>
          <w:szCs w:val="18"/>
        </w:rPr>
        <w:t xml:space="preserve">    </w:t>
      </w:r>
      <w:bookmarkStart w:name="_Hlk231885272" w:id="1"/>
      <w:bookmarkEnd w:id="1"/>
    </w:p>
    <w:bookmarkEnd w:id="0"/>
    <w:p w:rsidRPr="00633B05" w:rsidR="00CC3DCA" w:rsidP="00E11FBE" w:rsidRDefault="00CC3DCA" w14:paraId="247E1971" w14:textId="77777777">
      <w:pPr>
        <w:spacing w:line="360" w:lineRule="auto"/>
        <w:rPr>
          <w:rFonts w:ascii="Verdana" w:hAnsi="Verdana"/>
          <w:b/>
          <w:sz w:val="18"/>
          <w:szCs w:val="18"/>
          <w:u w:val="single"/>
        </w:rPr>
      </w:pPr>
    </w:p>
    <w:p w:rsidRPr="00633B05" w:rsidR="00CC3DCA" w:rsidP="00E11FBE" w:rsidRDefault="00CC3DCA" w14:paraId="14A2D4E7" w14:textId="5B6DDB3B">
      <w:pPr>
        <w:numPr>
          <w:ilvl w:val="0"/>
          <w:numId w:val="2"/>
        </w:numPr>
        <w:spacing w:line="360" w:lineRule="auto"/>
        <w:rPr>
          <w:rFonts w:ascii="Verdana" w:hAnsi="Verdana"/>
          <w:b/>
          <w:sz w:val="18"/>
          <w:szCs w:val="18"/>
        </w:rPr>
      </w:pPr>
      <w:r w:rsidRPr="00633B05">
        <w:rPr>
          <w:rFonts w:ascii="Verdana" w:hAnsi="Verdana"/>
          <w:b/>
          <w:sz w:val="18"/>
          <w:szCs w:val="18"/>
        </w:rPr>
        <w:t>Algemene gegevens</w:t>
      </w:r>
    </w:p>
    <w:p w:rsidRPr="00633B05" w:rsidR="007E3185" w:rsidP="00E11FBE" w:rsidRDefault="00CC3DCA" w14:paraId="4EFF044E" w14:textId="70DE5372">
      <w:pPr>
        <w:numPr>
          <w:ilvl w:val="0"/>
          <w:numId w:val="3"/>
        </w:numPr>
        <w:spacing w:line="360" w:lineRule="auto"/>
        <w:rPr>
          <w:rFonts w:ascii="Verdana" w:hAnsi="Verdana"/>
          <w:i/>
          <w:iCs/>
          <w:sz w:val="18"/>
          <w:szCs w:val="18"/>
        </w:rPr>
      </w:pPr>
      <w:r w:rsidRPr="00633B05">
        <w:rPr>
          <w:rFonts w:ascii="Verdana" w:hAnsi="Verdana"/>
          <w:i/>
          <w:iCs/>
          <w:sz w:val="18"/>
          <w:szCs w:val="18"/>
        </w:rPr>
        <w:t>Titel voorstel</w:t>
      </w:r>
    </w:p>
    <w:p w:rsidRPr="00633B05" w:rsidR="00956E36" w:rsidP="00FB1BDA" w:rsidRDefault="001536B3" w14:paraId="0AF8F9A9" w14:textId="5D4993A4">
      <w:pPr>
        <w:spacing w:line="360" w:lineRule="auto"/>
        <w:rPr>
          <w:rFonts w:ascii="Verdana" w:hAnsi="Verdana"/>
          <w:sz w:val="18"/>
          <w:szCs w:val="18"/>
        </w:rPr>
      </w:pPr>
      <w:r w:rsidRPr="00633B05">
        <w:rPr>
          <w:rFonts w:ascii="Verdana" w:hAnsi="Verdana"/>
          <w:sz w:val="18"/>
          <w:szCs w:val="18"/>
        </w:rPr>
        <w:t>Mededeling</w:t>
      </w:r>
      <w:r w:rsidRPr="00633B05" w:rsidR="009F06CD">
        <w:rPr>
          <w:rFonts w:ascii="Verdana" w:hAnsi="Verdana"/>
          <w:sz w:val="18"/>
          <w:szCs w:val="18"/>
        </w:rPr>
        <w:t xml:space="preserve"> </w:t>
      </w:r>
      <w:r w:rsidRPr="00633B05" w:rsidR="002E6B34">
        <w:rPr>
          <w:rFonts w:ascii="Verdana" w:hAnsi="Verdana"/>
          <w:sz w:val="18"/>
          <w:szCs w:val="18"/>
        </w:rPr>
        <w:t>van de Commissie aan het Europees Parlement en de Raad</w:t>
      </w:r>
      <w:r w:rsidRPr="00633B05">
        <w:rPr>
          <w:rFonts w:ascii="Verdana" w:hAnsi="Verdana"/>
          <w:sz w:val="18"/>
          <w:szCs w:val="18"/>
        </w:rPr>
        <w:t xml:space="preserve"> v</w:t>
      </w:r>
      <w:r w:rsidRPr="00633B05" w:rsidR="00FB1BDA">
        <w:rPr>
          <w:rFonts w:ascii="Verdana" w:hAnsi="Verdana"/>
          <w:sz w:val="18"/>
          <w:szCs w:val="18"/>
        </w:rPr>
        <w:t>ersterking van de wereldwijde veerkracht op gezondheidsgebied tegen de achtergrond van geopolitieke veranderingen</w:t>
      </w:r>
    </w:p>
    <w:p w:rsidRPr="00633B05" w:rsidR="00BC26E5" w:rsidP="00956E36" w:rsidRDefault="00BC26E5" w14:paraId="0F56FFC9" w14:textId="4D378CE7">
      <w:pPr>
        <w:spacing w:line="360" w:lineRule="auto"/>
        <w:rPr>
          <w:rFonts w:ascii="Verdana" w:hAnsi="Verdana"/>
          <w:bCs/>
          <w:i/>
          <w:iCs/>
          <w:sz w:val="18"/>
          <w:szCs w:val="18"/>
        </w:rPr>
      </w:pPr>
    </w:p>
    <w:p w:rsidRPr="00633B05" w:rsidR="00CC3DCA" w:rsidP="00E11FBE" w:rsidRDefault="00CC3DCA" w14:paraId="73AD3D8E" w14:textId="77777777">
      <w:pPr>
        <w:numPr>
          <w:ilvl w:val="0"/>
          <w:numId w:val="3"/>
        </w:numPr>
        <w:spacing w:line="360" w:lineRule="auto"/>
        <w:rPr>
          <w:rFonts w:ascii="Verdana" w:hAnsi="Verdana"/>
          <w:i/>
          <w:iCs/>
          <w:sz w:val="18"/>
          <w:szCs w:val="18"/>
        </w:rPr>
      </w:pPr>
      <w:r w:rsidRPr="00633B05">
        <w:rPr>
          <w:rFonts w:ascii="Verdana" w:hAnsi="Verdana"/>
          <w:i/>
          <w:iCs/>
          <w:sz w:val="18"/>
          <w:szCs w:val="18"/>
        </w:rPr>
        <w:t>Datum ontvangst Commissiedocument</w:t>
      </w:r>
    </w:p>
    <w:p w:rsidRPr="00633B05" w:rsidR="00CC3DCA" w:rsidP="00E11FBE" w:rsidRDefault="00B32092" w14:paraId="49BDF80E" w14:textId="52A1EF28">
      <w:pPr>
        <w:spacing w:line="360" w:lineRule="auto"/>
        <w:rPr>
          <w:rFonts w:ascii="Verdana" w:hAnsi="Verdana"/>
          <w:iCs/>
          <w:sz w:val="18"/>
          <w:szCs w:val="18"/>
        </w:rPr>
      </w:pPr>
      <w:r w:rsidRPr="00633B05">
        <w:rPr>
          <w:rFonts w:ascii="Verdana" w:hAnsi="Verdana"/>
          <w:iCs/>
          <w:sz w:val="18"/>
          <w:szCs w:val="18"/>
        </w:rPr>
        <w:t xml:space="preserve">13 mei 2026 </w:t>
      </w:r>
    </w:p>
    <w:p w:rsidRPr="00633B05" w:rsidR="00B155AE" w:rsidP="00E11FBE" w:rsidRDefault="00B155AE" w14:paraId="6C59748A" w14:textId="77777777">
      <w:pPr>
        <w:spacing w:line="360" w:lineRule="auto"/>
        <w:rPr>
          <w:rFonts w:ascii="Verdana" w:hAnsi="Verdana"/>
          <w:i/>
          <w:iCs/>
          <w:sz w:val="18"/>
          <w:szCs w:val="18"/>
        </w:rPr>
      </w:pPr>
    </w:p>
    <w:p w:rsidRPr="00633B05" w:rsidR="00CC3DCA" w:rsidP="00E11FBE" w:rsidRDefault="00CC3DCA" w14:paraId="17E20682" w14:textId="77777777">
      <w:pPr>
        <w:pStyle w:val="ListParagraph"/>
        <w:numPr>
          <w:ilvl w:val="0"/>
          <w:numId w:val="3"/>
        </w:numPr>
        <w:spacing w:line="360" w:lineRule="auto"/>
        <w:rPr>
          <w:rFonts w:ascii="Verdana" w:hAnsi="Verdana"/>
          <w:i/>
          <w:iCs/>
          <w:sz w:val="18"/>
          <w:szCs w:val="18"/>
        </w:rPr>
      </w:pPr>
      <w:r w:rsidRPr="00633B05">
        <w:rPr>
          <w:rFonts w:ascii="Verdana" w:hAnsi="Verdana"/>
          <w:i/>
          <w:iCs/>
          <w:sz w:val="18"/>
          <w:szCs w:val="18"/>
        </w:rPr>
        <w:t>Nr. Commissiedocument</w:t>
      </w:r>
    </w:p>
    <w:p w:rsidRPr="00633B05" w:rsidR="00B32092" w:rsidP="00B32092" w:rsidRDefault="00B32092" w14:paraId="60370F87" w14:textId="3EA0404F">
      <w:pPr>
        <w:spacing w:line="360" w:lineRule="auto"/>
        <w:rPr>
          <w:rFonts w:ascii="Verdana" w:hAnsi="Verdana"/>
          <w:iCs/>
          <w:sz w:val="18"/>
          <w:szCs w:val="18"/>
        </w:rPr>
      </w:pPr>
      <w:r w:rsidRPr="00633B05">
        <w:rPr>
          <w:rFonts w:ascii="Verdana" w:hAnsi="Verdana"/>
          <w:iCs/>
          <w:sz w:val="18"/>
          <w:szCs w:val="18"/>
        </w:rPr>
        <w:t>COM(2026) 197</w:t>
      </w:r>
    </w:p>
    <w:p w:rsidRPr="00633B05" w:rsidR="00CC3DCA" w:rsidP="00E11FBE" w:rsidRDefault="00CC3DCA" w14:paraId="55F8B268" w14:textId="77777777">
      <w:pPr>
        <w:spacing w:line="360" w:lineRule="auto"/>
        <w:rPr>
          <w:rFonts w:ascii="Verdana" w:hAnsi="Verdana"/>
          <w:i/>
          <w:iCs/>
          <w:sz w:val="18"/>
          <w:szCs w:val="18"/>
        </w:rPr>
      </w:pPr>
    </w:p>
    <w:p w:rsidRPr="00633B05" w:rsidR="00CC3DCA" w:rsidP="00E11FBE" w:rsidRDefault="00451DA2" w14:paraId="40E11E44" w14:textId="77777777">
      <w:pPr>
        <w:numPr>
          <w:ilvl w:val="0"/>
          <w:numId w:val="3"/>
        </w:numPr>
        <w:spacing w:line="360" w:lineRule="auto"/>
        <w:rPr>
          <w:rFonts w:ascii="Verdana" w:hAnsi="Verdana"/>
          <w:i/>
          <w:iCs/>
          <w:sz w:val="18"/>
          <w:szCs w:val="18"/>
        </w:rPr>
      </w:pPr>
      <w:r w:rsidRPr="00633B05">
        <w:rPr>
          <w:rFonts w:ascii="Verdana" w:hAnsi="Verdana"/>
          <w:i/>
          <w:iCs/>
          <w:sz w:val="18"/>
          <w:szCs w:val="18"/>
        </w:rPr>
        <w:t>EUR-L</w:t>
      </w:r>
      <w:r w:rsidRPr="00633B05" w:rsidR="00CC3DCA">
        <w:rPr>
          <w:rFonts w:ascii="Verdana" w:hAnsi="Verdana"/>
          <w:i/>
          <w:iCs/>
          <w:sz w:val="18"/>
          <w:szCs w:val="18"/>
        </w:rPr>
        <w:t>ex</w:t>
      </w:r>
    </w:p>
    <w:p w:rsidRPr="00633B05" w:rsidR="00B32092" w:rsidP="00E11FBE" w:rsidRDefault="001536B3" w14:paraId="14A8A082" w14:textId="6ACCFF89">
      <w:pPr>
        <w:spacing w:line="360" w:lineRule="auto"/>
        <w:rPr>
          <w:rFonts w:ascii="Verdana" w:hAnsi="Verdana"/>
          <w:sz w:val="18"/>
          <w:szCs w:val="18"/>
        </w:rPr>
      </w:pPr>
      <w:hyperlink w:history="1" r:id="rId12">
        <w:r w:rsidRPr="00633B05">
          <w:rPr>
            <w:rStyle w:val="Hyperlink"/>
            <w:rFonts w:ascii="Verdana" w:hAnsi="Verdana"/>
            <w:sz w:val="18"/>
            <w:szCs w:val="18"/>
          </w:rPr>
          <w:t>https://eur-lex.europa.eu/legal-content/NL/TXT/PDF/?uri=CELEX:52026DC0197</w:t>
        </w:r>
      </w:hyperlink>
      <w:r w:rsidRPr="00633B05">
        <w:rPr>
          <w:rFonts w:ascii="Verdana" w:hAnsi="Verdana"/>
          <w:sz w:val="18"/>
          <w:szCs w:val="18"/>
        </w:rPr>
        <w:t xml:space="preserve"> </w:t>
      </w:r>
    </w:p>
    <w:p w:rsidRPr="00633B05" w:rsidR="001536B3" w:rsidP="00E11FBE" w:rsidRDefault="001536B3" w14:paraId="11657808" w14:textId="77777777">
      <w:pPr>
        <w:spacing w:line="360" w:lineRule="auto"/>
        <w:rPr>
          <w:rFonts w:ascii="Verdana" w:hAnsi="Verdana"/>
          <w:i/>
          <w:sz w:val="18"/>
          <w:szCs w:val="18"/>
        </w:rPr>
      </w:pPr>
    </w:p>
    <w:p w:rsidRPr="00633B05" w:rsidR="00CC3DCA" w:rsidP="00E11FBE" w:rsidRDefault="00CC3DCA" w14:paraId="551F6047" w14:textId="5FE0006D">
      <w:pPr>
        <w:numPr>
          <w:ilvl w:val="0"/>
          <w:numId w:val="3"/>
        </w:numPr>
        <w:spacing w:line="360" w:lineRule="auto"/>
        <w:rPr>
          <w:rFonts w:ascii="Verdana" w:hAnsi="Verdana"/>
          <w:i/>
          <w:iCs/>
          <w:sz w:val="18"/>
          <w:szCs w:val="18"/>
        </w:rPr>
      </w:pPr>
      <w:r w:rsidRPr="00633B05">
        <w:rPr>
          <w:rFonts w:ascii="Verdana" w:hAnsi="Verdana"/>
          <w:i/>
          <w:iCs/>
          <w:sz w:val="18"/>
          <w:szCs w:val="18"/>
        </w:rPr>
        <w:t xml:space="preserve">Nr. impact assessment Commissie en Opinie </w:t>
      </w:r>
      <w:r w:rsidRPr="00633B05" w:rsidR="00B81969">
        <w:rPr>
          <w:rFonts w:ascii="Verdana" w:hAnsi="Verdana"/>
          <w:i/>
          <w:sz w:val="18"/>
          <w:szCs w:val="18"/>
        </w:rPr>
        <w:t>Raad voor Regelgevingstoetsing</w:t>
      </w:r>
    </w:p>
    <w:p w:rsidRPr="00633B05" w:rsidR="00CC3DCA" w:rsidP="00CD38FE" w:rsidRDefault="00B32092" w14:paraId="2FBD5B63" w14:textId="19F34542">
      <w:pPr>
        <w:spacing w:line="360" w:lineRule="auto"/>
        <w:rPr>
          <w:rFonts w:ascii="Verdana" w:hAnsi="Verdana"/>
          <w:b/>
          <w:iCs/>
          <w:sz w:val="18"/>
          <w:szCs w:val="18"/>
        </w:rPr>
      </w:pPr>
      <w:r w:rsidRPr="00633B05">
        <w:rPr>
          <w:rFonts w:ascii="Verdana" w:hAnsi="Verdana"/>
          <w:sz w:val="18"/>
          <w:szCs w:val="18"/>
          <w:lang w:eastAsia="nl-NL"/>
        </w:rPr>
        <w:t>Niet opgesteld</w:t>
      </w:r>
      <w:r w:rsidRPr="00633B05">
        <w:rPr>
          <w:rFonts w:ascii="Verdana" w:hAnsi="Verdana"/>
          <w:b/>
          <w:iCs/>
          <w:sz w:val="18"/>
          <w:szCs w:val="18"/>
        </w:rPr>
        <w:t xml:space="preserve"> </w:t>
      </w:r>
    </w:p>
    <w:p w:rsidRPr="00633B05" w:rsidR="00E11FBE" w:rsidP="00E11FBE" w:rsidRDefault="00E11FBE" w14:paraId="6A2507D5" w14:textId="77777777">
      <w:pPr>
        <w:spacing w:line="360" w:lineRule="auto"/>
        <w:rPr>
          <w:rFonts w:ascii="Verdana" w:hAnsi="Verdana"/>
          <w:iCs/>
          <w:sz w:val="18"/>
          <w:szCs w:val="18"/>
        </w:rPr>
      </w:pPr>
    </w:p>
    <w:p w:rsidRPr="00633B05" w:rsidR="00CC3DCA" w:rsidP="00E11FBE" w:rsidRDefault="00CC3DCA" w14:paraId="3941425A" w14:textId="77777777">
      <w:pPr>
        <w:numPr>
          <w:ilvl w:val="0"/>
          <w:numId w:val="3"/>
        </w:numPr>
        <w:spacing w:line="360" w:lineRule="auto"/>
        <w:rPr>
          <w:rFonts w:ascii="Verdana" w:hAnsi="Verdana"/>
          <w:i/>
          <w:iCs/>
          <w:sz w:val="18"/>
          <w:szCs w:val="18"/>
        </w:rPr>
      </w:pPr>
      <w:r w:rsidRPr="00633B05">
        <w:rPr>
          <w:rFonts w:ascii="Verdana" w:hAnsi="Verdana"/>
          <w:i/>
          <w:iCs/>
          <w:sz w:val="18"/>
          <w:szCs w:val="18"/>
        </w:rPr>
        <w:t>Behandelingstraject Raad</w:t>
      </w:r>
    </w:p>
    <w:p w:rsidRPr="00633B05" w:rsidR="00B155AE" w:rsidP="00B155AE" w:rsidRDefault="00B155AE" w14:paraId="2F62C612" w14:textId="46BE158C">
      <w:pPr>
        <w:spacing w:line="360" w:lineRule="auto"/>
        <w:rPr>
          <w:rFonts w:ascii="Verdana" w:hAnsi="Verdana"/>
          <w:iCs/>
          <w:sz w:val="18"/>
          <w:szCs w:val="18"/>
        </w:rPr>
      </w:pPr>
      <w:r w:rsidRPr="00633B05">
        <w:rPr>
          <w:rFonts w:ascii="Verdana" w:hAnsi="Verdana"/>
          <w:iCs/>
          <w:sz w:val="18"/>
          <w:szCs w:val="18"/>
        </w:rPr>
        <w:t xml:space="preserve">Raad </w:t>
      </w:r>
      <w:r w:rsidRPr="00633B05" w:rsidR="002E6B34">
        <w:rPr>
          <w:rFonts w:ascii="Verdana" w:hAnsi="Verdana"/>
          <w:iCs/>
          <w:sz w:val="18"/>
          <w:szCs w:val="18"/>
        </w:rPr>
        <w:t>Buitenlandse Zaken</w:t>
      </w:r>
    </w:p>
    <w:p w:rsidRPr="00633B05" w:rsidR="001208CA" w:rsidP="00E11FBE" w:rsidRDefault="001208CA" w14:paraId="1C99B5BB" w14:textId="77777777">
      <w:pPr>
        <w:spacing w:line="360" w:lineRule="auto"/>
        <w:rPr>
          <w:rFonts w:ascii="Verdana" w:hAnsi="Verdana"/>
          <w:sz w:val="18"/>
          <w:szCs w:val="18"/>
        </w:rPr>
      </w:pPr>
    </w:p>
    <w:p w:rsidRPr="00633B05" w:rsidR="00CC3DCA" w:rsidP="00E11FBE" w:rsidRDefault="00CC3DCA" w14:paraId="02204870" w14:textId="77777777">
      <w:pPr>
        <w:numPr>
          <w:ilvl w:val="0"/>
          <w:numId w:val="3"/>
        </w:numPr>
        <w:spacing w:line="360" w:lineRule="auto"/>
        <w:rPr>
          <w:rFonts w:ascii="Verdana" w:hAnsi="Verdana"/>
          <w:i/>
          <w:sz w:val="18"/>
          <w:szCs w:val="18"/>
        </w:rPr>
      </w:pPr>
      <w:r w:rsidRPr="00633B05">
        <w:rPr>
          <w:rFonts w:ascii="Verdana" w:hAnsi="Verdana"/>
          <w:i/>
          <w:sz w:val="18"/>
          <w:szCs w:val="18"/>
        </w:rPr>
        <w:t>Eerstverantwoordelijk ministerie</w:t>
      </w:r>
    </w:p>
    <w:p w:rsidRPr="00633B05" w:rsidR="00CC3DCA" w:rsidP="00E11FBE" w:rsidRDefault="000B44E5" w14:paraId="2B879601" w14:textId="268476AF">
      <w:pPr>
        <w:spacing w:line="360" w:lineRule="auto"/>
        <w:rPr>
          <w:rFonts w:ascii="Verdana" w:hAnsi="Verdana"/>
          <w:sz w:val="18"/>
          <w:szCs w:val="18"/>
          <w:lang w:eastAsia="nl-NL"/>
        </w:rPr>
      </w:pPr>
      <w:r w:rsidRPr="00633B05">
        <w:rPr>
          <w:rFonts w:ascii="Verdana" w:hAnsi="Verdana"/>
          <w:sz w:val="18"/>
          <w:szCs w:val="18"/>
          <w:lang w:eastAsia="nl-NL"/>
        </w:rPr>
        <w:t>Ministerie van Buitenlandse Zaken</w:t>
      </w:r>
      <w:r w:rsidRPr="00633B05" w:rsidR="00605DC1">
        <w:rPr>
          <w:rFonts w:ascii="Verdana" w:hAnsi="Verdana"/>
          <w:sz w:val="18"/>
          <w:szCs w:val="18"/>
          <w:lang w:eastAsia="nl-NL"/>
        </w:rPr>
        <w:t xml:space="preserve"> in nauwe samenwerking met Ministerie van Volksgezondheid, Welzijn en Sport</w:t>
      </w:r>
    </w:p>
    <w:p w:rsidRPr="00633B05" w:rsidR="00CC3DCA" w:rsidP="00E11FBE" w:rsidRDefault="00CC3DCA" w14:paraId="0B926961" w14:textId="77777777">
      <w:pPr>
        <w:spacing w:line="360" w:lineRule="auto"/>
        <w:rPr>
          <w:rFonts w:ascii="Verdana" w:hAnsi="Verdana"/>
          <w:sz w:val="18"/>
          <w:szCs w:val="18"/>
        </w:rPr>
      </w:pPr>
    </w:p>
    <w:p w:rsidRPr="00633B05" w:rsidR="00C4788E" w:rsidP="00C4788E" w:rsidRDefault="00CC3DCA" w14:paraId="0AE15D86" w14:textId="0D49319A">
      <w:pPr>
        <w:numPr>
          <w:ilvl w:val="0"/>
          <w:numId w:val="2"/>
        </w:numPr>
        <w:spacing w:line="360" w:lineRule="auto"/>
        <w:rPr>
          <w:rFonts w:ascii="Verdana" w:hAnsi="Verdana"/>
          <w:iCs/>
          <w:sz w:val="18"/>
          <w:szCs w:val="18"/>
        </w:rPr>
      </w:pPr>
      <w:r w:rsidRPr="00633B05">
        <w:rPr>
          <w:rFonts w:ascii="Verdana" w:hAnsi="Verdana"/>
          <w:b/>
          <w:sz w:val="18"/>
          <w:szCs w:val="18"/>
        </w:rPr>
        <w:t>Essentie voorstel</w:t>
      </w:r>
    </w:p>
    <w:p w:rsidR="00ED4F68" w:rsidP="00251D42" w:rsidRDefault="00251D42" w14:paraId="34336114" w14:textId="77777777">
      <w:pPr>
        <w:pStyle w:val="Spreekpunten"/>
        <w:numPr>
          <w:ilvl w:val="0"/>
          <w:numId w:val="0"/>
        </w:numPr>
        <w:rPr>
          <w:rFonts w:ascii="Verdana" w:hAnsi="Verdana"/>
          <w:iCs/>
          <w:sz w:val="18"/>
          <w:szCs w:val="18"/>
          <w:lang w:val="nl-NL"/>
        </w:rPr>
      </w:pPr>
      <w:r w:rsidRPr="00633B05">
        <w:rPr>
          <w:rFonts w:ascii="Verdana" w:hAnsi="Verdana"/>
          <w:iCs/>
          <w:sz w:val="18"/>
          <w:szCs w:val="18"/>
          <w:lang w:val="nl-NL"/>
        </w:rPr>
        <w:t xml:space="preserve">In september 2025 kondigde de voorzitter van de Europese Commissie (hierna: de Commissie) </w:t>
      </w:r>
      <w:r w:rsidRPr="00633B05" w:rsidR="00D92AA4">
        <w:rPr>
          <w:rFonts w:ascii="Verdana" w:hAnsi="Verdana"/>
          <w:iCs/>
          <w:sz w:val="18"/>
          <w:szCs w:val="18"/>
          <w:lang w:val="nl-NL"/>
        </w:rPr>
        <w:t xml:space="preserve">de ontwikkeling van </w:t>
      </w:r>
      <w:r w:rsidRPr="00633B05">
        <w:rPr>
          <w:rFonts w:ascii="Verdana" w:hAnsi="Verdana"/>
          <w:iCs/>
          <w:sz w:val="18"/>
          <w:szCs w:val="18"/>
          <w:lang w:val="nl-NL"/>
        </w:rPr>
        <w:t xml:space="preserve">een </w:t>
      </w:r>
      <w:r w:rsidRPr="00633B05">
        <w:rPr>
          <w:rFonts w:ascii="Verdana" w:hAnsi="Verdana"/>
          <w:i/>
          <w:sz w:val="18"/>
          <w:szCs w:val="18"/>
          <w:lang w:val="nl-NL"/>
        </w:rPr>
        <w:t xml:space="preserve">Global Health </w:t>
      </w:r>
      <w:proofErr w:type="spellStart"/>
      <w:r w:rsidRPr="00633B05">
        <w:rPr>
          <w:rFonts w:ascii="Verdana" w:hAnsi="Verdana"/>
          <w:i/>
          <w:sz w:val="18"/>
          <w:szCs w:val="18"/>
          <w:lang w:val="nl-NL"/>
        </w:rPr>
        <w:t>Resilience</w:t>
      </w:r>
      <w:proofErr w:type="spellEnd"/>
      <w:r w:rsidRPr="00633B05">
        <w:rPr>
          <w:rFonts w:ascii="Verdana" w:hAnsi="Verdana"/>
          <w:i/>
          <w:sz w:val="18"/>
          <w:szCs w:val="18"/>
          <w:lang w:val="nl-NL"/>
        </w:rPr>
        <w:t xml:space="preserve"> Initiatief (GHRI) </w:t>
      </w:r>
      <w:r w:rsidRPr="00633B05" w:rsidR="00D92AA4">
        <w:rPr>
          <w:rFonts w:ascii="Verdana" w:hAnsi="Verdana"/>
          <w:i/>
          <w:sz w:val="18"/>
          <w:szCs w:val="18"/>
          <w:lang w:val="nl-NL"/>
        </w:rPr>
        <w:t>aan</w:t>
      </w:r>
      <w:r w:rsidRPr="00633B05">
        <w:rPr>
          <w:rStyle w:val="FootnoteReference"/>
          <w:rFonts w:ascii="Verdana" w:hAnsi="Verdana"/>
          <w:iCs/>
          <w:sz w:val="18"/>
          <w:szCs w:val="18"/>
        </w:rPr>
        <w:footnoteReference w:id="1"/>
      </w:r>
      <w:r w:rsidRPr="00633B05" w:rsidR="00605BED">
        <w:rPr>
          <w:rFonts w:ascii="Verdana" w:hAnsi="Verdana"/>
          <w:iCs/>
          <w:sz w:val="18"/>
          <w:szCs w:val="18"/>
          <w:lang w:val="nl-NL"/>
        </w:rPr>
        <w:t xml:space="preserve">, </w:t>
      </w:r>
      <w:r w:rsidRPr="00633B05" w:rsidR="00D92AA4">
        <w:rPr>
          <w:rFonts w:ascii="Verdana" w:hAnsi="Verdana"/>
          <w:iCs/>
          <w:sz w:val="18"/>
          <w:szCs w:val="18"/>
          <w:lang w:val="nl-NL"/>
        </w:rPr>
        <w:t xml:space="preserve">waarmee </w:t>
      </w:r>
      <w:r w:rsidRPr="00633B05">
        <w:rPr>
          <w:rFonts w:ascii="Verdana" w:hAnsi="Verdana"/>
          <w:iCs/>
          <w:sz w:val="18"/>
          <w:szCs w:val="18"/>
          <w:lang w:val="nl-NL"/>
        </w:rPr>
        <w:t xml:space="preserve">Europa een voortrekkersrol moet gaan </w:t>
      </w:r>
      <w:r w:rsidRPr="00633B05" w:rsidR="00D92AA4">
        <w:rPr>
          <w:rFonts w:ascii="Verdana" w:hAnsi="Verdana"/>
          <w:iCs/>
          <w:sz w:val="18"/>
          <w:szCs w:val="18"/>
          <w:lang w:val="nl-NL"/>
        </w:rPr>
        <w:t>spelen</w:t>
      </w:r>
      <w:r w:rsidRPr="00633B05">
        <w:rPr>
          <w:rFonts w:ascii="Verdana" w:hAnsi="Verdana"/>
          <w:iCs/>
          <w:sz w:val="18"/>
          <w:szCs w:val="18"/>
          <w:lang w:val="nl-NL"/>
        </w:rPr>
        <w:t xml:space="preserve"> op het gebied van mondiale gezondheid</w:t>
      </w:r>
      <w:r w:rsidRPr="00633B05" w:rsidR="00605BED">
        <w:rPr>
          <w:rFonts w:ascii="Verdana" w:hAnsi="Verdana"/>
          <w:iCs/>
          <w:sz w:val="18"/>
          <w:szCs w:val="18"/>
          <w:lang w:val="nl-NL"/>
        </w:rPr>
        <w:t xml:space="preserve"> nu</w:t>
      </w:r>
      <w:r w:rsidRPr="00633B05">
        <w:rPr>
          <w:rFonts w:ascii="Verdana" w:hAnsi="Verdana"/>
          <w:iCs/>
          <w:sz w:val="18"/>
          <w:szCs w:val="18"/>
          <w:lang w:val="nl-NL"/>
        </w:rPr>
        <w:t xml:space="preserve"> de wereld op de rand staat van een nieuwe gezondheidscrisis en andere spelers hun inzet afbouwen. </w:t>
      </w:r>
      <w:r w:rsidRPr="00633B05" w:rsidR="00605BED">
        <w:rPr>
          <w:rFonts w:ascii="Verdana" w:hAnsi="Verdana"/>
          <w:iCs/>
          <w:sz w:val="18"/>
          <w:szCs w:val="18"/>
          <w:lang w:val="nl-NL"/>
        </w:rPr>
        <w:t>D</w:t>
      </w:r>
      <w:r w:rsidRPr="00633B05" w:rsidR="0049162E">
        <w:rPr>
          <w:rFonts w:ascii="Verdana" w:hAnsi="Verdana"/>
          <w:iCs/>
          <w:sz w:val="18"/>
          <w:szCs w:val="18"/>
          <w:lang w:val="nl-NL"/>
        </w:rPr>
        <w:t>e mededeling</w:t>
      </w:r>
      <w:r w:rsidRPr="00633B05">
        <w:rPr>
          <w:rFonts w:ascii="Verdana" w:hAnsi="Verdana"/>
          <w:iCs/>
          <w:sz w:val="18"/>
          <w:szCs w:val="18"/>
          <w:lang w:val="nl-NL"/>
        </w:rPr>
        <w:t xml:space="preserve"> </w:t>
      </w:r>
      <w:r w:rsidRPr="00633B05" w:rsidR="000F3C09">
        <w:rPr>
          <w:rFonts w:ascii="Verdana" w:hAnsi="Verdana"/>
          <w:iCs/>
          <w:sz w:val="18"/>
          <w:szCs w:val="18"/>
          <w:lang w:val="nl-NL"/>
        </w:rPr>
        <w:t xml:space="preserve">benadrukt </w:t>
      </w:r>
      <w:r w:rsidRPr="00633B05">
        <w:rPr>
          <w:rFonts w:ascii="Verdana" w:hAnsi="Verdana"/>
          <w:iCs/>
          <w:sz w:val="18"/>
          <w:szCs w:val="18"/>
          <w:lang w:val="nl-NL"/>
        </w:rPr>
        <w:t xml:space="preserve">dat internationale financiering een belangrijke bijdrage heeft geleverd aan verbetering van wereldwijde </w:t>
      </w:r>
      <w:r w:rsidRPr="00633B05" w:rsidR="0049162E">
        <w:rPr>
          <w:rFonts w:ascii="Verdana" w:hAnsi="Verdana"/>
          <w:iCs/>
          <w:sz w:val="18"/>
          <w:szCs w:val="18"/>
          <w:lang w:val="nl-NL"/>
        </w:rPr>
        <w:t>volks</w:t>
      </w:r>
      <w:r w:rsidRPr="00633B05">
        <w:rPr>
          <w:rFonts w:ascii="Verdana" w:hAnsi="Verdana"/>
          <w:iCs/>
          <w:sz w:val="18"/>
          <w:szCs w:val="18"/>
          <w:lang w:val="nl-NL"/>
        </w:rPr>
        <w:t>gezondheid</w:t>
      </w:r>
      <w:r w:rsidRPr="00633B05" w:rsidR="006B0A89">
        <w:rPr>
          <w:rFonts w:ascii="Verdana" w:hAnsi="Verdana"/>
          <w:iCs/>
          <w:sz w:val="18"/>
          <w:szCs w:val="18"/>
          <w:lang w:val="nl-NL"/>
        </w:rPr>
        <w:t xml:space="preserve">, maar </w:t>
      </w:r>
      <w:r w:rsidRPr="00633B05">
        <w:rPr>
          <w:rFonts w:ascii="Verdana" w:hAnsi="Verdana"/>
          <w:iCs/>
          <w:sz w:val="18"/>
          <w:szCs w:val="18"/>
          <w:lang w:val="nl-NL"/>
        </w:rPr>
        <w:t xml:space="preserve">steeds vaker </w:t>
      </w:r>
      <w:r w:rsidRPr="00633B05" w:rsidR="006B0A89">
        <w:rPr>
          <w:rFonts w:ascii="Verdana" w:hAnsi="Verdana"/>
          <w:iCs/>
          <w:sz w:val="18"/>
          <w:szCs w:val="18"/>
          <w:lang w:val="nl-NL"/>
        </w:rPr>
        <w:t xml:space="preserve">wordt ingezet </w:t>
      </w:r>
      <w:r w:rsidRPr="00633B05" w:rsidR="00967AFC">
        <w:rPr>
          <w:rFonts w:ascii="Verdana" w:hAnsi="Verdana"/>
          <w:iCs/>
          <w:sz w:val="18"/>
          <w:szCs w:val="18"/>
          <w:lang w:val="nl-NL"/>
        </w:rPr>
        <w:t>voor</w:t>
      </w:r>
      <w:r w:rsidRPr="00633B05" w:rsidR="0071461C">
        <w:rPr>
          <w:rFonts w:ascii="Verdana" w:hAnsi="Verdana"/>
          <w:iCs/>
          <w:sz w:val="18"/>
          <w:szCs w:val="18"/>
          <w:lang w:val="nl-NL"/>
        </w:rPr>
        <w:t xml:space="preserve"> </w:t>
      </w:r>
      <w:r w:rsidRPr="00633B05">
        <w:rPr>
          <w:rFonts w:ascii="Verdana" w:hAnsi="Verdana"/>
          <w:iCs/>
          <w:sz w:val="18"/>
          <w:szCs w:val="18"/>
          <w:lang w:val="nl-NL"/>
        </w:rPr>
        <w:t xml:space="preserve">geopolitieke en </w:t>
      </w:r>
      <w:proofErr w:type="spellStart"/>
      <w:r w:rsidRPr="00633B05">
        <w:rPr>
          <w:rFonts w:ascii="Verdana" w:hAnsi="Verdana"/>
          <w:iCs/>
          <w:sz w:val="18"/>
          <w:szCs w:val="18"/>
          <w:lang w:val="nl-NL"/>
        </w:rPr>
        <w:t>geo</w:t>
      </w:r>
      <w:proofErr w:type="spellEnd"/>
      <w:r w:rsidRPr="00633B05">
        <w:rPr>
          <w:rFonts w:ascii="Verdana" w:hAnsi="Verdana"/>
          <w:iCs/>
          <w:sz w:val="18"/>
          <w:szCs w:val="18"/>
          <w:lang w:val="nl-NL"/>
        </w:rPr>
        <w:t xml:space="preserve">-economische </w:t>
      </w:r>
      <w:r w:rsidRPr="00633B05" w:rsidR="00967AFC">
        <w:rPr>
          <w:rFonts w:ascii="Verdana" w:hAnsi="Verdana"/>
          <w:iCs/>
          <w:sz w:val="18"/>
          <w:szCs w:val="18"/>
          <w:lang w:val="nl-NL"/>
        </w:rPr>
        <w:t>belangen</w:t>
      </w:r>
      <w:r w:rsidRPr="00633B05" w:rsidR="006B0A89">
        <w:rPr>
          <w:rFonts w:ascii="Verdana" w:hAnsi="Verdana"/>
          <w:iCs/>
          <w:sz w:val="18"/>
          <w:szCs w:val="18"/>
          <w:lang w:val="nl-NL"/>
        </w:rPr>
        <w:t>.</w:t>
      </w:r>
      <w:r w:rsidRPr="00633B05">
        <w:rPr>
          <w:rFonts w:ascii="Verdana" w:hAnsi="Verdana"/>
          <w:iCs/>
          <w:sz w:val="18"/>
          <w:szCs w:val="18"/>
          <w:lang w:val="nl-NL"/>
        </w:rPr>
        <w:t xml:space="preserve"> </w:t>
      </w:r>
    </w:p>
    <w:p w:rsidRPr="00633B05" w:rsidR="00800283" w:rsidP="00251D42" w:rsidRDefault="00800283" w14:paraId="457E95C9" w14:textId="77777777">
      <w:pPr>
        <w:pStyle w:val="Spreekpunten"/>
        <w:numPr>
          <w:ilvl w:val="0"/>
          <w:numId w:val="0"/>
        </w:numPr>
        <w:rPr>
          <w:rFonts w:ascii="Verdana" w:hAnsi="Verdana"/>
          <w:iCs/>
          <w:sz w:val="18"/>
          <w:szCs w:val="18"/>
          <w:lang w:val="nl-NL"/>
        </w:rPr>
      </w:pPr>
    </w:p>
    <w:p w:rsidR="00633B05" w:rsidP="00251D42" w:rsidRDefault="006B0A89" w14:paraId="1C5D63A5" w14:textId="77777777">
      <w:pPr>
        <w:pStyle w:val="Spreekpunten"/>
        <w:numPr>
          <w:ilvl w:val="0"/>
          <w:numId w:val="0"/>
        </w:numPr>
        <w:rPr>
          <w:rFonts w:ascii="Verdana" w:hAnsi="Verdana"/>
          <w:iCs/>
          <w:sz w:val="18"/>
          <w:szCs w:val="18"/>
          <w:lang w:val="nl-NL"/>
        </w:rPr>
      </w:pPr>
      <w:r w:rsidRPr="00633B05">
        <w:rPr>
          <w:rFonts w:ascii="Verdana" w:hAnsi="Verdana"/>
          <w:iCs/>
          <w:sz w:val="18"/>
          <w:szCs w:val="18"/>
          <w:lang w:val="nl-NL"/>
        </w:rPr>
        <w:t>B</w:t>
      </w:r>
      <w:r w:rsidRPr="00633B05" w:rsidR="00251D42">
        <w:rPr>
          <w:rFonts w:ascii="Verdana" w:hAnsi="Verdana"/>
          <w:iCs/>
          <w:sz w:val="18"/>
          <w:szCs w:val="18"/>
          <w:lang w:val="nl-NL"/>
        </w:rPr>
        <w:t xml:space="preserve">ilaterale </w:t>
      </w:r>
      <w:proofErr w:type="spellStart"/>
      <w:r w:rsidRPr="00633B05" w:rsidR="00251D42">
        <w:rPr>
          <w:rFonts w:ascii="Verdana" w:hAnsi="Verdana"/>
          <w:iCs/>
          <w:sz w:val="18"/>
          <w:szCs w:val="18"/>
          <w:lang w:val="nl-NL"/>
        </w:rPr>
        <w:t>transactionele</w:t>
      </w:r>
      <w:proofErr w:type="spellEnd"/>
      <w:r w:rsidRPr="00633B05" w:rsidR="00251D42">
        <w:rPr>
          <w:rFonts w:ascii="Verdana" w:hAnsi="Verdana"/>
          <w:iCs/>
          <w:sz w:val="18"/>
          <w:szCs w:val="18"/>
          <w:lang w:val="nl-NL"/>
        </w:rPr>
        <w:t xml:space="preserve"> benaderingen </w:t>
      </w:r>
      <w:r w:rsidRPr="00633B05">
        <w:rPr>
          <w:rFonts w:ascii="Verdana" w:hAnsi="Verdana"/>
          <w:iCs/>
          <w:sz w:val="18"/>
          <w:szCs w:val="18"/>
          <w:lang w:val="nl-NL"/>
        </w:rPr>
        <w:t xml:space="preserve">winnen hierdoor </w:t>
      </w:r>
      <w:r w:rsidRPr="00633B05" w:rsidR="00251D42">
        <w:rPr>
          <w:rFonts w:ascii="Verdana" w:hAnsi="Verdana"/>
          <w:iCs/>
          <w:sz w:val="18"/>
          <w:szCs w:val="18"/>
          <w:lang w:val="nl-NL"/>
        </w:rPr>
        <w:t>terrein</w:t>
      </w:r>
      <w:r w:rsidRPr="00633B05">
        <w:rPr>
          <w:rFonts w:ascii="Verdana" w:hAnsi="Verdana"/>
          <w:iCs/>
          <w:sz w:val="18"/>
          <w:szCs w:val="18"/>
          <w:lang w:val="nl-NL"/>
        </w:rPr>
        <w:t xml:space="preserve">, </w:t>
      </w:r>
      <w:r w:rsidRPr="00633B05" w:rsidR="00251D42">
        <w:rPr>
          <w:rFonts w:ascii="Verdana" w:hAnsi="Verdana"/>
          <w:iCs/>
          <w:sz w:val="18"/>
          <w:szCs w:val="18"/>
          <w:lang w:val="nl-NL"/>
        </w:rPr>
        <w:t xml:space="preserve">ten koste van </w:t>
      </w:r>
      <w:r w:rsidRPr="00633B05" w:rsidR="00967AFC">
        <w:rPr>
          <w:rFonts w:ascii="Verdana" w:hAnsi="Verdana"/>
          <w:iCs/>
          <w:sz w:val="18"/>
          <w:szCs w:val="18"/>
          <w:lang w:val="nl-NL"/>
        </w:rPr>
        <w:t xml:space="preserve">de </w:t>
      </w:r>
      <w:r w:rsidRPr="00633B05" w:rsidR="00251D42">
        <w:rPr>
          <w:rFonts w:ascii="Verdana" w:hAnsi="Verdana"/>
          <w:iCs/>
          <w:sz w:val="18"/>
          <w:szCs w:val="18"/>
          <w:lang w:val="nl-NL"/>
        </w:rPr>
        <w:t>multilaterale samenwerking</w:t>
      </w:r>
      <w:r w:rsidRPr="00633B05" w:rsidR="0071461C">
        <w:rPr>
          <w:rFonts w:ascii="Verdana" w:hAnsi="Verdana"/>
          <w:iCs/>
          <w:sz w:val="18"/>
          <w:szCs w:val="18"/>
          <w:lang w:val="nl-NL"/>
        </w:rPr>
        <w:t xml:space="preserve"> </w:t>
      </w:r>
      <w:r w:rsidRPr="00633B05" w:rsidR="00967AFC">
        <w:rPr>
          <w:rFonts w:ascii="Verdana" w:hAnsi="Verdana"/>
          <w:iCs/>
          <w:sz w:val="18"/>
          <w:szCs w:val="18"/>
          <w:lang w:val="nl-NL"/>
        </w:rPr>
        <w:t xml:space="preserve">die </w:t>
      </w:r>
      <w:r w:rsidRPr="00633B05" w:rsidR="00251D42">
        <w:rPr>
          <w:rFonts w:ascii="Verdana" w:hAnsi="Verdana"/>
          <w:iCs/>
          <w:sz w:val="18"/>
          <w:szCs w:val="18"/>
          <w:lang w:val="nl-NL"/>
        </w:rPr>
        <w:t>noodzak</w:t>
      </w:r>
      <w:r w:rsidRPr="00633B05" w:rsidR="00967AFC">
        <w:rPr>
          <w:rFonts w:ascii="Verdana" w:hAnsi="Verdana"/>
          <w:iCs/>
          <w:sz w:val="18"/>
          <w:szCs w:val="18"/>
          <w:lang w:val="nl-NL"/>
        </w:rPr>
        <w:t>elijk is voor</w:t>
      </w:r>
      <w:r w:rsidRPr="00633B05" w:rsidR="00251D42">
        <w:rPr>
          <w:rFonts w:ascii="Verdana" w:hAnsi="Verdana"/>
          <w:iCs/>
          <w:sz w:val="18"/>
          <w:szCs w:val="18"/>
          <w:lang w:val="nl-NL"/>
        </w:rPr>
        <w:t xml:space="preserve"> een effectieve aanpak van grensoverschrijdende </w:t>
      </w:r>
      <w:r w:rsidRPr="00633B05" w:rsidR="00251D42">
        <w:rPr>
          <w:rFonts w:ascii="Verdana" w:hAnsi="Verdana"/>
          <w:iCs/>
          <w:sz w:val="18"/>
          <w:szCs w:val="18"/>
          <w:lang w:val="nl-NL"/>
        </w:rPr>
        <w:lastRenderedPageBreak/>
        <w:t>bedreigingen. Tegelijktijdig heeft de plotselinge afname van donorfinanciering met 21% in 2025 toegang tot gezondheidsdiensten in fragiele</w:t>
      </w:r>
      <w:r w:rsidRPr="00633B05" w:rsidR="00A105C0">
        <w:rPr>
          <w:rFonts w:ascii="Verdana" w:hAnsi="Verdana"/>
          <w:iCs/>
          <w:sz w:val="18"/>
          <w:szCs w:val="18"/>
          <w:lang w:val="nl-NL"/>
        </w:rPr>
        <w:t>,</w:t>
      </w:r>
      <w:r w:rsidRPr="00633B05" w:rsidR="00251D42">
        <w:rPr>
          <w:rFonts w:ascii="Verdana" w:hAnsi="Verdana"/>
          <w:iCs/>
          <w:sz w:val="18"/>
          <w:szCs w:val="18"/>
          <w:lang w:val="nl-NL"/>
        </w:rPr>
        <w:t xml:space="preserve"> lage- en middeninkomenslanden </w:t>
      </w:r>
    </w:p>
    <w:p w:rsidRPr="00633B05" w:rsidR="009C6774" w:rsidP="00251D42" w:rsidRDefault="00251D42" w14:paraId="46EBCD40" w14:textId="1DD8AC79">
      <w:pPr>
        <w:pStyle w:val="Spreekpunten"/>
        <w:numPr>
          <w:ilvl w:val="0"/>
          <w:numId w:val="0"/>
        </w:numPr>
        <w:rPr>
          <w:rFonts w:ascii="Verdana" w:hAnsi="Verdana"/>
          <w:iCs/>
          <w:sz w:val="18"/>
          <w:szCs w:val="18"/>
          <w:lang w:val="nl-NL"/>
        </w:rPr>
      </w:pPr>
      <w:r w:rsidRPr="00633B05">
        <w:rPr>
          <w:rFonts w:ascii="Verdana" w:hAnsi="Verdana"/>
          <w:iCs/>
          <w:sz w:val="18"/>
          <w:szCs w:val="18"/>
          <w:lang w:val="nl-NL"/>
        </w:rPr>
        <w:t xml:space="preserve">sterk onder druk gezet. Dit vormt een risico voor de wereldwijde volksgezondheid. </w:t>
      </w:r>
      <w:r w:rsidRPr="00633B05" w:rsidR="00A105C0">
        <w:rPr>
          <w:rFonts w:ascii="Verdana" w:hAnsi="Verdana"/>
          <w:iCs/>
          <w:sz w:val="18"/>
          <w:szCs w:val="18"/>
          <w:lang w:val="nl-NL"/>
        </w:rPr>
        <w:t>Z</w:t>
      </w:r>
      <w:r w:rsidRPr="00633B05">
        <w:rPr>
          <w:rFonts w:ascii="Verdana" w:hAnsi="Verdana"/>
          <w:iCs/>
          <w:sz w:val="18"/>
          <w:szCs w:val="18"/>
          <w:lang w:val="nl-NL"/>
        </w:rPr>
        <w:t xml:space="preserve">wakke </w:t>
      </w:r>
      <w:r w:rsidRPr="00633B05" w:rsidR="000F3C09">
        <w:rPr>
          <w:rFonts w:ascii="Verdana" w:hAnsi="Verdana"/>
          <w:iCs/>
          <w:sz w:val="18"/>
          <w:szCs w:val="18"/>
          <w:lang w:val="nl-NL"/>
        </w:rPr>
        <w:t xml:space="preserve">lokale </w:t>
      </w:r>
      <w:r w:rsidRPr="00633B05">
        <w:rPr>
          <w:rFonts w:ascii="Verdana" w:hAnsi="Verdana"/>
          <w:iCs/>
          <w:sz w:val="18"/>
          <w:szCs w:val="18"/>
          <w:lang w:val="nl-NL"/>
        </w:rPr>
        <w:t xml:space="preserve">gezondheidssystemen </w:t>
      </w:r>
      <w:r w:rsidRPr="00633B05" w:rsidR="00A105C0">
        <w:rPr>
          <w:rFonts w:ascii="Verdana" w:hAnsi="Verdana"/>
          <w:iCs/>
          <w:sz w:val="18"/>
          <w:szCs w:val="18"/>
          <w:lang w:val="nl-NL"/>
        </w:rPr>
        <w:t xml:space="preserve">vergroten </w:t>
      </w:r>
      <w:r w:rsidRPr="00633B05">
        <w:rPr>
          <w:rFonts w:ascii="Verdana" w:hAnsi="Verdana"/>
          <w:iCs/>
          <w:sz w:val="18"/>
          <w:szCs w:val="18"/>
          <w:lang w:val="nl-NL"/>
        </w:rPr>
        <w:t xml:space="preserve">immers </w:t>
      </w:r>
      <w:r w:rsidRPr="00633B05" w:rsidR="00A105C0">
        <w:rPr>
          <w:rFonts w:ascii="Verdana" w:hAnsi="Verdana"/>
          <w:iCs/>
          <w:sz w:val="18"/>
          <w:szCs w:val="18"/>
          <w:lang w:val="nl-NL"/>
        </w:rPr>
        <w:t>de kans dat</w:t>
      </w:r>
      <w:r w:rsidRPr="00633B05">
        <w:rPr>
          <w:rFonts w:ascii="Verdana" w:hAnsi="Verdana"/>
          <w:iCs/>
          <w:sz w:val="18"/>
          <w:szCs w:val="18"/>
          <w:lang w:val="nl-NL"/>
        </w:rPr>
        <w:t xml:space="preserve"> infectie</w:t>
      </w:r>
      <w:r w:rsidRPr="00633B05" w:rsidR="00A105C0">
        <w:rPr>
          <w:rFonts w:ascii="Verdana" w:hAnsi="Verdana"/>
          <w:iCs/>
          <w:sz w:val="18"/>
          <w:szCs w:val="18"/>
          <w:lang w:val="nl-NL"/>
        </w:rPr>
        <w:t>-uitbraken</w:t>
      </w:r>
      <w:r w:rsidRPr="00633B05">
        <w:rPr>
          <w:rFonts w:ascii="Verdana" w:hAnsi="Verdana"/>
          <w:iCs/>
          <w:sz w:val="18"/>
          <w:szCs w:val="18"/>
          <w:lang w:val="nl-NL"/>
        </w:rPr>
        <w:t xml:space="preserve"> </w:t>
      </w:r>
      <w:r w:rsidRPr="00633B05" w:rsidR="00A105C0">
        <w:rPr>
          <w:rFonts w:ascii="Verdana" w:hAnsi="Verdana"/>
          <w:iCs/>
          <w:sz w:val="18"/>
          <w:szCs w:val="18"/>
          <w:lang w:val="nl-NL"/>
        </w:rPr>
        <w:t>zich internationaal verspreiden</w:t>
      </w:r>
      <w:r w:rsidRPr="00633B05">
        <w:rPr>
          <w:rFonts w:ascii="Verdana" w:hAnsi="Verdana"/>
          <w:iCs/>
          <w:sz w:val="18"/>
          <w:szCs w:val="18"/>
          <w:lang w:val="nl-NL"/>
        </w:rPr>
        <w:t>.</w:t>
      </w:r>
    </w:p>
    <w:p w:rsidRPr="00633B05" w:rsidR="009C6774" w:rsidP="00251D42" w:rsidRDefault="009C6774" w14:paraId="7F0D0AF0" w14:textId="77777777">
      <w:pPr>
        <w:pStyle w:val="Spreekpunten"/>
        <w:numPr>
          <w:ilvl w:val="0"/>
          <w:numId w:val="0"/>
        </w:numPr>
        <w:rPr>
          <w:rFonts w:ascii="Verdana" w:hAnsi="Verdana"/>
          <w:iCs/>
          <w:sz w:val="18"/>
          <w:szCs w:val="18"/>
          <w:lang w:val="nl-NL"/>
        </w:rPr>
      </w:pPr>
    </w:p>
    <w:p w:rsidRPr="00633B05" w:rsidR="009C6774" w:rsidP="00251D42" w:rsidRDefault="00251D42" w14:paraId="48829453" w14:textId="676B87C9">
      <w:pPr>
        <w:pStyle w:val="Spreekpunten"/>
        <w:numPr>
          <w:ilvl w:val="0"/>
          <w:numId w:val="0"/>
        </w:numPr>
        <w:rPr>
          <w:rFonts w:ascii="Verdana" w:hAnsi="Verdana"/>
          <w:iCs/>
          <w:sz w:val="18"/>
          <w:szCs w:val="18"/>
          <w:lang w:val="nl-NL"/>
        </w:rPr>
      </w:pPr>
      <w:r w:rsidRPr="00633B05">
        <w:rPr>
          <w:rFonts w:ascii="Verdana" w:hAnsi="Verdana"/>
          <w:iCs/>
          <w:sz w:val="18"/>
          <w:szCs w:val="18"/>
          <w:lang w:val="nl-NL"/>
        </w:rPr>
        <w:t xml:space="preserve">Bouwend op bestaande </w:t>
      </w:r>
      <w:r w:rsidRPr="00633B05" w:rsidR="00A53618">
        <w:rPr>
          <w:rFonts w:ascii="Verdana" w:hAnsi="Verdana"/>
          <w:iCs/>
          <w:sz w:val="18"/>
          <w:szCs w:val="18"/>
          <w:lang w:val="nl-NL"/>
        </w:rPr>
        <w:t>EU-</w:t>
      </w:r>
      <w:r w:rsidRPr="00633B05">
        <w:rPr>
          <w:rFonts w:ascii="Verdana" w:hAnsi="Verdana"/>
          <w:iCs/>
          <w:sz w:val="18"/>
          <w:szCs w:val="18"/>
          <w:lang w:val="nl-NL"/>
        </w:rPr>
        <w:t>beleidskaders</w:t>
      </w:r>
      <w:r w:rsidRPr="00633B05" w:rsidR="00A53618">
        <w:rPr>
          <w:rStyle w:val="FootnoteReference"/>
          <w:rFonts w:ascii="Verdana" w:hAnsi="Verdana"/>
          <w:iCs/>
          <w:sz w:val="18"/>
          <w:szCs w:val="18"/>
          <w:lang w:val="nl-NL"/>
        </w:rPr>
        <w:footnoteReference w:id="2"/>
      </w:r>
      <w:r w:rsidRPr="00633B05">
        <w:rPr>
          <w:rFonts w:ascii="Verdana" w:hAnsi="Verdana"/>
          <w:iCs/>
          <w:sz w:val="18"/>
          <w:szCs w:val="18"/>
          <w:lang w:val="nl-NL"/>
        </w:rPr>
        <w:t xml:space="preserve"> richt het </w:t>
      </w:r>
      <w:r w:rsidRPr="00633B05">
        <w:rPr>
          <w:rFonts w:ascii="Verdana" w:hAnsi="Verdana"/>
          <w:i/>
          <w:sz w:val="18"/>
          <w:szCs w:val="18"/>
          <w:lang w:val="nl-NL"/>
        </w:rPr>
        <w:t>GHRI</w:t>
      </w:r>
      <w:r w:rsidRPr="00633B05">
        <w:rPr>
          <w:rFonts w:ascii="Verdana" w:hAnsi="Verdana"/>
          <w:iCs/>
          <w:sz w:val="18"/>
          <w:szCs w:val="18"/>
          <w:lang w:val="nl-NL"/>
        </w:rPr>
        <w:t xml:space="preserve"> zich op vijf prioriteiten, met negen bijbehorende </w:t>
      </w:r>
      <w:proofErr w:type="spellStart"/>
      <w:r w:rsidRPr="00633B05">
        <w:rPr>
          <w:rFonts w:ascii="Verdana" w:hAnsi="Verdana"/>
          <w:i/>
          <w:sz w:val="18"/>
          <w:szCs w:val="18"/>
          <w:lang w:val="nl-NL"/>
        </w:rPr>
        <w:t>Flagship</w:t>
      </w:r>
      <w:proofErr w:type="spellEnd"/>
      <w:r w:rsidRPr="00633B05">
        <w:rPr>
          <w:rFonts w:ascii="Verdana" w:hAnsi="Verdana"/>
          <w:i/>
          <w:sz w:val="18"/>
          <w:szCs w:val="18"/>
          <w:lang w:val="nl-NL"/>
        </w:rPr>
        <w:t xml:space="preserve"> </w:t>
      </w:r>
      <w:r w:rsidRPr="00633B05">
        <w:rPr>
          <w:rFonts w:ascii="Verdana" w:hAnsi="Verdana"/>
          <w:iCs/>
          <w:sz w:val="18"/>
          <w:szCs w:val="18"/>
          <w:lang w:val="nl-NL"/>
        </w:rPr>
        <w:t>Initiatieven.</w:t>
      </w:r>
      <w:r w:rsidRPr="00633B05" w:rsidR="00A53618">
        <w:rPr>
          <w:rFonts w:ascii="Verdana" w:hAnsi="Verdana"/>
          <w:iCs/>
          <w:sz w:val="18"/>
          <w:szCs w:val="18"/>
          <w:lang w:val="nl-NL"/>
        </w:rPr>
        <w:t xml:space="preserve"> </w:t>
      </w:r>
      <w:r w:rsidRPr="00633B05">
        <w:rPr>
          <w:rFonts w:ascii="Verdana" w:hAnsi="Verdana"/>
          <w:iCs/>
          <w:sz w:val="18"/>
          <w:szCs w:val="18"/>
          <w:lang w:val="nl-NL"/>
        </w:rPr>
        <w:t>De eerste prioriteit betreft inzet op een effectievere en minder versnipperde mondiale gezondheidsarchitectuur. De Commissie streeft naar een meer gestroomlijnd multilateraal stelsel met een centrale rol voor de Wereldgezondheidsorganisatie (</w:t>
      </w:r>
      <w:r w:rsidRPr="00633B05" w:rsidR="001536B3">
        <w:rPr>
          <w:rFonts w:ascii="Verdana" w:hAnsi="Verdana"/>
          <w:iCs/>
          <w:sz w:val="18"/>
          <w:szCs w:val="18"/>
          <w:lang w:val="nl-NL"/>
        </w:rPr>
        <w:t xml:space="preserve">hierna: </w:t>
      </w:r>
      <w:r w:rsidRPr="00633B05">
        <w:rPr>
          <w:rFonts w:ascii="Verdana" w:hAnsi="Verdana"/>
          <w:iCs/>
          <w:sz w:val="18"/>
          <w:szCs w:val="18"/>
          <w:lang w:val="nl-NL"/>
        </w:rPr>
        <w:t xml:space="preserve">WHO), prioritering van kwetsbare groepen en versterking van de </w:t>
      </w:r>
      <w:r w:rsidRPr="00633B05" w:rsidR="00655DAE">
        <w:rPr>
          <w:rFonts w:ascii="Verdana" w:hAnsi="Verdana"/>
          <w:iCs/>
          <w:sz w:val="18"/>
          <w:szCs w:val="18"/>
          <w:lang w:val="nl-NL"/>
        </w:rPr>
        <w:t>soevereiniteit</w:t>
      </w:r>
      <w:r w:rsidRPr="00633B05">
        <w:rPr>
          <w:rFonts w:ascii="Verdana" w:hAnsi="Verdana"/>
          <w:iCs/>
          <w:sz w:val="18"/>
          <w:szCs w:val="18"/>
          <w:lang w:val="nl-NL"/>
        </w:rPr>
        <w:t xml:space="preserve"> van partnerlanden</w:t>
      </w:r>
      <w:r w:rsidRPr="00633B05" w:rsidR="00655DAE">
        <w:rPr>
          <w:rFonts w:ascii="Verdana" w:hAnsi="Verdana"/>
          <w:iCs/>
          <w:sz w:val="18"/>
          <w:szCs w:val="18"/>
          <w:lang w:val="nl-NL"/>
        </w:rPr>
        <w:t xml:space="preserve"> op het vlak van gezondheid</w:t>
      </w:r>
      <w:r w:rsidRPr="00633B05">
        <w:rPr>
          <w:rFonts w:ascii="Verdana" w:hAnsi="Verdana"/>
          <w:iCs/>
          <w:sz w:val="18"/>
          <w:szCs w:val="18"/>
          <w:lang w:val="nl-NL"/>
        </w:rPr>
        <w:t xml:space="preserve">. </w:t>
      </w:r>
      <w:r w:rsidRPr="00633B05" w:rsidR="00655DAE">
        <w:rPr>
          <w:rFonts w:ascii="Verdana" w:hAnsi="Verdana"/>
          <w:iCs/>
          <w:sz w:val="18"/>
          <w:szCs w:val="18"/>
          <w:lang w:val="nl-NL"/>
        </w:rPr>
        <w:t>D</w:t>
      </w:r>
      <w:r w:rsidRPr="00633B05">
        <w:rPr>
          <w:rFonts w:ascii="Verdana" w:hAnsi="Verdana"/>
          <w:iCs/>
          <w:sz w:val="18"/>
          <w:szCs w:val="18"/>
          <w:lang w:val="nl-NL"/>
        </w:rPr>
        <w:t xml:space="preserve">e Commissie </w:t>
      </w:r>
      <w:r w:rsidRPr="00633B05" w:rsidR="00655DAE">
        <w:rPr>
          <w:rFonts w:ascii="Verdana" w:hAnsi="Verdana"/>
          <w:iCs/>
          <w:sz w:val="18"/>
          <w:szCs w:val="18"/>
          <w:lang w:val="nl-NL"/>
        </w:rPr>
        <w:t xml:space="preserve">zal daarom </w:t>
      </w:r>
      <w:r w:rsidRPr="00633B05">
        <w:rPr>
          <w:rFonts w:ascii="Verdana" w:hAnsi="Verdana"/>
          <w:iCs/>
          <w:sz w:val="18"/>
          <w:szCs w:val="18"/>
          <w:lang w:val="nl-NL"/>
        </w:rPr>
        <w:t>constructief deelnemen aan het door WHO georganiseerde proces</w:t>
      </w:r>
      <w:r w:rsidRPr="00633B05" w:rsidR="00655DAE">
        <w:rPr>
          <w:rStyle w:val="FootnoteReference"/>
          <w:rFonts w:ascii="Verdana" w:hAnsi="Verdana"/>
          <w:iCs/>
          <w:sz w:val="18"/>
          <w:szCs w:val="18"/>
          <w:lang w:val="nl-NL"/>
        </w:rPr>
        <w:footnoteReference w:id="3"/>
      </w:r>
      <w:r w:rsidRPr="00633B05">
        <w:rPr>
          <w:rFonts w:ascii="Verdana" w:hAnsi="Verdana"/>
          <w:iCs/>
          <w:sz w:val="18"/>
          <w:szCs w:val="18"/>
          <w:lang w:val="nl-NL"/>
        </w:rPr>
        <w:t xml:space="preserve"> dat moet uitmonden in een breed gedragen visie voor hervorming van de mondiale gezondheidsarchitectuur. </w:t>
      </w:r>
      <w:r w:rsidRPr="00633B05" w:rsidR="00E5792E">
        <w:rPr>
          <w:rFonts w:ascii="Verdana" w:hAnsi="Verdana"/>
          <w:iCs/>
          <w:sz w:val="18"/>
          <w:szCs w:val="18"/>
          <w:lang w:val="nl-NL"/>
        </w:rPr>
        <w:t>D</w:t>
      </w:r>
      <w:r w:rsidRPr="00633B05">
        <w:rPr>
          <w:rFonts w:ascii="Verdana" w:hAnsi="Verdana"/>
          <w:iCs/>
          <w:sz w:val="18"/>
          <w:szCs w:val="18"/>
          <w:lang w:val="nl-NL"/>
        </w:rPr>
        <w:t>aarnaast word</w:t>
      </w:r>
      <w:r w:rsidRPr="00633B05" w:rsidR="00E5792E">
        <w:rPr>
          <w:rFonts w:ascii="Verdana" w:hAnsi="Verdana"/>
          <w:iCs/>
          <w:sz w:val="18"/>
          <w:szCs w:val="18"/>
          <w:lang w:val="nl-NL"/>
        </w:rPr>
        <w:t>t</w:t>
      </w:r>
      <w:r w:rsidRPr="00633B05">
        <w:rPr>
          <w:rFonts w:ascii="Verdana" w:hAnsi="Verdana"/>
          <w:iCs/>
          <w:sz w:val="18"/>
          <w:szCs w:val="18"/>
          <w:lang w:val="nl-NL"/>
        </w:rPr>
        <w:t xml:space="preserve"> ingezet op versterkte samenhang van </w:t>
      </w:r>
      <w:r w:rsidRPr="00633B05">
        <w:rPr>
          <w:rFonts w:ascii="Verdana" w:hAnsi="Verdana"/>
          <w:i/>
          <w:sz w:val="18"/>
          <w:szCs w:val="18"/>
          <w:lang w:val="nl-NL"/>
        </w:rPr>
        <w:t>Team Europe</w:t>
      </w:r>
      <w:r w:rsidRPr="00633B05">
        <w:rPr>
          <w:rFonts w:ascii="Verdana" w:hAnsi="Verdana"/>
          <w:iCs/>
          <w:sz w:val="18"/>
          <w:szCs w:val="18"/>
          <w:lang w:val="nl-NL"/>
        </w:rPr>
        <w:t xml:space="preserve"> inzet</w:t>
      </w:r>
      <w:r w:rsidRPr="00633B05" w:rsidR="00501429">
        <w:rPr>
          <w:rFonts w:ascii="Verdana" w:hAnsi="Verdana"/>
          <w:iCs/>
          <w:sz w:val="18"/>
          <w:szCs w:val="18"/>
          <w:lang w:val="nl-NL"/>
        </w:rPr>
        <w:t xml:space="preserve"> (waarbij de lidstaten en de EU gezamenlijk extern optreden)</w:t>
      </w:r>
      <w:r w:rsidRPr="00633B05">
        <w:rPr>
          <w:rFonts w:ascii="Verdana" w:hAnsi="Verdana"/>
          <w:iCs/>
          <w:sz w:val="18"/>
          <w:szCs w:val="18"/>
          <w:lang w:val="nl-NL"/>
        </w:rPr>
        <w:t>.</w:t>
      </w:r>
    </w:p>
    <w:p w:rsidRPr="00633B05" w:rsidR="009C6774" w:rsidP="00251D42" w:rsidRDefault="009C6774" w14:paraId="75AC5ED2" w14:textId="77777777">
      <w:pPr>
        <w:pStyle w:val="Spreekpunten"/>
        <w:numPr>
          <w:ilvl w:val="0"/>
          <w:numId w:val="0"/>
        </w:numPr>
        <w:rPr>
          <w:rFonts w:ascii="Verdana" w:hAnsi="Verdana"/>
          <w:iCs/>
          <w:sz w:val="18"/>
          <w:szCs w:val="18"/>
          <w:lang w:val="nl-NL"/>
        </w:rPr>
      </w:pPr>
    </w:p>
    <w:p w:rsidRPr="00633B05" w:rsidR="009C6774" w:rsidP="00251D42" w:rsidRDefault="00251D42" w14:paraId="520DE3B8" w14:textId="50EEDA18">
      <w:pPr>
        <w:pStyle w:val="Spreekpunten"/>
        <w:numPr>
          <w:ilvl w:val="0"/>
          <w:numId w:val="0"/>
        </w:numPr>
        <w:rPr>
          <w:rFonts w:ascii="Verdana" w:hAnsi="Verdana"/>
          <w:iCs/>
          <w:sz w:val="18"/>
          <w:szCs w:val="18"/>
          <w:lang w:val="nl-NL"/>
        </w:rPr>
      </w:pPr>
      <w:r w:rsidRPr="00633B05">
        <w:rPr>
          <w:rFonts w:ascii="Verdana" w:hAnsi="Verdana"/>
          <w:iCs/>
          <w:sz w:val="18"/>
          <w:szCs w:val="18"/>
          <w:lang w:val="nl-NL"/>
        </w:rPr>
        <w:t xml:space="preserve">De tweede prioriteit betreft ondersteuning van landgeleide </w:t>
      </w:r>
      <w:r w:rsidRPr="00633B05" w:rsidR="00DD7E63">
        <w:rPr>
          <w:rFonts w:ascii="Verdana" w:hAnsi="Verdana"/>
          <w:iCs/>
          <w:sz w:val="18"/>
          <w:szCs w:val="18"/>
          <w:lang w:val="nl-NL"/>
        </w:rPr>
        <w:t>veerkrachtige</w:t>
      </w:r>
      <w:r w:rsidRPr="00633B05">
        <w:rPr>
          <w:rFonts w:ascii="Verdana" w:hAnsi="Verdana"/>
          <w:iCs/>
          <w:sz w:val="18"/>
          <w:szCs w:val="18"/>
          <w:lang w:val="nl-NL"/>
        </w:rPr>
        <w:t xml:space="preserve"> gezondheidssystemen </w:t>
      </w:r>
      <w:r w:rsidRPr="00633B05" w:rsidR="005E11D6">
        <w:rPr>
          <w:rFonts w:ascii="Verdana" w:hAnsi="Verdana"/>
          <w:iCs/>
          <w:sz w:val="18"/>
          <w:szCs w:val="18"/>
          <w:lang w:val="nl-NL"/>
        </w:rPr>
        <w:t>die</w:t>
      </w:r>
      <w:r w:rsidRPr="00633B05">
        <w:rPr>
          <w:rFonts w:ascii="Verdana" w:hAnsi="Verdana"/>
          <w:iCs/>
          <w:sz w:val="18"/>
          <w:szCs w:val="18"/>
          <w:lang w:val="nl-NL"/>
        </w:rPr>
        <w:t xml:space="preserve"> ook in crisissituaties universele toegang tot essentiële diensten kunnen waarborgen, waaronder seksuele en reproductieve gezondheid en rechten (SRGR). </w:t>
      </w:r>
      <w:r w:rsidRPr="00633B05" w:rsidR="005E11D6">
        <w:rPr>
          <w:rFonts w:ascii="Verdana" w:hAnsi="Verdana"/>
          <w:iCs/>
          <w:sz w:val="18"/>
          <w:szCs w:val="18"/>
          <w:lang w:val="nl-NL"/>
        </w:rPr>
        <w:t>D</w:t>
      </w:r>
      <w:r w:rsidRPr="00633B05">
        <w:rPr>
          <w:rFonts w:ascii="Verdana" w:hAnsi="Verdana"/>
          <w:iCs/>
          <w:sz w:val="18"/>
          <w:szCs w:val="18"/>
          <w:lang w:val="nl-NL"/>
        </w:rPr>
        <w:t xml:space="preserve">e Commissie </w:t>
      </w:r>
      <w:r w:rsidRPr="00633B05" w:rsidR="005E11D6">
        <w:rPr>
          <w:rFonts w:ascii="Verdana" w:hAnsi="Verdana"/>
          <w:iCs/>
          <w:sz w:val="18"/>
          <w:szCs w:val="18"/>
          <w:lang w:val="nl-NL"/>
        </w:rPr>
        <w:t xml:space="preserve">benadrukt </w:t>
      </w:r>
      <w:r w:rsidRPr="00633B05">
        <w:rPr>
          <w:rFonts w:ascii="Verdana" w:hAnsi="Verdana"/>
          <w:iCs/>
          <w:sz w:val="18"/>
          <w:szCs w:val="18"/>
          <w:lang w:val="nl-NL"/>
        </w:rPr>
        <w:t xml:space="preserve">het belang van een </w:t>
      </w:r>
      <w:r w:rsidRPr="00633B05">
        <w:rPr>
          <w:rFonts w:ascii="Verdana" w:hAnsi="Verdana"/>
          <w:i/>
          <w:sz w:val="18"/>
          <w:szCs w:val="18"/>
          <w:lang w:val="nl-NL"/>
        </w:rPr>
        <w:t>One Health</w:t>
      </w:r>
      <w:r w:rsidRPr="00633B05">
        <w:rPr>
          <w:rFonts w:ascii="Verdana" w:hAnsi="Verdana"/>
          <w:iCs/>
          <w:sz w:val="18"/>
          <w:szCs w:val="18"/>
          <w:lang w:val="nl-NL"/>
        </w:rPr>
        <w:t>-benadering</w:t>
      </w:r>
      <w:r w:rsidRPr="00633B05" w:rsidR="006C6D13">
        <w:rPr>
          <w:rStyle w:val="FootnoteReference"/>
          <w:rFonts w:ascii="Verdana" w:hAnsi="Verdana"/>
          <w:iCs/>
          <w:sz w:val="18"/>
          <w:szCs w:val="18"/>
          <w:lang w:val="nl-NL"/>
        </w:rPr>
        <w:footnoteReference w:id="4"/>
      </w:r>
      <w:r w:rsidRPr="00633B05" w:rsidR="006C6D13">
        <w:rPr>
          <w:rFonts w:ascii="Verdana" w:hAnsi="Verdana"/>
          <w:iCs/>
          <w:sz w:val="18"/>
          <w:szCs w:val="18"/>
          <w:lang w:val="nl-NL"/>
        </w:rPr>
        <w:t xml:space="preserve"> en </w:t>
      </w:r>
      <w:r w:rsidRPr="00633B05" w:rsidR="005E11D6">
        <w:rPr>
          <w:rFonts w:ascii="Verdana" w:hAnsi="Verdana"/>
          <w:iCs/>
          <w:sz w:val="18"/>
          <w:szCs w:val="18"/>
          <w:lang w:val="nl-NL"/>
        </w:rPr>
        <w:t>het belang v</w:t>
      </w:r>
      <w:r w:rsidRPr="00633B05">
        <w:rPr>
          <w:rFonts w:ascii="Verdana" w:hAnsi="Verdana"/>
          <w:iCs/>
          <w:sz w:val="18"/>
          <w:szCs w:val="18"/>
          <w:lang w:val="nl-NL"/>
        </w:rPr>
        <w:t xml:space="preserve">oor partnerlanden </w:t>
      </w:r>
      <w:r w:rsidRPr="00633B05" w:rsidR="005E11D6">
        <w:rPr>
          <w:rFonts w:ascii="Verdana" w:hAnsi="Verdana"/>
          <w:iCs/>
          <w:sz w:val="18"/>
          <w:szCs w:val="18"/>
          <w:lang w:val="nl-NL"/>
        </w:rPr>
        <w:t>om voldoende</w:t>
      </w:r>
      <w:r w:rsidRPr="00633B05">
        <w:rPr>
          <w:rFonts w:ascii="Verdana" w:hAnsi="Verdana"/>
          <w:iCs/>
          <w:sz w:val="18"/>
          <w:szCs w:val="18"/>
          <w:lang w:val="nl-NL"/>
        </w:rPr>
        <w:t xml:space="preserve"> binnenlandse financiering te mobiliseren voor de transitie naar zelfredzaamheid</w:t>
      </w:r>
      <w:r w:rsidRPr="00633B05" w:rsidR="006C6D13">
        <w:rPr>
          <w:rFonts w:ascii="Verdana" w:hAnsi="Verdana"/>
          <w:iCs/>
          <w:sz w:val="18"/>
          <w:szCs w:val="18"/>
          <w:lang w:val="nl-NL"/>
        </w:rPr>
        <w:t xml:space="preserve"> nu internationale financiering sterk afneemt</w:t>
      </w:r>
      <w:r w:rsidRPr="00633B05">
        <w:rPr>
          <w:rFonts w:ascii="Verdana" w:hAnsi="Verdana"/>
          <w:iCs/>
          <w:sz w:val="18"/>
          <w:szCs w:val="18"/>
          <w:lang w:val="nl-NL"/>
        </w:rPr>
        <w:t xml:space="preserve">. </w:t>
      </w:r>
      <w:r w:rsidRPr="00633B05" w:rsidR="00E33623">
        <w:rPr>
          <w:rFonts w:ascii="Verdana" w:hAnsi="Verdana"/>
          <w:iCs/>
          <w:sz w:val="18"/>
          <w:szCs w:val="18"/>
          <w:lang w:val="nl-NL"/>
        </w:rPr>
        <w:t>D</w:t>
      </w:r>
      <w:r w:rsidRPr="00633B05">
        <w:rPr>
          <w:rFonts w:ascii="Verdana" w:hAnsi="Verdana"/>
          <w:iCs/>
          <w:sz w:val="18"/>
          <w:szCs w:val="18"/>
          <w:lang w:val="nl-NL"/>
        </w:rPr>
        <w:t xml:space="preserve">e Commissie </w:t>
      </w:r>
      <w:r w:rsidRPr="00633B05" w:rsidR="00A7247E">
        <w:rPr>
          <w:rFonts w:ascii="Verdana" w:hAnsi="Verdana"/>
          <w:iCs/>
          <w:sz w:val="18"/>
          <w:szCs w:val="18"/>
          <w:lang w:val="nl-NL"/>
        </w:rPr>
        <w:t xml:space="preserve">wil </w:t>
      </w:r>
      <w:r w:rsidRPr="00633B05" w:rsidR="00E33623">
        <w:rPr>
          <w:rFonts w:ascii="Verdana" w:hAnsi="Verdana"/>
          <w:iCs/>
          <w:sz w:val="18"/>
          <w:szCs w:val="18"/>
          <w:lang w:val="nl-NL"/>
        </w:rPr>
        <w:t xml:space="preserve">deze </w:t>
      </w:r>
      <w:r w:rsidRPr="00633B05">
        <w:rPr>
          <w:rFonts w:ascii="Verdana" w:hAnsi="Verdana"/>
          <w:iCs/>
          <w:sz w:val="18"/>
          <w:szCs w:val="18"/>
          <w:lang w:val="nl-NL"/>
        </w:rPr>
        <w:t>transitieproces</w:t>
      </w:r>
      <w:r w:rsidRPr="00633B05" w:rsidR="00E33623">
        <w:rPr>
          <w:rFonts w:ascii="Verdana" w:hAnsi="Verdana"/>
          <w:iCs/>
          <w:sz w:val="18"/>
          <w:szCs w:val="18"/>
          <w:lang w:val="nl-NL"/>
        </w:rPr>
        <w:t>sen via een coherente Team Europe-benadering ondersteunen</w:t>
      </w:r>
      <w:r w:rsidRPr="00633B05" w:rsidR="00875C65">
        <w:rPr>
          <w:rFonts w:ascii="Verdana" w:hAnsi="Verdana"/>
          <w:iCs/>
          <w:sz w:val="18"/>
          <w:szCs w:val="18"/>
          <w:lang w:val="nl-NL"/>
        </w:rPr>
        <w:t>, met</w:t>
      </w:r>
      <w:r w:rsidRPr="00633B05" w:rsidR="005E11D6">
        <w:rPr>
          <w:rFonts w:ascii="Verdana" w:hAnsi="Verdana"/>
          <w:iCs/>
          <w:sz w:val="18"/>
          <w:szCs w:val="18"/>
          <w:lang w:val="nl-NL"/>
        </w:rPr>
        <w:t xml:space="preserve"> </w:t>
      </w:r>
      <w:r w:rsidRPr="00633B05" w:rsidR="00875C65">
        <w:rPr>
          <w:rFonts w:ascii="Verdana" w:hAnsi="Verdana"/>
          <w:iCs/>
          <w:sz w:val="18"/>
          <w:szCs w:val="18"/>
          <w:lang w:val="nl-NL"/>
        </w:rPr>
        <w:t>b</w:t>
      </w:r>
      <w:r w:rsidRPr="00633B05">
        <w:rPr>
          <w:rFonts w:ascii="Verdana" w:hAnsi="Verdana"/>
          <w:iCs/>
          <w:sz w:val="18"/>
          <w:szCs w:val="18"/>
          <w:lang w:val="nl-NL"/>
        </w:rPr>
        <w:t>ijzondere aandacht</w:t>
      </w:r>
      <w:r w:rsidRPr="00633B05" w:rsidR="00875C65">
        <w:rPr>
          <w:rFonts w:ascii="Verdana" w:hAnsi="Verdana"/>
          <w:iCs/>
          <w:sz w:val="18"/>
          <w:szCs w:val="18"/>
          <w:lang w:val="nl-NL"/>
        </w:rPr>
        <w:t xml:space="preserve"> voor</w:t>
      </w:r>
      <w:r w:rsidRPr="00633B05">
        <w:rPr>
          <w:rFonts w:ascii="Verdana" w:hAnsi="Verdana"/>
          <w:iCs/>
          <w:sz w:val="18"/>
          <w:szCs w:val="18"/>
          <w:lang w:val="nl-NL"/>
        </w:rPr>
        <w:t xml:space="preserve"> fragiele landen, kwetsbare groepen</w:t>
      </w:r>
      <w:r w:rsidRPr="00633B05" w:rsidR="00E33623">
        <w:rPr>
          <w:rFonts w:ascii="Verdana" w:hAnsi="Verdana"/>
          <w:iCs/>
          <w:sz w:val="18"/>
          <w:szCs w:val="18"/>
          <w:lang w:val="nl-NL"/>
        </w:rPr>
        <w:t>,</w:t>
      </w:r>
      <w:r w:rsidRPr="00633B05">
        <w:rPr>
          <w:rFonts w:ascii="Verdana" w:hAnsi="Verdana"/>
          <w:iCs/>
          <w:sz w:val="18"/>
          <w:szCs w:val="18"/>
          <w:lang w:val="nl-NL"/>
        </w:rPr>
        <w:t xml:space="preserve"> </w:t>
      </w:r>
      <w:r w:rsidRPr="00633B05" w:rsidR="002E6B34">
        <w:rPr>
          <w:rFonts w:ascii="Verdana" w:hAnsi="Verdana"/>
          <w:sz w:val="18"/>
          <w:szCs w:val="18"/>
          <w:lang w:val="nl-NL"/>
        </w:rPr>
        <w:t>antimicrobiële resistentie (</w:t>
      </w:r>
      <w:r w:rsidRPr="00633B05" w:rsidR="00F51230">
        <w:rPr>
          <w:rFonts w:ascii="Verdana" w:hAnsi="Verdana"/>
          <w:sz w:val="18"/>
          <w:szCs w:val="18"/>
          <w:lang w:val="nl-NL"/>
        </w:rPr>
        <w:t>h</w:t>
      </w:r>
      <w:r w:rsidRPr="00633B05" w:rsidR="002E6B34">
        <w:rPr>
          <w:rFonts w:ascii="Verdana" w:hAnsi="Verdana"/>
          <w:sz w:val="18"/>
          <w:szCs w:val="18"/>
          <w:lang w:val="nl-NL"/>
        </w:rPr>
        <w:t xml:space="preserve">ierna: </w:t>
      </w:r>
      <w:r w:rsidRPr="00633B05" w:rsidR="005E11D6">
        <w:rPr>
          <w:rFonts w:ascii="Verdana" w:hAnsi="Verdana"/>
          <w:iCs/>
          <w:sz w:val="18"/>
          <w:szCs w:val="18"/>
          <w:lang w:val="nl-NL"/>
        </w:rPr>
        <w:t>AMR</w:t>
      </w:r>
      <w:r w:rsidRPr="00633B05" w:rsidR="002E6B34">
        <w:rPr>
          <w:rFonts w:ascii="Verdana" w:hAnsi="Verdana"/>
          <w:iCs/>
          <w:sz w:val="18"/>
          <w:szCs w:val="18"/>
          <w:lang w:val="nl-NL"/>
        </w:rPr>
        <w:t>)</w:t>
      </w:r>
      <w:r w:rsidRPr="00633B05" w:rsidR="005E11D6">
        <w:rPr>
          <w:rFonts w:ascii="Verdana" w:hAnsi="Verdana"/>
          <w:iCs/>
          <w:sz w:val="18"/>
          <w:szCs w:val="18"/>
          <w:lang w:val="nl-NL"/>
        </w:rPr>
        <w:t xml:space="preserve"> </w:t>
      </w:r>
      <w:r w:rsidRPr="00633B05">
        <w:rPr>
          <w:rFonts w:ascii="Verdana" w:hAnsi="Verdana"/>
          <w:iCs/>
          <w:sz w:val="18"/>
          <w:szCs w:val="18"/>
          <w:lang w:val="nl-NL"/>
        </w:rPr>
        <w:t>en met het oog op toekomstige toetreding tot de EU</w:t>
      </w:r>
      <w:r w:rsidRPr="00633B05" w:rsidR="003B2D6B">
        <w:rPr>
          <w:rFonts w:ascii="Verdana" w:hAnsi="Verdana"/>
          <w:iCs/>
          <w:sz w:val="18"/>
          <w:szCs w:val="18"/>
          <w:lang w:val="nl-NL"/>
        </w:rPr>
        <w:t xml:space="preserve">, ook </w:t>
      </w:r>
      <w:r w:rsidRPr="00633B05" w:rsidR="001536B3">
        <w:rPr>
          <w:rFonts w:ascii="Verdana" w:hAnsi="Verdana"/>
          <w:iCs/>
          <w:sz w:val="18"/>
          <w:szCs w:val="18"/>
          <w:lang w:val="nl-NL"/>
        </w:rPr>
        <w:t>Oekraïne</w:t>
      </w:r>
      <w:r w:rsidRPr="00633B05" w:rsidR="003B2D6B">
        <w:rPr>
          <w:rFonts w:ascii="Verdana" w:hAnsi="Verdana"/>
          <w:iCs/>
          <w:sz w:val="18"/>
          <w:szCs w:val="18"/>
          <w:lang w:val="nl-NL"/>
        </w:rPr>
        <w:t xml:space="preserve"> en EU nabuurschapslanden.</w:t>
      </w:r>
    </w:p>
    <w:p w:rsidRPr="00633B05" w:rsidR="009C6774" w:rsidP="00251D42" w:rsidRDefault="009C6774" w14:paraId="06EE9920" w14:textId="77777777">
      <w:pPr>
        <w:pStyle w:val="Spreekpunten"/>
        <w:numPr>
          <w:ilvl w:val="0"/>
          <w:numId w:val="0"/>
        </w:numPr>
        <w:rPr>
          <w:rFonts w:ascii="Verdana" w:hAnsi="Verdana"/>
          <w:iCs/>
          <w:sz w:val="18"/>
          <w:szCs w:val="18"/>
          <w:lang w:val="nl-NL"/>
        </w:rPr>
      </w:pPr>
    </w:p>
    <w:p w:rsidRPr="00633B05" w:rsidR="009C6774" w:rsidP="00251D42" w:rsidRDefault="00251D42" w14:paraId="14CA20EA" w14:textId="6D096B03">
      <w:pPr>
        <w:pStyle w:val="Spreekpunten"/>
        <w:numPr>
          <w:ilvl w:val="0"/>
          <w:numId w:val="0"/>
        </w:numPr>
        <w:rPr>
          <w:rFonts w:ascii="Verdana" w:hAnsi="Verdana"/>
          <w:iCs/>
          <w:sz w:val="18"/>
          <w:szCs w:val="18"/>
          <w:lang w:val="nl-NL"/>
        </w:rPr>
      </w:pPr>
      <w:r w:rsidRPr="00633B05">
        <w:rPr>
          <w:rFonts w:ascii="Verdana" w:hAnsi="Verdana"/>
          <w:iCs/>
          <w:sz w:val="18"/>
          <w:szCs w:val="18"/>
          <w:lang w:val="nl-NL"/>
        </w:rPr>
        <w:t xml:space="preserve">De derde prioriteit betreft versterking van de capaciteit om mondiale gezondheidsdreigingen en -crises te voorkomen, te beheersen en te adresseren. </w:t>
      </w:r>
      <w:r w:rsidRPr="00633B05" w:rsidR="00F3701C">
        <w:rPr>
          <w:rFonts w:ascii="Verdana" w:hAnsi="Verdana"/>
          <w:iCs/>
          <w:sz w:val="18"/>
          <w:szCs w:val="18"/>
          <w:lang w:val="nl-NL"/>
        </w:rPr>
        <w:t>Naast</w:t>
      </w:r>
      <w:r w:rsidRPr="00633B05">
        <w:rPr>
          <w:rFonts w:ascii="Verdana" w:hAnsi="Verdana"/>
          <w:iCs/>
          <w:sz w:val="18"/>
          <w:szCs w:val="18"/>
          <w:lang w:val="nl-NL"/>
        </w:rPr>
        <w:t xml:space="preserve"> </w:t>
      </w:r>
      <w:r w:rsidRPr="00633B05" w:rsidR="00F3701C">
        <w:rPr>
          <w:rFonts w:ascii="Verdana" w:hAnsi="Verdana"/>
          <w:iCs/>
          <w:sz w:val="18"/>
          <w:szCs w:val="18"/>
          <w:lang w:val="nl-NL"/>
        </w:rPr>
        <w:t>in</w:t>
      </w:r>
      <w:r w:rsidRPr="00633B05" w:rsidR="00D92AA4">
        <w:rPr>
          <w:rFonts w:ascii="Verdana" w:hAnsi="Verdana"/>
          <w:iCs/>
          <w:sz w:val="18"/>
          <w:szCs w:val="18"/>
          <w:lang w:val="nl-NL"/>
        </w:rPr>
        <w:t xml:space="preserve">zet </w:t>
      </w:r>
      <w:r w:rsidRPr="00633B05">
        <w:rPr>
          <w:rFonts w:ascii="Verdana" w:hAnsi="Verdana"/>
          <w:iCs/>
          <w:sz w:val="18"/>
          <w:szCs w:val="18"/>
          <w:lang w:val="nl-NL"/>
        </w:rPr>
        <w:t>op vroegtijdige opsporing</w:t>
      </w:r>
      <w:r w:rsidRPr="00633B05" w:rsidR="00F3701C">
        <w:rPr>
          <w:rFonts w:ascii="Verdana" w:hAnsi="Verdana"/>
          <w:iCs/>
          <w:sz w:val="18"/>
          <w:szCs w:val="18"/>
          <w:lang w:val="nl-NL"/>
        </w:rPr>
        <w:t xml:space="preserve">, beoogt de Commissie </w:t>
      </w:r>
      <w:r w:rsidRPr="00633B05">
        <w:rPr>
          <w:rFonts w:ascii="Verdana" w:hAnsi="Verdana"/>
          <w:iCs/>
          <w:sz w:val="18"/>
          <w:szCs w:val="18"/>
          <w:lang w:val="nl-NL"/>
        </w:rPr>
        <w:t xml:space="preserve">de ontwikkeling en opschaling van diagnostiek, therapieën en vaccins </w:t>
      </w:r>
      <w:r w:rsidRPr="00633B05" w:rsidR="00A7247E">
        <w:rPr>
          <w:rFonts w:ascii="Verdana" w:hAnsi="Verdana"/>
          <w:iCs/>
          <w:sz w:val="18"/>
          <w:szCs w:val="18"/>
          <w:lang w:val="nl-NL"/>
        </w:rPr>
        <w:t xml:space="preserve">te stimuleren </w:t>
      </w:r>
      <w:r w:rsidRPr="00633B05">
        <w:rPr>
          <w:rFonts w:ascii="Verdana" w:hAnsi="Verdana"/>
          <w:iCs/>
          <w:sz w:val="18"/>
          <w:szCs w:val="18"/>
          <w:lang w:val="nl-NL"/>
        </w:rPr>
        <w:t xml:space="preserve">via </w:t>
      </w:r>
      <w:r w:rsidRPr="00633B05" w:rsidR="00514B2D">
        <w:rPr>
          <w:rFonts w:ascii="Verdana" w:hAnsi="Verdana"/>
          <w:iCs/>
          <w:sz w:val="18"/>
          <w:szCs w:val="18"/>
          <w:lang w:val="nl-NL"/>
        </w:rPr>
        <w:t xml:space="preserve">CEPI, </w:t>
      </w:r>
      <w:r w:rsidRPr="00633B05">
        <w:rPr>
          <w:rFonts w:ascii="Verdana" w:hAnsi="Verdana"/>
          <w:iCs/>
          <w:sz w:val="18"/>
          <w:szCs w:val="18"/>
          <w:lang w:val="nl-NL"/>
        </w:rPr>
        <w:t xml:space="preserve">de </w:t>
      </w:r>
      <w:r w:rsidRPr="00633B05">
        <w:rPr>
          <w:rFonts w:ascii="Verdana" w:hAnsi="Verdana"/>
          <w:i/>
          <w:sz w:val="18"/>
          <w:szCs w:val="18"/>
          <w:lang w:val="nl-NL"/>
        </w:rPr>
        <w:t>European Vaccine Hub</w:t>
      </w:r>
      <w:r w:rsidRPr="00633B05">
        <w:rPr>
          <w:rFonts w:ascii="Verdana" w:hAnsi="Verdana"/>
          <w:iCs/>
          <w:sz w:val="18"/>
          <w:szCs w:val="18"/>
          <w:lang w:val="nl-NL"/>
        </w:rPr>
        <w:t xml:space="preserve"> en nieuwe structuren zoals de </w:t>
      </w:r>
      <w:r w:rsidRPr="00633B05">
        <w:rPr>
          <w:rFonts w:ascii="Verdana" w:hAnsi="Verdana"/>
          <w:i/>
          <w:sz w:val="18"/>
          <w:szCs w:val="18"/>
          <w:lang w:val="nl-NL"/>
        </w:rPr>
        <w:t xml:space="preserve">Global </w:t>
      </w:r>
      <w:proofErr w:type="spellStart"/>
      <w:r w:rsidRPr="00633B05">
        <w:rPr>
          <w:rFonts w:ascii="Verdana" w:hAnsi="Verdana"/>
          <w:i/>
          <w:sz w:val="18"/>
          <w:szCs w:val="18"/>
          <w:lang w:val="nl-NL"/>
        </w:rPr>
        <w:t>Therapeutics</w:t>
      </w:r>
      <w:proofErr w:type="spellEnd"/>
      <w:r w:rsidRPr="00633B05">
        <w:rPr>
          <w:rFonts w:ascii="Verdana" w:hAnsi="Verdana"/>
          <w:i/>
          <w:sz w:val="18"/>
          <w:szCs w:val="18"/>
          <w:lang w:val="nl-NL"/>
        </w:rPr>
        <w:t xml:space="preserve"> Development </w:t>
      </w:r>
      <w:proofErr w:type="spellStart"/>
      <w:r w:rsidRPr="00633B05">
        <w:rPr>
          <w:rFonts w:ascii="Verdana" w:hAnsi="Verdana"/>
          <w:i/>
          <w:sz w:val="18"/>
          <w:szCs w:val="18"/>
          <w:lang w:val="nl-NL"/>
        </w:rPr>
        <w:t>Coalition</w:t>
      </w:r>
      <w:proofErr w:type="spellEnd"/>
      <w:r w:rsidRPr="00633B05">
        <w:rPr>
          <w:rFonts w:ascii="Verdana" w:hAnsi="Verdana"/>
          <w:iCs/>
          <w:sz w:val="18"/>
          <w:szCs w:val="18"/>
          <w:lang w:val="nl-NL"/>
        </w:rPr>
        <w:t xml:space="preserve">, de </w:t>
      </w:r>
      <w:r w:rsidRPr="00633B05">
        <w:rPr>
          <w:rFonts w:ascii="Verdana" w:hAnsi="Verdana"/>
          <w:i/>
          <w:sz w:val="18"/>
          <w:szCs w:val="18"/>
          <w:lang w:val="nl-NL"/>
        </w:rPr>
        <w:t xml:space="preserve">European </w:t>
      </w:r>
      <w:proofErr w:type="spellStart"/>
      <w:r w:rsidRPr="00633B05">
        <w:rPr>
          <w:rFonts w:ascii="Verdana" w:hAnsi="Verdana"/>
          <w:i/>
          <w:sz w:val="18"/>
          <w:szCs w:val="18"/>
          <w:lang w:val="nl-NL"/>
        </w:rPr>
        <w:t>Therapeutics</w:t>
      </w:r>
      <w:proofErr w:type="spellEnd"/>
      <w:r w:rsidRPr="00633B05">
        <w:rPr>
          <w:rFonts w:ascii="Verdana" w:hAnsi="Verdana"/>
          <w:i/>
          <w:sz w:val="18"/>
          <w:szCs w:val="18"/>
          <w:lang w:val="nl-NL"/>
        </w:rPr>
        <w:t xml:space="preserve"> Hub </w:t>
      </w:r>
      <w:r w:rsidRPr="00633B05" w:rsidR="00F3701C">
        <w:rPr>
          <w:rFonts w:ascii="Verdana" w:hAnsi="Verdana"/>
          <w:iCs/>
          <w:sz w:val="18"/>
          <w:szCs w:val="18"/>
          <w:lang w:val="nl-NL"/>
        </w:rPr>
        <w:t xml:space="preserve">en </w:t>
      </w:r>
      <w:r w:rsidRPr="00633B05">
        <w:rPr>
          <w:rFonts w:ascii="Verdana" w:hAnsi="Verdana"/>
          <w:iCs/>
          <w:sz w:val="18"/>
          <w:szCs w:val="18"/>
          <w:lang w:val="nl-NL"/>
        </w:rPr>
        <w:t xml:space="preserve">de </w:t>
      </w:r>
      <w:r w:rsidRPr="00633B05">
        <w:rPr>
          <w:rFonts w:ascii="Verdana" w:hAnsi="Verdana"/>
          <w:i/>
          <w:sz w:val="18"/>
          <w:szCs w:val="18"/>
          <w:lang w:val="nl-NL"/>
        </w:rPr>
        <w:t xml:space="preserve">European </w:t>
      </w:r>
      <w:proofErr w:type="spellStart"/>
      <w:r w:rsidRPr="00633B05">
        <w:rPr>
          <w:rFonts w:ascii="Verdana" w:hAnsi="Verdana"/>
          <w:i/>
          <w:sz w:val="18"/>
          <w:szCs w:val="18"/>
          <w:lang w:val="nl-NL"/>
        </w:rPr>
        <w:t>Diagnostics</w:t>
      </w:r>
      <w:proofErr w:type="spellEnd"/>
      <w:r w:rsidRPr="00633B05">
        <w:rPr>
          <w:rFonts w:ascii="Verdana" w:hAnsi="Verdana"/>
          <w:i/>
          <w:sz w:val="18"/>
          <w:szCs w:val="18"/>
          <w:lang w:val="nl-NL"/>
        </w:rPr>
        <w:t xml:space="preserve"> Hub</w:t>
      </w:r>
      <w:r w:rsidRPr="00633B05" w:rsidR="00F3701C">
        <w:rPr>
          <w:rFonts w:ascii="Verdana" w:hAnsi="Verdana"/>
          <w:i/>
          <w:sz w:val="18"/>
          <w:szCs w:val="18"/>
          <w:lang w:val="nl-NL"/>
        </w:rPr>
        <w:t>.</w:t>
      </w:r>
      <w:r w:rsidRPr="00633B05">
        <w:rPr>
          <w:rFonts w:ascii="Verdana" w:hAnsi="Verdana"/>
          <w:iCs/>
          <w:sz w:val="18"/>
          <w:szCs w:val="18"/>
          <w:lang w:val="nl-NL"/>
        </w:rPr>
        <w:t xml:space="preserve"> </w:t>
      </w:r>
      <w:r w:rsidRPr="00633B05" w:rsidR="00D03346">
        <w:rPr>
          <w:rFonts w:ascii="Verdana" w:hAnsi="Verdana"/>
          <w:iCs/>
          <w:sz w:val="18"/>
          <w:szCs w:val="18"/>
          <w:lang w:val="nl-NL"/>
        </w:rPr>
        <w:t>I</w:t>
      </w:r>
      <w:r w:rsidRPr="00633B05">
        <w:rPr>
          <w:rFonts w:ascii="Verdana" w:hAnsi="Verdana"/>
          <w:iCs/>
          <w:sz w:val="18"/>
          <w:szCs w:val="18"/>
          <w:lang w:val="nl-NL"/>
        </w:rPr>
        <w:t xml:space="preserve">n samenwerking met </w:t>
      </w:r>
      <w:r w:rsidRPr="00633B05" w:rsidR="001536B3">
        <w:rPr>
          <w:rFonts w:ascii="Verdana" w:hAnsi="Verdana"/>
          <w:iCs/>
          <w:sz w:val="18"/>
          <w:szCs w:val="18"/>
          <w:lang w:val="nl-NL"/>
        </w:rPr>
        <w:t xml:space="preserve">de </w:t>
      </w:r>
      <w:r w:rsidRPr="00633B05">
        <w:rPr>
          <w:rFonts w:ascii="Verdana" w:hAnsi="Verdana"/>
          <w:iCs/>
          <w:sz w:val="18"/>
          <w:szCs w:val="18"/>
          <w:lang w:val="nl-NL"/>
        </w:rPr>
        <w:t xml:space="preserve">WHO, </w:t>
      </w:r>
      <w:r w:rsidRPr="00633B05" w:rsidR="002E6B34">
        <w:rPr>
          <w:rFonts w:ascii="Verdana" w:hAnsi="Verdana"/>
          <w:iCs/>
          <w:sz w:val="18"/>
          <w:szCs w:val="18"/>
          <w:lang w:val="nl-NL"/>
        </w:rPr>
        <w:t xml:space="preserve">de Organisatie voor Economische Samenwerking en Ontwikkeling </w:t>
      </w:r>
      <w:r w:rsidRPr="00633B05">
        <w:rPr>
          <w:rFonts w:ascii="Verdana" w:hAnsi="Verdana"/>
          <w:iCs/>
          <w:sz w:val="18"/>
          <w:szCs w:val="18"/>
          <w:lang w:val="nl-NL"/>
        </w:rPr>
        <w:t xml:space="preserve">en de Wereldbank, </w:t>
      </w:r>
      <w:r w:rsidRPr="00633B05" w:rsidR="00D03346">
        <w:rPr>
          <w:rFonts w:ascii="Verdana" w:hAnsi="Verdana"/>
          <w:iCs/>
          <w:sz w:val="18"/>
          <w:szCs w:val="18"/>
          <w:lang w:val="nl-NL"/>
        </w:rPr>
        <w:t xml:space="preserve">zal </w:t>
      </w:r>
      <w:r w:rsidRPr="00633B05">
        <w:rPr>
          <w:rFonts w:ascii="Verdana" w:hAnsi="Verdana"/>
          <w:iCs/>
          <w:sz w:val="18"/>
          <w:szCs w:val="18"/>
          <w:lang w:val="nl-NL"/>
        </w:rPr>
        <w:t xml:space="preserve">ook de ontwikkeling van een </w:t>
      </w:r>
      <w:proofErr w:type="spellStart"/>
      <w:r w:rsidRPr="00633B05">
        <w:rPr>
          <w:rFonts w:ascii="Verdana" w:hAnsi="Verdana"/>
          <w:i/>
          <w:sz w:val="18"/>
          <w:szCs w:val="18"/>
          <w:lang w:val="nl-NL"/>
        </w:rPr>
        <w:t>global</w:t>
      </w:r>
      <w:proofErr w:type="spellEnd"/>
      <w:r w:rsidRPr="00633B05">
        <w:rPr>
          <w:rFonts w:ascii="Verdana" w:hAnsi="Verdana"/>
          <w:i/>
          <w:sz w:val="18"/>
          <w:szCs w:val="18"/>
          <w:lang w:val="nl-NL"/>
        </w:rPr>
        <w:t xml:space="preserve"> health and </w:t>
      </w:r>
      <w:proofErr w:type="spellStart"/>
      <w:r w:rsidRPr="00633B05">
        <w:rPr>
          <w:rFonts w:ascii="Verdana" w:hAnsi="Verdana"/>
          <w:i/>
          <w:sz w:val="18"/>
          <w:szCs w:val="18"/>
          <w:lang w:val="nl-NL"/>
        </w:rPr>
        <w:t>resilience</w:t>
      </w:r>
      <w:proofErr w:type="spellEnd"/>
      <w:r w:rsidRPr="00633B05">
        <w:rPr>
          <w:rFonts w:ascii="Verdana" w:hAnsi="Verdana"/>
          <w:i/>
          <w:sz w:val="18"/>
          <w:szCs w:val="18"/>
          <w:lang w:val="nl-NL"/>
        </w:rPr>
        <w:t xml:space="preserve"> </w:t>
      </w:r>
      <w:proofErr w:type="spellStart"/>
      <w:r w:rsidRPr="00633B05">
        <w:rPr>
          <w:rFonts w:ascii="Verdana" w:hAnsi="Verdana"/>
          <w:i/>
          <w:sz w:val="18"/>
          <w:szCs w:val="18"/>
          <w:lang w:val="nl-NL"/>
        </w:rPr>
        <w:t>tracker</w:t>
      </w:r>
      <w:proofErr w:type="spellEnd"/>
      <w:r w:rsidRPr="00633B05">
        <w:rPr>
          <w:rFonts w:ascii="Verdana" w:hAnsi="Verdana"/>
          <w:iCs/>
          <w:sz w:val="18"/>
          <w:szCs w:val="18"/>
          <w:lang w:val="nl-NL"/>
        </w:rPr>
        <w:t xml:space="preserve"> </w:t>
      </w:r>
      <w:r w:rsidRPr="00633B05" w:rsidR="00D03346">
        <w:rPr>
          <w:rFonts w:ascii="Verdana" w:hAnsi="Verdana"/>
          <w:iCs/>
          <w:sz w:val="18"/>
          <w:szCs w:val="18"/>
          <w:lang w:val="nl-NL"/>
        </w:rPr>
        <w:t xml:space="preserve">worden ondersteunt om </w:t>
      </w:r>
      <w:r w:rsidRPr="00633B05">
        <w:rPr>
          <w:rFonts w:ascii="Verdana" w:hAnsi="Verdana"/>
          <w:iCs/>
          <w:sz w:val="18"/>
          <w:szCs w:val="18"/>
          <w:lang w:val="nl-NL"/>
        </w:rPr>
        <w:t>financiering voor pandemie-</w:t>
      </w:r>
      <w:r w:rsidRPr="00633B05" w:rsidR="00D03346">
        <w:rPr>
          <w:rFonts w:ascii="Verdana" w:hAnsi="Verdana"/>
          <w:iCs/>
          <w:sz w:val="18"/>
          <w:szCs w:val="18"/>
          <w:lang w:val="nl-NL"/>
        </w:rPr>
        <w:t>inzet</w:t>
      </w:r>
      <w:r w:rsidRPr="00633B05">
        <w:rPr>
          <w:rFonts w:ascii="Verdana" w:hAnsi="Verdana"/>
          <w:iCs/>
          <w:sz w:val="18"/>
          <w:szCs w:val="18"/>
          <w:lang w:val="nl-NL"/>
        </w:rPr>
        <w:t xml:space="preserve"> inzichtelijk </w:t>
      </w:r>
      <w:r w:rsidRPr="00633B05" w:rsidR="00D03346">
        <w:rPr>
          <w:rFonts w:ascii="Verdana" w:hAnsi="Verdana"/>
          <w:iCs/>
          <w:sz w:val="18"/>
          <w:szCs w:val="18"/>
          <w:lang w:val="nl-NL"/>
        </w:rPr>
        <w:t>te</w:t>
      </w:r>
      <w:r w:rsidRPr="00633B05">
        <w:rPr>
          <w:rFonts w:ascii="Verdana" w:hAnsi="Verdana"/>
          <w:iCs/>
          <w:sz w:val="18"/>
          <w:szCs w:val="18"/>
          <w:lang w:val="nl-NL"/>
        </w:rPr>
        <w:t xml:space="preserve"> maken.</w:t>
      </w:r>
    </w:p>
    <w:p w:rsidRPr="00633B05" w:rsidR="009C6774" w:rsidP="00251D42" w:rsidRDefault="009C6774" w14:paraId="7DF62573" w14:textId="77777777">
      <w:pPr>
        <w:pStyle w:val="Spreekpunten"/>
        <w:numPr>
          <w:ilvl w:val="0"/>
          <w:numId w:val="0"/>
        </w:numPr>
        <w:rPr>
          <w:rFonts w:ascii="Verdana" w:hAnsi="Verdana"/>
          <w:iCs/>
          <w:sz w:val="18"/>
          <w:szCs w:val="18"/>
          <w:lang w:val="nl-NL"/>
        </w:rPr>
      </w:pPr>
    </w:p>
    <w:p w:rsidRPr="00633B05" w:rsidR="009C6774" w:rsidP="00251D42" w:rsidRDefault="00251D42" w14:paraId="4061280C" w14:textId="77777777">
      <w:pPr>
        <w:pStyle w:val="Spreekpunten"/>
        <w:numPr>
          <w:ilvl w:val="0"/>
          <w:numId w:val="0"/>
        </w:numPr>
        <w:rPr>
          <w:rFonts w:ascii="Verdana" w:hAnsi="Verdana"/>
          <w:iCs/>
          <w:sz w:val="18"/>
          <w:szCs w:val="18"/>
          <w:lang w:val="nl-NL"/>
        </w:rPr>
      </w:pPr>
      <w:r w:rsidRPr="00633B05">
        <w:rPr>
          <w:rFonts w:ascii="Verdana" w:hAnsi="Verdana"/>
          <w:iCs/>
          <w:sz w:val="18"/>
          <w:szCs w:val="18"/>
          <w:lang w:val="nl-NL"/>
        </w:rPr>
        <w:t>De vierde prioriteit betreft diversificatie van toeleveringsketens en</w:t>
      </w:r>
      <w:r w:rsidRPr="00633B05" w:rsidR="00F82701">
        <w:rPr>
          <w:rFonts w:ascii="Verdana" w:hAnsi="Verdana"/>
          <w:iCs/>
          <w:sz w:val="18"/>
          <w:szCs w:val="18"/>
          <w:lang w:val="nl-NL"/>
        </w:rPr>
        <w:t xml:space="preserve"> de </w:t>
      </w:r>
      <w:r w:rsidRPr="00633B05">
        <w:rPr>
          <w:rFonts w:ascii="Verdana" w:hAnsi="Verdana"/>
          <w:iCs/>
          <w:sz w:val="18"/>
          <w:szCs w:val="18"/>
          <w:lang w:val="nl-NL"/>
        </w:rPr>
        <w:t>versterking van de ontwikkeling en productie van essentiële medische producten</w:t>
      </w:r>
      <w:r w:rsidRPr="00633B05" w:rsidR="00F82701">
        <w:rPr>
          <w:rFonts w:ascii="Verdana" w:hAnsi="Verdana"/>
          <w:iCs/>
          <w:sz w:val="18"/>
          <w:szCs w:val="18"/>
          <w:lang w:val="nl-NL"/>
        </w:rPr>
        <w:t xml:space="preserve"> in partnerlanden op basis van </w:t>
      </w:r>
      <w:r w:rsidRPr="00633B05" w:rsidR="00F82701">
        <w:rPr>
          <w:rFonts w:ascii="Verdana" w:hAnsi="Verdana"/>
          <w:iCs/>
          <w:sz w:val="18"/>
          <w:szCs w:val="18"/>
          <w:lang w:val="nl-NL"/>
        </w:rPr>
        <w:lastRenderedPageBreak/>
        <w:t>wederzijdse belangen</w:t>
      </w:r>
      <w:r w:rsidRPr="00633B05">
        <w:rPr>
          <w:rFonts w:ascii="Verdana" w:hAnsi="Verdana"/>
          <w:iCs/>
          <w:sz w:val="18"/>
          <w:szCs w:val="18"/>
          <w:lang w:val="nl-NL"/>
        </w:rPr>
        <w:t xml:space="preserve">. Toenemende verstoringen van mondiale toeleveringsketens door pandemieën en geopolitieke spanningen onderstrepen volgens de Commissie het belang hiervan voor de veerkracht en strategische autonomie van Europa en partnerlanden. De Commissie zal in dat kader via de </w:t>
      </w:r>
      <w:r w:rsidRPr="00633B05">
        <w:rPr>
          <w:rFonts w:ascii="Verdana" w:hAnsi="Verdana"/>
          <w:i/>
          <w:iCs/>
          <w:sz w:val="18"/>
          <w:szCs w:val="18"/>
          <w:lang w:val="nl-NL"/>
        </w:rPr>
        <w:t>Global Gateway Investment Hub</w:t>
      </w:r>
      <w:r w:rsidRPr="00633B05">
        <w:rPr>
          <w:rStyle w:val="FootnoteReference"/>
          <w:rFonts w:ascii="Verdana" w:hAnsi="Verdana"/>
          <w:i/>
          <w:iCs/>
          <w:sz w:val="18"/>
          <w:szCs w:val="18"/>
        </w:rPr>
        <w:footnoteReference w:id="5"/>
      </w:r>
      <w:r w:rsidRPr="00633B05">
        <w:rPr>
          <w:rFonts w:ascii="Verdana" w:hAnsi="Verdana"/>
          <w:i/>
          <w:iCs/>
          <w:sz w:val="18"/>
          <w:szCs w:val="18"/>
          <w:lang w:val="nl-NL"/>
        </w:rPr>
        <w:t xml:space="preserve"> en de Human Development Accelerator</w:t>
      </w:r>
      <w:r w:rsidRPr="00633B05">
        <w:rPr>
          <w:rStyle w:val="FootnoteReference"/>
          <w:rFonts w:ascii="Verdana" w:hAnsi="Verdana"/>
          <w:i/>
          <w:iCs/>
          <w:sz w:val="18"/>
          <w:szCs w:val="18"/>
        </w:rPr>
        <w:footnoteReference w:id="6"/>
      </w:r>
      <w:r w:rsidRPr="00633B05">
        <w:rPr>
          <w:rFonts w:ascii="Verdana" w:hAnsi="Verdana"/>
          <w:iCs/>
          <w:sz w:val="18"/>
          <w:szCs w:val="18"/>
          <w:lang w:val="nl-NL"/>
        </w:rPr>
        <w:t xml:space="preserve"> (</w:t>
      </w:r>
      <w:r w:rsidRPr="00633B05">
        <w:rPr>
          <w:rFonts w:ascii="Verdana" w:hAnsi="Verdana"/>
          <w:i/>
          <w:sz w:val="18"/>
          <w:szCs w:val="18"/>
          <w:lang w:val="nl-NL"/>
        </w:rPr>
        <w:t>HDX</w:t>
      </w:r>
      <w:r w:rsidRPr="00633B05">
        <w:rPr>
          <w:rFonts w:ascii="Verdana" w:hAnsi="Verdana"/>
          <w:iCs/>
          <w:sz w:val="18"/>
          <w:szCs w:val="18"/>
          <w:lang w:val="nl-NL"/>
        </w:rPr>
        <w:t xml:space="preserve">) investeringskapitaal mobiliseren voor lokale en EU-bedrijven die gezamenlijk </w:t>
      </w:r>
      <w:r w:rsidRPr="00633B05" w:rsidR="00514B2D">
        <w:rPr>
          <w:rFonts w:ascii="Verdana" w:hAnsi="Verdana"/>
          <w:iCs/>
          <w:sz w:val="18"/>
          <w:szCs w:val="18"/>
          <w:lang w:val="nl-NL"/>
        </w:rPr>
        <w:t xml:space="preserve">investeren in </w:t>
      </w:r>
      <w:r w:rsidRPr="00633B05">
        <w:rPr>
          <w:rFonts w:ascii="Verdana" w:hAnsi="Verdana"/>
          <w:iCs/>
          <w:sz w:val="18"/>
          <w:szCs w:val="18"/>
          <w:lang w:val="nl-NL"/>
        </w:rPr>
        <w:t xml:space="preserve">de </w:t>
      </w:r>
      <w:r w:rsidRPr="00633B05" w:rsidR="00F82701">
        <w:rPr>
          <w:rFonts w:ascii="Verdana" w:hAnsi="Verdana"/>
          <w:iCs/>
          <w:sz w:val="18"/>
          <w:szCs w:val="18"/>
          <w:lang w:val="nl-NL"/>
        </w:rPr>
        <w:t xml:space="preserve">ontwikkeling en </w:t>
      </w:r>
      <w:r w:rsidRPr="00633B05">
        <w:rPr>
          <w:rFonts w:ascii="Verdana" w:hAnsi="Verdana"/>
          <w:iCs/>
          <w:sz w:val="18"/>
          <w:szCs w:val="18"/>
          <w:lang w:val="nl-NL"/>
        </w:rPr>
        <w:t xml:space="preserve">productie </w:t>
      </w:r>
      <w:r w:rsidRPr="00633B05" w:rsidR="00F82701">
        <w:rPr>
          <w:rFonts w:ascii="Verdana" w:hAnsi="Verdana"/>
          <w:iCs/>
          <w:sz w:val="18"/>
          <w:szCs w:val="18"/>
          <w:lang w:val="nl-NL"/>
        </w:rPr>
        <w:t xml:space="preserve">van gezondheidsproducten </w:t>
      </w:r>
      <w:r w:rsidRPr="00633B05">
        <w:rPr>
          <w:rFonts w:ascii="Verdana" w:hAnsi="Verdana"/>
          <w:iCs/>
          <w:sz w:val="18"/>
          <w:szCs w:val="18"/>
          <w:lang w:val="nl-NL"/>
        </w:rPr>
        <w:t>in partnerlanden. Daarnaast wordt ingezet op stimuler</w:t>
      </w:r>
      <w:r w:rsidRPr="00633B05" w:rsidR="00F82701">
        <w:rPr>
          <w:rFonts w:ascii="Verdana" w:hAnsi="Verdana"/>
          <w:iCs/>
          <w:sz w:val="18"/>
          <w:szCs w:val="18"/>
          <w:lang w:val="nl-NL"/>
        </w:rPr>
        <w:t>ing</w:t>
      </w:r>
      <w:r w:rsidRPr="00633B05">
        <w:rPr>
          <w:rFonts w:ascii="Verdana" w:hAnsi="Verdana"/>
          <w:iCs/>
          <w:sz w:val="18"/>
          <w:szCs w:val="18"/>
          <w:lang w:val="nl-NL"/>
        </w:rPr>
        <w:t xml:space="preserve"> van de vraag naar medische producten van uiteenlopende fabrikanten via strategische aanbestedingsmechanismen, afnamegaranties en het afbouwen van handelsbelemmeringen.</w:t>
      </w:r>
    </w:p>
    <w:p w:rsidRPr="00633B05" w:rsidR="009C6774" w:rsidP="00251D42" w:rsidRDefault="009C6774" w14:paraId="3AE0EBF1" w14:textId="77777777">
      <w:pPr>
        <w:pStyle w:val="Spreekpunten"/>
        <w:numPr>
          <w:ilvl w:val="0"/>
          <w:numId w:val="0"/>
        </w:numPr>
        <w:rPr>
          <w:rFonts w:ascii="Verdana" w:hAnsi="Verdana"/>
          <w:iCs/>
          <w:sz w:val="18"/>
          <w:szCs w:val="18"/>
          <w:lang w:val="nl-NL"/>
        </w:rPr>
      </w:pPr>
    </w:p>
    <w:p w:rsidR="00650F9A" w:rsidP="00BE0B29" w:rsidRDefault="00251D42" w14:paraId="639D5D69" w14:textId="276B4942">
      <w:pPr>
        <w:pStyle w:val="Spreekpunten"/>
        <w:numPr>
          <w:ilvl w:val="0"/>
          <w:numId w:val="0"/>
        </w:numPr>
        <w:rPr>
          <w:rFonts w:ascii="Verdana" w:hAnsi="Verdana"/>
          <w:iCs/>
          <w:sz w:val="18"/>
          <w:szCs w:val="18"/>
          <w:lang w:val="nl-NL"/>
        </w:rPr>
      </w:pPr>
      <w:r w:rsidRPr="00633B05">
        <w:rPr>
          <w:rFonts w:ascii="Verdana" w:hAnsi="Verdana"/>
          <w:iCs/>
          <w:sz w:val="18"/>
          <w:szCs w:val="18"/>
          <w:lang w:val="nl-NL"/>
        </w:rPr>
        <w:t>De vijfde prioriteit betreft versterking van maatschappelijke weerbaarheid door het vertrouwen in wetenschap te bevorderen en door des- en misinformatie te</w:t>
      </w:r>
      <w:r w:rsidRPr="00633B05" w:rsidR="00AA5E3B">
        <w:rPr>
          <w:rFonts w:ascii="Verdana" w:hAnsi="Verdana"/>
          <w:iCs/>
          <w:sz w:val="18"/>
          <w:szCs w:val="18"/>
          <w:lang w:val="nl-NL"/>
        </w:rPr>
        <w:t xml:space="preserve"> bestrijden</w:t>
      </w:r>
      <w:r w:rsidRPr="00633B05">
        <w:rPr>
          <w:rFonts w:ascii="Verdana" w:hAnsi="Verdana"/>
          <w:iCs/>
          <w:sz w:val="18"/>
          <w:szCs w:val="18"/>
          <w:lang w:val="nl-NL"/>
        </w:rPr>
        <w:t xml:space="preserve">, inclusief </w:t>
      </w:r>
      <w:r w:rsidRPr="00633B05">
        <w:rPr>
          <w:rFonts w:ascii="Verdana" w:hAnsi="Verdana"/>
          <w:i/>
          <w:sz w:val="18"/>
          <w:szCs w:val="18"/>
          <w:lang w:val="nl-NL"/>
        </w:rPr>
        <w:t>FIMI</w:t>
      </w:r>
      <w:r w:rsidRPr="00633B05" w:rsidR="001536B3">
        <w:rPr>
          <w:rFonts w:ascii="Verdana" w:hAnsi="Verdana"/>
          <w:i/>
          <w:sz w:val="18"/>
          <w:szCs w:val="18"/>
          <w:lang w:val="nl-NL"/>
        </w:rPr>
        <w:t>.</w:t>
      </w:r>
      <w:r w:rsidRPr="00633B05" w:rsidR="00AA5E3B">
        <w:rPr>
          <w:rStyle w:val="FootnoteReference"/>
          <w:rFonts w:ascii="Verdana" w:hAnsi="Verdana"/>
          <w:iCs/>
          <w:sz w:val="18"/>
          <w:szCs w:val="18"/>
          <w:lang w:val="nl-NL"/>
        </w:rPr>
        <w:footnoteReference w:id="7"/>
      </w:r>
      <w:r w:rsidRPr="00633B05">
        <w:rPr>
          <w:rFonts w:ascii="Verdana" w:hAnsi="Verdana"/>
          <w:iCs/>
          <w:sz w:val="18"/>
          <w:szCs w:val="18"/>
          <w:lang w:val="nl-NL"/>
        </w:rPr>
        <w:t xml:space="preserve"> De Commissie zet daarbij in op meer monitoring, </w:t>
      </w:r>
      <w:r w:rsidRPr="00633B05" w:rsidR="00514B2D">
        <w:rPr>
          <w:rFonts w:ascii="Verdana" w:hAnsi="Verdana"/>
          <w:iCs/>
          <w:sz w:val="18"/>
          <w:szCs w:val="18"/>
          <w:lang w:val="nl-NL"/>
        </w:rPr>
        <w:t xml:space="preserve">gepersonaliseerde </w:t>
      </w:r>
      <w:r w:rsidRPr="00633B05">
        <w:rPr>
          <w:rFonts w:ascii="Verdana" w:hAnsi="Verdana"/>
          <w:iCs/>
          <w:sz w:val="18"/>
          <w:szCs w:val="18"/>
          <w:lang w:val="nl-NL"/>
        </w:rPr>
        <w:t xml:space="preserve">informatievoorziening en versterking van regelgeving inzake communicatie in partnerlanden. Ook wordt de strijd tegen vervalste geneesmiddelen en geneesmiddelen van lage kwaliteit geïntensiveerd, onder meer om de verdere verspreiding van </w:t>
      </w:r>
      <w:r w:rsidRPr="00633B05" w:rsidR="00EC2F87">
        <w:rPr>
          <w:rFonts w:ascii="Verdana" w:hAnsi="Verdana"/>
          <w:iCs/>
          <w:sz w:val="18"/>
          <w:szCs w:val="18"/>
          <w:lang w:val="nl-NL"/>
        </w:rPr>
        <w:t>AMR</w:t>
      </w:r>
      <w:r w:rsidRPr="00633B05">
        <w:rPr>
          <w:rFonts w:ascii="Verdana" w:hAnsi="Verdana"/>
          <w:iCs/>
          <w:sz w:val="18"/>
          <w:szCs w:val="18"/>
          <w:lang w:val="nl-NL"/>
        </w:rPr>
        <w:t xml:space="preserve"> tegen te gaan. </w:t>
      </w:r>
      <w:r w:rsidRPr="00633B05" w:rsidR="00EC2F87">
        <w:rPr>
          <w:rFonts w:ascii="Verdana" w:hAnsi="Verdana"/>
          <w:iCs/>
          <w:sz w:val="18"/>
          <w:szCs w:val="18"/>
          <w:lang w:val="nl-NL"/>
        </w:rPr>
        <w:t>T</w:t>
      </w:r>
      <w:r w:rsidRPr="00633B05">
        <w:rPr>
          <w:rFonts w:ascii="Verdana" w:hAnsi="Verdana"/>
          <w:iCs/>
          <w:sz w:val="18"/>
          <w:szCs w:val="18"/>
          <w:lang w:val="nl-NL"/>
        </w:rPr>
        <w:t xml:space="preserve">enslotte </w:t>
      </w:r>
      <w:r w:rsidRPr="00633B05" w:rsidR="00EC2F87">
        <w:rPr>
          <w:rFonts w:ascii="Verdana" w:hAnsi="Verdana"/>
          <w:iCs/>
          <w:sz w:val="18"/>
          <w:szCs w:val="18"/>
          <w:lang w:val="nl-NL"/>
        </w:rPr>
        <w:t>wordt beoog</w:t>
      </w:r>
      <w:r w:rsidRPr="00633B05" w:rsidR="006F5360">
        <w:rPr>
          <w:rFonts w:ascii="Verdana" w:hAnsi="Verdana"/>
          <w:iCs/>
          <w:sz w:val="18"/>
          <w:szCs w:val="18"/>
          <w:lang w:val="nl-NL"/>
        </w:rPr>
        <w:t>d</w:t>
      </w:r>
      <w:r w:rsidRPr="00633B05" w:rsidR="00EC2F87">
        <w:rPr>
          <w:rFonts w:ascii="Verdana" w:hAnsi="Verdana"/>
          <w:iCs/>
          <w:sz w:val="18"/>
          <w:szCs w:val="18"/>
          <w:lang w:val="nl-NL"/>
        </w:rPr>
        <w:t xml:space="preserve"> </w:t>
      </w:r>
      <w:r w:rsidRPr="00633B05">
        <w:rPr>
          <w:rFonts w:ascii="Verdana" w:hAnsi="Verdana"/>
          <w:iCs/>
          <w:sz w:val="18"/>
          <w:szCs w:val="18"/>
          <w:lang w:val="nl-NL"/>
        </w:rPr>
        <w:t xml:space="preserve">wetenschappelijke databanken </w:t>
      </w:r>
      <w:r w:rsidRPr="00633B05" w:rsidR="00EC2F87">
        <w:rPr>
          <w:rFonts w:ascii="Verdana" w:hAnsi="Verdana"/>
          <w:iCs/>
          <w:sz w:val="18"/>
          <w:szCs w:val="18"/>
          <w:lang w:val="nl-NL"/>
        </w:rPr>
        <w:t xml:space="preserve">openbaar te maken, </w:t>
      </w:r>
      <w:r w:rsidRPr="00633B05">
        <w:rPr>
          <w:rFonts w:ascii="Verdana" w:hAnsi="Verdana"/>
          <w:iCs/>
          <w:sz w:val="18"/>
          <w:szCs w:val="18"/>
          <w:lang w:val="nl-NL"/>
        </w:rPr>
        <w:t xml:space="preserve">met </w:t>
      </w:r>
      <w:proofErr w:type="spellStart"/>
      <w:r w:rsidRPr="00633B05">
        <w:rPr>
          <w:rFonts w:ascii="Verdana" w:hAnsi="Verdana"/>
          <w:iCs/>
          <w:sz w:val="18"/>
          <w:szCs w:val="18"/>
          <w:lang w:val="nl-NL"/>
        </w:rPr>
        <w:t>geno</w:t>
      </w:r>
      <w:r w:rsidRPr="00633B05" w:rsidR="00EC2F87">
        <w:rPr>
          <w:rFonts w:ascii="Verdana" w:hAnsi="Verdana"/>
          <w:iCs/>
          <w:sz w:val="18"/>
          <w:szCs w:val="18"/>
          <w:lang w:val="nl-NL"/>
        </w:rPr>
        <w:t>mische</w:t>
      </w:r>
      <w:proofErr w:type="spellEnd"/>
      <w:r w:rsidRPr="00633B05" w:rsidR="00EC2F87">
        <w:rPr>
          <w:rFonts w:ascii="Verdana" w:hAnsi="Verdana"/>
          <w:iCs/>
          <w:sz w:val="18"/>
          <w:szCs w:val="18"/>
          <w:lang w:val="nl-NL"/>
        </w:rPr>
        <w:t>-</w:t>
      </w:r>
      <w:r w:rsidRPr="00633B05">
        <w:rPr>
          <w:rFonts w:ascii="Verdana" w:hAnsi="Verdana"/>
          <w:iCs/>
          <w:sz w:val="18"/>
          <w:szCs w:val="18"/>
          <w:lang w:val="nl-NL"/>
        </w:rPr>
        <w:t xml:space="preserve"> en biomedische data</w:t>
      </w:r>
      <w:r w:rsidRPr="00633B05" w:rsidR="00EC2F87">
        <w:rPr>
          <w:rFonts w:ascii="Verdana" w:hAnsi="Verdana"/>
          <w:iCs/>
          <w:sz w:val="18"/>
          <w:szCs w:val="18"/>
          <w:lang w:val="nl-NL"/>
        </w:rPr>
        <w:t xml:space="preserve"> </w:t>
      </w:r>
      <w:r w:rsidRPr="00633B05">
        <w:rPr>
          <w:rFonts w:ascii="Verdana" w:hAnsi="Verdana"/>
          <w:iCs/>
          <w:sz w:val="18"/>
          <w:szCs w:val="18"/>
          <w:lang w:val="nl-NL"/>
        </w:rPr>
        <w:t>die essentieel zijn voor onderzoek</w:t>
      </w:r>
      <w:r w:rsidRPr="00633B05" w:rsidR="00EC2F87">
        <w:rPr>
          <w:rFonts w:ascii="Verdana" w:hAnsi="Verdana"/>
          <w:iCs/>
          <w:sz w:val="18"/>
          <w:szCs w:val="18"/>
          <w:lang w:val="nl-NL"/>
        </w:rPr>
        <w:t xml:space="preserve"> naar,</w:t>
      </w:r>
      <w:r w:rsidRPr="00633B05">
        <w:rPr>
          <w:rFonts w:ascii="Verdana" w:hAnsi="Verdana"/>
          <w:iCs/>
          <w:sz w:val="18"/>
          <w:szCs w:val="18"/>
          <w:lang w:val="nl-NL"/>
        </w:rPr>
        <w:t xml:space="preserve"> en ontwikkeling van geneesmiddelen</w:t>
      </w:r>
      <w:r w:rsidRPr="00633B05" w:rsidR="00D33F36">
        <w:rPr>
          <w:rFonts w:ascii="Verdana" w:hAnsi="Verdana"/>
          <w:iCs/>
          <w:sz w:val="18"/>
          <w:szCs w:val="18"/>
          <w:lang w:val="nl-NL"/>
        </w:rPr>
        <w:t>.</w:t>
      </w:r>
    </w:p>
    <w:p w:rsidRPr="00275F86" w:rsidR="00275F86" w:rsidP="00BE0B29" w:rsidRDefault="00275F86" w14:paraId="6FC992AD" w14:textId="77777777">
      <w:pPr>
        <w:pStyle w:val="Spreekpunten"/>
        <w:numPr>
          <w:ilvl w:val="0"/>
          <w:numId w:val="0"/>
        </w:numPr>
        <w:rPr>
          <w:rFonts w:ascii="Verdana" w:hAnsi="Verdana"/>
          <w:iCs/>
          <w:sz w:val="18"/>
          <w:szCs w:val="18"/>
          <w:lang w:val="nl-NL"/>
        </w:rPr>
      </w:pPr>
    </w:p>
    <w:p w:rsidRPr="00633B05" w:rsidR="00CC3DCA" w:rsidP="00E11FBE" w:rsidRDefault="00CC3DCA" w14:paraId="060E90D3" w14:textId="3E63DC51">
      <w:pPr>
        <w:numPr>
          <w:ilvl w:val="0"/>
          <w:numId w:val="2"/>
        </w:numPr>
        <w:spacing w:line="360" w:lineRule="auto"/>
        <w:rPr>
          <w:rFonts w:ascii="Verdana" w:hAnsi="Verdana"/>
          <w:b/>
          <w:sz w:val="18"/>
          <w:szCs w:val="18"/>
        </w:rPr>
      </w:pPr>
      <w:r w:rsidRPr="00633B05">
        <w:rPr>
          <w:rFonts w:ascii="Verdana" w:hAnsi="Verdana"/>
          <w:b/>
          <w:sz w:val="18"/>
          <w:szCs w:val="18"/>
        </w:rPr>
        <w:t>Nederlandse positie ten aanzien van de mededeling/aanbeveling</w:t>
      </w:r>
    </w:p>
    <w:p w:rsidRPr="00633B05" w:rsidR="00CC3DCA" w:rsidP="00E11FBE" w:rsidRDefault="00CC3DCA" w14:paraId="77D6B070" w14:textId="0E21CDF8">
      <w:pPr>
        <w:numPr>
          <w:ilvl w:val="0"/>
          <w:numId w:val="6"/>
        </w:numPr>
        <w:spacing w:line="360" w:lineRule="auto"/>
        <w:rPr>
          <w:rFonts w:ascii="Verdana" w:hAnsi="Verdana"/>
          <w:i/>
          <w:sz w:val="18"/>
          <w:szCs w:val="18"/>
        </w:rPr>
      </w:pPr>
      <w:r w:rsidRPr="00633B05">
        <w:rPr>
          <w:rFonts w:ascii="Verdana" w:hAnsi="Verdana"/>
          <w:i/>
          <w:sz w:val="18"/>
          <w:szCs w:val="18"/>
        </w:rPr>
        <w:t>Essentie Nederlands beleid op dit terrein</w:t>
      </w:r>
    </w:p>
    <w:p w:rsidRPr="00633B05" w:rsidR="009073D2" w:rsidP="009073D2" w:rsidRDefault="009073D2" w14:paraId="63894970" w14:textId="256E30F0">
      <w:pPr>
        <w:spacing w:line="360" w:lineRule="auto"/>
        <w:rPr>
          <w:rFonts w:ascii="Verdana" w:hAnsi="Verdana"/>
          <w:sz w:val="18"/>
          <w:szCs w:val="18"/>
        </w:rPr>
      </w:pPr>
      <w:bookmarkStart w:name="_Hlk224212654" w:id="2"/>
      <w:r w:rsidRPr="00633B05">
        <w:rPr>
          <w:rFonts w:ascii="Verdana" w:hAnsi="Verdana"/>
          <w:sz w:val="18"/>
          <w:szCs w:val="18"/>
        </w:rPr>
        <w:t>Het coalitieakkoord (2026–2030), de beleidsbrief Volksgezondheid, Welzijn en Sport</w:t>
      </w:r>
      <w:r w:rsidRPr="00633B05">
        <w:rPr>
          <w:rStyle w:val="FootnoteReference"/>
          <w:rFonts w:ascii="Verdana" w:hAnsi="Verdana"/>
          <w:sz w:val="18"/>
          <w:szCs w:val="18"/>
        </w:rPr>
        <w:footnoteReference w:id="8"/>
      </w:r>
      <w:r w:rsidRPr="00633B05">
        <w:rPr>
          <w:rFonts w:ascii="Verdana" w:hAnsi="Verdana"/>
          <w:sz w:val="18"/>
          <w:szCs w:val="18"/>
        </w:rPr>
        <w:t xml:space="preserve"> (2026) en de beleidsbrief Buitenlandse Zaken</w:t>
      </w:r>
      <w:r w:rsidRPr="00633B05">
        <w:rPr>
          <w:rStyle w:val="FootnoteReference"/>
          <w:rFonts w:ascii="Verdana" w:hAnsi="Verdana"/>
          <w:sz w:val="18"/>
          <w:szCs w:val="18"/>
        </w:rPr>
        <w:footnoteReference w:id="9"/>
      </w:r>
      <w:r w:rsidRPr="00633B05">
        <w:rPr>
          <w:rFonts w:ascii="Verdana" w:hAnsi="Verdana"/>
          <w:sz w:val="18"/>
          <w:szCs w:val="18"/>
        </w:rPr>
        <w:t xml:space="preserve"> (2026) prioriteren inzet op mondiale gezondheid langs de lijnen van de Nederlandse Mondiale Gezondheidsstrategie</w:t>
      </w:r>
      <w:r w:rsidRPr="00633B05">
        <w:rPr>
          <w:rStyle w:val="FootnoteReference"/>
          <w:rFonts w:ascii="Verdana" w:hAnsi="Verdana"/>
          <w:sz w:val="18"/>
          <w:szCs w:val="18"/>
        </w:rPr>
        <w:footnoteReference w:id="10"/>
      </w:r>
      <w:r w:rsidRPr="00633B05">
        <w:rPr>
          <w:rFonts w:ascii="Verdana" w:hAnsi="Verdana"/>
          <w:sz w:val="18"/>
          <w:szCs w:val="18"/>
        </w:rPr>
        <w:t xml:space="preserve"> (MGS). Die kent drie pijlers, te weten: (i) versterking van de mondiale gezondheidsarchitectuur en nationale gezondheidssystemen met een focus </w:t>
      </w:r>
      <w:r w:rsidRPr="00633B05" w:rsidR="000309CA">
        <w:rPr>
          <w:rFonts w:ascii="Verdana" w:hAnsi="Verdana"/>
          <w:sz w:val="18"/>
          <w:szCs w:val="18"/>
        </w:rPr>
        <w:t xml:space="preserve">op </w:t>
      </w:r>
      <w:r w:rsidRPr="00633B05">
        <w:rPr>
          <w:rFonts w:ascii="Verdana" w:hAnsi="Verdana"/>
          <w:sz w:val="18"/>
          <w:szCs w:val="18"/>
        </w:rPr>
        <w:t xml:space="preserve">versterkte multilaterale samenwerking, een centrale rol voor WHO als coördinerende en normstellende actor, en verbeterde toegang tot SRGR; (ii) verbetering van internationale pandemische paraatheid en minimalisering van grensoverschrijdende gezondheidsdreigingen met speciale aandacht voor wereldwijde toegang tot medicijnen en medische producten, inzet op </w:t>
      </w:r>
      <w:r w:rsidRPr="00633B05" w:rsidR="002E6B34">
        <w:rPr>
          <w:rFonts w:ascii="Verdana" w:hAnsi="Verdana"/>
          <w:sz w:val="18"/>
          <w:szCs w:val="18"/>
        </w:rPr>
        <w:t>AMR</w:t>
      </w:r>
      <w:r w:rsidRPr="00633B05">
        <w:rPr>
          <w:rFonts w:ascii="Verdana" w:hAnsi="Verdana"/>
          <w:sz w:val="18"/>
          <w:szCs w:val="18"/>
        </w:rPr>
        <w:t xml:space="preserve"> en inzet op </w:t>
      </w:r>
      <w:proofErr w:type="spellStart"/>
      <w:r w:rsidRPr="00633B05">
        <w:rPr>
          <w:rFonts w:ascii="Verdana" w:hAnsi="Verdana"/>
          <w:sz w:val="18"/>
          <w:szCs w:val="18"/>
        </w:rPr>
        <w:t>zoönosenbeleid</w:t>
      </w:r>
      <w:proofErr w:type="spellEnd"/>
      <w:r w:rsidRPr="00633B05">
        <w:rPr>
          <w:rFonts w:ascii="Verdana" w:hAnsi="Verdana"/>
          <w:sz w:val="18"/>
          <w:szCs w:val="18"/>
        </w:rPr>
        <w:t xml:space="preserve">, en tenslotte; (iii) het adresseren van de impact van klimaatverandering op volksgezondheid en </w:t>
      </w:r>
      <w:proofErr w:type="spellStart"/>
      <w:r w:rsidRPr="00633B05">
        <w:rPr>
          <w:rFonts w:ascii="Verdana" w:hAnsi="Verdana"/>
          <w:i/>
          <w:sz w:val="18"/>
          <w:szCs w:val="18"/>
        </w:rPr>
        <w:t>vice</w:t>
      </w:r>
      <w:proofErr w:type="spellEnd"/>
      <w:r w:rsidRPr="00633B05">
        <w:rPr>
          <w:rFonts w:ascii="Verdana" w:hAnsi="Verdana"/>
          <w:i/>
          <w:sz w:val="18"/>
          <w:szCs w:val="18"/>
        </w:rPr>
        <w:t xml:space="preserve"> versa</w:t>
      </w:r>
      <w:r w:rsidRPr="00633B05">
        <w:rPr>
          <w:rFonts w:ascii="Verdana" w:hAnsi="Verdana"/>
          <w:sz w:val="18"/>
          <w:szCs w:val="18"/>
        </w:rPr>
        <w:t>.</w:t>
      </w:r>
    </w:p>
    <w:bookmarkEnd w:id="2"/>
    <w:p w:rsidRPr="00633B05" w:rsidR="009073D2" w:rsidP="009073D2" w:rsidRDefault="009073D2" w14:paraId="24D32F19" w14:textId="77777777">
      <w:pPr>
        <w:spacing w:line="360" w:lineRule="auto"/>
        <w:rPr>
          <w:rFonts w:ascii="Verdana" w:hAnsi="Verdana"/>
          <w:sz w:val="18"/>
          <w:szCs w:val="18"/>
        </w:rPr>
      </w:pPr>
    </w:p>
    <w:p w:rsidRPr="00633B05" w:rsidR="009073D2" w:rsidP="009073D2" w:rsidRDefault="009073D2" w14:paraId="54C28AA7" w14:textId="77777777">
      <w:pPr>
        <w:numPr>
          <w:ilvl w:val="0"/>
          <w:numId w:val="6"/>
        </w:numPr>
        <w:spacing w:line="360" w:lineRule="auto"/>
        <w:rPr>
          <w:rFonts w:ascii="Verdana" w:hAnsi="Verdana"/>
          <w:i/>
          <w:sz w:val="18"/>
          <w:szCs w:val="18"/>
        </w:rPr>
      </w:pPr>
      <w:r w:rsidRPr="00633B05">
        <w:rPr>
          <w:rFonts w:ascii="Verdana" w:hAnsi="Verdana"/>
          <w:i/>
          <w:sz w:val="18"/>
          <w:szCs w:val="18"/>
        </w:rPr>
        <w:t>Beoordeling + inzet ten aanzien van dit voorstel</w:t>
      </w:r>
    </w:p>
    <w:p w:rsidRPr="00633B05" w:rsidR="00650F9A" w:rsidP="009073D2" w:rsidRDefault="009073D2" w14:paraId="7C849D36" w14:textId="77777777">
      <w:pPr>
        <w:pStyle w:val="Standaardcursief"/>
        <w:spacing w:line="360" w:lineRule="auto"/>
        <w:rPr>
          <w:i w:val="0"/>
        </w:rPr>
      </w:pPr>
      <w:r w:rsidRPr="00633B05">
        <w:rPr>
          <w:rFonts w:eastAsia="Times New Roman" w:cs="Times New Roman"/>
          <w:i w:val="0"/>
          <w:color w:val="auto"/>
          <w:lang w:eastAsia="zh-CN"/>
        </w:rPr>
        <w:t>Het kabinet verwelkomt het GHRI als opportuun nu geopolitieke verschuivingen de eerder behaalde gezondheidswinst in het mondiale zuiden en de wereldwijde beheersing van grensoverschrijdende infectieziekten onder druk zetten.</w:t>
      </w:r>
      <w:r w:rsidRPr="00633B05" w:rsidR="00F16FA1">
        <w:rPr>
          <w:i w:val="0"/>
        </w:rPr>
        <w:t xml:space="preserve"> </w:t>
      </w:r>
      <w:r w:rsidRPr="00633B05">
        <w:rPr>
          <w:rFonts w:eastAsia="Times New Roman" w:cs="Times New Roman"/>
          <w:i w:val="0"/>
          <w:color w:val="auto"/>
          <w:lang w:eastAsia="zh-CN"/>
        </w:rPr>
        <w:t xml:space="preserve">Het kabinet onderschrijft de visie van de Commissie dat consolidatie van EU-inzet een belangrijke bijdrage kan leveren aan de mitigatie van </w:t>
      </w:r>
      <w:r w:rsidRPr="00633B05">
        <w:rPr>
          <w:rFonts w:eastAsia="Times New Roman" w:cs="Times New Roman"/>
          <w:i w:val="0"/>
          <w:color w:val="auto"/>
          <w:lang w:eastAsia="zh-CN"/>
        </w:rPr>
        <w:lastRenderedPageBreak/>
        <w:t xml:space="preserve">deze risico’s, inclusief het risico op een grootschalige infectie-uitbraak die de volksgezondheid, economische stabiliteit en veiligheid van de EU en Nederland kan schaden. Het GHRI </w:t>
      </w:r>
      <w:r w:rsidRPr="00633B05" w:rsidR="00F16FA1">
        <w:rPr>
          <w:rFonts w:eastAsia="Times New Roman" w:cs="Times New Roman"/>
          <w:i w:val="0"/>
          <w:color w:val="auto"/>
          <w:lang w:eastAsia="zh-CN"/>
        </w:rPr>
        <w:t xml:space="preserve">vormt </w:t>
      </w:r>
      <w:r w:rsidRPr="00633B05" w:rsidR="00F16FA1">
        <w:rPr>
          <w:i w:val="0"/>
        </w:rPr>
        <w:t>een belangrijke stap in het verbinden van ontwikkelingssamenwerking gericht op universele toegang tot basisgezondheidszorg enerzijds, en internationale inzet op pandemische paraatheid anderzijds</w:t>
      </w:r>
      <w:r w:rsidRPr="00633B05" w:rsidR="00F16FA1">
        <w:rPr>
          <w:rFonts w:eastAsia="Times New Roman" w:cs="Times New Roman"/>
          <w:i w:val="0"/>
          <w:color w:val="auto"/>
          <w:lang w:eastAsia="zh-CN"/>
        </w:rPr>
        <w:t>.</w:t>
      </w:r>
      <w:r w:rsidRPr="00633B05" w:rsidR="002F2674">
        <w:rPr>
          <w:rFonts w:eastAsia="Times New Roman" w:cs="Times New Roman"/>
          <w:i w:val="0"/>
          <w:color w:val="auto"/>
          <w:lang w:eastAsia="zh-CN"/>
        </w:rPr>
        <w:t xml:space="preserve"> </w:t>
      </w:r>
      <w:r w:rsidRPr="00633B05">
        <w:rPr>
          <w:rFonts w:eastAsia="Times New Roman" w:cs="Times New Roman"/>
          <w:i w:val="0"/>
          <w:color w:val="auto"/>
          <w:lang w:eastAsia="zh-CN"/>
        </w:rPr>
        <w:t xml:space="preserve">Naast het belang voor mondiale gezondheid, biedt het GHRI mogelijkheden voor het Nederlandse bedrijfsleven om internationale afzet te vergroten. Het GHRI biedt Europa bovendien de kans zich te positioneren als betrouwbare, voorspelbare en waardevolle leider op het vlak van mondiale gezondheid. </w:t>
      </w:r>
      <w:r w:rsidRPr="00633B05" w:rsidR="002F2674">
        <w:rPr>
          <w:rFonts w:eastAsia="Times New Roman" w:cs="Times New Roman"/>
          <w:i w:val="0"/>
          <w:color w:val="auto"/>
          <w:lang w:eastAsia="zh-CN"/>
        </w:rPr>
        <w:t xml:space="preserve">De prioriteiten van het GHRI sluiten goed aan bij de pijlers van de Nederlandse MGS en </w:t>
      </w:r>
      <w:r w:rsidRPr="00633B05" w:rsidR="001536B3">
        <w:rPr>
          <w:rFonts w:eastAsia="Times New Roman" w:cs="Times New Roman"/>
          <w:i w:val="0"/>
          <w:color w:val="auto"/>
          <w:lang w:eastAsia="zh-CN"/>
        </w:rPr>
        <w:t xml:space="preserve">het kabinet juicht toe dat </w:t>
      </w:r>
      <w:r w:rsidRPr="00633B05" w:rsidR="002F2674">
        <w:rPr>
          <w:i w:val="0"/>
        </w:rPr>
        <w:t>v</w:t>
      </w:r>
      <w:r w:rsidRPr="00633B05">
        <w:rPr>
          <w:i w:val="0"/>
        </w:rPr>
        <w:t xml:space="preserve">eel van de </w:t>
      </w:r>
      <w:r w:rsidRPr="00633B05" w:rsidR="00891C1B">
        <w:rPr>
          <w:i w:val="0"/>
        </w:rPr>
        <w:t>kabinets</w:t>
      </w:r>
      <w:r w:rsidRPr="00633B05">
        <w:rPr>
          <w:i w:val="0"/>
        </w:rPr>
        <w:t xml:space="preserve">reactie op de openbare consultatie die de Commissie voorafgaand aan de totstandkoming van de mededeling heeft georganiseerd, is opgenomen in de mededeling. Desalniettemin geeft de mededeling geen inzicht in de looptijd, de voorziene financiering en de budgettaire dekking van dit initiatief. </w:t>
      </w:r>
    </w:p>
    <w:p w:rsidRPr="00633B05" w:rsidR="00650F9A" w:rsidP="009073D2" w:rsidRDefault="00650F9A" w14:paraId="62A9A5A3" w14:textId="77777777">
      <w:pPr>
        <w:pStyle w:val="Standaardcursief"/>
        <w:spacing w:line="360" w:lineRule="auto"/>
        <w:rPr>
          <w:i w:val="0"/>
        </w:rPr>
      </w:pPr>
    </w:p>
    <w:p w:rsidRPr="00633B05" w:rsidR="009073D2" w:rsidP="009073D2" w:rsidRDefault="009073D2" w14:paraId="464E07D4" w14:textId="0690235F">
      <w:pPr>
        <w:pStyle w:val="Standaardcursief"/>
        <w:spacing w:line="360" w:lineRule="auto"/>
      </w:pPr>
      <w:r w:rsidRPr="00633B05">
        <w:rPr>
          <w:i w:val="0"/>
        </w:rPr>
        <w:t>Daarnaast ontbreekt duidelijkheid over de betrokkenheid van specifieke EU-</w:t>
      </w:r>
      <w:r w:rsidRPr="00633B05" w:rsidR="002F2674">
        <w:rPr>
          <w:i w:val="0"/>
        </w:rPr>
        <w:t>instellingen</w:t>
      </w:r>
      <w:r w:rsidRPr="00633B05">
        <w:rPr>
          <w:i w:val="0"/>
        </w:rPr>
        <w:t xml:space="preserve"> bij de uitvoering</w:t>
      </w:r>
      <w:r w:rsidRPr="00633B05" w:rsidR="000F3C09">
        <w:rPr>
          <w:i w:val="0"/>
        </w:rPr>
        <w:t>, en over de mogelijkheden v</w:t>
      </w:r>
      <w:r w:rsidRPr="00633B05" w:rsidR="003B2D6B">
        <w:rPr>
          <w:i w:val="0"/>
        </w:rPr>
        <w:t>oor</w:t>
      </w:r>
      <w:r w:rsidRPr="00633B05" w:rsidR="000F3C09">
        <w:rPr>
          <w:i w:val="0"/>
        </w:rPr>
        <w:t xml:space="preserve"> lidstaten </w:t>
      </w:r>
      <w:r w:rsidRPr="00633B05" w:rsidR="003B2D6B">
        <w:rPr>
          <w:i w:val="0"/>
        </w:rPr>
        <w:t>om</w:t>
      </w:r>
      <w:r w:rsidRPr="00633B05" w:rsidR="000F3C09">
        <w:rPr>
          <w:i w:val="0"/>
        </w:rPr>
        <w:t xml:space="preserve"> implementatie van het initiatief</w:t>
      </w:r>
      <w:r w:rsidRPr="00633B05" w:rsidR="003B2D6B">
        <w:rPr>
          <w:i w:val="0"/>
        </w:rPr>
        <w:t xml:space="preserve"> vorm te geven</w:t>
      </w:r>
      <w:r w:rsidRPr="00633B05">
        <w:rPr>
          <w:i w:val="0"/>
        </w:rPr>
        <w:t>. Het kabinet zal bij de Commissie aandringen op nadere verduidelijking op deze punten.</w:t>
      </w:r>
    </w:p>
    <w:p w:rsidRPr="00633B05" w:rsidR="009073D2" w:rsidP="009073D2" w:rsidRDefault="009073D2" w14:paraId="3A8F1DB8" w14:textId="77777777">
      <w:pPr>
        <w:shd w:val="clear" w:color="auto" w:fill="FFFFFF" w:themeFill="background1"/>
        <w:spacing w:line="360" w:lineRule="auto"/>
        <w:rPr>
          <w:rFonts w:ascii="Verdana" w:hAnsi="Verdana"/>
          <w:sz w:val="18"/>
          <w:szCs w:val="18"/>
        </w:rPr>
      </w:pPr>
    </w:p>
    <w:p w:rsidRPr="00633B05" w:rsidR="009073D2" w:rsidP="009073D2" w:rsidRDefault="009073D2" w14:paraId="1F73DD2F" w14:textId="6107B5B9">
      <w:pPr>
        <w:shd w:val="clear" w:color="auto" w:fill="FFFFFF" w:themeFill="background1"/>
        <w:spacing w:line="360" w:lineRule="auto"/>
        <w:rPr>
          <w:rFonts w:ascii="Verdana" w:hAnsi="Verdana"/>
          <w:iCs/>
          <w:sz w:val="18"/>
          <w:szCs w:val="18"/>
        </w:rPr>
      </w:pPr>
      <w:r w:rsidRPr="00633B05">
        <w:rPr>
          <w:rFonts w:ascii="Verdana" w:hAnsi="Verdana"/>
          <w:sz w:val="18"/>
          <w:szCs w:val="18"/>
        </w:rPr>
        <w:t xml:space="preserve">Het voornemen van de Commissie om toe te werken naar een minder gefragmenteerde, efficiëntere en effectievere mondiale gezondheidsarchitectuur, waarin de WHO haar centrale rol als coördinerende en normstellende autoriteit adequaat kan vervullen, sluit aan bij de inspanningen van het kabinet. Het kabinet steunt ook het voorstel van de Commissie om constructief deel te nemen aan het door de WHO georganiseerde proces om tot een breed gedragen visie op hervorming te komen. Dat geldt </w:t>
      </w:r>
      <w:r w:rsidRPr="00633B05" w:rsidR="000F3C09">
        <w:rPr>
          <w:rFonts w:ascii="Verdana" w:hAnsi="Verdana"/>
          <w:sz w:val="18"/>
          <w:szCs w:val="18"/>
        </w:rPr>
        <w:t xml:space="preserve">ook </w:t>
      </w:r>
      <w:r w:rsidRPr="00633B05">
        <w:rPr>
          <w:rFonts w:ascii="Verdana" w:hAnsi="Verdana"/>
          <w:sz w:val="18"/>
          <w:szCs w:val="18"/>
        </w:rPr>
        <w:t xml:space="preserve">voor het streven van de Commissie om universele toegang tot basisgezondheidszorg, inclusief SRGR, duurzaam te borgen. </w:t>
      </w:r>
      <w:r w:rsidRPr="00633B05" w:rsidR="009404E9">
        <w:rPr>
          <w:rFonts w:ascii="Verdana" w:hAnsi="Verdana"/>
          <w:sz w:val="18"/>
          <w:szCs w:val="18"/>
        </w:rPr>
        <w:t>Het kabinet deelt de ambitie van d</w:t>
      </w:r>
      <w:r w:rsidRPr="00633B05">
        <w:rPr>
          <w:rFonts w:ascii="Verdana" w:hAnsi="Verdana"/>
          <w:sz w:val="18"/>
          <w:szCs w:val="18"/>
        </w:rPr>
        <w:t xml:space="preserve">e Commissie </w:t>
      </w:r>
      <w:r w:rsidRPr="00633B05" w:rsidR="009404E9">
        <w:rPr>
          <w:rFonts w:ascii="Verdana" w:hAnsi="Verdana"/>
          <w:sz w:val="18"/>
          <w:szCs w:val="18"/>
        </w:rPr>
        <w:t xml:space="preserve">om binnen hervormingsprocessen </w:t>
      </w:r>
      <w:r w:rsidRPr="00633B05">
        <w:rPr>
          <w:rFonts w:ascii="Verdana" w:hAnsi="Verdana"/>
          <w:sz w:val="18"/>
          <w:szCs w:val="18"/>
        </w:rPr>
        <w:t xml:space="preserve">in </w:t>
      </w:r>
      <w:r w:rsidRPr="00633B05" w:rsidR="009404E9">
        <w:rPr>
          <w:rFonts w:ascii="Verdana" w:hAnsi="Verdana"/>
          <w:sz w:val="18"/>
          <w:szCs w:val="18"/>
        </w:rPr>
        <w:t xml:space="preserve">te zetten </w:t>
      </w:r>
      <w:r w:rsidRPr="00633B05">
        <w:rPr>
          <w:rFonts w:ascii="Verdana" w:hAnsi="Verdana"/>
          <w:sz w:val="18"/>
          <w:szCs w:val="18"/>
        </w:rPr>
        <w:t xml:space="preserve">op versterking van de </w:t>
      </w:r>
      <w:r w:rsidRPr="00633B05" w:rsidR="005327D0">
        <w:rPr>
          <w:rFonts w:ascii="Verdana" w:hAnsi="Verdana"/>
          <w:sz w:val="18"/>
          <w:szCs w:val="18"/>
        </w:rPr>
        <w:t>soevereiniteit</w:t>
      </w:r>
      <w:r w:rsidRPr="00633B05">
        <w:rPr>
          <w:rFonts w:ascii="Verdana" w:hAnsi="Verdana"/>
          <w:sz w:val="18"/>
          <w:szCs w:val="18"/>
        </w:rPr>
        <w:t xml:space="preserve"> van partnerlanden en prioritering van kwetsbare groepen, evenals </w:t>
      </w:r>
      <w:r w:rsidRPr="00633B05" w:rsidR="009404E9">
        <w:rPr>
          <w:rFonts w:ascii="Verdana" w:hAnsi="Verdana"/>
          <w:sz w:val="18"/>
          <w:szCs w:val="18"/>
        </w:rPr>
        <w:t xml:space="preserve">waarborging van </w:t>
      </w:r>
      <w:r w:rsidRPr="00633B05">
        <w:rPr>
          <w:rFonts w:ascii="Verdana" w:hAnsi="Verdana"/>
          <w:sz w:val="18"/>
          <w:szCs w:val="18"/>
        </w:rPr>
        <w:t>een rechtenbenadering</w:t>
      </w:r>
      <w:r w:rsidRPr="00633B05" w:rsidR="005327D0">
        <w:rPr>
          <w:rFonts w:ascii="Verdana" w:hAnsi="Verdana"/>
          <w:sz w:val="18"/>
          <w:szCs w:val="18"/>
        </w:rPr>
        <w:t xml:space="preserve"> en </w:t>
      </w:r>
      <w:r w:rsidRPr="00633B05" w:rsidR="009404E9">
        <w:rPr>
          <w:rFonts w:ascii="Verdana" w:hAnsi="Verdana"/>
          <w:sz w:val="18"/>
          <w:szCs w:val="18"/>
        </w:rPr>
        <w:t xml:space="preserve">versterking van </w:t>
      </w:r>
      <w:r w:rsidRPr="00633B05">
        <w:rPr>
          <w:rFonts w:ascii="Verdana" w:hAnsi="Verdana"/>
          <w:sz w:val="18"/>
          <w:szCs w:val="18"/>
        </w:rPr>
        <w:t>samenhang en coördinatie van</w:t>
      </w:r>
      <w:r w:rsidRPr="00633B05" w:rsidR="005327D0">
        <w:rPr>
          <w:rFonts w:ascii="Verdana" w:hAnsi="Verdana"/>
          <w:sz w:val="18"/>
          <w:szCs w:val="18"/>
        </w:rPr>
        <w:t xml:space="preserve"> Europese inspanningen via </w:t>
      </w:r>
      <w:r w:rsidRPr="00633B05">
        <w:rPr>
          <w:rFonts w:ascii="Verdana" w:hAnsi="Verdana"/>
          <w:sz w:val="18"/>
          <w:szCs w:val="18"/>
        </w:rPr>
        <w:t>een Team Europe</w:t>
      </w:r>
      <w:r w:rsidRPr="00633B05">
        <w:rPr>
          <w:rFonts w:ascii="Verdana" w:hAnsi="Verdana"/>
          <w:iCs/>
          <w:sz w:val="18"/>
          <w:szCs w:val="18"/>
        </w:rPr>
        <w:t>-</w:t>
      </w:r>
      <w:r w:rsidRPr="00633B05" w:rsidR="005327D0">
        <w:rPr>
          <w:rFonts w:ascii="Verdana" w:hAnsi="Verdana"/>
          <w:iCs/>
          <w:sz w:val="18"/>
          <w:szCs w:val="18"/>
        </w:rPr>
        <w:t>benadering</w:t>
      </w:r>
      <w:r w:rsidRPr="00633B05" w:rsidR="001536B3">
        <w:rPr>
          <w:rFonts w:ascii="Verdana" w:hAnsi="Verdana"/>
          <w:iCs/>
          <w:sz w:val="18"/>
          <w:szCs w:val="18"/>
        </w:rPr>
        <w:t>.</w:t>
      </w:r>
      <w:r w:rsidRPr="00633B05">
        <w:rPr>
          <w:rStyle w:val="FootnoteReference"/>
          <w:rFonts w:ascii="Verdana" w:hAnsi="Verdana"/>
          <w:iCs/>
          <w:sz w:val="18"/>
          <w:szCs w:val="18"/>
        </w:rPr>
        <w:footnoteReference w:id="11"/>
      </w:r>
      <w:r w:rsidRPr="00633B05">
        <w:rPr>
          <w:rFonts w:ascii="Verdana" w:hAnsi="Verdana"/>
          <w:iCs/>
          <w:sz w:val="18"/>
          <w:szCs w:val="18"/>
        </w:rPr>
        <w:t xml:space="preserve"> </w:t>
      </w:r>
    </w:p>
    <w:p w:rsidRPr="00633B05" w:rsidR="009073D2" w:rsidP="009073D2" w:rsidRDefault="009073D2" w14:paraId="3AF91689" w14:textId="77777777">
      <w:pPr>
        <w:spacing w:line="360" w:lineRule="auto"/>
        <w:rPr>
          <w:rFonts w:ascii="Verdana" w:hAnsi="Verdana"/>
          <w:sz w:val="18"/>
          <w:szCs w:val="18"/>
        </w:rPr>
      </w:pPr>
    </w:p>
    <w:p w:rsidR="00ED4F68" w:rsidP="009073D2" w:rsidRDefault="009073D2" w14:paraId="6F44FF95" w14:textId="230CE3CC">
      <w:pPr>
        <w:spacing w:line="360" w:lineRule="auto"/>
        <w:rPr>
          <w:rFonts w:ascii="Verdana" w:hAnsi="Verdana"/>
          <w:sz w:val="18"/>
          <w:szCs w:val="18"/>
        </w:rPr>
      </w:pPr>
      <w:r w:rsidRPr="00633B05">
        <w:rPr>
          <w:rFonts w:ascii="Verdana" w:hAnsi="Verdana"/>
          <w:sz w:val="18"/>
          <w:szCs w:val="18"/>
        </w:rPr>
        <w:t xml:space="preserve">Het kabinet onderschrijft het uitgangspunt van de Commissie dat robuuste, landgeleide gezondheidssystemen de basis vormen van universele gezondheidsdekking. Positief is dat de Commissie evenals het kabinet nadrukkelijk aandacht heeft voor universele toegang tot SRGR, inclusief tijdens crises </w:t>
      </w:r>
      <w:r w:rsidRPr="00633B05" w:rsidR="00ED667C">
        <w:rPr>
          <w:rFonts w:ascii="Verdana" w:hAnsi="Verdana"/>
          <w:sz w:val="18"/>
          <w:szCs w:val="18"/>
        </w:rPr>
        <w:t>zoals</w:t>
      </w:r>
      <w:r w:rsidRPr="00633B05">
        <w:rPr>
          <w:rFonts w:ascii="Verdana" w:hAnsi="Verdana"/>
          <w:sz w:val="18"/>
          <w:szCs w:val="18"/>
        </w:rPr>
        <w:t xml:space="preserve"> </w:t>
      </w:r>
      <w:r w:rsidRPr="00633B05" w:rsidR="00ED667C">
        <w:rPr>
          <w:rFonts w:ascii="Verdana" w:hAnsi="Verdana"/>
          <w:sz w:val="18"/>
          <w:szCs w:val="18"/>
        </w:rPr>
        <w:t>in Oekraïne</w:t>
      </w:r>
      <w:r w:rsidRPr="00633B05">
        <w:rPr>
          <w:rFonts w:ascii="Verdana" w:hAnsi="Verdana"/>
          <w:sz w:val="18"/>
          <w:szCs w:val="18"/>
        </w:rPr>
        <w:t xml:space="preserve">. Ook </w:t>
      </w:r>
      <w:r w:rsidRPr="00633B05" w:rsidR="000F3C09">
        <w:rPr>
          <w:rFonts w:ascii="Verdana" w:hAnsi="Verdana"/>
          <w:sz w:val="18"/>
          <w:szCs w:val="18"/>
        </w:rPr>
        <w:t>de</w:t>
      </w:r>
      <w:r w:rsidRPr="00633B05">
        <w:rPr>
          <w:rFonts w:ascii="Verdana" w:hAnsi="Verdana"/>
          <w:sz w:val="18"/>
          <w:szCs w:val="18"/>
        </w:rPr>
        <w:t xml:space="preserve"> </w:t>
      </w:r>
      <w:r w:rsidRPr="00633B05">
        <w:rPr>
          <w:rFonts w:ascii="Verdana" w:hAnsi="Verdana"/>
          <w:i/>
          <w:iCs/>
          <w:sz w:val="18"/>
          <w:szCs w:val="18"/>
        </w:rPr>
        <w:t>One Health</w:t>
      </w:r>
      <w:r w:rsidRPr="00633B05">
        <w:rPr>
          <w:rFonts w:ascii="Verdana" w:hAnsi="Verdana"/>
          <w:sz w:val="18"/>
          <w:szCs w:val="18"/>
        </w:rPr>
        <w:t>-benadering sluit aan bij het kabinetsbeleid</w:t>
      </w:r>
      <w:r w:rsidRPr="00633B05" w:rsidR="00EE6922">
        <w:rPr>
          <w:rFonts w:ascii="Verdana" w:hAnsi="Verdana"/>
          <w:sz w:val="18"/>
          <w:szCs w:val="18"/>
        </w:rPr>
        <w:t xml:space="preserve">, evenals inspanningen om </w:t>
      </w:r>
      <w:r w:rsidRPr="00633B05">
        <w:rPr>
          <w:rFonts w:ascii="Verdana" w:hAnsi="Verdana"/>
          <w:sz w:val="18"/>
          <w:szCs w:val="18"/>
        </w:rPr>
        <w:t xml:space="preserve">binnenlandse financiering </w:t>
      </w:r>
      <w:r w:rsidRPr="00633B05" w:rsidR="00EE6922">
        <w:rPr>
          <w:rFonts w:ascii="Verdana" w:hAnsi="Verdana"/>
          <w:sz w:val="18"/>
          <w:szCs w:val="18"/>
        </w:rPr>
        <w:t xml:space="preserve">voor volksgezondheid in partnerlanden </w:t>
      </w:r>
      <w:r w:rsidRPr="00633B05">
        <w:rPr>
          <w:rFonts w:ascii="Verdana" w:hAnsi="Verdana"/>
          <w:sz w:val="18"/>
          <w:szCs w:val="18"/>
        </w:rPr>
        <w:t xml:space="preserve">en </w:t>
      </w:r>
      <w:r w:rsidRPr="00633B05" w:rsidR="00EE6922">
        <w:rPr>
          <w:rFonts w:ascii="Verdana" w:hAnsi="Verdana"/>
          <w:sz w:val="18"/>
          <w:szCs w:val="18"/>
        </w:rPr>
        <w:t xml:space="preserve">daarmee hun transitie naar </w:t>
      </w:r>
      <w:r w:rsidRPr="00633B05">
        <w:rPr>
          <w:rFonts w:ascii="Verdana" w:hAnsi="Verdana"/>
          <w:sz w:val="18"/>
          <w:szCs w:val="18"/>
        </w:rPr>
        <w:t>zelfredzaamheid</w:t>
      </w:r>
      <w:r w:rsidRPr="00633B05" w:rsidR="00EE6922">
        <w:rPr>
          <w:rFonts w:ascii="Verdana" w:hAnsi="Verdana"/>
          <w:sz w:val="18"/>
          <w:szCs w:val="18"/>
        </w:rPr>
        <w:t xml:space="preserve"> en nationale soevereiniteit te</w:t>
      </w:r>
      <w:r w:rsidRPr="00633B05">
        <w:rPr>
          <w:rFonts w:ascii="Verdana" w:hAnsi="Verdana"/>
          <w:sz w:val="18"/>
          <w:szCs w:val="18"/>
        </w:rPr>
        <w:t xml:space="preserve"> vergrot</w:t>
      </w:r>
      <w:r w:rsidRPr="00633B05" w:rsidR="00EE6922">
        <w:rPr>
          <w:rFonts w:ascii="Verdana" w:hAnsi="Verdana"/>
          <w:sz w:val="18"/>
          <w:szCs w:val="18"/>
        </w:rPr>
        <w:t>en</w:t>
      </w:r>
      <w:r w:rsidRPr="00633B05">
        <w:rPr>
          <w:rFonts w:ascii="Verdana" w:hAnsi="Verdana"/>
          <w:sz w:val="18"/>
          <w:szCs w:val="18"/>
        </w:rPr>
        <w:t xml:space="preserve">. Het kabinet benadrukt daarbij dat transitietrajecten realistisch moeten zijn, mede gezien de druk op publieke financiën in </w:t>
      </w:r>
      <w:r w:rsidRPr="00633B05" w:rsidR="00ED667C">
        <w:rPr>
          <w:rFonts w:ascii="Verdana" w:hAnsi="Verdana"/>
          <w:sz w:val="18"/>
          <w:szCs w:val="18"/>
        </w:rPr>
        <w:t xml:space="preserve">fragiele, </w:t>
      </w:r>
      <w:r w:rsidRPr="00633B05">
        <w:rPr>
          <w:rFonts w:ascii="Verdana" w:hAnsi="Verdana"/>
          <w:sz w:val="18"/>
          <w:szCs w:val="18"/>
        </w:rPr>
        <w:t xml:space="preserve">lage- en middeninkomenslanden. Zelfredzaamheid moet bovendien breder worden opgevat dan louter financiële onafhankelijkheid. Het omvat ook de </w:t>
      </w:r>
      <w:r w:rsidRPr="00633B05">
        <w:rPr>
          <w:rFonts w:ascii="Verdana" w:hAnsi="Verdana"/>
          <w:sz w:val="18"/>
          <w:szCs w:val="18"/>
        </w:rPr>
        <w:lastRenderedPageBreak/>
        <w:t>capaciteit van land</w:t>
      </w:r>
      <w:r w:rsidRPr="00633B05" w:rsidR="00ED667C">
        <w:rPr>
          <w:rFonts w:ascii="Verdana" w:hAnsi="Verdana"/>
          <w:sz w:val="18"/>
          <w:szCs w:val="18"/>
        </w:rPr>
        <w:t xml:space="preserve">en </w:t>
      </w:r>
      <w:r w:rsidRPr="00633B05">
        <w:rPr>
          <w:rFonts w:ascii="Verdana" w:hAnsi="Verdana"/>
          <w:sz w:val="18"/>
          <w:szCs w:val="18"/>
        </w:rPr>
        <w:t xml:space="preserve">om universele gezondheidsdekking te verwezenlijken, inclusief voor kwetsbare groepen waaronder vrouwen, meisjes en </w:t>
      </w:r>
      <w:proofErr w:type="spellStart"/>
      <w:r w:rsidRPr="00633B05">
        <w:rPr>
          <w:rFonts w:ascii="Verdana" w:hAnsi="Verdana"/>
          <w:sz w:val="18"/>
          <w:szCs w:val="18"/>
        </w:rPr>
        <w:t>lhbtiq+</w:t>
      </w:r>
      <w:proofErr w:type="spellEnd"/>
      <w:r w:rsidRPr="00633B05">
        <w:rPr>
          <w:rFonts w:ascii="Verdana" w:hAnsi="Verdana"/>
          <w:sz w:val="18"/>
          <w:szCs w:val="18"/>
        </w:rPr>
        <w:t xml:space="preserve"> personen. Het kabinet zal in de uitwerking van de mededeling dan ook inzetten op de verankering van mensenrechten en non-discriminatoire toegang tot gezondheidsdiensten als onderdeel van wat onder zelfredzaamheid </w:t>
      </w:r>
      <w:r w:rsidRPr="00633B05" w:rsidR="00641E6E">
        <w:rPr>
          <w:rFonts w:ascii="Verdana" w:hAnsi="Verdana"/>
          <w:sz w:val="18"/>
          <w:szCs w:val="18"/>
        </w:rPr>
        <w:t xml:space="preserve">en nationale gezondheidssoevereiniteit </w:t>
      </w:r>
      <w:r w:rsidRPr="00633B05">
        <w:rPr>
          <w:rFonts w:ascii="Verdana" w:hAnsi="Verdana"/>
          <w:sz w:val="18"/>
          <w:szCs w:val="18"/>
        </w:rPr>
        <w:t xml:space="preserve">wordt verstaan. </w:t>
      </w:r>
    </w:p>
    <w:p w:rsidRPr="00633B05" w:rsidR="00275F86" w:rsidP="009073D2" w:rsidRDefault="00275F86" w14:paraId="4C6F90EC" w14:textId="77777777">
      <w:pPr>
        <w:spacing w:line="360" w:lineRule="auto"/>
        <w:rPr>
          <w:rFonts w:ascii="Verdana" w:hAnsi="Verdana"/>
          <w:sz w:val="18"/>
          <w:szCs w:val="18"/>
        </w:rPr>
      </w:pPr>
    </w:p>
    <w:p w:rsidRPr="00633B05" w:rsidR="009073D2" w:rsidP="009073D2" w:rsidRDefault="009073D2" w14:paraId="73C631E8" w14:textId="7F5DFAFE">
      <w:pPr>
        <w:spacing w:line="360" w:lineRule="auto"/>
        <w:rPr>
          <w:rFonts w:ascii="Verdana" w:hAnsi="Verdana"/>
          <w:sz w:val="18"/>
          <w:szCs w:val="18"/>
        </w:rPr>
      </w:pPr>
      <w:r w:rsidRPr="00633B05">
        <w:rPr>
          <w:rFonts w:ascii="Verdana" w:hAnsi="Verdana"/>
          <w:sz w:val="18"/>
          <w:szCs w:val="18"/>
        </w:rPr>
        <w:t xml:space="preserve">Het kabinet deelt de ambitie van de Commissie om mondiale gezondheidsdreigingen en -crises te voorkomen, te beheersen en te adresseren. Het kabinet erkent het belang van innovatie en opschaling van diagnostiek en </w:t>
      </w:r>
      <w:proofErr w:type="spellStart"/>
      <w:r w:rsidRPr="00633B05">
        <w:rPr>
          <w:rFonts w:ascii="Verdana" w:hAnsi="Verdana"/>
          <w:sz w:val="18"/>
          <w:szCs w:val="18"/>
        </w:rPr>
        <w:t>therapeutica</w:t>
      </w:r>
      <w:proofErr w:type="spellEnd"/>
      <w:r w:rsidRPr="00633B05">
        <w:rPr>
          <w:rFonts w:ascii="Verdana" w:hAnsi="Verdana"/>
          <w:sz w:val="18"/>
          <w:szCs w:val="18"/>
        </w:rPr>
        <w:t>. De mededeling bouwt voort op de EU-strategie voor medische tegenmaatregelen</w:t>
      </w:r>
      <w:r w:rsidRPr="00633B05">
        <w:rPr>
          <w:rStyle w:val="FootnoteReference"/>
          <w:rFonts w:ascii="Verdana" w:hAnsi="Verdana"/>
          <w:sz w:val="18"/>
          <w:szCs w:val="18"/>
        </w:rPr>
        <w:footnoteReference w:id="12"/>
      </w:r>
      <w:r w:rsidRPr="00633B05">
        <w:rPr>
          <w:rFonts w:ascii="Verdana" w:hAnsi="Verdana"/>
          <w:sz w:val="18"/>
          <w:szCs w:val="18"/>
        </w:rPr>
        <w:t xml:space="preserve"> (2025) en herbevestigt steun voor de Vaccine Hub en voor de ontwikkeling van een </w:t>
      </w:r>
      <w:r w:rsidRPr="00633B05">
        <w:rPr>
          <w:rFonts w:ascii="Verdana" w:hAnsi="Verdana"/>
          <w:i/>
          <w:iCs/>
          <w:sz w:val="18"/>
          <w:szCs w:val="18"/>
        </w:rPr>
        <w:t xml:space="preserve">Global </w:t>
      </w:r>
      <w:proofErr w:type="spellStart"/>
      <w:r w:rsidRPr="00633B05">
        <w:rPr>
          <w:rFonts w:ascii="Verdana" w:hAnsi="Verdana"/>
          <w:i/>
          <w:iCs/>
          <w:sz w:val="18"/>
          <w:szCs w:val="18"/>
        </w:rPr>
        <w:t>Therapeutics</w:t>
      </w:r>
      <w:proofErr w:type="spellEnd"/>
      <w:r w:rsidRPr="00633B05">
        <w:rPr>
          <w:rFonts w:ascii="Verdana" w:hAnsi="Verdana"/>
          <w:i/>
          <w:iCs/>
          <w:sz w:val="18"/>
          <w:szCs w:val="18"/>
        </w:rPr>
        <w:t xml:space="preserve"> Development </w:t>
      </w:r>
      <w:proofErr w:type="spellStart"/>
      <w:r w:rsidRPr="00633B05">
        <w:rPr>
          <w:rFonts w:ascii="Verdana" w:hAnsi="Verdana"/>
          <w:i/>
          <w:iCs/>
          <w:sz w:val="18"/>
          <w:szCs w:val="18"/>
        </w:rPr>
        <w:t>Coalition</w:t>
      </w:r>
      <w:proofErr w:type="spellEnd"/>
      <w:r w:rsidRPr="00633B05">
        <w:rPr>
          <w:rFonts w:ascii="Verdana" w:hAnsi="Verdana"/>
          <w:sz w:val="18"/>
          <w:szCs w:val="18"/>
        </w:rPr>
        <w:t xml:space="preserve">, een </w:t>
      </w:r>
      <w:r w:rsidRPr="00633B05">
        <w:rPr>
          <w:rFonts w:ascii="Verdana" w:hAnsi="Verdana"/>
          <w:i/>
          <w:iCs/>
          <w:sz w:val="18"/>
          <w:szCs w:val="18"/>
        </w:rPr>
        <w:t xml:space="preserve">European </w:t>
      </w:r>
      <w:proofErr w:type="spellStart"/>
      <w:r w:rsidRPr="00633B05">
        <w:rPr>
          <w:rFonts w:ascii="Verdana" w:hAnsi="Verdana"/>
          <w:i/>
          <w:iCs/>
          <w:sz w:val="18"/>
          <w:szCs w:val="18"/>
        </w:rPr>
        <w:t>Diagnostics</w:t>
      </w:r>
      <w:proofErr w:type="spellEnd"/>
      <w:r w:rsidRPr="00633B05">
        <w:rPr>
          <w:rFonts w:ascii="Verdana" w:hAnsi="Verdana"/>
          <w:i/>
          <w:iCs/>
          <w:sz w:val="18"/>
          <w:szCs w:val="18"/>
        </w:rPr>
        <w:t xml:space="preserve"> Hub</w:t>
      </w:r>
      <w:r w:rsidRPr="00633B05">
        <w:rPr>
          <w:rFonts w:ascii="Verdana" w:hAnsi="Verdana"/>
          <w:sz w:val="18"/>
          <w:szCs w:val="18"/>
        </w:rPr>
        <w:t xml:space="preserve"> en een </w:t>
      </w:r>
      <w:r w:rsidRPr="00633B05">
        <w:rPr>
          <w:rFonts w:ascii="Verdana" w:hAnsi="Verdana"/>
          <w:i/>
          <w:iCs/>
          <w:sz w:val="18"/>
          <w:szCs w:val="18"/>
        </w:rPr>
        <w:t xml:space="preserve">European </w:t>
      </w:r>
      <w:proofErr w:type="spellStart"/>
      <w:r w:rsidRPr="00633B05">
        <w:rPr>
          <w:rFonts w:ascii="Verdana" w:hAnsi="Verdana"/>
          <w:i/>
          <w:iCs/>
          <w:sz w:val="18"/>
          <w:szCs w:val="18"/>
        </w:rPr>
        <w:t>Therapeutics</w:t>
      </w:r>
      <w:proofErr w:type="spellEnd"/>
      <w:r w:rsidRPr="00633B05">
        <w:rPr>
          <w:rFonts w:ascii="Verdana" w:hAnsi="Verdana"/>
          <w:i/>
          <w:iCs/>
          <w:sz w:val="18"/>
          <w:szCs w:val="18"/>
        </w:rPr>
        <w:t xml:space="preserve"> Hub</w:t>
      </w:r>
      <w:r w:rsidRPr="00633B05">
        <w:rPr>
          <w:rFonts w:ascii="Verdana" w:hAnsi="Verdana"/>
          <w:sz w:val="18"/>
          <w:szCs w:val="18"/>
        </w:rPr>
        <w:t>. Zoals aangegeven in het BNC-fiche</w:t>
      </w:r>
      <w:r w:rsidRPr="00633B05">
        <w:rPr>
          <w:rStyle w:val="FootnoteReference"/>
          <w:rFonts w:ascii="Verdana" w:hAnsi="Verdana"/>
          <w:sz w:val="18"/>
          <w:szCs w:val="18"/>
        </w:rPr>
        <w:footnoteReference w:id="13"/>
      </w:r>
      <w:r w:rsidRPr="00633B05">
        <w:rPr>
          <w:rFonts w:ascii="Verdana" w:hAnsi="Verdana"/>
          <w:sz w:val="18"/>
          <w:szCs w:val="18"/>
        </w:rPr>
        <w:t xml:space="preserve"> met betrekking tot de medische tegenmaatregelenstrategie verwelkomt het kabinet deze initiatieven</w:t>
      </w:r>
      <w:r w:rsidRPr="00633B05" w:rsidR="00436B59">
        <w:rPr>
          <w:rFonts w:ascii="Verdana" w:hAnsi="Verdana"/>
          <w:sz w:val="18"/>
          <w:szCs w:val="18"/>
        </w:rPr>
        <w:t>, maar erkent dat dit nadere uitwerking vergt</w:t>
      </w:r>
      <w:r w:rsidRPr="00633B05">
        <w:rPr>
          <w:rFonts w:ascii="Verdana" w:hAnsi="Verdana"/>
          <w:sz w:val="18"/>
          <w:szCs w:val="18"/>
        </w:rPr>
        <w:t>.</w:t>
      </w:r>
    </w:p>
    <w:p w:rsidRPr="00633B05" w:rsidR="009073D2" w:rsidP="009073D2" w:rsidRDefault="009073D2" w14:paraId="1575811D" w14:textId="77777777">
      <w:pPr>
        <w:spacing w:line="360" w:lineRule="auto"/>
        <w:rPr>
          <w:rFonts w:ascii="Verdana" w:hAnsi="Verdana"/>
          <w:sz w:val="18"/>
          <w:szCs w:val="18"/>
        </w:rPr>
      </w:pPr>
    </w:p>
    <w:p w:rsidR="00382560" w:rsidP="00382560" w:rsidRDefault="009073D2" w14:paraId="6224BAC4" w14:textId="23C9C2F8">
      <w:pPr>
        <w:spacing w:line="360" w:lineRule="auto"/>
        <w:rPr>
          <w:rFonts w:ascii="Verdana" w:hAnsi="Verdana"/>
          <w:sz w:val="18"/>
          <w:szCs w:val="18"/>
        </w:rPr>
      </w:pPr>
      <w:r w:rsidRPr="00633B05">
        <w:rPr>
          <w:rFonts w:ascii="Verdana" w:hAnsi="Verdana"/>
          <w:sz w:val="18"/>
          <w:szCs w:val="18"/>
        </w:rPr>
        <w:t xml:space="preserve">Het voornemen van de Commissie om toeleveringsketens voor essentiële medische producten te diversifiëren en, </w:t>
      </w:r>
      <w:r w:rsidRPr="00633B05" w:rsidR="000F3C09">
        <w:rPr>
          <w:rFonts w:ascii="Verdana" w:hAnsi="Verdana"/>
          <w:sz w:val="18"/>
          <w:szCs w:val="18"/>
        </w:rPr>
        <w:t>bij</w:t>
      </w:r>
      <w:r w:rsidRPr="00633B05">
        <w:rPr>
          <w:rFonts w:ascii="Verdana" w:hAnsi="Verdana"/>
          <w:sz w:val="18"/>
          <w:szCs w:val="18"/>
        </w:rPr>
        <w:t xml:space="preserve"> wederzijds belang, de productiecapaciteit in partnerlanden te versterken, sluit aan bij het kabinetsbeleid zoals vastgelegd in de MGS. </w:t>
      </w:r>
    </w:p>
    <w:p w:rsidRPr="00633B05" w:rsidR="00800283" w:rsidP="00382560" w:rsidRDefault="00800283" w14:paraId="07B938B9" w14:textId="77777777">
      <w:pPr>
        <w:spacing w:line="360" w:lineRule="auto"/>
        <w:rPr>
          <w:rFonts w:ascii="Verdana" w:hAnsi="Verdana"/>
          <w:sz w:val="18"/>
          <w:szCs w:val="18"/>
        </w:rPr>
      </w:pPr>
    </w:p>
    <w:p w:rsidR="00382560" w:rsidP="009073D2" w:rsidRDefault="009073D2" w14:paraId="37C76124" w14:textId="0FE11BC9">
      <w:pPr>
        <w:spacing w:line="360" w:lineRule="auto"/>
        <w:rPr>
          <w:rFonts w:ascii="Verdana" w:hAnsi="Verdana"/>
          <w:sz w:val="18"/>
          <w:szCs w:val="18"/>
        </w:rPr>
      </w:pPr>
      <w:r w:rsidRPr="00633B05">
        <w:rPr>
          <w:rFonts w:ascii="Verdana" w:hAnsi="Verdana"/>
          <w:sz w:val="18"/>
          <w:szCs w:val="18"/>
        </w:rPr>
        <w:t xml:space="preserve">Dat geldt ook voor de ambitie om de strategische autonomie van Europa en partnerlanden op dit vlak te versterken. Het kabinet zal inzetten op afstemming over de prioritering van essentiële medische producten, zodat duidelijk wordt welke producten vanuit het oogpunt van strategische autonomie </w:t>
      </w:r>
      <w:r w:rsidRPr="00633B05" w:rsidR="007E3F34">
        <w:rPr>
          <w:rFonts w:ascii="Verdana" w:hAnsi="Verdana"/>
          <w:sz w:val="18"/>
          <w:szCs w:val="18"/>
        </w:rPr>
        <w:t xml:space="preserve">het meest relevant zijn </w:t>
      </w:r>
      <w:r w:rsidRPr="00633B05">
        <w:rPr>
          <w:rFonts w:ascii="Verdana" w:hAnsi="Verdana"/>
          <w:sz w:val="18"/>
          <w:szCs w:val="18"/>
        </w:rPr>
        <w:t xml:space="preserve">voor de EU en partnerlanden. </w:t>
      </w:r>
      <w:r w:rsidRPr="00633B05" w:rsidR="00382560">
        <w:rPr>
          <w:rFonts w:ascii="Verdana" w:hAnsi="Verdana"/>
          <w:sz w:val="18"/>
          <w:szCs w:val="18"/>
        </w:rPr>
        <w:t>Daarnaast zet zowel de Commissie en het kabinet in op het verbeteren en versterken van de Europese productiecapaciteit van voornamelijk kritieke geneesmiddelen, zoals via de Verordening Kritieke Geneesmiddelen. De MGS en dit beleid zijn complementair aan elkaar, waardoor een nauwkeurige balans tussen beide noodzakelijk is.</w:t>
      </w:r>
    </w:p>
    <w:p w:rsidRPr="00633B05" w:rsidR="00800283" w:rsidP="009073D2" w:rsidRDefault="00800283" w14:paraId="0DD753F1" w14:textId="77777777">
      <w:pPr>
        <w:spacing w:line="360" w:lineRule="auto"/>
        <w:rPr>
          <w:rFonts w:ascii="Verdana" w:hAnsi="Verdana"/>
          <w:sz w:val="18"/>
          <w:szCs w:val="18"/>
        </w:rPr>
      </w:pPr>
    </w:p>
    <w:p w:rsidR="00633B05" w:rsidP="009073D2" w:rsidRDefault="009073D2" w14:paraId="69115F07" w14:textId="77777777">
      <w:pPr>
        <w:spacing w:line="360" w:lineRule="auto"/>
        <w:rPr>
          <w:rFonts w:ascii="Verdana" w:hAnsi="Verdana"/>
          <w:sz w:val="18"/>
          <w:szCs w:val="18"/>
        </w:rPr>
      </w:pPr>
      <w:bookmarkStart w:name="_Hlk231890514" w:id="3"/>
      <w:r w:rsidRPr="00633B05">
        <w:rPr>
          <w:rFonts w:ascii="Verdana" w:hAnsi="Verdana"/>
          <w:sz w:val="18"/>
          <w:szCs w:val="18"/>
        </w:rPr>
        <w:t xml:space="preserve">Het kabinet steunt ook de inzet op versterkte samenwerking tussen Europese en lokale publieke en private partijen bij de ontwikkeling en productie van medische producten in partnerlanden. </w:t>
      </w:r>
      <w:r w:rsidRPr="00633B05" w:rsidR="00301FC8">
        <w:rPr>
          <w:rFonts w:ascii="Verdana" w:hAnsi="Verdana"/>
          <w:sz w:val="18"/>
          <w:szCs w:val="18"/>
        </w:rPr>
        <w:t xml:space="preserve">Via de mogelijkheden die de mededeling biedt, zoals de </w:t>
      </w:r>
      <w:r w:rsidRPr="00633B05" w:rsidR="00301FC8">
        <w:rPr>
          <w:rFonts w:ascii="Verdana" w:hAnsi="Verdana"/>
          <w:i/>
          <w:iCs/>
          <w:sz w:val="18"/>
          <w:szCs w:val="18"/>
        </w:rPr>
        <w:t xml:space="preserve">Team Europe </w:t>
      </w:r>
      <w:proofErr w:type="spellStart"/>
      <w:r w:rsidRPr="00633B05" w:rsidR="00301FC8">
        <w:rPr>
          <w:rFonts w:ascii="Verdana" w:hAnsi="Verdana"/>
          <w:i/>
          <w:iCs/>
          <w:sz w:val="18"/>
          <w:szCs w:val="18"/>
        </w:rPr>
        <w:t>Initiatives</w:t>
      </w:r>
      <w:proofErr w:type="spellEnd"/>
      <w:r w:rsidRPr="00633B05" w:rsidR="00301FC8">
        <w:rPr>
          <w:rFonts w:ascii="Verdana" w:hAnsi="Verdana"/>
          <w:sz w:val="18"/>
          <w:szCs w:val="18"/>
        </w:rPr>
        <w:t xml:space="preserve">, de </w:t>
      </w:r>
      <w:r w:rsidRPr="00633B05" w:rsidR="00301FC8">
        <w:rPr>
          <w:rFonts w:ascii="Verdana" w:hAnsi="Verdana"/>
          <w:i/>
          <w:iCs/>
          <w:sz w:val="18"/>
          <w:szCs w:val="18"/>
        </w:rPr>
        <w:t>Global Gateway Investment Hub</w:t>
      </w:r>
      <w:r w:rsidRPr="00633B05" w:rsidR="00301FC8">
        <w:rPr>
          <w:rFonts w:ascii="Verdana" w:hAnsi="Verdana"/>
          <w:sz w:val="18"/>
          <w:szCs w:val="18"/>
        </w:rPr>
        <w:t xml:space="preserve"> en innovatieve financiële instrumenten </w:t>
      </w:r>
      <w:r w:rsidRPr="00633B05" w:rsidR="007E3F34">
        <w:rPr>
          <w:rFonts w:ascii="Verdana" w:hAnsi="Verdana"/>
          <w:sz w:val="18"/>
          <w:szCs w:val="18"/>
        </w:rPr>
        <w:t xml:space="preserve">(bijv. </w:t>
      </w:r>
      <w:r w:rsidRPr="00633B05" w:rsidR="00301FC8">
        <w:rPr>
          <w:rFonts w:ascii="Verdana" w:hAnsi="Verdana"/>
          <w:i/>
          <w:iCs/>
          <w:sz w:val="18"/>
          <w:szCs w:val="18"/>
        </w:rPr>
        <w:t>Human Development Accelerator</w:t>
      </w:r>
      <w:r w:rsidRPr="00633B05" w:rsidR="007E3F34">
        <w:rPr>
          <w:rFonts w:ascii="Verdana" w:hAnsi="Verdana"/>
          <w:i/>
          <w:iCs/>
          <w:sz w:val="18"/>
          <w:szCs w:val="18"/>
        </w:rPr>
        <w:t>)</w:t>
      </w:r>
      <w:r w:rsidRPr="00633B05" w:rsidR="00301FC8">
        <w:rPr>
          <w:rFonts w:ascii="Verdana" w:hAnsi="Verdana"/>
          <w:i/>
          <w:iCs/>
          <w:sz w:val="18"/>
          <w:szCs w:val="18"/>
        </w:rPr>
        <w:t xml:space="preserve"> </w:t>
      </w:r>
      <w:r w:rsidRPr="00633B05" w:rsidR="00301FC8">
        <w:rPr>
          <w:rFonts w:ascii="Verdana" w:hAnsi="Verdana"/>
          <w:sz w:val="18"/>
          <w:szCs w:val="18"/>
        </w:rPr>
        <w:t>zal het kabinet zich inspannen om</w:t>
      </w:r>
      <w:r w:rsidRPr="00633B05" w:rsidDel="00301FC8" w:rsidR="00301FC8">
        <w:rPr>
          <w:rFonts w:ascii="Verdana" w:hAnsi="Verdana"/>
          <w:sz w:val="18"/>
          <w:szCs w:val="18"/>
        </w:rPr>
        <w:t xml:space="preserve"> </w:t>
      </w:r>
      <w:r w:rsidRPr="00633B05" w:rsidR="00301FC8">
        <w:rPr>
          <w:rFonts w:ascii="Verdana" w:hAnsi="Verdana"/>
          <w:sz w:val="18"/>
          <w:szCs w:val="18"/>
        </w:rPr>
        <w:t xml:space="preserve">de positie van </w:t>
      </w:r>
      <w:r w:rsidRPr="00633B05">
        <w:rPr>
          <w:rFonts w:ascii="Verdana" w:hAnsi="Verdana"/>
          <w:sz w:val="18"/>
          <w:szCs w:val="18"/>
        </w:rPr>
        <w:t xml:space="preserve">Nederlandse bedrijven </w:t>
      </w:r>
      <w:r w:rsidRPr="00633B05" w:rsidR="00301FC8">
        <w:rPr>
          <w:rFonts w:ascii="Verdana" w:hAnsi="Verdana"/>
          <w:sz w:val="18"/>
          <w:szCs w:val="18"/>
        </w:rPr>
        <w:t>b</w:t>
      </w:r>
      <w:r w:rsidRPr="00633B05">
        <w:rPr>
          <w:rFonts w:ascii="Verdana" w:hAnsi="Verdana"/>
          <w:sz w:val="18"/>
          <w:szCs w:val="18"/>
        </w:rPr>
        <w:t>in</w:t>
      </w:r>
      <w:r w:rsidRPr="00633B05" w:rsidR="00301FC8">
        <w:rPr>
          <w:rFonts w:ascii="Verdana" w:hAnsi="Verdana"/>
          <w:sz w:val="18"/>
          <w:szCs w:val="18"/>
        </w:rPr>
        <w:t>nen</w:t>
      </w:r>
      <w:r w:rsidRPr="00633B05">
        <w:rPr>
          <w:rFonts w:ascii="Verdana" w:hAnsi="Verdana"/>
          <w:sz w:val="18"/>
          <w:szCs w:val="18"/>
        </w:rPr>
        <w:t xml:space="preserve"> internationale waardeketens verder te versterken</w:t>
      </w:r>
      <w:r w:rsidRPr="00633B05" w:rsidR="001156BB">
        <w:rPr>
          <w:rFonts w:ascii="Verdana" w:hAnsi="Verdana"/>
          <w:sz w:val="18"/>
          <w:szCs w:val="18"/>
        </w:rPr>
        <w:t xml:space="preserve">, bouwend op de bestaande levering </w:t>
      </w:r>
      <w:r w:rsidRPr="00633B05" w:rsidR="00301FC8">
        <w:rPr>
          <w:rFonts w:ascii="Verdana" w:hAnsi="Verdana"/>
          <w:sz w:val="18"/>
          <w:szCs w:val="18"/>
        </w:rPr>
        <w:t xml:space="preserve">van </w:t>
      </w:r>
      <w:r w:rsidRPr="00633B05">
        <w:rPr>
          <w:rFonts w:ascii="Verdana" w:hAnsi="Verdana"/>
          <w:sz w:val="18"/>
          <w:szCs w:val="18"/>
        </w:rPr>
        <w:t>circa EUR 200–300 miljoen</w:t>
      </w:r>
      <w:r w:rsidRPr="00633B05" w:rsidR="00301FC8">
        <w:rPr>
          <w:rFonts w:ascii="Verdana" w:hAnsi="Verdana"/>
          <w:sz w:val="18"/>
          <w:szCs w:val="18"/>
        </w:rPr>
        <w:t xml:space="preserve"> elk jaar</w:t>
      </w:r>
      <w:r w:rsidRPr="00633B05" w:rsidR="009E4035">
        <w:rPr>
          <w:rFonts w:ascii="Verdana" w:hAnsi="Verdana"/>
          <w:sz w:val="18"/>
          <w:szCs w:val="18"/>
        </w:rPr>
        <w:t xml:space="preserve"> </w:t>
      </w:r>
      <w:r w:rsidRPr="00633B05">
        <w:rPr>
          <w:rFonts w:ascii="Verdana" w:hAnsi="Verdana"/>
          <w:sz w:val="18"/>
          <w:szCs w:val="18"/>
        </w:rPr>
        <w:t>aan multilaterale organisaties</w:t>
      </w:r>
      <w:r w:rsidRPr="00633B05">
        <w:rPr>
          <w:rStyle w:val="FootnoteReference"/>
          <w:rFonts w:ascii="Verdana" w:hAnsi="Verdana"/>
          <w:sz w:val="18"/>
          <w:szCs w:val="18"/>
        </w:rPr>
        <w:footnoteReference w:id="14"/>
      </w:r>
      <w:r w:rsidRPr="00633B05" w:rsidR="00301FC8">
        <w:rPr>
          <w:rFonts w:ascii="Verdana" w:hAnsi="Verdana"/>
          <w:sz w:val="18"/>
          <w:szCs w:val="18"/>
        </w:rPr>
        <w:t xml:space="preserve"> door Nederlandse bedrijven</w:t>
      </w:r>
      <w:r w:rsidRPr="00633B05">
        <w:rPr>
          <w:rFonts w:ascii="Verdana" w:hAnsi="Verdana"/>
          <w:sz w:val="18"/>
          <w:szCs w:val="18"/>
        </w:rPr>
        <w:t xml:space="preserve">. </w:t>
      </w:r>
    </w:p>
    <w:p w:rsidR="00800283" w:rsidP="009073D2" w:rsidRDefault="00800283" w14:paraId="6A79EB02" w14:textId="77777777">
      <w:pPr>
        <w:spacing w:line="360" w:lineRule="auto"/>
        <w:rPr>
          <w:rFonts w:ascii="Verdana" w:hAnsi="Verdana"/>
          <w:sz w:val="18"/>
          <w:szCs w:val="18"/>
        </w:rPr>
      </w:pPr>
    </w:p>
    <w:p w:rsidRPr="00633B05" w:rsidR="009073D2" w:rsidP="009073D2" w:rsidRDefault="009073D2" w14:paraId="57E70016" w14:textId="6C53E1FC">
      <w:pPr>
        <w:spacing w:line="360" w:lineRule="auto"/>
        <w:rPr>
          <w:rFonts w:ascii="Verdana" w:hAnsi="Verdana"/>
          <w:sz w:val="18"/>
          <w:szCs w:val="18"/>
        </w:rPr>
      </w:pPr>
      <w:r w:rsidRPr="00633B05">
        <w:rPr>
          <w:rFonts w:ascii="Verdana" w:hAnsi="Verdana"/>
          <w:sz w:val="18"/>
          <w:szCs w:val="18"/>
        </w:rPr>
        <w:t>De inzet op de ontwikkeling van medische producten sluit aan bij de investeringen van het kabinet in Product Development Partnerships (</w:t>
      </w:r>
      <w:proofErr w:type="spellStart"/>
      <w:r w:rsidRPr="00633B05">
        <w:rPr>
          <w:rFonts w:ascii="Verdana" w:hAnsi="Verdana"/>
          <w:sz w:val="18"/>
          <w:szCs w:val="18"/>
        </w:rPr>
        <w:t>PDPs</w:t>
      </w:r>
      <w:proofErr w:type="spellEnd"/>
      <w:r w:rsidRPr="00633B05">
        <w:rPr>
          <w:rFonts w:ascii="Verdana" w:hAnsi="Verdana"/>
          <w:sz w:val="18"/>
          <w:szCs w:val="18"/>
        </w:rPr>
        <w:t>)</w:t>
      </w:r>
      <w:r w:rsidRPr="00633B05" w:rsidR="00301FC8">
        <w:rPr>
          <w:rFonts w:ascii="Verdana" w:hAnsi="Verdana"/>
          <w:sz w:val="18"/>
          <w:szCs w:val="18"/>
        </w:rPr>
        <w:t xml:space="preserve"> en CEPI</w:t>
      </w:r>
      <w:r w:rsidRPr="00633B05">
        <w:rPr>
          <w:rFonts w:ascii="Verdana" w:hAnsi="Verdana"/>
          <w:sz w:val="18"/>
          <w:szCs w:val="18"/>
        </w:rPr>
        <w:t xml:space="preserve">, waarin partners uit Europa en het mondiale </w:t>
      </w:r>
      <w:r w:rsidRPr="00633B05">
        <w:rPr>
          <w:rFonts w:ascii="Verdana" w:hAnsi="Verdana"/>
          <w:sz w:val="18"/>
          <w:szCs w:val="18"/>
        </w:rPr>
        <w:lastRenderedPageBreak/>
        <w:t>zuiden succesvol</w:t>
      </w:r>
      <w:r w:rsidRPr="00633B05">
        <w:rPr>
          <w:rStyle w:val="FootnoteReference"/>
          <w:rFonts w:ascii="Verdana" w:hAnsi="Verdana"/>
          <w:sz w:val="18"/>
          <w:szCs w:val="18"/>
        </w:rPr>
        <w:footnoteReference w:id="15"/>
      </w:r>
      <w:r w:rsidRPr="00633B05">
        <w:rPr>
          <w:rFonts w:ascii="Verdana" w:hAnsi="Verdana"/>
          <w:sz w:val="18"/>
          <w:szCs w:val="18"/>
        </w:rPr>
        <w:t xml:space="preserve"> samenwerken. Om de vraag naar lokaal ge</w:t>
      </w:r>
      <w:r w:rsidRPr="00633B05" w:rsidR="009E4035">
        <w:rPr>
          <w:rFonts w:ascii="Verdana" w:hAnsi="Verdana"/>
          <w:sz w:val="18"/>
          <w:szCs w:val="18"/>
        </w:rPr>
        <w:t>fabriceerde</w:t>
      </w:r>
      <w:r w:rsidRPr="00633B05">
        <w:rPr>
          <w:rFonts w:ascii="Verdana" w:hAnsi="Verdana"/>
          <w:sz w:val="18"/>
          <w:szCs w:val="18"/>
        </w:rPr>
        <w:t xml:space="preserve"> producten te stimuleren, beoogt de Commissie in te zetten op strategische aanbestedingsmechanismen en afnamegaranties. Het kabinet ziet op dit vlak veel </w:t>
      </w:r>
      <w:r w:rsidRPr="00633B05" w:rsidR="009E4035">
        <w:rPr>
          <w:rFonts w:ascii="Verdana" w:hAnsi="Verdana"/>
          <w:sz w:val="18"/>
          <w:szCs w:val="18"/>
        </w:rPr>
        <w:t>p</w:t>
      </w:r>
      <w:r w:rsidRPr="00633B05">
        <w:rPr>
          <w:rFonts w:ascii="Verdana" w:hAnsi="Verdana"/>
          <w:sz w:val="18"/>
          <w:szCs w:val="18"/>
        </w:rPr>
        <w:t>otentie</w:t>
      </w:r>
      <w:r w:rsidRPr="00633B05" w:rsidR="00C43C47">
        <w:rPr>
          <w:rFonts w:ascii="Verdana" w:hAnsi="Verdana"/>
          <w:sz w:val="18"/>
          <w:szCs w:val="18"/>
        </w:rPr>
        <w:t>, waarbij het kabinet eraan hecht dat relevante internationale handelsstandaarden in acht worden genomen, ontwikkelingsimpact en impact op mondiale gezondheid meegewogen wordt, en toegang tot de EU-markt voor bedrijven uit gelijkgezinde of partnerlanden van de EU behouden blijft</w:t>
      </w:r>
      <w:r w:rsidRPr="00633B05">
        <w:rPr>
          <w:rFonts w:ascii="Verdana" w:hAnsi="Verdana"/>
          <w:sz w:val="18"/>
          <w:szCs w:val="18"/>
        </w:rPr>
        <w:t>.</w:t>
      </w:r>
    </w:p>
    <w:bookmarkEnd w:id="3"/>
    <w:p w:rsidRPr="00633B05" w:rsidR="009073D2" w:rsidP="009073D2" w:rsidRDefault="009073D2" w14:paraId="53FB41EE" w14:textId="77777777">
      <w:pPr>
        <w:spacing w:line="360" w:lineRule="auto"/>
        <w:rPr>
          <w:rFonts w:ascii="Verdana" w:hAnsi="Verdana"/>
          <w:iCs/>
          <w:sz w:val="18"/>
          <w:szCs w:val="18"/>
        </w:rPr>
      </w:pPr>
    </w:p>
    <w:p w:rsidRPr="00633B05" w:rsidR="009073D2" w:rsidP="009073D2" w:rsidRDefault="009073D2" w14:paraId="691D1D8D" w14:textId="245E62CC">
      <w:pPr>
        <w:spacing w:line="360" w:lineRule="auto"/>
        <w:rPr>
          <w:rFonts w:ascii="Verdana" w:hAnsi="Verdana"/>
          <w:iCs/>
          <w:sz w:val="18"/>
          <w:szCs w:val="18"/>
        </w:rPr>
      </w:pPr>
      <w:r w:rsidRPr="00633B05">
        <w:rPr>
          <w:rFonts w:ascii="Verdana" w:hAnsi="Verdana"/>
          <w:iCs/>
          <w:sz w:val="18"/>
          <w:szCs w:val="18"/>
        </w:rPr>
        <w:t>Het kabinet waardeert het voornemen van de Commissie om des- en misinformatie op het terrein van volksgezondheid te</w:t>
      </w:r>
      <w:r w:rsidRPr="00633B05" w:rsidR="00960711">
        <w:rPr>
          <w:rFonts w:ascii="Verdana" w:hAnsi="Verdana"/>
          <w:iCs/>
          <w:sz w:val="18"/>
          <w:szCs w:val="18"/>
        </w:rPr>
        <w:t xml:space="preserve"> bestrijden</w:t>
      </w:r>
      <w:r w:rsidRPr="00633B05">
        <w:rPr>
          <w:rFonts w:ascii="Verdana" w:hAnsi="Verdana"/>
          <w:iCs/>
          <w:sz w:val="18"/>
          <w:szCs w:val="18"/>
        </w:rPr>
        <w:t xml:space="preserve">. In de context van mondiale gezondheid richt bestaand kabinetsbeleid zich primair op het verbeteren van de beschikbaarheid en toegang tot betrouwbare informatie over SRGR. Bouwend op de Strategie Effectieve </w:t>
      </w:r>
      <w:r w:rsidRPr="00633B05" w:rsidR="000F3C09">
        <w:rPr>
          <w:rFonts w:ascii="Verdana" w:hAnsi="Verdana"/>
          <w:iCs/>
          <w:sz w:val="18"/>
          <w:szCs w:val="18"/>
        </w:rPr>
        <w:t>A</w:t>
      </w:r>
      <w:r w:rsidRPr="00633B05">
        <w:rPr>
          <w:rFonts w:ascii="Verdana" w:hAnsi="Verdana"/>
          <w:iCs/>
          <w:sz w:val="18"/>
          <w:szCs w:val="18"/>
        </w:rPr>
        <w:t>anpak van Desinformatie</w:t>
      </w:r>
      <w:r w:rsidRPr="00633B05">
        <w:rPr>
          <w:rStyle w:val="FootnoteReference"/>
          <w:rFonts w:ascii="Verdana" w:hAnsi="Verdana"/>
          <w:iCs/>
          <w:sz w:val="18"/>
          <w:szCs w:val="18"/>
        </w:rPr>
        <w:footnoteReference w:id="16"/>
      </w:r>
      <w:r w:rsidRPr="00633B05">
        <w:rPr>
          <w:rFonts w:ascii="Verdana" w:hAnsi="Verdana"/>
          <w:iCs/>
          <w:sz w:val="18"/>
          <w:szCs w:val="18"/>
        </w:rPr>
        <w:t xml:space="preserve">, zijn nationale inspanningen gericht op publieke communicatie en vertrouwen in gezondheidsinformatie, onder meer via het Ministerie van VWS, het RIVM en </w:t>
      </w:r>
      <w:proofErr w:type="spellStart"/>
      <w:r w:rsidRPr="00633B05">
        <w:rPr>
          <w:rFonts w:ascii="Verdana" w:hAnsi="Verdana"/>
          <w:iCs/>
          <w:sz w:val="18"/>
          <w:szCs w:val="18"/>
        </w:rPr>
        <w:t>GGD’s</w:t>
      </w:r>
      <w:proofErr w:type="spellEnd"/>
      <w:r w:rsidRPr="00633B05">
        <w:rPr>
          <w:rFonts w:ascii="Verdana" w:hAnsi="Verdana"/>
          <w:iCs/>
          <w:sz w:val="18"/>
          <w:szCs w:val="18"/>
        </w:rPr>
        <w:t xml:space="preserve">. </w:t>
      </w:r>
      <w:r w:rsidRPr="00633B05" w:rsidR="00FA6998">
        <w:rPr>
          <w:rFonts w:ascii="Verdana" w:hAnsi="Verdana"/>
          <w:iCs/>
          <w:sz w:val="18"/>
          <w:szCs w:val="18"/>
        </w:rPr>
        <w:t>H</w:t>
      </w:r>
      <w:r w:rsidRPr="00633B05">
        <w:rPr>
          <w:rFonts w:ascii="Verdana" w:hAnsi="Verdana"/>
          <w:iCs/>
          <w:sz w:val="18"/>
          <w:szCs w:val="18"/>
        </w:rPr>
        <w:t xml:space="preserve">et kabinet </w:t>
      </w:r>
      <w:r w:rsidRPr="00633B05" w:rsidR="00FA6998">
        <w:rPr>
          <w:rFonts w:ascii="Verdana" w:hAnsi="Verdana"/>
          <w:iCs/>
          <w:sz w:val="18"/>
          <w:szCs w:val="18"/>
        </w:rPr>
        <w:t xml:space="preserve">acht versterkte </w:t>
      </w:r>
      <w:r w:rsidRPr="00633B05">
        <w:rPr>
          <w:rFonts w:ascii="Verdana" w:hAnsi="Verdana"/>
          <w:iCs/>
          <w:sz w:val="18"/>
          <w:szCs w:val="18"/>
        </w:rPr>
        <w:t xml:space="preserve">internationale samenwerking </w:t>
      </w:r>
      <w:r w:rsidRPr="00633B05" w:rsidR="00960711">
        <w:rPr>
          <w:rFonts w:ascii="Verdana" w:hAnsi="Verdana"/>
          <w:iCs/>
          <w:sz w:val="18"/>
          <w:szCs w:val="18"/>
        </w:rPr>
        <w:t xml:space="preserve">in de bestrijding van mis- en desinformatie </w:t>
      </w:r>
      <w:r w:rsidRPr="00633B05">
        <w:rPr>
          <w:rFonts w:ascii="Verdana" w:hAnsi="Verdana"/>
          <w:iCs/>
          <w:sz w:val="18"/>
          <w:szCs w:val="18"/>
        </w:rPr>
        <w:t>van belang</w:t>
      </w:r>
      <w:r w:rsidRPr="00633B05" w:rsidR="009E4035">
        <w:rPr>
          <w:rFonts w:ascii="Verdana" w:hAnsi="Verdana"/>
          <w:iCs/>
          <w:sz w:val="18"/>
          <w:szCs w:val="18"/>
        </w:rPr>
        <w:t>, b</w:t>
      </w:r>
      <w:r w:rsidRPr="00633B05" w:rsidR="00960711">
        <w:rPr>
          <w:rFonts w:ascii="Verdana" w:hAnsi="Verdana"/>
          <w:iCs/>
          <w:sz w:val="18"/>
          <w:szCs w:val="18"/>
        </w:rPr>
        <w:t>ouwend op best</w:t>
      </w:r>
      <w:r w:rsidRPr="00633B05">
        <w:rPr>
          <w:rFonts w:ascii="Verdana" w:hAnsi="Verdana"/>
          <w:iCs/>
          <w:sz w:val="18"/>
          <w:szCs w:val="18"/>
        </w:rPr>
        <w:t xml:space="preserve">aande kaders zoals </w:t>
      </w:r>
      <w:proofErr w:type="spellStart"/>
      <w:r w:rsidRPr="00633B05">
        <w:rPr>
          <w:rFonts w:ascii="Verdana" w:hAnsi="Verdana"/>
          <w:iCs/>
          <w:sz w:val="18"/>
          <w:szCs w:val="18"/>
        </w:rPr>
        <w:t>WHO’s</w:t>
      </w:r>
      <w:proofErr w:type="spellEnd"/>
      <w:r w:rsidRPr="00633B05">
        <w:rPr>
          <w:rFonts w:ascii="Verdana" w:hAnsi="Verdana"/>
          <w:iCs/>
          <w:sz w:val="18"/>
          <w:szCs w:val="18"/>
        </w:rPr>
        <w:t xml:space="preserve"> </w:t>
      </w:r>
      <w:proofErr w:type="spellStart"/>
      <w:r w:rsidRPr="00633B05">
        <w:rPr>
          <w:rFonts w:ascii="Verdana" w:hAnsi="Verdana"/>
          <w:i/>
          <w:sz w:val="18"/>
          <w:szCs w:val="18"/>
        </w:rPr>
        <w:t>infodemic</w:t>
      </w:r>
      <w:proofErr w:type="spellEnd"/>
      <w:r w:rsidRPr="00633B05">
        <w:rPr>
          <w:rFonts w:ascii="Verdana" w:hAnsi="Verdana"/>
          <w:i/>
          <w:sz w:val="18"/>
          <w:szCs w:val="18"/>
        </w:rPr>
        <w:t xml:space="preserve"> management</w:t>
      </w:r>
      <w:r w:rsidRPr="00633B05">
        <w:rPr>
          <w:rFonts w:ascii="Verdana" w:hAnsi="Verdana"/>
          <w:iCs/>
          <w:sz w:val="18"/>
          <w:szCs w:val="18"/>
        </w:rPr>
        <w:t xml:space="preserve"> benadering</w:t>
      </w:r>
      <w:r w:rsidRPr="00633B05">
        <w:rPr>
          <w:rStyle w:val="FootnoteReference"/>
          <w:rFonts w:ascii="Verdana" w:hAnsi="Verdana"/>
          <w:iCs/>
          <w:sz w:val="18"/>
          <w:szCs w:val="18"/>
        </w:rPr>
        <w:footnoteReference w:id="17"/>
      </w:r>
      <w:r w:rsidRPr="00633B05">
        <w:rPr>
          <w:rFonts w:ascii="Verdana" w:hAnsi="Verdana"/>
          <w:iCs/>
          <w:sz w:val="18"/>
          <w:szCs w:val="18"/>
        </w:rPr>
        <w:t xml:space="preserve">, de </w:t>
      </w:r>
      <w:r w:rsidRPr="00633B05">
        <w:rPr>
          <w:rFonts w:ascii="Verdana" w:hAnsi="Verdana"/>
          <w:i/>
          <w:sz w:val="18"/>
          <w:szCs w:val="18"/>
        </w:rPr>
        <w:t>EU Digital Services Act</w:t>
      </w:r>
      <w:r w:rsidRPr="00633B05">
        <w:rPr>
          <w:rStyle w:val="FootnoteReference"/>
          <w:rFonts w:ascii="Verdana" w:hAnsi="Verdana"/>
          <w:iCs/>
          <w:sz w:val="18"/>
          <w:szCs w:val="18"/>
        </w:rPr>
        <w:footnoteReference w:id="18"/>
      </w:r>
      <w:r w:rsidRPr="00633B05">
        <w:rPr>
          <w:rFonts w:ascii="Verdana" w:hAnsi="Verdana"/>
          <w:iCs/>
          <w:sz w:val="18"/>
          <w:szCs w:val="18"/>
        </w:rPr>
        <w:t xml:space="preserve"> en de Europese </w:t>
      </w:r>
      <w:r w:rsidRPr="00633B05">
        <w:rPr>
          <w:rFonts w:ascii="Verdana" w:hAnsi="Verdana"/>
          <w:i/>
          <w:sz w:val="18"/>
          <w:szCs w:val="18"/>
        </w:rPr>
        <w:t xml:space="preserve">Code of </w:t>
      </w:r>
      <w:proofErr w:type="spellStart"/>
      <w:r w:rsidRPr="00633B05">
        <w:rPr>
          <w:rFonts w:ascii="Verdana" w:hAnsi="Verdana"/>
          <w:i/>
          <w:sz w:val="18"/>
          <w:szCs w:val="18"/>
        </w:rPr>
        <w:t>Practice</w:t>
      </w:r>
      <w:proofErr w:type="spellEnd"/>
      <w:r w:rsidRPr="00633B05">
        <w:rPr>
          <w:rFonts w:ascii="Verdana" w:hAnsi="Verdana"/>
          <w:i/>
          <w:sz w:val="18"/>
          <w:szCs w:val="18"/>
        </w:rPr>
        <w:t xml:space="preserve"> on Disinformation</w:t>
      </w:r>
      <w:r w:rsidRPr="00633B05">
        <w:rPr>
          <w:rStyle w:val="FootnoteReference"/>
          <w:rFonts w:ascii="Verdana" w:hAnsi="Verdana"/>
          <w:iCs/>
          <w:sz w:val="18"/>
          <w:szCs w:val="18"/>
        </w:rPr>
        <w:footnoteReference w:id="19"/>
      </w:r>
      <w:r w:rsidRPr="00633B05">
        <w:rPr>
          <w:rFonts w:ascii="Verdana" w:hAnsi="Verdana"/>
          <w:iCs/>
          <w:sz w:val="18"/>
          <w:szCs w:val="18"/>
        </w:rPr>
        <w:t xml:space="preserve">. Het kabinet verwelkomt dat de mededeling </w:t>
      </w:r>
      <w:r w:rsidRPr="00633B05" w:rsidR="00960711">
        <w:rPr>
          <w:rFonts w:ascii="Verdana" w:hAnsi="Verdana"/>
          <w:iCs/>
          <w:sz w:val="18"/>
          <w:szCs w:val="18"/>
        </w:rPr>
        <w:t xml:space="preserve">daarnaast </w:t>
      </w:r>
      <w:r w:rsidRPr="00633B05">
        <w:rPr>
          <w:rFonts w:ascii="Verdana" w:hAnsi="Verdana"/>
          <w:iCs/>
          <w:sz w:val="18"/>
          <w:szCs w:val="18"/>
        </w:rPr>
        <w:t>inzet op versterking van wetenschappelijke kennisdeling, regelgeving inzake communicatie en op doelgroepen toegesneden informatievoorziening. Waar de mededeling voornamelijk gericht is op digitale informatiestromen, zal het kabinet in de verdere uitwerking van deze prioriteit ook aandacht vragen voor het bestrijden van des- en misinformatie via formeel en informeel onderwijs.</w:t>
      </w:r>
      <w:r w:rsidRPr="00633B05" w:rsidR="00436B59">
        <w:rPr>
          <w:rFonts w:ascii="Verdana" w:hAnsi="Verdana"/>
          <w:iCs/>
          <w:sz w:val="18"/>
          <w:szCs w:val="18"/>
        </w:rPr>
        <w:t xml:space="preserve"> Verder zal het kabinet de Commissie ook vragen welke concrete actie ondernomen zal worden om de strijd tegen vervalste geneesmiddelen en geneesmiddelen van lage kwaliteit te intensiveren. Ook zal het kabinet verheldering vragen </w:t>
      </w:r>
      <w:r w:rsidRPr="00633B05" w:rsidR="003E1897">
        <w:rPr>
          <w:rFonts w:ascii="Verdana" w:hAnsi="Verdana"/>
          <w:iCs/>
          <w:sz w:val="18"/>
          <w:szCs w:val="18"/>
        </w:rPr>
        <w:t xml:space="preserve">bij de Commissie </w:t>
      </w:r>
      <w:r w:rsidRPr="00633B05" w:rsidR="00436B59">
        <w:rPr>
          <w:rFonts w:ascii="Verdana" w:hAnsi="Verdana"/>
          <w:iCs/>
          <w:sz w:val="18"/>
          <w:szCs w:val="18"/>
        </w:rPr>
        <w:t xml:space="preserve">of dit alleen betrekking heeft op de EU of wereldwijd. </w:t>
      </w:r>
    </w:p>
    <w:p w:rsidRPr="00633B05" w:rsidR="00650F9A" w:rsidP="009073D2" w:rsidRDefault="00650F9A" w14:paraId="20A2FDB3" w14:textId="77777777">
      <w:pPr>
        <w:spacing w:line="360" w:lineRule="auto"/>
        <w:rPr>
          <w:rFonts w:ascii="Verdana" w:hAnsi="Verdana"/>
          <w:sz w:val="18"/>
          <w:szCs w:val="18"/>
        </w:rPr>
      </w:pPr>
    </w:p>
    <w:p w:rsidRPr="00633B05" w:rsidR="009073D2" w:rsidP="009073D2" w:rsidRDefault="009073D2" w14:paraId="2EFBDCCD" w14:textId="77777777">
      <w:pPr>
        <w:numPr>
          <w:ilvl w:val="0"/>
          <w:numId w:val="6"/>
        </w:numPr>
        <w:spacing w:line="360" w:lineRule="auto"/>
        <w:rPr>
          <w:rFonts w:ascii="Verdana" w:hAnsi="Verdana"/>
          <w:i/>
          <w:sz w:val="18"/>
          <w:szCs w:val="18"/>
        </w:rPr>
      </w:pPr>
      <w:r w:rsidRPr="00633B05">
        <w:rPr>
          <w:rFonts w:ascii="Verdana" w:hAnsi="Verdana"/>
          <w:i/>
          <w:sz w:val="18"/>
          <w:szCs w:val="18"/>
        </w:rPr>
        <w:t>Eerste inschatting van krachtenveld</w:t>
      </w:r>
    </w:p>
    <w:p w:rsidRPr="00633B05" w:rsidR="009073D2" w:rsidP="009073D2" w:rsidRDefault="009073D2" w14:paraId="0F525FF8" w14:textId="515CF948">
      <w:pPr>
        <w:pStyle w:val="ListParagraph"/>
        <w:spacing w:line="360" w:lineRule="auto"/>
        <w:ind w:left="0"/>
        <w:rPr>
          <w:rFonts w:ascii="Verdana" w:hAnsi="Verdana"/>
          <w:iCs/>
          <w:sz w:val="18"/>
          <w:szCs w:val="18"/>
        </w:rPr>
      </w:pPr>
      <w:r w:rsidRPr="00633B05">
        <w:rPr>
          <w:rFonts w:ascii="Verdana" w:hAnsi="Verdana"/>
          <w:iCs/>
          <w:sz w:val="18"/>
          <w:szCs w:val="18"/>
        </w:rPr>
        <w:t xml:space="preserve">De mededeling zal naar verwachting breed worden verwelkomd door een meerderheid van de lidstaten, met name gelijkgezinde landen die traditioneel actief zijn op het terrein van mondiale gezondheid. </w:t>
      </w:r>
      <w:r w:rsidRPr="00633B05" w:rsidR="004B26E8">
        <w:rPr>
          <w:rFonts w:ascii="Verdana" w:hAnsi="Verdana"/>
          <w:iCs/>
          <w:sz w:val="18"/>
          <w:szCs w:val="18"/>
        </w:rPr>
        <w:t>Naar verwachting kan de strategie op steun rekenen van het Europees Parlement.</w:t>
      </w:r>
    </w:p>
    <w:p w:rsidRPr="00633B05" w:rsidR="009073D2" w:rsidP="009073D2" w:rsidRDefault="009073D2" w14:paraId="6638691C" w14:textId="77777777">
      <w:pPr>
        <w:spacing w:line="360" w:lineRule="auto"/>
        <w:rPr>
          <w:rFonts w:ascii="Verdana" w:hAnsi="Verdana"/>
          <w:sz w:val="18"/>
          <w:szCs w:val="18"/>
        </w:rPr>
      </w:pPr>
    </w:p>
    <w:p w:rsidR="00800283" w:rsidRDefault="00800283" w14:paraId="7A3EEE2D" w14:textId="77777777">
      <w:pPr>
        <w:spacing w:after="200" w:line="240" w:lineRule="auto"/>
        <w:rPr>
          <w:rFonts w:ascii="Verdana" w:hAnsi="Verdana"/>
          <w:b/>
          <w:sz w:val="18"/>
          <w:szCs w:val="18"/>
        </w:rPr>
      </w:pPr>
      <w:r>
        <w:rPr>
          <w:rFonts w:ascii="Verdana" w:hAnsi="Verdana"/>
          <w:b/>
          <w:sz w:val="18"/>
          <w:szCs w:val="18"/>
        </w:rPr>
        <w:br w:type="page"/>
      </w:r>
    </w:p>
    <w:p w:rsidRPr="00633B05" w:rsidR="009073D2" w:rsidP="009073D2" w:rsidRDefault="009073D2" w14:paraId="1D2543F8" w14:textId="0ED7720C">
      <w:pPr>
        <w:spacing w:line="360" w:lineRule="auto"/>
        <w:rPr>
          <w:rFonts w:ascii="Verdana" w:hAnsi="Verdana"/>
          <w:sz w:val="18"/>
          <w:szCs w:val="18"/>
        </w:rPr>
      </w:pPr>
      <w:r w:rsidRPr="00633B05">
        <w:rPr>
          <w:rFonts w:ascii="Verdana" w:hAnsi="Verdana"/>
          <w:b/>
          <w:sz w:val="18"/>
          <w:szCs w:val="18"/>
        </w:rPr>
        <w:lastRenderedPageBreak/>
        <w:t>4. Grondhouding ten aanzien van bevoegdheid, subsidiariteit, proportionaliteit, financiële gevolgen en gevolgen voor regeldruk, concurrentiekracht en geopolitieke aspecten</w:t>
      </w:r>
    </w:p>
    <w:p w:rsidRPr="00633B05" w:rsidR="009073D2" w:rsidP="009073D2" w:rsidRDefault="009073D2" w14:paraId="39AD510B" w14:textId="77777777">
      <w:pPr>
        <w:numPr>
          <w:ilvl w:val="0"/>
          <w:numId w:val="4"/>
        </w:numPr>
        <w:spacing w:line="360" w:lineRule="auto"/>
        <w:rPr>
          <w:rFonts w:ascii="Verdana" w:hAnsi="Verdana"/>
          <w:i/>
          <w:sz w:val="18"/>
          <w:szCs w:val="18"/>
        </w:rPr>
      </w:pPr>
      <w:r w:rsidRPr="00633B05">
        <w:rPr>
          <w:rFonts w:ascii="Verdana" w:hAnsi="Verdana"/>
          <w:i/>
          <w:sz w:val="18"/>
          <w:szCs w:val="18"/>
        </w:rPr>
        <w:t>Bevoegdheid</w:t>
      </w:r>
    </w:p>
    <w:p w:rsidRPr="00633B05" w:rsidR="009073D2" w:rsidP="009073D2" w:rsidRDefault="009073D2" w14:paraId="490AE591" w14:textId="3DC8A7F6">
      <w:pPr>
        <w:spacing w:line="360" w:lineRule="auto"/>
        <w:rPr>
          <w:rFonts w:ascii="Verdana" w:hAnsi="Verdana"/>
          <w:sz w:val="18"/>
          <w:szCs w:val="18"/>
        </w:rPr>
      </w:pPr>
      <w:r w:rsidRPr="00633B05">
        <w:rPr>
          <w:rFonts w:ascii="Verdana" w:hAnsi="Verdana"/>
          <w:sz w:val="18"/>
          <w:szCs w:val="18"/>
        </w:rPr>
        <w:t>De grondhouding van het kabinet is positief. De mededeling heeft betrekking op de bescherming en verbetering van de volksgezondheid. Op het terrein van bescherming en verbetering van de volksgezondheid is sprake van een aanvullende bevoegdheid van de EU (artikel 6, sub a Verdrag betreffende de Werking van de Europese Unie (VWEU)). De mededeling heeft ook betrekking op het gemeenschappelijk buitenlands</w:t>
      </w:r>
      <w:r w:rsidRPr="00633B05" w:rsidR="005F2911">
        <w:rPr>
          <w:rFonts w:ascii="Verdana" w:hAnsi="Verdana"/>
          <w:sz w:val="18"/>
          <w:szCs w:val="18"/>
        </w:rPr>
        <w:t>-</w:t>
      </w:r>
      <w:r w:rsidRPr="00633B05">
        <w:rPr>
          <w:rFonts w:ascii="Verdana" w:hAnsi="Verdana"/>
          <w:sz w:val="18"/>
          <w:szCs w:val="18"/>
        </w:rPr>
        <w:t xml:space="preserve"> en veiligheidsbeleid (GBVB). De mededeling betreft namelijk het agenderen van het gezondheidsbeleid bij internationale organisaties en stakeholders. Op het terrein van het GBVB is de EU bevoegd beleid te bepalen en te voeren (artikel 2, lid 4 VWEU). De lidstaten zijn op dit terrein bevoegd om extern naast de Unie op te treden voor zover dat het optreden van de Unie niet doorkruist.</w:t>
      </w:r>
    </w:p>
    <w:p w:rsidRPr="00633B05" w:rsidR="009073D2" w:rsidP="009073D2" w:rsidRDefault="009073D2" w14:paraId="4215CBF5" w14:textId="77777777">
      <w:pPr>
        <w:spacing w:line="360" w:lineRule="auto"/>
        <w:rPr>
          <w:rFonts w:ascii="Verdana" w:hAnsi="Verdana"/>
          <w:b/>
          <w:i/>
          <w:sz w:val="18"/>
          <w:szCs w:val="18"/>
        </w:rPr>
      </w:pPr>
    </w:p>
    <w:p w:rsidRPr="00633B05" w:rsidR="009073D2" w:rsidP="009073D2" w:rsidRDefault="009073D2" w14:paraId="593E5F80" w14:textId="77777777">
      <w:pPr>
        <w:numPr>
          <w:ilvl w:val="0"/>
          <w:numId w:val="4"/>
        </w:numPr>
        <w:spacing w:line="360" w:lineRule="auto"/>
        <w:rPr>
          <w:rFonts w:ascii="Verdana" w:hAnsi="Verdana"/>
          <w:i/>
          <w:sz w:val="18"/>
          <w:szCs w:val="18"/>
        </w:rPr>
      </w:pPr>
      <w:r w:rsidRPr="00633B05">
        <w:rPr>
          <w:rFonts w:ascii="Verdana" w:hAnsi="Verdana"/>
          <w:i/>
          <w:sz w:val="18"/>
          <w:szCs w:val="18"/>
        </w:rPr>
        <w:t>Subsidiariteit</w:t>
      </w:r>
    </w:p>
    <w:p w:rsidRPr="00633B05" w:rsidR="00650F9A" w:rsidP="009073D2" w:rsidRDefault="009073D2" w14:paraId="127CC75C" w14:textId="77777777">
      <w:pPr>
        <w:pStyle w:val="Spreekpunten"/>
        <w:numPr>
          <w:ilvl w:val="0"/>
          <w:numId w:val="0"/>
        </w:numPr>
        <w:rPr>
          <w:rFonts w:ascii="Verdana" w:hAnsi="Verdana"/>
          <w:iCs/>
          <w:sz w:val="18"/>
          <w:szCs w:val="18"/>
          <w:lang w:val="nl-NL" w:eastAsia="zh-CN"/>
        </w:rPr>
      </w:pPr>
      <w:r w:rsidRPr="00633B05">
        <w:rPr>
          <w:rFonts w:ascii="Verdana" w:hAnsi="Verdana"/>
          <w:iCs/>
          <w:sz w:val="18"/>
          <w:szCs w:val="18"/>
          <w:lang w:val="nl-NL" w:eastAsia="zh-CN"/>
        </w:rPr>
        <w:t xml:space="preserve">De grondhouding van het kabinet ten aanzien van de subsidiariteit is positief. De strategie heeft tot doel bij te dragen aan een betere gezondheid voor iedereen, in een wereld die geopolitiek aan het veranderen is. Aangezien gezondheidsuitdagingen in toenemende mate grensoverschrijdend zijn, is het van belang op EU-niveau krachten te bundelen. Verbeterde coördinatie en samenwerking op EU-niveau m.b.t. mondiale gezondheidsvraagstukken stelt Nederland in staat op meer coherente en doelgerichte wijze bij te dragen aan het verbeteren van de volksgezondheid wereldwijd. De EU heeft een centrale rol waar het gaat om het versterken van internationale samenwerking op gezondheidsvlak binnen de EU en ontwikkelt zich tot een steeds grotere speler op het gebied van mondiale gezondheid. Zo speelt de EU een belangrijke rol binnen VN-gezondheidsorganisaties (WHO, UNFPA, UNICEF, UNAIDS) en grote multilaterale fondsen (incl. het Global Fund, </w:t>
      </w:r>
      <w:proofErr w:type="spellStart"/>
      <w:r w:rsidRPr="00633B05">
        <w:rPr>
          <w:rFonts w:ascii="Verdana" w:hAnsi="Verdana"/>
          <w:iCs/>
          <w:sz w:val="18"/>
          <w:szCs w:val="18"/>
          <w:lang w:val="nl-NL" w:eastAsia="zh-CN"/>
        </w:rPr>
        <w:t>Gavi</w:t>
      </w:r>
      <w:proofErr w:type="spellEnd"/>
      <w:r w:rsidRPr="00633B05">
        <w:rPr>
          <w:rFonts w:ascii="Verdana" w:hAnsi="Verdana"/>
          <w:iCs/>
          <w:sz w:val="18"/>
          <w:szCs w:val="18"/>
          <w:lang w:val="nl-NL" w:eastAsia="zh-CN"/>
        </w:rPr>
        <w:t xml:space="preserve">, het </w:t>
      </w:r>
      <w:proofErr w:type="spellStart"/>
      <w:r w:rsidRPr="00633B05">
        <w:rPr>
          <w:rFonts w:ascii="Verdana" w:hAnsi="Verdana"/>
          <w:iCs/>
          <w:sz w:val="18"/>
          <w:szCs w:val="18"/>
          <w:lang w:val="nl-NL" w:eastAsia="zh-CN"/>
        </w:rPr>
        <w:t>Pandemic</w:t>
      </w:r>
      <w:proofErr w:type="spellEnd"/>
      <w:r w:rsidRPr="00633B05">
        <w:rPr>
          <w:rFonts w:ascii="Verdana" w:hAnsi="Verdana"/>
          <w:iCs/>
          <w:sz w:val="18"/>
          <w:szCs w:val="18"/>
          <w:lang w:val="nl-NL" w:eastAsia="zh-CN"/>
        </w:rPr>
        <w:t xml:space="preserve"> Fund) en neemt het deel aan discussies en onderhandelingen binnen fora als de G7, de G20 en de Wereldbank. Op het gebied van mondiale gezondheid kan Nederland als EU-lidstaat meer bereiken door diplomatieke en/of operationele inspanning af te stemmen met EU partners en door het geopolitieke gewicht van de EU te benutten. </w:t>
      </w:r>
    </w:p>
    <w:p w:rsidRPr="00633B05" w:rsidR="009073D2" w:rsidP="009073D2" w:rsidRDefault="009073D2" w14:paraId="48E2A81C" w14:textId="27EB8C94">
      <w:pPr>
        <w:pStyle w:val="Spreekpunten"/>
        <w:numPr>
          <w:ilvl w:val="0"/>
          <w:numId w:val="0"/>
        </w:numPr>
        <w:rPr>
          <w:rFonts w:ascii="Verdana" w:hAnsi="Verdana"/>
          <w:iCs/>
          <w:sz w:val="18"/>
          <w:szCs w:val="18"/>
          <w:lang w:val="nl-NL" w:eastAsia="zh-CN"/>
        </w:rPr>
      </w:pPr>
      <w:r w:rsidRPr="00633B05">
        <w:rPr>
          <w:rFonts w:ascii="Verdana" w:hAnsi="Verdana"/>
          <w:iCs/>
          <w:sz w:val="18"/>
          <w:szCs w:val="18"/>
          <w:lang w:val="nl-NL" w:eastAsia="zh-CN"/>
        </w:rPr>
        <w:t>Een groot deel van de Nederlandse inzet op het gebied van mondiale gezondheid vindt daarom plaats in EU-verband. Om die redenen is optreden op het niveau van de Unie gerechtvaardigd.</w:t>
      </w:r>
    </w:p>
    <w:p w:rsidRPr="00633B05" w:rsidR="009073D2" w:rsidP="009073D2" w:rsidRDefault="009073D2" w14:paraId="3A58289E" w14:textId="77777777">
      <w:pPr>
        <w:pStyle w:val="Spreekpunten"/>
        <w:numPr>
          <w:ilvl w:val="0"/>
          <w:numId w:val="0"/>
        </w:numPr>
        <w:rPr>
          <w:rFonts w:ascii="Verdana" w:hAnsi="Verdana"/>
          <w:iCs/>
          <w:sz w:val="18"/>
          <w:szCs w:val="18"/>
          <w:lang w:val="nl-NL" w:eastAsia="zh-CN"/>
        </w:rPr>
      </w:pPr>
    </w:p>
    <w:p w:rsidRPr="00633B05" w:rsidR="009073D2" w:rsidP="009073D2" w:rsidRDefault="009073D2" w14:paraId="631B0532" w14:textId="77777777">
      <w:pPr>
        <w:numPr>
          <w:ilvl w:val="0"/>
          <w:numId w:val="4"/>
        </w:numPr>
        <w:spacing w:line="360" w:lineRule="auto"/>
        <w:rPr>
          <w:rFonts w:ascii="Verdana" w:hAnsi="Verdana"/>
          <w:i/>
          <w:sz w:val="18"/>
          <w:szCs w:val="18"/>
        </w:rPr>
      </w:pPr>
      <w:r w:rsidRPr="00633B05">
        <w:rPr>
          <w:rFonts w:ascii="Verdana" w:hAnsi="Verdana"/>
          <w:i/>
          <w:sz w:val="18"/>
          <w:szCs w:val="18"/>
        </w:rPr>
        <w:t xml:space="preserve">Proportionaliteit </w:t>
      </w:r>
    </w:p>
    <w:p w:rsidRPr="00633B05" w:rsidR="009073D2" w:rsidP="009073D2" w:rsidRDefault="009073D2" w14:paraId="1EA33A2A" w14:textId="40741DAC">
      <w:pPr>
        <w:spacing w:line="360" w:lineRule="auto"/>
        <w:rPr>
          <w:rFonts w:ascii="Verdana" w:hAnsi="Verdana"/>
          <w:sz w:val="18"/>
          <w:szCs w:val="18"/>
        </w:rPr>
      </w:pPr>
      <w:r w:rsidRPr="00633B05">
        <w:rPr>
          <w:rFonts w:ascii="Verdana" w:hAnsi="Verdana"/>
          <w:sz w:val="18"/>
          <w:szCs w:val="18"/>
        </w:rPr>
        <w:t xml:space="preserve">De grondhouding van het kabinet is positief. De mededeling heeft tot doel </w:t>
      </w:r>
      <w:r w:rsidRPr="00633B05">
        <w:rPr>
          <w:rFonts w:ascii="Verdana" w:hAnsi="Verdana"/>
          <w:iCs/>
          <w:sz w:val="18"/>
          <w:szCs w:val="18"/>
        </w:rPr>
        <w:t>bij te dragen aan een betere gezondheid voor iedereen, in een wereld die geopolitiek aan het veranderen is</w:t>
      </w:r>
      <w:r w:rsidRPr="00633B05">
        <w:rPr>
          <w:rFonts w:ascii="Verdana" w:hAnsi="Verdana"/>
          <w:sz w:val="18"/>
          <w:szCs w:val="18"/>
        </w:rPr>
        <w:t xml:space="preserve">. Het voorgestelde optreden is geschikt om deze doelstelling te bereiken, omdat de weerbaarheid van het mondiale gezondheidsstelsel wordt vergroot. Zo worden via de vijf prioriteiten en bijbehorende initiatieven bijvoorbeeld </w:t>
      </w:r>
      <w:r w:rsidRPr="00633B05">
        <w:rPr>
          <w:rFonts w:ascii="Verdana" w:hAnsi="Verdana"/>
          <w:iCs/>
          <w:sz w:val="18"/>
          <w:szCs w:val="18"/>
        </w:rPr>
        <w:t>de capaciteit om mondiale gezondheidsdreigingen en -crises te voorkomen en beheersen versterkt</w:t>
      </w:r>
      <w:r w:rsidRPr="00633B05">
        <w:rPr>
          <w:rFonts w:ascii="Verdana" w:hAnsi="Verdana"/>
          <w:sz w:val="18"/>
          <w:szCs w:val="18"/>
        </w:rPr>
        <w:t xml:space="preserve"> en de maatschappelijke weerbaarheid wordt vergroot door des- en misinformatie tegen te gaan. Versterkte internationale samenwerking en coördinatie stelt het kabinet verder in staat om huidige en toekomstige mondiale gezondheidsuitdagingen beter te adresseren. </w:t>
      </w:r>
    </w:p>
    <w:p w:rsidRPr="00633B05" w:rsidR="009073D2" w:rsidP="009073D2" w:rsidRDefault="009073D2" w14:paraId="76FB1F6B" w14:textId="6DAE7C31">
      <w:pPr>
        <w:spacing w:line="360" w:lineRule="auto"/>
        <w:rPr>
          <w:rFonts w:ascii="Verdana" w:hAnsi="Verdana"/>
          <w:sz w:val="18"/>
          <w:szCs w:val="18"/>
        </w:rPr>
      </w:pPr>
      <w:r w:rsidRPr="00633B05">
        <w:rPr>
          <w:rFonts w:ascii="Verdana" w:hAnsi="Verdana"/>
          <w:sz w:val="18"/>
          <w:szCs w:val="18"/>
        </w:rPr>
        <w:lastRenderedPageBreak/>
        <w:t xml:space="preserve">Het voorgestelde optreden gaat niet verder dan noodzakelijk. De mededeling richt zich namelijk (onder andere) op het ondersteunen van de zelfredzaamheid van partnerlanden op het vlak van volksgezondheid en </w:t>
      </w:r>
      <w:r w:rsidRPr="00633B05">
        <w:rPr>
          <w:rFonts w:ascii="Verdana" w:hAnsi="Verdana"/>
          <w:iCs/>
          <w:sz w:val="18"/>
          <w:szCs w:val="18"/>
        </w:rPr>
        <w:t>versterking van de capaciteit om mondiale gezondheidsdreigingen en -crises te voorkomen en te beheersen</w:t>
      </w:r>
      <w:r w:rsidRPr="00633B05">
        <w:rPr>
          <w:rFonts w:ascii="Verdana" w:hAnsi="Verdana"/>
          <w:sz w:val="18"/>
          <w:szCs w:val="18"/>
        </w:rPr>
        <w:t xml:space="preserve">. Lidstaten krijgen ook voldoende ruimte om binnen een meer gestroomlijnd en multilateraal stelsel te acteren op het gebied van mondiale gezondheid, bijvoorbeeld via een Team Europe benadering. </w:t>
      </w:r>
      <w:bookmarkStart w:name="_Hlk231894383" w:id="4"/>
      <w:r w:rsidRPr="00633B05">
        <w:rPr>
          <w:rFonts w:ascii="Verdana" w:hAnsi="Verdana"/>
          <w:sz w:val="18"/>
          <w:szCs w:val="18"/>
        </w:rPr>
        <w:t>De mededeling biedt echter geen inzicht in de looptijd, de voorziene financiering en de budgettaire dekking van dit initiatief. Daarnaast ontbreekt duidelijkheid over de betrokkenheid van specifieke EU-diensten bij de uitvoering van het initiatief</w:t>
      </w:r>
      <w:r w:rsidRPr="00633B05" w:rsidR="008F76B5">
        <w:rPr>
          <w:rFonts w:ascii="Verdana" w:hAnsi="Verdana"/>
          <w:sz w:val="18"/>
          <w:szCs w:val="18"/>
        </w:rPr>
        <w:t xml:space="preserve"> en over de mogelijkheden voor lidstaten om implementatie van het initiatief vorm te geven</w:t>
      </w:r>
      <w:r w:rsidRPr="00633B05">
        <w:rPr>
          <w:rFonts w:ascii="Verdana" w:hAnsi="Verdana"/>
          <w:sz w:val="18"/>
          <w:szCs w:val="18"/>
        </w:rPr>
        <w:t>. Het kabinet zal bij de Commissie aandringen op nadere verduidelijking op deze punten.</w:t>
      </w:r>
      <w:bookmarkEnd w:id="4"/>
    </w:p>
    <w:p w:rsidRPr="00633B05" w:rsidR="009073D2" w:rsidP="009073D2" w:rsidRDefault="009073D2" w14:paraId="1AF134A0" w14:textId="77777777">
      <w:pPr>
        <w:pStyle w:val="Spreekpunten"/>
        <w:numPr>
          <w:ilvl w:val="0"/>
          <w:numId w:val="0"/>
        </w:numPr>
        <w:rPr>
          <w:rFonts w:ascii="Verdana" w:hAnsi="Verdana"/>
          <w:iCs/>
          <w:sz w:val="18"/>
          <w:szCs w:val="18"/>
          <w:lang w:val="nl-NL" w:eastAsia="zh-CN"/>
        </w:rPr>
      </w:pPr>
    </w:p>
    <w:p w:rsidRPr="00633B05" w:rsidR="009073D2" w:rsidP="009073D2" w:rsidRDefault="009073D2" w14:paraId="327C8F34" w14:textId="77777777">
      <w:pPr>
        <w:numPr>
          <w:ilvl w:val="0"/>
          <w:numId w:val="4"/>
        </w:numPr>
        <w:spacing w:line="360" w:lineRule="auto"/>
        <w:rPr>
          <w:rFonts w:ascii="Verdana" w:hAnsi="Verdana"/>
          <w:i/>
          <w:sz w:val="18"/>
          <w:szCs w:val="18"/>
        </w:rPr>
      </w:pPr>
      <w:r w:rsidRPr="00633B05">
        <w:rPr>
          <w:rFonts w:ascii="Verdana" w:hAnsi="Verdana"/>
          <w:i/>
          <w:sz w:val="18"/>
          <w:szCs w:val="18"/>
        </w:rPr>
        <w:t>Financiële gevolgen</w:t>
      </w:r>
    </w:p>
    <w:p w:rsidRPr="00633B05" w:rsidR="009073D2" w:rsidP="009073D2" w:rsidRDefault="009073D2" w14:paraId="6F8E96C1" w14:textId="362BF005">
      <w:pPr>
        <w:spacing w:line="360" w:lineRule="auto"/>
        <w:rPr>
          <w:rFonts w:ascii="Verdana" w:hAnsi="Verdana"/>
          <w:sz w:val="18"/>
          <w:szCs w:val="18"/>
        </w:rPr>
      </w:pPr>
      <w:r w:rsidRPr="00633B05">
        <w:rPr>
          <w:rFonts w:ascii="Verdana" w:hAnsi="Verdana"/>
          <w:sz w:val="18"/>
          <w:szCs w:val="18"/>
        </w:rPr>
        <w:t xml:space="preserve">Eventuele budgettaire gevolgen worden ingepast op de begroting van de beleidsverantwoordelijke departementen, conform de regels van de budgetdiscipline. De ambities van deze strategie vereisen wereldwijd belangrijke politieke en financiële toezeggingen. Effectieve financiering is daarom een belangrijk onderdeel van de strategie. De financiële bijdrage van de EU zal </w:t>
      </w:r>
      <w:r w:rsidRPr="00633B05" w:rsidR="00561DA6">
        <w:rPr>
          <w:rFonts w:ascii="Verdana" w:hAnsi="Verdana"/>
          <w:sz w:val="18"/>
          <w:szCs w:val="18"/>
        </w:rPr>
        <w:t xml:space="preserve">naar verwachting </w:t>
      </w:r>
      <w:r w:rsidRPr="00633B05">
        <w:rPr>
          <w:rFonts w:ascii="Verdana" w:hAnsi="Verdana"/>
          <w:sz w:val="18"/>
          <w:szCs w:val="18"/>
        </w:rPr>
        <w:t xml:space="preserve">voornamelijk afkomstig zijn van de </w:t>
      </w:r>
      <w:proofErr w:type="spellStart"/>
      <w:r w:rsidRPr="00633B05">
        <w:rPr>
          <w:rFonts w:ascii="Verdana" w:hAnsi="Verdana"/>
          <w:i/>
          <w:iCs/>
          <w:sz w:val="18"/>
          <w:szCs w:val="18"/>
        </w:rPr>
        <w:t>Neighbourhood</w:t>
      </w:r>
      <w:proofErr w:type="spellEnd"/>
      <w:r w:rsidRPr="00633B05">
        <w:rPr>
          <w:rFonts w:ascii="Verdana" w:hAnsi="Verdana"/>
          <w:i/>
          <w:iCs/>
          <w:sz w:val="18"/>
          <w:szCs w:val="18"/>
        </w:rPr>
        <w:t xml:space="preserve">, Development and International Cooperation instrument (NDICI) </w:t>
      </w:r>
      <w:r w:rsidRPr="00633B05">
        <w:rPr>
          <w:rFonts w:ascii="Verdana" w:hAnsi="Verdana"/>
          <w:sz w:val="18"/>
          <w:szCs w:val="18"/>
        </w:rPr>
        <w:t xml:space="preserve">- </w:t>
      </w:r>
      <w:r w:rsidRPr="00633B05">
        <w:rPr>
          <w:rFonts w:ascii="Verdana" w:hAnsi="Verdana"/>
          <w:i/>
          <w:iCs/>
          <w:sz w:val="18"/>
          <w:szCs w:val="18"/>
        </w:rPr>
        <w:t>Global Europe</w:t>
      </w:r>
      <w:r w:rsidRPr="00633B05">
        <w:rPr>
          <w:rStyle w:val="FootnoteReference"/>
          <w:rFonts w:ascii="Verdana" w:hAnsi="Verdana"/>
          <w:i/>
          <w:iCs/>
          <w:sz w:val="18"/>
          <w:szCs w:val="18"/>
        </w:rPr>
        <w:footnoteReference w:id="20"/>
      </w:r>
      <w:r w:rsidRPr="00633B05">
        <w:rPr>
          <w:rFonts w:ascii="Verdana" w:hAnsi="Verdana"/>
          <w:sz w:val="18"/>
          <w:szCs w:val="18"/>
        </w:rPr>
        <w:t xml:space="preserve"> en EU4Health</w:t>
      </w:r>
      <w:r w:rsidRPr="00633B05">
        <w:rPr>
          <w:rStyle w:val="FootnoteReference"/>
          <w:rFonts w:ascii="Verdana" w:hAnsi="Verdana"/>
          <w:sz w:val="18"/>
          <w:szCs w:val="18"/>
        </w:rPr>
        <w:footnoteReference w:id="21"/>
      </w:r>
      <w:r w:rsidRPr="00633B05">
        <w:rPr>
          <w:rFonts w:ascii="Verdana" w:hAnsi="Verdana"/>
          <w:sz w:val="18"/>
          <w:szCs w:val="18"/>
        </w:rPr>
        <w:t>-begrotingen. Het kabinet zal de Commissie vragen aan te geven wat het financieel beslag van de toekomstige voorstellen zal zijn.</w:t>
      </w:r>
    </w:p>
    <w:p w:rsidRPr="00633B05" w:rsidR="009073D2" w:rsidP="009073D2" w:rsidRDefault="009073D2" w14:paraId="4C3A5449" w14:textId="77777777">
      <w:pPr>
        <w:spacing w:line="360" w:lineRule="auto"/>
        <w:rPr>
          <w:rFonts w:ascii="Verdana" w:hAnsi="Verdana"/>
          <w:sz w:val="18"/>
          <w:szCs w:val="18"/>
        </w:rPr>
      </w:pPr>
    </w:p>
    <w:p w:rsidRPr="00633B05" w:rsidR="009073D2" w:rsidP="009073D2" w:rsidRDefault="009073D2" w14:paraId="74C05D31" w14:textId="77777777">
      <w:pPr>
        <w:numPr>
          <w:ilvl w:val="0"/>
          <w:numId w:val="4"/>
        </w:numPr>
        <w:spacing w:line="360" w:lineRule="auto"/>
        <w:rPr>
          <w:rFonts w:ascii="Verdana" w:hAnsi="Verdana"/>
          <w:i/>
          <w:sz w:val="18"/>
          <w:szCs w:val="18"/>
        </w:rPr>
      </w:pPr>
      <w:r w:rsidRPr="00633B05">
        <w:rPr>
          <w:rFonts w:ascii="Verdana" w:hAnsi="Verdana"/>
          <w:i/>
          <w:sz w:val="18"/>
          <w:szCs w:val="18"/>
        </w:rPr>
        <w:t>Gevolgen voor regeldruk, concurrentiekracht en geopolitieke aspecten</w:t>
      </w:r>
    </w:p>
    <w:p w:rsidRPr="00633B05" w:rsidR="009073D2" w:rsidP="009073D2" w:rsidRDefault="009073D2" w14:paraId="12C4177E" w14:textId="62C3288A">
      <w:pPr>
        <w:autoSpaceDE w:val="0"/>
        <w:autoSpaceDN w:val="0"/>
        <w:adjustRightInd w:val="0"/>
        <w:spacing w:line="360" w:lineRule="auto"/>
        <w:rPr>
          <w:rFonts w:ascii="Verdana" w:hAnsi="Verdana" w:eastAsia="MS Mincho"/>
          <w:sz w:val="18"/>
          <w:szCs w:val="18"/>
        </w:rPr>
      </w:pPr>
      <w:r w:rsidRPr="00633B05">
        <w:rPr>
          <w:rFonts w:ascii="Verdana" w:hAnsi="Verdana" w:eastAsia="MS Mincho"/>
          <w:sz w:val="18"/>
          <w:szCs w:val="18"/>
        </w:rPr>
        <w:t xml:space="preserve">Er is geen sprake van extra verplichte regelgeving. In de mededeling vormt mondiale gezondheid een essentiële pijler van het externe beleid van de EU, een kritieke sector in geopolitiek opzicht en centraal in de open strategische autonomie van de EU. Mede met behulp van deze aanpak probeert de Commissie ervoor te zorgen dat open strategische autonomie werkelijkheid wordt. Dit kan het kabinet mede helpen om de risico’s van strategische afhankelijkheden te verminderen en onze publieke belangen beter te borgen, ook op het terrein van volksgezondheid. </w:t>
      </w:r>
    </w:p>
    <w:p w:rsidRPr="00633B05" w:rsidR="009073D2" w:rsidP="009073D2" w:rsidRDefault="009073D2" w14:paraId="07C5E577" w14:textId="77777777">
      <w:pPr>
        <w:autoSpaceDE w:val="0"/>
        <w:autoSpaceDN w:val="0"/>
        <w:adjustRightInd w:val="0"/>
        <w:spacing w:line="360" w:lineRule="auto"/>
        <w:rPr>
          <w:rFonts w:ascii="Verdana" w:hAnsi="Verdana" w:eastAsia="MS Mincho"/>
          <w:sz w:val="18"/>
          <w:szCs w:val="18"/>
        </w:rPr>
      </w:pPr>
    </w:p>
    <w:p w:rsidRPr="00275F86" w:rsidR="004D120D" w:rsidP="00275F86" w:rsidRDefault="009073D2" w14:paraId="126AD4A5" w14:textId="44A5802F">
      <w:pPr>
        <w:autoSpaceDE w:val="0"/>
        <w:autoSpaceDN w:val="0"/>
        <w:adjustRightInd w:val="0"/>
        <w:spacing w:line="360" w:lineRule="auto"/>
        <w:rPr>
          <w:rFonts w:ascii="Verdana" w:hAnsi="Verdana" w:eastAsia="MS Mincho"/>
          <w:sz w:val="18"/>
          <w:szCs w:val="18"/>
        </w:rPr>
      </w:pPr>
      <w:r w:rsidRPr="00633B05">
        <w:rPr>
          <w:rFonts w:ascii="Verdana" w:hAnsi="Verdana"/>
          <w:sz w:val="18"/>
          <w:szCs w:val="18"/>
        </w:rPr>
        <w:t xml:space="preserve">In geopolitieke zin, is het </w:t>
      </w:r>
      <w:r w:rsidRPr="00633B05">
        <w:rPr>
          <w:rFonts w:ascii="Verdana" w:hAnsi="Verdana"/>
          <w:i/>
          <w:iCs/>
          <w:sz w:val="18"/>
          <w:szCs w:val="18"/>
        </w:rPr>
        <w:t>GHRI</w:t>
      </w:r>
      <w:r w:rsidRPr="00633B05">
        <w:rPr>
          <w:rFonts w:ascii="Verdana" w:hAnsi="Verdana"/>
          <w:sz w:val="18"/>
          <w:szCs w:val="18"/>
        </w:rPr>
        <w:t xml:space="preserve"> een reactie van de Commissie op de dalende internationale financiering voor mondiale gezondheid en de teruglopende betrokkenheid van sommige belangrijke donoren bij multilaterale samenwerking die in combinatie eerder behaalde gezondheidswinst en beheersing van grensoverschrijdende infectieziekten onder druk zetten. Wereldwijd neemt daardoor het risico op grootschalige uitbraken van infectieziekten toe, met mogelijke gevolgen voor de volksgezondheid, economische stabiliteit en veiligheid van de EU en Nederland. Middels het </w:t>
      </w:r>
      <w:r w:rsidRPr="00633B05">
        <w:rPr>
          <w:rFonts w:ascii="Verdana" w:hAnsi="Verdana"/>
          <w:i/>
          <w:iCs/>
          <w:sz w:val="18"/>
          <w:szCs w:val="18"/>
        </w:rPr>
        <w:t xml:space="preserve">GHRI </w:t>
      </w:r>
      <w:r w:rsidRPr="00633B05">
        <w:rPr>
          <w:rFonts w:ascii="Verdana" w:hAnsi="Verdana"/>
          <w:sz w:val="18"/>
          <w:szCs w:val="18"/>
        </w:rPr>
        <w:t xml:space="preserve">beoogt de Commissie de EU te positioneren als </w:t>
      </w:r>
      <w:r w:rsidRPr="00633B05">
        <w:rPr>
          <w:rFonts w:ascii="Verdana" w:hAnsi="Verdana" w:eastAsia="MS Mincho"/>
          <w:sz w:val="18"/>
          <w:szCs w:val="18"/>
        </w:rPr>
        <w:t xml:space="preserve">betrouwbare en voorspelbare leider op het gebied van mondiale gezondheid. Het initiatief biedt de Unie daarmee een kans om op een belangrijk thema als mondiale gezondheid, de relaties met partnerlanden in het mondiale zuiden te versterken. </w:t>
      </w:r>
    </w:p>
    <w:sectPr w:rsidRPr="00275F86" w:rsidR="004D120D" w:rsidSect="009A6E40">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0" w:footer="0"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817CB" w14:textId="77777777" w:rsidR="00EA6493" w:rsidRDefault="00EA6493" w:rsidP="00CC3DCA">
      <w:pPr>
        <w:spacing w:line="240" w:lineRule="auto"/>
      </w:pPr>
      <w:r>
        <w:separator/>
      </w:r>
    </w:p>
  </w:endnote>
  <w:endnote w:type="continuationSeparator" w:id="0">
    <w:p w14:paraId="24785568" w14:textId="77777777" w:rsidR="00EA6493" w:rsidRDefault="00EA6493" w:rsidP="00CC3D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ejaVu Sans">
    <w:altName w:val="Verdana"/>
    <w:charset w:val="00"/>
    <w:family w:val="swiss"/>
    <w:pitch w:val="variable"/>
    <w:sig w:usb0="E7002EFF" w:usb1="D200FDFF" w:usb2="0A042029" w:usb3="00000000" w:csb0="800001FF" w:csb1="00000000"/>
  </w:font>
  <w:font w:name="Lohit Hindi">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17947" w14:textId="10A2B266" w:rsidR="00D41751" w:rsidRDefault="0085439B">
    <w:pPr>
      <w:pStyle w:val="Footer"/>
      <w:framePr w:wrap="around" w:vAnchor="text" w:hAnchor="margin" w:xAlign="center" w:y="1"/>
      <w:rPr>
        <w:rStyle w:val="PageNumber"/>
      </w:rPr>
    </w:pPr>
    <w:r>
      <w:rPr>
        <w:noProof/>
      </w:rPr>
      <mc:AlternateContent>
        <mc:Choice Requires="wps">
          <w:drawing>
            <wp:anchor distT="0" distB="0" distL="0" distR="0" simplePos="0" relativeHeight="251658241" behindDoc="0" locked="0" layoutInCell="1" allowOverlap="1" wp14:anchorId="4CA29F56" wp14:editId="222CFEC5">
              <wp:simplePos x="635" y="635"/>
              <wp:positionH relativeFrom="page">
                <wp:align>left</wp:align>
              </wp:positionH>
              <wp:positionV relativeFrom="page">
                <wp:align>bottom</wp:align>
              </wp:positionV>
              <wp:extent cx="1009015" cy="368300"/>
              <wp:effectExtent l="0" t="0" r="635" b="0"/>
              <wp:wrapNone/>
              <wp:docPr id="1202922211"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8300"/>
                      </a:xfrm>
                      <a:prstGeom prst="rect">
                        <a:avLst/>
                      </a:prstGeom>
                      <a:noFill/>
                      <a:ln>
                        <a:noFill/>
                      </a:ln>
                    </wps:spPr>
                    <wps:txbx>
                      <w:txbxContent>
                        <w:p w14:paraId="4CEEA8CA" w14:textId="7ACE384D" w:rsidR="0085439B" w:rsidRPr="0085439B" w:rsidRDefault="0085439B" w:rsidP="0085439B">
                          <w:pPr>
                            <w:rPr>
                              <w:rFonts w:ascii="Aptos" w:eastAsia="Aptos" w:hAnsi="Aptos" w:cs="Aptos"/>
                              <w:noProof/>
                              <w:color w:val="000000"/>
                              <w:sz w:val="20"/>
                            </w:rPr>
                          </w:pPr>
                          <w:r w:rsidRPr="0085439B">
                            <w:rPr>
                              <w:rFonts w:ascii="Aptos" w:eastAsia="Aptos" w:hAnsi="Aptos" w:cs="Aptos"/>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CA29F56" id="_x0000_t202" coordsize="21600,21600" o:spt="202" path="m,l,21600r21600,l21600,xe">
              <v:stroke joinstyle="miter"/>
              <v:path gradientshapeok="t" o:connecttype="rect"/>
            </v:shapetype>
            <v:shape id="Tekstvak 2" o:spid="_x0000_s1026" type="#_x0000_t202" alt="Intern gebruik" style="position:absolute;left:0;text-align:left;margin-left:0;margin-top:0;width:79.45pt;height:29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" filled="f" stroked="f">
              <v:textbox style="mso-fit-shape-to-text:t" inset="20pt,0,0,15pt">
                <w:txbxContent>
                  <w:p w14:paraId="4CEEA8CA" w14:textId="7ACE384D" w:rsidR="0085439B" w:rsidRPr="0085439B" w:rsidRDefault="0085439B" w:rsidP="0085439B">
                    <w:pPr>
                      <w:rPr>
                        <w:rFonts w:ascii="Aptos" w:eastAsia="Aptos" w:hAnsi="Aptos" w:cs="Aptos"/>
                        <w:noProof/>
                        <w:color w:val="000000"/>
                        <w:sz w:val="20"/>
                      </w:rPr>
                    </w:pPr>
                    <w:r w:rsidRPr="0085439B">
                      <w:rPr>
                        <w:rFonts w:ascii="Aptos" w:eastAsia="Aptos" w:hAnsi="Aptos" w:cs="Aptos"/>
                        <w:noProof/>
                        <w:color w:val="000000"/>
                        <w:sz w:val="20"/>
                      </w:rPr>
                      <w:t>Intern gebruik</w:t>
                    </w:r>
                  </w:p>
                </w:txbxContent>
              </v:textbox>
              <w10:wrap anchorx="page" anchory="page"/>
            </v:shape>
          </w:pict>
        </mc:Fallback>
      </mc:AlternateContent>
    </w:r>
    <w:r w:rsidR="0071299D">
      <w:rPr>
        <w:rStyle w:val="PageNumber"/>
      </w:rPr>
      <w:fldChar w:fldCharType="begin"/>
    </w:r>
    <w:r w:rsidR="0071299D">
      <w:rPr>
        <w:rStyle w:val="PageNumber"/>
      </w:rPr>
      <w:instrText xml:space="preserve">PAGE  </w:instrText>
    </w:r>
    <w:r w:rsidR="0071299D">
      <w:rPr>
        <w:rStyle w:val="PageNumber"/>
      </w:rPr>
      <w:fldChar w:fldCharType="separate"/>
    </w:r>
    <w:r w:rsidR="00990FCB">
      <w:rPr>
        <w:rStyle w:val="PageNumber"/>
        <w:noProof/>
      </w:rPr>
      <w:t>10</w:t>
    </w:r>
    <w:r w:rsidR="0071299D">
      <w:rPr>
        <w:rStyle w:val="PageNumber"/>
      </w:rPr>
      <w:fldChar w:fldCharType="end"/>
    </w:r>
  </w:p>
  <w:p w14:paraId="7E369B64" w14:textId="77777777" w:rsidR="00D41751" w:rsidRDefault="00D417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80C8A" w14:textId="4CBAE810" w:rsidR="00D41751" w:rsidRDefault="0071299D">
    <w:pPr>
      <w:pStyle w:val="Footer"/>
    </w:pPr>
    <w:r>
      <w:fldChar w:fldCharType="begin"/>
    </w:r>
    <w:r>
      <w:instrText xml:space="preserve"> PAGE  \* LOWER </w:instrText>
    </w:r>
    <w:r>
      <w:fldChar w:fldCharType="separate"/>
    </w:r>
    <w:r w:rsidR="00DA54C1">
      <w:rPr>
        <w:noProof/>
      </w:rPr>
      <w:t>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F6821" w14:textId="4715D229" w:rsidR="0085439B" w:rsidRDefault="0085439B">
    <w:pPr>
      <w:pStyle w:val="Footer"/>
    </w:pPr>
    <w:r>
      <w:rPr>
        <w:noProof/>
      </w:rPr>
      <mc:AlternateContent>
        <mc:Choice Requires="wps">
          <w:drawing>
            <wp:anchor distT="0" distB="0" distL="0" distR="0" simplePos="0" relativeHeight="251658240" behindDoc="0" locked="0" layoutInCell="1" allowOverlap="1" wp14:anchorId="2B2C4643" wp14:editId="2779F21D">
              <wp:simplePos x="635" y="635"/>
              <wp:positionH relativeFrom="page">
                <wp:align>left</wp:align>
              </wp:positionH>
              <wp:positionV relativeFrom="page">
                <wp:align>bottom</wp:align>
              </wp:positionV>
              <wp:extent cx="1009015" cy="368300"/>
              <wp:effectExtent l="0" t="0" r="635" b="0"/>
              <wp:wrapNone/>
              <wp:docPr id="1858913762"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8300"/>
                      </a:xfrm>
                      <a:prstGeom prst="rect">
                        <a:avLst/>
                      </a:prstGeom>
                      <a:noFill/>
                      <a:ln>
                        <a:noFill/>
                      </a:ln>
                    </wps:spPr>
                    <wps:txbx>
                      <w:txbxContent>
                        <w:p w14:paraId="1CFB3095" w14:textId="6B839101" w:rsidR="0085439B" w:rsidRPr="0085439B" w:rsidRDefault="0085439B" w:rsidP="0085439B">
                          <w:pPr>
                            <w:rPr>
                              <w:rFonts w:ascii="Aptos" w:eastAsia="Aptos" w:hAnsi="Aptos" w:cs="Aptos"/>
                              <w:noProof/>
                              <w:color w:val="000000"/>
                              <w:sz w:val="20"/>
                            </w:rPr>
                          </w:pPr>
                          <w:r w:rsidRPr="0085439B">
                            <w:rPr>
                              <w:rFonts w:ascii="Aptos" w:eastAsia="Aptos" w:hAnsi="Aptos" w:cs="Aptos"/>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B2C4643" id="_x0000_t202" coordsize="21600,21600" o:spt="202" path="m,l,21600r21600,l21600,xe">
              <v:stroke joinstyle="miter"/>
              <v:path gradientshapeok="t" o:connecttype="rect"/>
            </v:shapetype>
            <v:shape id="Tekstvak 1" o:spid="_x0000_s1027" type="#_x0000_t202" alt="Intern gebruik" style="position:absolute;left:0;text-align:left;margin-left:0;margin-top:0;width:79.45pt;height:29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" filled="f" stroked="f">
              <v:textbox style="mso-fit-shape-to-text:t" inset="20pt,0,0,15pt">
                <w:txbxContent>
                  <w:p w14:paraId="1CFB3095" w14:textId="6B839101" w:rsidR="0085439B" w:rsidRPr="0085439B" w:rsidRDefault="0085439B" w:rsidP="0085439B">
                    <w:pPr>
                      <w:rPr>
                        <w:rFonts w:ascii="Aptos" w:eastAsia="Aptos" w:hAnsi="Aptos" w:cs="Aptos"/>
                        <w:noProof/>
                        <w:color w:val="000000"/>
                        <w:sz w:val="20"/>
                      </w:rPr>
                    </w:pPr>
                    <w:r w:rsidRPr="0085439B">
                      <w:rPr>
                        <w:rFonts w:ascii="Aptos" w:eastAsia="Aptos" w:hAnsi="Aptos" w:cs="Aptos"/>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86AAF" w14:textId="77777777" w:rsidR="00EA6493" w:rsidRDefault="00EA6493" w:rsidP="00CC3DCA">
      <w:pPr>
        <w:spacing w:line="240" w:lineRule="auto"/>
      </w:pPr>
      <w:r>
        <w:separator/>
      </w:r>
    </w:p>
  </w:footnote>
  <w:footnote w:type="continuationSeparator" w:id="0">
    <w:p w14:paraId="16AFA77E" w14:textId="77777777" w:rsidR="00EA6493" w:rsidRDefault="00EA6493" w:rsidP="00CC3DCA">
      <w:pPr>
        <w:spacing w:line="240" w:lineRule="auto"/>
      </w:pPr>
      <w:r>
        <w:continuationSeparator/>
      </w:r>
    </w:p>
  </w:footnote>
  <w:footnote w:id="1">
    <w:p w14:paraId="5C671BAE" w14:textId="646FD212" w:rsidR="00251D42" w:rsidRPr="00683360" w:rsidRDefault="00251D42" w:rsidP="00655DAE">
      <w:pPr>
        <w:pStyle w:val="FootnoteText"/>
        <w:ind w:left="142" w:hanging="142"/>
        <w:rPr>
          <w:rFonts w:ascii="Verdana" w:hAnsi="Verdana"/>
          <w:sz w:val="16"/>
          <w:szCs w:val="16"/>
          <w:lang w:val="en-US"/>
        </w:rPr>
      </w:pPr>
      <w:r w:rsidRPr="00683360">
        <w:rPr>
          <w:rStyle w:val="FootnoteReference"/>
          <w:rFonts w:ascii="Verdana" w:hAnsi="Verdana"/>
          <w:sz w:val="16"/>
          <w:szCs w:val="16"/>
        </w:rPr>
        <w:footnoteRef/>
      </w:r>
      <w:r w:rsidRPr="00683360">
        <w:rPr>
          <w:rFonts w:ascii="Verdana" w:hAnsi="Verdana"/>
          <w:sz w:val="16"/>
          <w:szCs w:val="16"/>
          <w:lang w:val="en-US"/>
        </w:rPr>
        <w:t xml:space="preserve"> </w:t>
      </w:r>
      <w:hyperlink r:id="rId1" w:history="1">
        <w:r w:rsidR="00EC2468" w:rsidRPr="00EC2468">
          <w:rPr>
            <w:rStyle w:val="Hyperlink"/>
            <w:rFonts w:ascii="Verdana" w:hAnsi="Verdana"/>
            <w:sz w:val="16"/>
            <w:szCs w:val="16"/>
          </w:rPr>
          <w:t>https://ec.europa.eu/commission/presscorner/detail/ov/SPEECH_25_2053</w:t>
        </w:r>
      </w:hyperlink>
    </w:p>
  </w:footnote>
  <w:footnote w:id="2">
    <w:p w14:paraId="1057073E" w14:textId="2A2F72FB" w:rsidR="00A53618" w:rsidRPr="00EC2468" w:rsidRDefault="00A53618" w:rsidP="00655DAE">
      <w:pPr>
        <w:pStyle w:val="FootnoteText"/>
        <w:ind w:left="142" w:hanging="142"/>
        <w:rPr>
          <w:rFonts w:ascii="Verdana" w:hAnsi="Verdana"/>
          <w:sz w:val="16"/>
          <w:szCs w:val="16"/>
          <w:lang w:val="en-US"/>
        </w:rPr>
      </w:pPr>
      <w:r w:rsidRPr="00683360">
        <w:rPr>
          <w:rStyle w:val="FootnoteReference"/>
          <w:rFonts w:ascii="Verdana" w:hAnsi="Verdana"/>
          <w:sz w:val="16"/>
          <w:szCs w:val="16"/>
        </w:rPr>
        <w:footnoteRef/>
      </w:r>
      <w:r w:rsidRPr="00EC2468">
        <w:rPr>
          <w:rFonts w:ascii="Verdana" w:hAnsi="Verdana"/>
          <w:sz w:val="16"/>
          <w:szCs w:val="16"/>
          <w:lang w:val="en-US"/>
        </w:rPr>
        <w:t xml:space="preserve"> </w:t>
      </w:r>
      <w:proofErr w:type="spellStart"/>
      <w:r w:rsidRPr="00EC2468">
        <w:rPr>
          <w:rFonts w:ascii="Verdana" w:hAnsi="Verdana"/>
          <w:sz w:val="16"/>
          <w:szCs w:val="16"/>
          <w:lang w:val="en-US"/>
        </w:rPr>
        <w:t>Inclusief</w:t>
      </w:r>
      <w:proofErr w:type="spellEnd"/>
      <w:r w:rsidRPr="00EC2468">
        <w:rPr>
          <w:rFonts w:ascii="Verdana" w:hAnsi="Verdana"/>
          <w:sz w:val="16"/>
          <w:szCs w:val="16"/>
          <w:lang w:val="en-US"/>
        </w:rPr>
        <w:t xml:space="preserve"> de </w:t>
      </w:r>
      <w:hyperlink r:id="rId2" w:history="1">
        <w:r w:rsidR="00EC2468" w:rsidRPr="00EC2468">
          <w:rPr>
            <w:rStyle w:val="Hyperlink"/>
            <w:rFonts w:ascii="Verdana" w:hAnsi="Verdana"/>
            <w:sz w:val="16"/>
            <w:szCs w:val="16"/>
            <w:lang w:val="en-US"/>
          </w:rPr>
          <w:t xml:space="preserve">European Health </w:t>
        </w:r>
        <w:proofErr w:type="spellStart"/>
        <w:r w:rsidR="00EC2468" w:rsidRPr="00EC2468">
          <w:rPr>
            <w:rStyle w:val="Hyperlink"/>
            <w:rFonts w:ascii="Verdana" w:hAnsi="Verdana"/>
            <w:sz w:val="16"/>
            <w:szCs w:val="16"/>
            <w:lang w:val="en-US"/>
          </w:rPr>
          <w:t>Union</w:t>
        </w:r>
      </w:hyperlink>
      <w:r w:rsidR="00EC2468" w:rsidRPr="00EC2468">
        <w:rPr>
          <w:rFonts w:ascii="Verdana" w:hAnsi="Verdana"/>
          <w:sz w:val="16"/>
          <w:szCs w:val="16"/>
          <w:lang w:val="en-US"/>
        </w:rPr>
        <w:t>,</w:t>
      </w:r>
      <w:r w:rsidRPr="00EC2468">
        <w:rPr>
          <w:rFonts w:ascii="Verdana" w:hAnsi="Verdana"/>
          <w:sz w:val="16"/>
          <w:szCs w:val="16"/>
          <w:lang w:val="en-US"/>
        </w:rPr>
        <w:t>de</w:t>
      </w:r>
      <w:proofErr w:type="spellEnd"/>
      <w:r w:rsidRPr="00EC2468">
        <w:rPr>
          <w:rFonts w:ascii="Verdana" w:hAnsi="Verdana"/>
          <w:sz w:val="16"/>
          <w:szCs w:val="16"/>
          <w:lang w:val="en-US"/>
        </w:rPr>
        <w:t xml:space="preserve"> </w:t>
      </w:r>
      <w:hyperlink r:id="rId3" w:history="1">
        <w:r w:rsidRPr="00EC2468">
          <w:rPr>
            <w:rStyle w:val="Hyperlink"/>
            <w:rFonts w:ascii="Verdana" w:hAnsi="Verdana"/>
            <w:sz w:val="16"/>
            <w:szCs w:val="16"/>
            <w:lang w:val="en-US"/>
          </w:rPr>
          <w:t>EU-</w:t>
        </w:r>
        <w:proofErr w:type="spellStart"/>
        <w:r w:rsidRPr="00EC2468">
          <w:rPr>
            <w:rStyle w:val="Hyperlink"/>
            <w:rFonts w:ascii="Verdana" w:hAnsi="Verdana"/>
            <w:sz w:val="16"/>
            <w:szCs w:val="16"/>
            <w:lang w:val="en-US"/>
          </w:rPr>
          <w:t>strategie</w:t>
        </w:r>
        <w:proofErr w:type="spellEnd"/>
        <w:r w:rsidRPr="00EC2468">
          <w:rPr>
            <w:rStyle w:val="Hyperlink"/>
            <w:rFonts w:ascii="Verdana" w:hAnsi="Verdana"/>
            <w:sz w:val="16"/>
            <w:szCs w:val="16"/>
            <w:lang w:val="en-US"/>
          </w:rPr>
          <w:t xml:space="preserve"> </w:t>
        </w:r>
        <w:proofErr w:type="spellStart"/>
        <w:r w:rsidRPr="00EC2468">
          <w:rPr>
            <w:rStyle w:val="Hyperlink"/>
            <w:rFonts w:ascii="Verdana" w:hAnsi="Verdana"/>
            <w:sz w:val="16"/>
            <w:szCs w:val="16"/>
            <w:lang w:val="en-US"/>
          </w:rPr>
          <w:t>voor</w:t>
        </w:r>
        <w:proofErr w:type="spellEnd"/>
        <w:r w:rsidRPr="00EC2468">
          <w:rPr>
            <w:rStyle w:val="Hyperlink"/>
            <w:rFonts w:ascii="Verdana" w:hAnsi="Verdana"/>
            <w:sz w:val="16"/>
            <w:szCs w:val="16"/>
            <w:lang w:val="en-US"/>
          </w:rPr>
          <w:t xml:space="preserve"> </w:t>
        </w:r>
        <w:proofErr w:type="spellStart"/>
        <w:r w:rsidRPr="00EC2468">
          <w:rPr>
            <w:rStyle w:val="Hyperlink"/>
            <w:rFonts w:ascii="Verdana" w:hAnsi="Verdana"/>
            <w:sz w:val="16"/>
            <w:szCs w:val="16"/>
            <w:lang w:val="en-US"/>
          </w:rPr>
          <w:t>een</w:t>
        </w:r>
        <w:proofErr w:type="spellEnd"/>
        <w:r w:rsidRPr="00EC2468">
          <w:rPr>
            <w:rStyle w:val="Hyperlink"/>
            <w:rFonts w:ascii="Verdana" w:hAnsi="Verdana"/>
            <w:sz w:val="16"/>
            <w:szCs w:val="16"/>
            <w:lang w:val="en-US"/>
          </w:rPr>
          <w:t xml:space="preserve"> </w:t>
        </w:r>
        <w:proofErr w:type="spellStart"/>
        <w:r w:rsidRPr="00EC2468">
          <w:rPr>
            <w:rStyle w:val="Hyperlink"/>
            <w:rFonts w:ascii="Verdana" w:hAnsi="Verdana"/>
            <w:sz w:val="16"/>
            <w:szCs w:val="16"/>
            <w:lang w:val="en-US"/>
          </w:rPr>
          <w:t>paraatheidheidsunie</w:t>
        </w:r>
        <w:proofErr w:type="spellEnd"/>
      </w:hyperlink>
      <w:r w:rsidRPr="00EC2468">
        <w:rPr>
          <w:rFonts w:ascii="Verdana" w:hAnsi="Verdana"/>
          <w:sz w:val="16"/>
          <w:szCs w:val="16"/>
          <w:lang w:val="en-US"/>
        </w:rPr>
        <w:t xml:space="preserve">, </w:t>
      </w:r>
      <w:proofErr w:type="spellStart"/>
      <w:r w:rsidRPr="00EC2468">
        <w:rPr>
          <w:rFonts w:ascii="Verdana" w:hAnsi="Verdana"/>
          <w:sz w:val="16"/>
          <w:szCs w:val="16"/>
          <w:lang w:val="en-US"/>
        </w:rPr>
        <w:t>en</w:t>
      </w:r>
      <w:proofErr w:type="spellEnd"/>
      <w:r w:rsidRPr="00EC2468">
        <w:rPr>
          <w:rFonts w:ascii="Verdana" w:hAnsi="Verdana"/>
          <w:sz w:val="16"/>
          <w:szCs w:val="16"/>
          <w:lang w:val="en-US"/>
        </w:rPr>
        <w:t xml:space="preserve"> de </w:t>
      </w:r>
      <w:hyperlink r:id="rId4" w:history="1">
        <w:r w:rsidR="00EC2468" w:rsidRPr="00EC2468">
          <w:rPr>
            <w:rStyle w:val="Hyperlink"/>
            <w:rFonts w:ascii="Verdana" w:hAnsi="Verdana"/>
            <w:sz w:val="16"/>
            <w:szCs w:val="16"/>
            <w:lang w:val="en-US"/>
          </w:rPr>
          <w:t>EU Global Health Strategy; 'Better Health for All in a Changing World'</w:t>
        </w:r>
      </w:hyperlink>
    </w:p>
  </w:footnote>
  <w:footnote w:id="3">
    <w:p w14:paraId="50F726FB" w14:textId="4F99C165" w:rsidR="00655DAE" w:rsidRPr="00683360" w:rsidRDefault="00655DAE" w:rsidP="00655DAE">
      <w:pPr>
        <w:pStyle w:val="FootnoteText"/>
        <w:ind w:left="142" w:hanging="142"/>
        <w:rPr>
          <w:rFonts w:ascii="Verdana" w:hAnsi="Verdana"/>
          <w:sz w:val="16"/>
          <w:szCs w:val="16"/>
          <w:lang w:val="en-US"/>
        </w:rPr>
      </w:pPr>
      <w:r w:rsidRPr="00683360">
        <w:rPr>
          <w:rStyle w:val="FootnoteReference"/>
          <w:rFonts w:ascii="Verdana" w:hAnsi="Verdana"/>
          <w:sz w:val="16"/>
          <w:szCs w:val="16"/>
        </w:rPr>
        <w:footnoteRef/>
      </w:r>
      <w:r w:rsidRPr="00683360">
        <w:rPr>
          <w:rFonts w:ascii="Verdana" w:hAnsi="Verdana"/>
          <w:sz w:val="16"/>
          <w:szCs w:val="16"/>
          <w:lang w:val="en-US"/>
        </w:rPr>
        <w:t xml:space="preserve"> </w:t>
      </w:r>
      <w:hyperlink r:id="rId5" w:history="1">
        <w:r w:rsidRPr="00683360">
          <w:rPr>
            <w:rStyle w:val="Hyperlink"/>
            <w:rFonts w:ascii="Verdana" w:hAnsi="Verdana"/>
            <w:sz w:val="16"/>
            <w:szCs w:val="16"/>
            <w:lang w:val="en-US"/>
          </w:rPr>
          <w:t xml:space="preserve">Reform of the global health architecture and the UN80 </w:t>
        </w:r>
        <w:r w:rsidR="00EC2468" w:rsidRPr="00EC2468">
          <w:rPr>
            <w:rStyle w:val="Hyperlink"/>
            <w:rFonts w:ascii="Verdana" w:hAnsi="Verdana"/>
            <w:sz w:val="16"/>
            <w:szCs w:val="16"/>
            <w:lang w:val="en-US"/>
          </w:rPr>
          <w:t>initiative</w:t>
        </w:r>
      </w:hyperlink>
    </w:p>
  </w:footnote>
  <w:footnote w:id="4">
    <w:p w14:paraId="7A2D77ED" w14:textId="12C5C6B6" w:rsidR="006C6D13" w:rsidRPr="00683360" w:rsidRDefault="006C6D13" w:rsidP="009963C5">
      <w:pPr>
        <w:pStyle w:val="FootnoteText"/>
        <w:ind w:left="142" w:hanging="142"/>
        <w:rPr>
          <w:rFonts w:ascii="Verdana" w:hAnsi="Verdana"/>
          <w:sz w:val="16"/>
          <w:szCs w:val="16"/>
        </w:rPr>
      </w:pPr>
      <w:r w:rsidRPr="00683360">
        <w:rPr>
          <w:rStyle w:val="FootnoteReference"/>
          <w:rFonts w:ascii="Verdana" w:hAnsi="Verdana"/>
          <w:sz w:val="16"/>
          <w:szCs w:val="16"/>
        </w:rPr>
        <w:footnoteRef/>
      </w:r>
      <w:r w:rsidRPr="00683360">
        <w:rPr>
          <w:rFonts w:ascii="Verdana" w:hAnsi="Verdana"/>
          <w:sz w:val="16"/>
          <w:szCs w:val="16"/>
        </w:rPr>
        <w:t xml:space="preserve"> Een </w:t>
      </w:r>
      <w:r w:rsidRPr="00683360">
        <w:rPr>
          <w:rFonts w:ascii="Verdana" w:hAnsi="Verdana"/>
          <w:i/>
          <w:iCs/>
          <w:sz w:val="16"/>
          <w:szCs w:val="16"/>
        </w:rPr>
        <w:t>One Health</w:t>
      </w:r>
      <w:r w:rsidRPr="00683360">
        <w:rPr>
          <w:rFonts w:ascii="Verdana" w:hAnsi="Verdana"/>
          <w:sz w:val="16"/>
          <w:szCs w:val="16"/>
        </w:rPr>
        <w:t>-benadering erkent en adresseert de verbondenheid van menselijke, dierlijke en ecologische gezondheid</w:t>
      </w:r>
    </w:p>
  </w:footnote>
  <w:footnote w:id="5">
    <w:p w14:paraId="03DAD930" w14:textId="77777777" w:rsidR="00251D42" w:rsidRPr="00683360" w:rsidRDefault="00251D42" w:rsidP="00251D42">
      <w:pPr>
        <w:pStyle w:val="FootnoteText"/>
        <w:rPr>
          <w:rFonts w:ascii="Verdana" w:hAnsi="Verdana"/>
          <w:sz w:val="16"/>
          <w:szCs w:val="16"/>
          <w:lang w:val="en-US"/>
        </w:rPr>
      </w:pPr>
      <w:r w:rsidRPr="00683360">
        <w:rPr>
          <w:rStyle w:val="FootnoteReference"/>
          <w:rFonts w:ascii="Verdana" w:hAnsi="Verdana"/>
          <w:sz w:val="16"/>
          <w:szCs w:val="16"/>
        </w:rPr>
        <w:footnoteRef/>
      </w:r>
      <w:r w:rsidRPr="00683360">
        <w:rPr>
          <w:rFonts w:ascii="Verdana" w:hAnsi="Verdana"/>
          <w:sz w:val="16"/>
          <w:szCs w:val="16"/>
          <w:lang w:val="en-US"/>
        </w:rPr>
        <w:t xml:space="preserve"> </w:t>
      </w:r>
      <w:hyperlink r:id="rId6" w:history="1">
        <w:r w:rsidRPr="00683360">
          <w:rPr>
            <w:rStyle w:val="Hyperlink"/>
            <w:rFonts w:ascii="Verdana" w:eastAsiaTheme="majorEastAsia" w:hAnsi="Verdana"/>
            <w:sz w:val="16"/>
            <w:szCs w:val="16"/>
            <w:lang w:val="en-US"/>
          </w:rPr>
          <w:t>Kamerstuk 22112-4204</w:t>
        </w:r>
      </w:hyperlink>
    </w:p>
  </w:footnote>
  <w:footnote w:id="6">
    <w:p w14:paraId="7DCACAB2" w14:textId="77777777" w:rsidR="00251D42" w:rsidRPr="00683360" w:rsidRDefault="00251D42" w:rsidP="00251D42">
      <w:pPr>
        <w:pStyle w:val="FootnoteText"/>
        <w:rPr>
          <w:rFonts w:ascii="Verdana" w:hAnsi="Verdana"/>
          <w:sz w:val="16"/>
          <w:szCs w:val="16"/>
          <w:lang w:val="en-US"/>
        </w:rPr>
      </w:pPr>
      <w:r w:rsidRPr="00683360">
        <w:rPr>
          <w:rStyle w:val="FootnoteReference"/>
          <w:rFonts w:ascii="Verdana" w:hAnsi="Verdana"/>
          <w:sz w:val="16"/>
          <w:szCs w:val="16"/>
        </w:rPr>
        <w:footnoteRef/>
      </w:r>
      <w:r w:rsidRPr="00683360">
        <w:rPr>
          <w:rFonts w:ascii="Verdana" w:hAnsi="Verdana"/>
          <w:sz w:val="16"/>
          <w:szCs w:val="16"/>
          <w:lang w:val="en-US"/>
        </w:rPr>
        <w:t xml:space="preserve"> </w:t>
      </w:r>
      <w:hyperlink r:id="rId7" w:history="1">
        <w:r w:rsidRPr="00683360">
          <w:rPr>
            <w:rStyle w:val="Hyperlink"/>
            <w:rFonts w:ascii="Verdana" w:eastAsiaTheme="majorEastAsia" w:hAnsi="Verdana"/>
            <w:sz w:val="16"/>
            <w:szCs w:val="16"/>
            <w:lang w:val="en-US"/>
          </w:rPr>
          <w:t>Accelerating Human Development - International Partnerships</w:t>
        </w:r>
      </w:hyperlink>
    </w:p>
  </w:footnote>
  <w:footnote w:id="7">
    <w:p w14:paraId="69A5A848" w14:textId="59987F7B" w:rsidR="00AA5E3B" w:rsidRPr="00683360" w:rsidRDefault="00AA5E3B">
      <w:pPr>
        <w:pStyle w:val="FootnoteText"/>
        <w:rPr>
          <w:rFonts w:ascii="Verdana" w:hAnsi="Verdana"/>
          <w:sz w:val="16"/>
          <w:szCs w:val="16"/>
        </w:rPr>
      </w:pPr>
      <w:r w:rsidRPr="00683360">
        <w:rPr>
          <w:rStyle w:val="FootnoteReference"/>
          <w:rFonts w:ascii="Verdana" w:hAnsi="Verdana"/>
          <w:sz w:val="16"/>
          <w:szCs w:val="16"/>
        </w:rPr>
        <w:footnoteRef/>
      </w:r>
      <w:r w:rsidRPr="00EC2468">
        <w:rPr>
          <w:rFonts w:ascii="Verdana" w:hAnsi="Verdana"/>
          <w:sz w:val="16"/>
          <w:szCs w:val="16"/>
        </w:rPr>
        <w:t xml:space="preserve"> </w:t>
      </w:r>
      <w:r w:rsidR="00501429" w:rsidRPr="00501429">
        <w:rPr>
          <w:rFonts w:ascii="Verdana" w:hAnsi="Verdana"/>
          <w:sz w:val="16"/>
          <w:szCs w:val="16"/>
        </w:rPr>
        <w:t xml:space="preserve">Foreign Information </w:t>
      </w:r>
      <w:proofErr w:type="spellStart"/>
      <w:r w:rsidR="00501429" w:rsidRPr="00501429">
        <w:rPr>
          <w:rFonts w:ascii="Verdana" w:hAnsi="Verdana"/>
          <w:sz w:val="16"/>
          <w:szCs w:val="16"/>
        </w:rPr>
        <w:t>Manipulation</w:t>
      </w:r>
      <w:proofErr w:type="spellEnd"/>
      <w:r w:rsidR="00501429" w:rsidRPr="00501429">
        <w:rPr>
          <w:rFonts w:ascii="Verdana" w:hAnsi="Verdana"/>
          <w:sz w:val="16"/>
          <w:szCs w:val="16"/>
        </w:rPr>
        <w:t xml:space="preserve"> and </w:t>
      </w:r>
      <w:proofErr w:type="spellStart"/>
      <w:r w:rsidR="00501429" w:rsidRPr="00501429">
        <w:rPr>
          <w:rFonts w:ascii="Verdana" w:hAnsi="Verdana"/>
          <w:sz w:val="16"/>
          <w:szCs w:val="16"/>
        </w:rPr>
        <w:t>Interference</w:t>
      </w:r>
      <w:proofErr w:type="spellEnd"/>
      <w:r w:rsidR="00501429">
        <w:rPr>
          <w:rFonts w:ascii="Verdana" w:hAnsi="Verdana"/>
          <w:sz w:val="16"/>
          <w:szCs w:val="16"/>
        </w:rPr>
        <w:t>;</w:t>
      </w:r>
      <w:r w:rsidRPr="00683360">
        <w:rPr>
          <w:rFonts w:ascii="Verdana" w:hAnsi="Verdana"/>
          <w:sz w:val="16"/>
          <w:szCs w:val="16"/>
        </w:rPr>
        <w:t xml:space="preserve"> B</w:t>
      </w:r>
      <w:r w:rsidRPr="00683360">
        <w:rPr>
          <w:rFonts w:ascii="Verdana" w:hAnsi="Verdana"/>
          <w:iCs/>
          <w:sz w:val="16"/>
          <w:szCs w:val="16"/>
        </w:rPr>
        <w:t>uitenlandse informatie-manipulatie en inmenging.</w:t>
      </w:r>
    </w:p>
  </w:footnote>
  <w:footnote w:id="8">
    <w:p w14:paraId="154B2C95" w14:textId="49D0A0E4" w:rsidR="009073D2" w:rsidRPr="00683360" w:rsidRDefault="009073D2" w:rsidP="009073D2">
      <w:pPr>
        <w:pStyle w:val="FootnoteText"/>
        <w:rPr>
          <w:rFonts w:ascii="Verdana" w:hAnsi="Verdana"/>
          <w:sz w:val="16"/>
          <w:szCs w:val="16"/>
        </w:rPr>
      </w:pPr>
      <w:r w:rsidRPr="00683360">
        <w:rPr>
          <w:rStyle w:val="FootnoteReference"/>
          <w:rFonts w:ascii="Verdana" w:hAnsi="Verdana"/>
          <w:sz w:val="16"/>
          <w:szCs w:val="16"/>
        </w:rPr>
        <w:footnoteRef/>
      </w:r>
      <w:r w:rsidRPr="00683360">
        <w:rPr>
          <w:rFonts w:ascii="Verdana" w:hAnsi="Verdana"/>
          <w:sz w:val="16"/>
          <w:szCs w:val="16"/>
        </w:rPr>
        <w:t xml:space="preserve"> </w:t>
      </w:r>
      <w:hyperlink r:id="rId8" w:history="1">
        <w:r w:rsidRPr="009C6774">
          <w:rPr>
            <w:rStyle w:val="Hyperlink"/>
            <w:rFonts w:ascii="Verdana" w:hAnsi="Verdana"/>
            <w:sz w:val="16"/>
            <w:szCs w:val="16"/>
          </w:rPr>
          <w:t>Kamerstuk 36800-XVI-191</w:t>
        </w:r>
      </w:hyperlink>
    </w:p>
  </w:footnote>
  <w:footnote w:id="9">
    <w:p w14:paraId="7FFA0DA4" w14:textId="13772386" w:rsidR="009073D2" w:rsidRPr="00683360" w:rsidRDefault="009073D2" w:rsidP="009073D2">
      <w:pPr>
        <w:pStyle w:val="FootnoteText"/>
        <w:rPr>
          <w:rFonts w:ascii="Verdana" w:hAnsi="Verdana"/>
          <w:sz w:val="16"/>
          <w:szCs w:val="16"/>
        </w:rPr>
      </w:pPr>
      <w:r w:rsidRPr="00683360">
        <w:rPr>
          <w:rStyle w:val="FootnoteReference"/>
          <w:rFonts w:ascii="Verdana" w:hAnsi="Verdana"/>
          <w:sz w:val="16"/>
          <w:szCs w:val="16"/>
        </w:rPr>
        <w:footnoteRef/>
      </w:r>
      <w:r w:rsidRPr="00683360">
        <w:rPr>
          <w:rFonts w:ascii="Verdana" w:hAnsi="Verdana"/>
          <w:sz w:val="16"/>
          <w:szCs w:val="16"/>
        </w:rPr>
        <w:t xml:space="preserve"> </w:t>
      </w:r>
      <w:hyperlink r:id="rId9" w:history="1">
        <w:r w:rsidRPr="009C6774">
          <w:rPr>
            <w:rStyle w:val="Hyperlink"/>
            <w:rFonts w:ascii="Verdana" w:hAnsi="Verdana"/>
            <w:sz w:val="16"/>
            <w:szCs w:val="16"/>
          </w:rPr>
          <w:t>Kamerstuk 36800-V-103</w:t>
        </w:r>
      </w:hyperlink>
    </w:p>
  </w:footnote>
  <w:footnote w:id="10">
    <w:p w14:paraId="36EA51A7" w14:textId="476325B9" w:rsidR="009073D2" w:rsidRPr="00683360" w:rsidRDefault="009073D2" w:rsidP="009073D2">
      <w:pPr>
        <w:pStyle w:val="FootnoteText"/>
        <w:rPr>
          <w:rFonts w:ascii="Verdana" w:hAnsi="Verdana"/>
          <w:sz w:val="16"/>
          <w:szCs w:val="16"/>
        </w:rPr>
      </w:pPr>
      <w:r w:rsidRPr="00683360">
        <w:rPr>
          <w:rStyle w:val="FootnoteReference"/>
          <w:rFonts w:ascii="Verdana" w:hAnsi="Verdana"/>
          <w:sz w:val="16"/>
          <w:szCs w:val="16"/>
        </w:rPr>
        <w:footnoteRef/>
      </w:r>
      <w:r w:rsidRPr="00683360">
        <w:rPr>
          <w:rFonts w:ascii="Verdana" w:hAnsi="Verdana"/>
          <w:sz w:val="16"/>
          <w:szCs w:val="16"/>
        </w:rPr>
        <w:t xml:space="preserve"> </w:t>
      </w:r>
      <w:hyperlink r:id="rId10" w:history="1">
        <w:r w:rsidRPr="009C6774">
          <w:rPr>
            <w:rStyle w:val="Hyperlink"/>
            <w:rFonts w:ascii="Verdana" w:hAnsi="Verdana"/>
            <w:sz w:val="16"/>
            <w:szCs w:val="16"/>
          </w:rPr>
          <w:t>Kamerstuk 36180-25</w:t>
        </w:r>
      </w:hyperlink>
    </w:p>
  </w:footnote>
  <w:footnote w:id="11">
    <w:p w14:paraId="564B3DEC" w14:textId="77777777" w:rsidR="009073D2" w:rsidRPr="00683360" w:rsidRDefault="009073D2" w:rsidP="009073D2">
      <w:pPr>
        <w:pStyle w:val="FootnoteText"/>
        <w:ind w:left="142" w:hanging="142"/>
        <w:rPr>
          <w:rFonts w:ascii="Verdana" w:hAnsi="Verdana"/>
          <w:sz w:val="16"/>
          <w:szCs w:val="16"/>
        </w:rPr>
      </w:pPr>
      <w:r w:rsidRPr="00683360">
        <w:rPr>
          <w:rStyle w:val="FootnoteReference"/>
          <w:rFonts w:ascii="Verdana" w:hAnsi="Verdana"/>
          <w:sz w:val="16"/>
          <w:szCs w:val="16"/>
        </w:rPr>
        <w:footnoteRef/>
      </w:r>
      <w:r w:rsidRPr="00683360">
        <w:rPr>
          <w:rFonts w:ascii="Verdana" w:hAnsi="Verdana"/>
          <w:sz w:val="16"/>
          <w:szCs w:val="16"/>
        </w:rPr>
        <w:t xml:space="preserve"> Zie Kamerstuk 36180-25 (Nederlandse Mondiale Gezondheidsstrategie 2023–2030): </w:t>
      </w:r>
      <w:r w:rsidRPr="00683360">
        <w:rPr>
          <w:rFonts w:ascii="Verdana" w:hAnsi="Verdana"/>
          <w:i/>
          <w:iCs/>
          <w:sz w:val="16"/>
          <w:szCs w:val="16"/>
        </w:rPr>
        <w:t>We kunnen en willen het ook niet alleen doen. Hierbij zullen we nog meer gebruik maken van de slagkracht van de EU en strategischer kijken hoe we synergie kunnen bereiken met de inzet van andere landen, zowel bilateraal als multilateraal.</w:t>
      </w:r>
    </w:p>
  </w:footnote>
  <w:footnote w:id="12">
    <w:p w14:paraId="1F9360CD" w14:textId="77777777" w:rsidR="009073D2" w:rsidRPr="00683360" w:rsidRDefault="009073D2" w:rsidP="009073D2">
      <w:pPr>
        <w:pStyle w:val="FootnoteText"/>
        <w:rPr>
          <w:rFonts w:ascii="Verdana" w:hAnsi="Verdana"/>
          <w:sz w:val="16"/>
          <w:szCs w:val="16"/>
        </w:rPr>
      </w:pPr>
      <w:r w:rsidRPr="00683360">
        <w:rPr>
          <w:rStyle w:val="FootnoteReference"/>
          <w:rFonts w:ascii="Verdana" w:hAnsi="Verdana"/>
          <w:sz w:val="16"/>
          <w:szCs w:val="16"/>
        </w:rPr>
        <w:footnoteRef/>
      </w:r>
      <w:r w:rsidRPr="00683360">
        <w:rPr>
          <w:rFonts w:ascii="Verdana" w:hAnsi="Verdana"/>
          <w:sz w:val="16"/>
          <w:szCs w:val="16"/>
        </w:rPr>
        <w:t xml:space="preserve"> </w:t>
      </w:r>
      <w:hyperlink r:id="rId11" w:history="1">
        <w:r w:rsidRPr="00683360">
          <w:rPr>
            <w:rStyle w:val="Hyperlink"/>
            <w:rFonts w:ascii="Verdana" w:eastAsiaTheme="majorEastAsia" w:hAnsi="Verdana"/>
            <w:sz w:val="16"/>
            <w:szCs w:val="16"/>
          </w:rPr>
          <w:t>COM(2025) 529</w:t>
        </w:r>
      </w:hyperlink>
    </w:p>
  </w:footnote>
  <w:footnote w:id="13">
    <w:p w14:paraId="73F558AF" w14:textId="53B7E5F0" w:rsidR="009073D2" w:rsidRPr="00683360" w:rsidRDefault="009073D2" w:rsidP="009073D2">
      <w:pPr>
        <w:pStyle w:val="FootnoteText"/>
        <w:rPr>
          <w:rFonts w:ascii="Verdana" w:hAnsi="Verdana"/>
          <w:sz w:val="16"/>
          <w:szCs w:val="16"/>
        </w:rPr>
      </w:pPr>
      <w:r w:rsidRPr="00683360">
        <w:rPr>
          <w:rStyle w:val="FootnoteReference"/>
          <w:rFonts w:ascii="Verdana" w:hAnsi="Verdana"/>
          <w:sz w:val="16"/>
          <w:szCs w:val="16"/>
        </w:rPr>
        <w:footnoteRef/>
      </w:r>
      <w:r w:rsidRPr="00683360">
        <w:rPr>
          <w:rFonts w:ascii="Verdana" w:hAnsi="Verdana"/>
          <w:sz w:val="16"/>
          <w:szCs w:val="16"/>
        </w:rPr>
        <w:t xml:space="preserve"> </w:t>
      </w:r>
      <w:hyperlink r:id="rId12" w:history="1">
        <w:r w:rsidRPr="00683360">
          <w:rPr>
            <w:rStyle w:val="Hyperlink"/>
            <w:rFonts w:ascii="Verdana" w:eastAsiaTheme="majorEastAsia" w:hAnsi="Verdana"/>
            <w:sz w:val="16"/>
            <w:szCs w:val="16"/>
          </w:rPr>
          <w:t>Kamerstuk 22112-4161</w:t>
        </w:r>
      </w:hyperlink>
    </w:p>
  </w:footnote>
  <w:footnote w:id="14">
    <w:p w14:paraId="265824F7" w14:textId="77777777" w:rsidR="009073D2" w:rsidRPr="00683360" w:rsidRDefault="009073D2" w:rsidP="009073D2">
      <w:pPr>
        <w:pStyle w:val="FootnoteText"/>
        <w:rPr>
          <w:rFonts w:ascii="Verdana" w:hAnsi="Verdana"/>
          <w:sz w:val="16"/>
          <w:szCs w:val="16"/>
        </w:rPr>
      </w:pPr>
      <w:r w:rsidRPr="00683360">
        <w:rPr>
          <w:rStyle w:val="FootnoteReference"/>
          <w:rFonts w:ascii="Verdana" w:hAnsi="Verdana"/>
          <w:sz w:val="16"/>
          <w:szCs w:val="16"/>
        </w:rPr>
        <w:footnoteRef/>
      </w:r>
      <w:r w:rsidRPr="00683360">
        <w:rPr>
          <w:rFonts w:ascii="Verdana" w:hAnsi="Verdana"/>
          <w:sz w:val="16"/>
          <w:szCs w:val="16"/>
        </w:rPr>
        <w:t xml:space="preserve"> Voor aankoop door WHO, UNFPA, UNICEF en UNAIDS, zie: </w:t>
      </w:r>
      <w:hyperlink r:id="rId13" w:history="1">
        <w:r w:rsidRPr="00683360">
          <w:rPr>
            <w:rStyle w:val="Hyperlink"/>
            <w:rFonts w:ascii="Verdana" w:eastAsiaTheme="majorEastAsia" w:hAnsi="Verdana"/>
            <w:sz w:val="16"/>
            <w:szCs w:val="16"/>
          </w:rPr>
          <w:t>VN website over aanbestedingen per land</w:t>
        </w:r>
      </w:hyperlink>
    </w:p>
  </w:footnote>
  <w:footnote w:id="15">
    <w:p w14:paraId="1E8EE715" w14:textId="77777777" w:rsidR="009073D2" w:rsidRPr="00683360" w:rsidRDefault="009073D2" w:rsidP="009073D2">
      <w:pPr>
        <w:pStyle w:val="FootnoteText"/>
        <w:ind w:left="142" w:hanging="142"/>
        <w:rPr>
          <w:rFonts w:ascii="Verdana" w:hAnsi="Verdana"/>
          <w:sz w:val="16"/>
          <w:szCs w:val="16"/>
        </w:rPr>
      </w:pPr>
      <w:r w:rsidRPr="00683360">
        <w:rPr>
          <w:rStyle w:val="FootnoteReference"/>
          <w:rFonts w:ascii="Verdana" w:hAnsi="Verdana"/>
          <w:sz w:val="16"/>
          <w:szCs w:val="16"/>
        </w:rPr>
        <w:footnoteRef/>
      </w:r>
      <w:r w:rsidRPr="00683360">
        <w:rPr>
          <w:rFonts w:ascii="Verdana" w:hAnsi="Verdana"/>
          <w:sz w:val="16"/>
          <w:szCs w:val="16"/>
        </w:rPr>
        <w:t xml:space="preserve"> Via deze </w:t>
      </w:r>
      <w:proofErr w:type="spellStart"/>
      <w:r w:rsidRPr="00683360">
        <w:rPr>
          <w:rFonts w:ascii="Verdana" w:hAnsi="Verdana"/>
          <w:sz w:val="16"/>
          <w:szCs w:val="16"/>
        </w:rPr>
        <w:t>PDPs</w:t>
      </w:r>
      <w:proofErr w:type="spellEnd"/>
      <w:r w:rsidRPr="00683360">
        <w:rPr>
          <w:rFonts w:ascii="Verdana" w:hAnsi="Verdana"/>
          <w:sz w:val="16"/>
          <w:szCs w:val="16"/>
        </w:rPr>
        <w:t xml:space="preserve"> is bijvoorbeeld in 2026 een baanbrekend geneesmiddel tegen slaapziekte ontwikkeld. In 2025 werd in Oeganda  en met steun van WHO een </w:t>
      </w:r>
      <w:proofErr w:type="spellStart"/>
      <w:r w:rsidRPr="00683360">
        <w:rPr>
          <w:rFonts w:ascii="Verdana" w:hAnsi="Verdana"/>
          <w:sz w:val="16"/>
          <w:szCs w:val="16"/>
        </w:rPr>
        <w:t>kandidaatvaccin</w:t>
      </w:r>
      <w:proofErr w:type="spellEnd"/>
      <w:r w:rsidRPr="00683360">
        <w:rPr>
          <w:rFonts w:ascii="Verdana" w:hAnsi="Verdana"/>
          <w:sz w:val="16"/>
          <w:szCs w:val="16"/>
        </w:rPr>
        <w:t>, dat via een PDP was ontwikkeld, ingezet om een uitbraak van de Sudan-variant van het Ebolavirus te beheersen.</w:t>
      </w:r>
    </w:p>
  </w:footnote>
  <w:footnote w:id="16">
    <w:p w14:paraId="6B43D1D0" w14:textId="25808568" w:rsidR="009073D2" w:rsidRPr="00236A31" w:rsidRDefault="009073D2" w:rsidP="009073D2">
      <w:pPr>
        <w:pStyle w:val="FootnoteText"/>
        <w:rPr>
          <w:rFonts w:ascii="Verdana" w:hAnsi="Verdana"/>
          <w:sz w:val="16"/>
          <w:szCs w:val="16"/>
          <w:lang w:val="en-US"/>
        </w:rPr>
      </w:pPr>
      <w:r w:rsidRPr="00683360">
        <w:rPr>
          <w:rStyle w:val="FootnoteReference"/>
          <w:rFonts w:ascii="Verdana" w:hAnsi="Verdana"/>
          <w:sz w:val="16"/>
          <w:szCs w:val="16"/>
        </w:rPr>
        <w:footnoteRef/>
      </w:r>
      <w:r w:rsidRPr="00236A31">
        <w:rPr>
          <w:rFonts w:ascii="Verdana" w:hAnsi="Verdana"/>
          <w:sz w:val="16"/>
          <w:szCs w:val="16"/>
          <w:lang w:val="en-US"/>
        </w:rPr>
        <w:t xml:space="preserve"> </w:t>
      </w:r>
      <w:hyperlink r:id="rId14" w:history="1">
        <w:r w:rsidR="009C6774" w:rsidRPr="00236A31">
          <w:rPr>
            <w:rStyle w:val="Hyperlink"/>
            <w:rFonts w:ascii="Verdana" w:hAnsi="Verdana"/>
            <w:sz w:val="16"/>
            <w:szCs w:val="16"/>
            <w:lang w:val="en-US"/>
          </w:rPr>
          <w:t>Kamerstuk 30821-173</w:t>
        </w:r>
      </w:hyperlink>
    </w:p>
  </w:footnote>
  <w:footnote w:id="17">
    <w:p w14:paraId="23D519D1" w14:textId="0912A8EE" w:rsidR="009073D2" w:rsidRPr="009C6774" w:rsidRDefault="009073D2" w:rsidP="009073D2">
      <w:pPr>
        <w:pStyle w:val="FootnoteText"/>
        <w:rPr>
          <w:rFonts w:ascii="Verdana" w:hAnsi="Verdana"/>
          <w:sz w:val="16"/>
          <w:szCs w:val="16"/>
          <w:lang w:val="en-US"/>
        </w:rPr>
      </w:pPr>
      <w:r w:rsidRPr="00683360">
        <w:rPr>
          <w:rStyle w:val="FootnoteReference"/>
          <w:rFonts w:ascii="Verdana" w:hAnsi="Verdana"/>
          <w:sz w:val="16"/>
          <w:szCs w:val="16"/>
        </w:rPr>
        <w:footnoteRef/>
      </w:r>
      <w:r w:rsidRPr="009C6774">
        <w:rPr>
          <w:rFonts w:ascii="Verdana" w:hAnsi="Verdana"/>
          <w:sz w:val="16"/>
          <w:szCs w:val="16"/>
          <w:lang w:val="en-US"/>
        </w:rPr>
        <w:t xml:space="preserve"> </w:t>
      </w:r>
      <w:hyperlink r:id="rId15" w:history="1">
        <w:r w:rsidR="00AF3851">
          <w:rPr>
            <w:rStyle w:val="Hyperlink"/>
            <w:rFonts w:ascii="Verdana" w:hAnsi="Verdana"/>
            <w:sz w:val="16"/>
            <w:szCs w:val="16"/>
            <w:lang w:val="en-US"/>
          </w:rPr>
          <w:t>WHO</w:t>
        </w:r>
        <w:r w:rsidR="009C6774" w:rsidRPr="009C6774">
          <w:rPr>
            <w:rStyle w:val="Hyperlink"/>
            <w:rFonts w:ascii="Verdana" w:hAnsi="Verdana"/>
            <w:sz w:val="16"/>
            <w:szCs w:val="16"/>
            <w:lang w:val="en-US"/>
          </w:rPr>
          <w:t xml:space="preserve"> - Managing the COVID-19 infodemic - Call for Action</w:t>
        </w:r>
      </w:hyperlink>
    </w:p>
  </w:footnote>
  <w:footnote w:id="18">
    <w:p w14:paraId="414C2724" w14:textId="77777777" w:rsidR="009073D2" w:rsidRPr="00683360" w:rsidRDefault="009073D2" w:rsidP="009073D2">
      <w:pPr>
        <w:pStyle w:val="FootnoteText"/>
        <w:rPr>
          <w:rFonts w:ascii="Verdana" w:hAnsi="Verdana"/>
          <w:sz w:val="16"/>
          <w:szCs w:val="16"/>
          <w:lang w:val="en-US"/>
        </w:rPr>
      </w:pPr>
      <w:r w:rsidRPr="00683360">
        <w:rPr>
          <w:rStyle w:val="FootnoteReference"/>
          <w:rFonts w:ascii="Verdana" w:hAnsi="Verdana"/>
          <w:sz w:val="16"/>
          <w:szCs w:val="16"/>
        </w:rPr>
        <w:footnoteRef/>
      </w:r>
      <w:r w:rsidRPr="00683360">
        <w:rPr>
          <w:rFonts w:ascii="Verdana" w:hAnsi="Verdana"/>
          <w:sz w:val="16"/>
          <w:szCs w:val="16"/>
          <w:lang w:val="en-US"/>
        </w:rPr>
        <w:t xml:space="preserve"> </w:t>
      </w:r>
      <w:hyperlink r:id="rId16" w:history="1">
        <w:r w:rsidRPr="00683360">
          <w:rPr>
            <w:rStyle w:val="Hyperlink"/>
            <w:rFonts w:ascii="Verdana" w:eastAsiaTheme="majorEastAsia" w:hAnsi="Verdana"/>
            <w:sz w:val="16"/>
            <w:szCs w:val="16"/>
            <w:lang w:val="en-US"/>
          </w:rPr>
          <w:t>The Digital Services Act | Shaping Europe’s digital future</w:t>
        </w:r>
      </w:hyperlink>
    </w:p>
  </w:footnote>
  <w:footnote w:id="19">
    <w:p w14:paraId="21865D1B" w14:textId="77777777" w:rsidR="009073D2" w:rsidRPr="00683360" w:rsidRDefault="009073D2" w:rsidP="009073D2">
      <w:pPr>
        <w:pStyle w:val="FootnoteText"/>
        <w:rPr>
          <w:rFonts w:ascii="Verdana" w:hAnsi="Verdana"/>
          <w:sz w:val="16"/>
          <w:szCs w:val="16"/>
          <w:lang w:val="en-US"/>
        </w:rPr>
      </w:pPr>
      <w:r w:rsidRPr="00683360">
        <w:rPr>
          <w:rStyle w:val="FootnoteReference"/>
          <w:rFonts w:ascii="Verdana" w:hAnsi="Verdana"/>
          <w:sz w:val="16"/>
          <w:szCs w:val="16"/>
        </w:rPr>
        <w:footnoteRef/>
      </w:r>
      <w:r w:rsidRPr="00683360">
        <w:rPr>
          <w:rFonts w:ascii="Verdana" w:hAnsi="Verdana"/>
          <w:sz w:val="16"/>
          <w:szCs w:val="16"/>
          <w:lang w:val="en-US"/>
        </w:rPr>
        <w:t xml:space="preserve"> </w:t>
      </w:r>
      <w:hyperlink r:id="rId17" w:history="1">
        <w:r w:rsidRPr="00683360">
          <w:rPr>
            <w:rStyle w:val="Hyperlink"/>
            <w:rFonts w:ascii="Verdana" w:eastAsiaTheme="majorEastAsia" w:hAnsi="Verdana"/>
            <w:sz w:val="16"/>
            <w:szCs w:val="16"/>
            <w:lang w:val="en-US"/>
          </w:rPr>
          <w:t>The 2022 Code of Practice on Disinformation | Shaping Europe’s digital future</w:t>
        </w:r>
      </w:hyperlink>
    </w:p>
  </w:footnote>
  <w:footnote w:id="20">
    <w:p w14:paraId="3AAEA429" w14:textId="31F584FE" w:rsidR="009073D2" w:rsidRPr="00683360" w:rsidRDefault="009073D2" w:rsidP="009073D2">
      <w:pPr>
        <w:pStyle w:val="FootnoteText"/>
        <w:rPr>
          <w:rFonts w:ascii="Verdana" w:hAnsi="Verdana"/>
          <w:sz w:val="16"/>
          <w:szCs w:val="16"/>
          <w:lang w:val="en-US"/>
        </w:rPr>
      </w:pPr>
      <w:r w:rsidRPr="00683360">
        <w:rPr>
          <w:rStyle w:val="FootnoteReference"/>
          <w:rFonts w:ascii="Verdana" w:hAnsi="Verdana"/>
          <w:sz w:val="16"/>
          <w:szCs w:val="16"/>
        </w:rPr>
        <w:footnoteRef/>
      </w:r>
      <w:r w:rsidRPr="00EC2468">
        <w:rPr>
          <w:rFonts w:ascii="Verdana" w:hAnsi="Verdana"/>
          <w:sz w:val="16"/>
          <w:szCs w:val="16"/>
          <w:lang w:val="en-US"/>
        </w:rPr>
        <w:t xml:space="preserve"> </w:t>
      </w:r>
      <w:hyperlink r:id="rId18" w:history="1">
        <w:r w:rsidR="002C2411">
          <w:rPr>
            <w:rStyle w:val="Hyperlink"/>
            <w:rFonts w:ascii="Verdana" w:hAnsi="Verdana"/>
            <w:sz w:val="16"/>
            <w:szCs w:val="16"/>
            <w:lang w:val="en-US"/>
          </w:rPr>
          <w:t>Kamerstuk 22112, nr. 2682</w:t>
        </w:r>
      </w:hyperlink>
    </w:p>
  </w:footnote>
  <w:footnote w:id="21">
    <w:p w14:paraId="58DC7A15" w14:textId="77777777" w:rsidR="009073D2" w:rsidRPr="00683360" w:rsidRDefault="009073D2" w:rsidP="009073D2">
      <w:pPr>
        <w:pStyle w:val="FootnoteText"/>
        <w:rPr>
          <w:rFonts w:ascii="Verdana" w:hAnsi="Verdana"/>
          <w:sz w:val="16"/>
          <w:szCs w:val="16"/>
          <w:lang w:val="en-US"/>
        </w:rPr>
      </w:pPr>
      <w:r w:rsidRPr="00683360">
        <w:rPr>
          <w:rStyle w:val="FootnoteReference"/>
          <w:rFonts w:ascii="Verdana" w:hAnsi="Verdana"/>
          <w:sz w:val="16"/>
          <w:szCs w:val="16"/>
        </w:rPr>
        <w:footnoteRef/>
      </w:r>
      <w:r w:rsidRPr="00683360">
        <w:rPr>
          <w:rFonts w:ascii="Verdana" w:hAnsi="Verdana"/>
          <w:sz w:val="16"/>
          <w:szCs w:val="16"/>
          <w:lang w:val="en-US"/>
        </w:rPr>
        <w:t xml:space="preserve"> </w:t>
      </w:r>
      <w:hyperlink r:id="rId19" w:history="1">
        <w:r w:rsidRPr="00683360">
          <w:rPr>
            <w:rStyle w:val="Hyperlink"/>
            <w:rFonts w:ascii="Verdana" w:eastAsiaTheme="majorEastAsia" w:hAnsi="Verdana"/>
            <w:sz w:val="16"/>
            <w:szCs w:val="16"/>
            <w:lang w:val="en-US"/>
          </w:rPr>
          <w:t xml:space="preserve">EU4Health </w:t>
        </w:r>
        <w:proofErr w:type="spellStart"/>
        <w:r w:rsidRPr="00683360">
          <w:rPr>
            <w:rStyle w:val="Hyperlink"/>
            <w:rFonts w:ascii="Verdana" w:eastAsiaTheme="majorEastAsia" w:hAnsi="Verdana"/>
            <w:sz w:val="16"/>
            <w:szCs w:val="16"/>
            <w:lang w:val="en-US"/>
          </w:rPr>
          <w:t>programme</w:t>
        </w:r>
        <w:proofErr w:type="spellEnd"/>
        <w:r w:rsidRPr="00683360">
          <w:rPr>
            <w:rStyle w:val="Hyperlink"/>
            <w:rFonts w:ascii="Verdana" w:eastAsiaTheme="majorEastAsia" w:hAnsi="Verdana"/>
            <w:sz w:val="16"/>
            <w:szCs w:val="16"/>
            <w:lang w:val="en-US"/>
          </w:rPr>
          <w:t xml:space="preserve"> 2021-2027 – a vision for a healthier European Union - Public Health (europa.eu)</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611AA" w14:textId="77777777" w:rsidR="005A1443" w:rsidRDefault="005A14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744E8" w14:textId="77777777" w:rsidR="00ED4F68" w:rsidRDefault="00ED4F68">
    <w:pPr>
      <w:pStyle w:val="Header"/>
      <w:rPr>
        <w:lang w:val="en-US"/>
      </w:rPr>
    </w:pPr>
  </w:p>
  <w:p w14:paraId="49C76D5D" w14:textId="77777777" w:rsidR="00ED4F68" w:rsidRDefault="00ED4F68">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FAC00" w14:textId="77777777" w:rsidR="005A1443" w:rsidRDefault="005A14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Heading1"/>
      <w:lvlText w:val="%1"/>
      <w:legacy w:legacy="1" w:legacySpace="284" w:legacyIndent="0"/>
      <w:lvlJc w:val="left"/>
      <w:rPr>
        <w:rFonts w:ascii="Tms Rmn" w:hAnsi="Tms Rmn" w:hint="default"/>
        <w:b w:val="0"/>
        <w:i w:val="0"/>
        <w:strike w:val="0"/>
        <w:u w:val="none"/>
      </w:rPr>
    </w:lvl>
    <w:lvl w:ilvl="1">
      <w:start w:val="1"/>
      <w:numFmt w:val="decimal"/>
      <w:pStyle w:val="Heading2"/>
      <w:lvlText w:val="%1.%2"/>
      <w:legacy w:legacy="1" w:legacySpace="284" w:legacyIndent="0"/>
      <w:lvlJc w:val="left"/>
      <w:rPr>
        <w:rFonts w:ascii="Tms Rmn" w:hAnsi="Tms Rmn" w:hint="default"/>
        <w:b w:val="0"/>
        <w:i w:val="0"/>
        <w:strike w:val="0"/>
        <w:u w:val="none"/>
      </w:rPr>
    </w:lvl>
    <w:lvl w:ilvl="2">
      <w:start w:val="1"/>
      <w:numFmt w:val="decimal"/>
      <w:pStyle w:val="Heading3"/>
      <w:lvlText w:val="%1.%2.%3"/>
      <w:legacy w:legacy="1" w:legacySpace="284" w:legacyIndent="0"/>
      <w:lvlJc w:val="left"/>
      <w:rPr>
        <w:rFonts w:ascii="Tms Rmn" w:hAnsi="Tms Rmn" w:hint="default"/>
        <w:b w:val="0"/>
        <w:i w:val="0"/>
        <w:strike w:val="0"/>
        <w:u w:val="none"/>
      </w:rPr>
    </w:lvl>
    <w:lvl w:ilvl="3">
      <w:numFmt w:val="none"/>
      <w:pStyle w:val="Heading4"/>
      <w:suff w:val="nothing"/>
      <w:lvlText w:val=""/>
      <w:lvlJc w:val="left"/>
      <w:rPr>
        <w:rFonts w:ascii="Tms Rmn" w:hAnsi="Tms Rmn" w:hint="default"/>
        <w:b w:val="0"/>
        <w:i w:val="0"/>
        <w:strike w:val="0"/>
        <w:u w:val="none"/>
      </w:rPr>
    </w:lvl>
    <w:lvl w:ilvl="4">
      <w:start w:val="1"/>
      <w:numFmt w:val="decimal"/>
      <w:pStyle w:val="Heading5"/>
      <w:lvlText w:val="(%5)"/>
      <w:legacy w:legacy="1" w:legacySpace="0" w:legacyIndent="708"/>
      <w:lvlJc w:val="left"/>
      <w:pPr>
        <w:ind w:left="708" w:hanging="708"/>
      </w:pPr>
    </w:lvl>
    <w:lvl w:ilvl="5">
      <w:start w:val="1"/>
      <w:numFmt w:val="lowerLetter"/>
      <w:pStyle w:val="Heading6"/>
      <w:lvlText w:val="(%6)"/>
      <w:legacy w:legacy="1" w:legacySpace="0" w:legacyIndent="708"/>
      <w:lvlJc w:val="left"/>
      <w:pPr>
        <w:ind w:left="1416" w:hanging="708"/>
      </w:pPr>
    </w:lvl>
    <w:lvl w:ilvl="6">
      <w:start w:val="1"/>
      <w:numFmt w:val="lowerRoman"/>
      <w:pStyle w:val="Heading7"/>
      <w:lvlText w:val="(%7)"/>
      <w:legacy w:legacy="1" w:legacySpace="0" w:legacyIndent="708"/>
      <w:lvlJc w:val="left"/>
      <w:pPr>
        <w:ind w:left="2124" w:hanging="708"/>
      </w:pPr>
    </w:lvl>
    <w:lvl w:ilvl="7">
      <w:start w:val="1"/>
      <w:numFmt w:val="lowerLetter"/>
      <w:pStyle w:val="Heading8"/>
      <w:lvlText w:val="(%8)"/>
      <w:legacy w:legacy="1" w:legacySpace="0" w:legacyIndent="708"/>
      <w:lvlJc w:val="left"/>
      <w:pPr>
        <w:ind w:left="2832" w:hanging="708"/>
      </w:pPr>
    </w:lvl>
    <w:lvl w:ilvl="8">
      <w:start w:val="1"/>
      <w:numFmt w:val="lowerRoman"/>
      <w:pStyle w:val="Heading9"/>
      <w:lvlText w:val="(%9)"/>
      <w:legacy w:legacy="1" w:legacySpace="0" w:legacyIndent="708"/>
      <w:lvlJc w:val="left"/>
      <w:pPr>
        <w:ind w:left="3540" w:hanging="708"/>
      </w:pPr>
    </w:lvl>
  </w:abstractNum>
  <w:abstractNum w:abstractNumId="1" w15:restartNumberingAfterBreak="0">
    <w:nsid w:val="00F439B0"/>
    <w:multiLevelType w:val="hybridMultilevel"/>
    <w:tmpl w:val="089EFFA8"/>
    <w:lvl w:ilvl="0" w:tplc="10747CE6">
      <w:start w:val="5"/>
      <w:numFmt w:val="decimal"/>
      <w:lvlText w:val="%1."/>
      <w:lvlJc w:val="left"/>
      <w:pPr>
        <w:ind w:left="720" w:hanging="360"/>
      </w:pPr>
      <w:rPr>
        <w:rFonts w:ascii="Times New Roman" w:hAnsi="Times New Roman" w:hint="default"/>
        <w:b w:val="0"/>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4711D05"/>
    <w:multiLevelType w:val="hybridMultilevel"/>
    <w:tmpl w:val="D4D0AEE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5757D7C"/>
    <w:multiLevelType w:val="hybridMultilevel"/>
    <w:tmpl w:val="8A902F8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4" w15:restartNumberingAfterBreak="0">
    <w:nsid w:val="0A743053"/>
    <w:multiLevelType w:val="multilevel"/>
    <w:tmpl w:val="13DE9194"/>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DF0042"/>
    <w:multiLevelType w:val="hybridMultilevel"/>
    <w:tmpl w:val="2C0A0026"/>
    <w:lvl w:ilvl="0" w:tplc="22A0C64C">
      <w:start w:val="1"/>
      <w:numFmt w:val="bullet"/>
      <w:lvlText w:val=""/>
      <w:lvlJc w:val="left"/>
      <w:pPr>
        <w:ind w:left="1020" w:hanging="360"/>
      </w:pPr>
      <w:rPr>
        <w:rFonts w:ascii="Symbol" w:hAnsi="Symbol"/>
      </w:rPr>
    </w:lvl>
    <w:lvl w:ilvl="1" w:tplc="C7EAEE2C">
      <w:start w:val="1"/>
      <w:numFmt w:val="bullet"/>
      <w:lvlText w:val=""/>
      <w:lvlJc w:val="left"/>
      <w:pPr>
        <w:ind w:left="1020" w:hanging="360"/>
      </w:pPr>
      <w:rPr>
        <w:rFonts w:ascii="Symbol" w:hAnsi="Symbol"/>
      </w:rPr>
    </w:lvl>
    <w:lvl w:ilvl="2" w:tplc="B258703E">
      <w:start w:val="1"/>
      <w:numFmt w:val="bullet"/>
      <w:lvlText w:val=""/>
      <w:lvlJc w:val="left"/>
      <w:pPr>
        <w:ind w:left="1020" w:hanging="360"/>
      </w:pPr>
      <w:rPr>
        <w:rFonts w:ascii="Symbol" w:hAnsi="Symbol"/>
      </w:rPr>
    </w:lvl>
    <w:lvl w:ilvl="3" w:tplc="986032E8">
      <w:start w:val="1"/>
      <w:numFmt w:val="bullet"/>
      <w:lvlText w:val=""/>
      <w:lvlJc w:val="left"/>
      <w:pPr>
        <w:ind w:left="1020" w:hanging="360"/>
      </w:pPr>
      <w:rPr>
        <w:rFonts w:ascii="Symbol" w:hAnsi="Symbol"/>
      </w:rPr>
    </w:lvl>
    <w:lvl w:ilvl="4" w:tplc="6310C10E">
      <w:start w:val="1"/>
      <w:numFmt w:val="bullet"/>
      <w:lvlText w:val=""/>
      <w:lvlJc w:val="left"/>
      <w:pPr>
        <w:ind w:left="1020" w:hanging="360"/>
      </w:pPr>
      <w:rPr>
        <w:rFonts w:ascii="Symbol" w:hAnsi="Symbol"/>
      </w:rPr>
    </w:lvl>
    <w:lvl w:ilvl="5" w:tplc="CF1AA77C">
      <w:start w:val="1"/>
      <w:numFmt w:val="bullet"/>
      <w:lvlText w:val=""/>
      <w:lvlJc w:val="left"/>
      <w:pPr>
        <w:ind w:left="1020" w:hanging="360"/>
      </w:pPr>
      <w:rPr>
        <w:rFonts w:ascii="Symbol" w:hAnsi="Symbol"/>
      </w:rPr>
    </w:lvl>
    <w:lvl w:ilvl="6" w:tplc="BBFC6068">
      <w:start w:val="1"/>
      <w:numFmt w:val="bullet"/>
      <w:lvlText w:val=""/>
      <w:lvlJc w:val="left"/>
      <w:pPr>
        <w:ind w:left="1020" w:hanging="360"/>
      </w:pPr>
      <w:rPr>
        <w:rFonts w:ascii="Symbol" w:hAnsi="Symbol"/>
      </w:rPr>
    </w:lvl>
    <w:lvl w:ilvl="7" w:tplc="01EE8238">
      <w:start w:val="1"/>
      <w:numFmt w:val="bullet"/>
      <w:lvlText w:val=""/>
      <w:lvlJc w:val="left"/>
      <w:pPr>
        <w:ind w:left="1020" w:hanging="360"/>
      </w:pPr>
      <w:rPr>
        <w:rFonts w:ascii="Symbol" w:hAnsi="Symbol"/>
      </w:rPr>
    </w:lvl>
    <w:lvl w:ilvl="8" w:tplc="01044498">
      <w:start w:val="1"/>
      <w:numFmt w:val="bullet"/>
      <w:lvlText w:val=""/>
      <w:lvlJc w:val="left"/>
      <w:pPr>
        <w:ind w:left="1020" w:hanging="360"/>
      </w:pPr>
      <w:rPr>
        <w:rFonts w:ascii="Symbol" w:hAnsi="Symbol"/>
      </w:rPr>
    </w:lvl>
  </w:abstractNum>
  <w:abstractNum w:abstractNumId="6" w15:restartNumberingAfterBreak="0">
    <w:nsid w:val="1DD52696"/>
    <w:multiLevelType w:val="hybridMultilevel"/>
    <w:tmpl w:val="8098BADC"/>
    <w:lvl w:ilvl="0" w:tplc="FE12C330">
      <w:start w:val="1"/>
      <w:numFmt w:val="bullet"/>
      <w:lvlText w:val="-"/>
      <w:lvlJc w:val="left"/>
      <w:pPr>
        <w:ind w:left="1069" w:hanging="360"/>
      </w:pPr>
      <w:rPr>
        <w:rFonts w:ascii="Verdana" w:eastAsia="Times New Roman" w:hAnsi="Verdana" w:cs="Times New Roman"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7"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EC629F"/>
    <w:multiLevelType w:val="hybridMultilevel"/>
    <w:tmpl w:val="80D87F3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09117A9"/>
    <w:multiLevelType w:val="hybridMultilevel"/>
    <w:tmpl w:val="CA5CC2D8"/>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2AA55EE"/>
    <w:multiLevelType w:val="hybridMultilevel"/>
    <w:tmpl w:val="6232AC3E"/>
    <w:lvl w:ilvl="0" w:tplc="612C713A">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3034855"/>
    <w:multiLevelType w:val="hybridMultilevel"/>
    <w:tmpl w:val="D4F42BEC"/>
    <w:lvl w:ilvl="0" w:tplc="095684F2">
      <w:start w:val="1"/>
      <w:numFmt w:val="bullet"/>
      <w:lvlText w:val=""/>
      <w:lvlJc w:val="left"/>
      <w:pPr>
        <w:ind w:left="1440" w:hanging="360"/>
      </w:pPr>
      <w:rPr>
        <w:rFonts w:ascii="Symbol" w:hAnsi="Symbol"/>
      </w:rPr>
    </w:lvl>
    <w:lvl w:ilvl="1" w:tplc="5C661336">
      <w:start w:val="1"/>
      <w:numFmt w:val="bullet"/>
      <w:lvlText w:val=""/>
      <w:lvlJc w:val="left"/>
      <w:pPr>
        <w:ind w:left="2160" w:hanging="360"/>
      </w:pPr>
      <w:rPr>
        <w:rFonts w:ascii="Symbol" w:hAnsi="Symbol"/>
      </w:rPr>
    </w:lvl>
    <w:lvl w:ilvl="2" w:tplc="2938958C">
      <w:start w:val="1"/>
      <w:numFmt w:val="bullet"/>
      <w:lvlText w:val=""/>
      <w:lvlJc w:val="left"/>
      <w:pPr>
        <w:ind w:left="1440" w:hanging="360"/>
      </w:pPr>
      <w:rPr>
        <w:rFonts w:ascii="Symbol" w:hAnsi="Symbol"/>
      </w:rPr>
    </w:lvl>
    <w:lvl w:ilvl="3" w:tplc="BCB871CC">
      <w:start w:val="1"/>
      <w:numFmt w:val="bullet"/>
      <w:lvlText w:val=""/>
      <w:lvlJc w:val="left"/>
      <w:pPr>
        <w:ind w:left="1440" w:hanging="360"/>
      </w:pPr>
      <w:rPr>
        <w:rFonts w:ascii="Symbol" w:hAnsi="Symbol"/>
      </w:rPr>
    </w:lvl>
    <w:lvl w:ilvl="4" w:tplc="1270A7F2">
      <w:start w:val="1"/>
      <w:numFmt w:val="bullet"/>
      <w:lvlText w:val=""/>
      <w:lvlJc w:val="left"/>
      <w:pPr>
        <w:ind w:left="1440" w:hanging="360"/>
      </w:pPr>
      <w:rPr>
        <w:rFonts w:ascii="Symbol" w:hAnsi="Symbol"/>
      </w:rPr>
    </w:lvl>
    <w:lvl w:ilvl="5" w:tplc="748A4F8C">
      <w:start w:val="1"/>
      <w:numFmt w:val="bullet"/>
      <w:lvlText w:val=""/>
      <w:lvlJc w:val="left"/>
      <w:pPr>
        <w:ind w:left="1440" w:hanging="360"/>
      </w:pPr>
      <w:rPr>
        <w:rFonts w:ascii="Symbol" w:hAnsi="Symbol"/>
      </w:rPr>
    </w:lvl>
    <w:lvl w:ilvl="6" w:tplc="122A49BE">
      <w:start w:val="1"/>
      <w:numFmt w:val="bullet"/>
      <w:lvlText w:val=""/>
      <w:lvlJc w:val="left"/>
      <w:pPr>
        <w:ind w:left="1440" w:hanging="360"/>
      </w:pPr>
      <w:rPr>
        <w:rFonts w:ascii="Symbol" w:hAnsi="Symbol"/>
      </w:rPr>
    </w:lvl>
    <w:lvl w:ilvl="7" w:tplc="7AF20B16">
      <w:start w:val="1"/>
      <w:numFmt w:val="bullet"/>
      <w:lvlText w:val=""/>
      <w:lvlJc w:val="left"/>
      <w:pPr>
        <w:ind w:left="1440" w:hanging="360"/>
      </w:pPr>
      <w:rPr>
        <w:rFonts w:ascii="Symbol" w:hAnsi="Symbol"/>
      </w:rPr>
    </w:lvl>
    <w:lvl w:ilvl="8" w:tplc="84A8B2FE">
      <w:start w:val="1"/>
      <w:numFmt w:val="bullet"/>
      <w:lvlText w:val=""/>
      <w:lvlJc w:val="left"/>
      <w:pPr>
        <w:ind w:left="1440" w:hanging="360"/>
      </w:pPr>
      <w:rPr>
        <w:rFonts w:ascii="Symbol" w:hAnsi="Symbol"/>
      </w:rPr>
    </w:lvl>
  </w:abstractNum>
  <w:abstractNum w:abstractNumId="12" w15:restartNumberingAfterBreak="0">
    <w:nsid w:val="39A41034"/>
    <w:multiLevelType w:val="hybridMultilevel"/>
    <w:tmpl w:val="84F65B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DE06952"/>
    <w:multiLevelType w:val="hybridMultilevel"/>
    <w:tmpl w:val="87B0E4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F416F6D"/>
    <w:multiLevelType w:val="hybridMultilevel"/>
    <w:tmpl w:val="E2929F2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3FBE2A81"/>
    <w:multiLevelType w:val="hybridMultilevel"/>
    <w:tmpl w:val="F4DC5842"/>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04F4F5F"/>
    <w:multiLevelType w:val="hybridMultilevel"/>
    <w:tmpl w:val="50F2C394"/>
    <w:lvl w:ilvl="0" w:tplc="FE12C330">
      <w:start w:val="1"/>
      <w:numFmt w:val="bullet"/>
      <w:lvlText w:val="-"/>
      <w:lvlJc w:val="left"/>
      <w:pPr>
        <w:ind w:left="1069" w:hanging="360"/>
      </w:pPr>
      <w:rPr>
        <w:rFonts w:ascii="Verdana" w:eastAsia="Times New Roman" w:hAnsi="Verdana" w:cs="Times New Roman"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17" w15:restartNumberingAfterBreak="0">
    <w:nsid w:val="44900580"/>
    <w:multiLevelType w:val="hybridMultilevel"/>
    <w:tmpl w:val="6116E0B2"/>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E2E10A0"/>
    <w:multiLevelType w:val="hybridMultilevel"/>
    <w:tmpl w:val="35DE087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4EF1327E"/>
    <w:multiLevelType w:val="hybridMultilevel"/>
    <w:tmpl w:val="ADA2C9AE"/>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50A17FF7"/>
    <w:multiLevelType w:val="hybridMultilevel"/>
    <w:tmpl w:val="DDAA5C7C"/>
    <w:lvl w:ilvl="0" w:tplc="82E29184">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2DB50B2"/>
    <w:multiLevelType w:val="hybridMultilevel"/>
    <w:tmpl w:val="F6BC11E0"/>
    <w:lvl w:ilvl="0" w:tplc="B24451C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01F4847"/>
    <w:multiLevelType w:val="hybridMultilevel"/>
    <w:tmpl w:val="10C490EE"/>
    <w:lvl w:ilvl="0" w:tplc="7E54FBBE">
      <w:start w:val="1"/>
      <w:numFmt w:val="decimal"/>
      <w:lvlText w:val="%1."/>
      <w:lvlJc w:val="left"/>
      <w:pPr>
        <w:ind w:left="360" w:hanging="360"/>
      </w:pPr>
      <w:rPr>
        <w:b/>
        <w:b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65F81549"/>
    <w:multiLevelType w:val="hybridMultilevel"/>
    <w:tmpl w:val="76B43EA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72963E7A"/>
    <w:multiLevelType w:val="hybridMultilevel"/>
    <w:tmpl w:val="5A18DD5E"/>
    <w:lvl w:ilvl="0" w:tplc="04130001">
      <w:start w:val="13"/>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4081E8C"/>
    <w:multiLevelType w:val="hybridMultilevel"/>
    <w:tmpl w:val="0C847996"/>
    <w:lvl w:ilvl="0" w:tplc="DE8097CC">
      <w:start w:val="1"/>
      <w:numFmt w:val="bullet"/>
      <w:lvlText w:val="•"/>
      <w:lvlJc w:val="left"/>
      <w:pPr>
        <w:tabs>
          <w:tab w:val="num" w:pos="720"/>
        </w:tabs>
        <w:ind w:left="720" w:hanging="360"/>
      </w:pPr>
      <w:rPr>
        <w:rFonts w:ascii="Arial" w:hAnsi="Arial" w:hint="default"/>
      </w:rPr>
    </w:lvl>
    <w:lvl w:ilvl="1" w:tplc="F2BCAF04">
      <w:start w:val="1"/>
      <w:numFmt w:val="bullet"/>
      <w:lvlText w:val="•"/>
      <w:lvlJc w:val="left"/>
      <w:pPr>
        <w:tabs>
          <w:tab w:val="num" w:pos="1440"/>
        </w:tabs>
        <w:ind w:left="1440" w:hanging="360"/>
      </w:pPr>
      <w:rPr>
        <w:rFonts w:ascii="Arial" w:hAnsi="Arial" w:hint="default"/>
      </w:rPr>
    </w:lvl>
    <w:lvl w:ilvl="2" w:tplc="AE5A25BE" w:tentative="1">
      <w:start w:val="1"/>
      <w:numFmt w:val="bullet"/>
      <w:lvlText w:val="•"/>
      <w:lvlJc w:val="left"/>
      <w:pPr>
        <w:tabs>
          <w:tab w:val="num" w:pos="2160"/>
        </w:tabs>
        <w:ind w:left="2160" w:hanging="360"/>
      </w:pPr>
      <w:rPr>
        <w:rFonts w:ascii="Arial" w:hAnsi="Arial" w:hint="default"/>
      </w:rPr>
    </w:lvl>
    <w:lvl w:ilvl="3" w:tplc="50DC700C" w:tentative="1">
      <w:start w:val="1"/>
      <w:numFmt w:val="bullet"/>
      <w:lvlText w:val="•"/>
      <w:lvlJc w:val="left"/>
      <w:pPr>
        <w:tabs>
          <w:tab w:val="num" w:pos="2880"/>
        </w:tabs>
        <w:ind w:left="2880" w:hanging="360"/>
      </w:pPr>
      <w:rPr>
        <w:rFonts w:ascii="Arial" w:hAnsi="Arial" w:hint="default"/>
      </w:rPr>
    </w:lvl>
    <w:lvl w:ilvl="4" w:tplc="D72EB19C" w:tentative="1">
      <w:start w:val="1"/>
      <w:numFmt w:val="bullet"/>
      <w:lvlText w:val="•"/>
      <w:lvlJc w:val="left"/>
      <w:pPr>
        <w:tabs>
          <w:tab w:val="num" w:pos="3600"/>
        </w:tabs>
        <w:ind w:left="3600" w:hanging="360"/>
      </w:pPr>
      <w:rPr>
        <w:rFonts w:ascii="Arial" w:hAnsi="Arial" w:hint="default"/>
      </w:rPr>
    </w:lvl>
    <w:lvl w:ilvl="5" w:tplc="3BFEE5DC" w:tentative="1">
      <w:start w:val="1"/>
      <w:numFmt w:val="bullet"/>
      <w:lvlText w:val="•"/>
      <w:lvlJc w:val="left"/>
      <w:pPr>
        <w:tabs>
          <w:tab w:val="num" w:pos="4320"/>
        </w:tabs>
        <w:ind w:left="4320" w:hanging="360"/>
      </w:pPr>
      <w:rPr>
        <w:rFonts w:ascii="Arial" w:hAnsi="Arial" w:hint="default"/>
      </w:rPr>
    </w:lvl>
    <w:lvl w:ilvl="6" w:tplc="D876A814" w:tentative="1">
      <w:start w:val="1"/>
      <w:numFmt w:val="bullet"/>
      <w:lvlText w:val="•"/>
      <w:lvlJc w:val="left"/>
      <w:pPr>
        <w:tabs>
          <w:tab w:val="num" w:pos="5040"/>
        </w:tabs>
        <w:ind w:left="5040" w:hanging="360"/>
      </w:pPr>
      <w:rPr>
        <w:rFonts w:ascii="Arial" w:hAnsi="Arial" w:hint="default"/>
      </w:rPr>
    </w:lvl>
    <w:lvl w:ilvl="7" w:tplc="7AEAD360" w:tentative="1">
      <w:start w:val="1"/>
      <w:numFmt w:val="bullet"/>
      <w:lvlText w:val="•"/>
      <w:lvlJc w:val="left"/>
      <w:pPr>
        <w:tabs>
          <w:tab w:val="num" w:pos="5760"/>
        </w:tabs>
        <w:ind w:left="5760" w:hanging="360"/>
      </w:pPr>
      <w:rPr>
        <w:rFonts w:ascii="Arial" w:hAnsi="Arial" w:hint="default"/>
      </w:rPr>
    </w:lvl>
    <w:lvl w:ilvl="8" w:tplc="BF6413E4"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8FF33D9"/>
    <w:multiLevelType w:val="hybridMultilevel"/>
    <w:tmpl w:val="168C563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7AAA10DD"/>
    <w:multiLevelType w:val="hybridMultilevel"/>
    <w:tmpl w:val="E98E7184"/>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664554350">
    <w:abstractNumId w:val="0"/>
  </w:num>
  <w:num w:numId="2" w16cid:durableId="530849523">
    <w:abstractNumId w:val="22"/>
  </w:num>
  <w:num w:numId="3" w16cid:durableId="1483035464">
    <w:abstractNumId w:val="26"/>
  </w:num>
  <w:num w:numId="4" w16cid:durableId="1079516967">
    <w:abstractNumId w:val="18"/>
  </w:num>
  <w:num w:numId="5" w16cid:durableId="1968581050">
    <w:abstractNumId w:val="7"/>
  </w:num>
  <w:num w:numId="6" w16cid:durableId="11101987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82208992">
    <w:abstractNumId w:val="17"/>
  </w:num>
  <w:num w:numId="8" w16cid:durableId="992836492">
    <w:abstractNumId w:val="14"/>
  </w:num>
  <w:num w:numId="9" w16cid:durableId="890773237">
    <w:abstractNumId w:val="13"/>
  </w:num>
  <w:num w:numId="10" w16cid:durableId="1567298006">
    <w:abstractNumId w:val="7"/>
  </w:num>
  <w:num w:numId="11" w16cid:durableId="753937102">
    <w:abstractNumId w:val="2"/>
  </w:num>
  <w:num w:numId="12" w16cid:durableId="312218462">
    <w:abstractNumId w:val="8"/>
  </w:num>
  <w:num w:numId="13" w16cid:durableId="902640056">
    <w:abstractNumId w:val="17"/>
  </w:num>
  <w:num w:numId="14" w16cid:durableId="442841416">
    <w:abstractNumId w:val="27"/>
  </w:num>
  <w:num w:numId="15" w16cid:durableId="2008941693">
    <w:abstractNumId w:val="19"/>
  </w:num>
  <w:num w:numId="16" w16cid:durableId="1582832538">
    <w:abstractNumId w:val="25"/>
  </w:num>
  <w:num w:numId="17" w16cid:durableId="310258348">
    <w:abstractNumId w:val="21"/>
  </w:num>
  <w:num w:numId="18" w16cid:durableId="345979668">
    <w:abstractNumId w:val="4"/>
  </w:num>
  <w:num w:numId="19" w16cid:durableId="1656762799">
    <w:abstractNumId w:val="1"/>
  </w:num>
  <w:num w:numId="20" w16cid:durableId="680811942">
    <w:abstractNumId w:val="3"/>
  </w:num>
  <w:num w:numId="21" w16cid:durableId="936325449">
    <w:abstractNumId w:val="15"/>
  </w:num>
  <w:num w:numId="22" w16cid:durableId="1885751455">
    <w:abstractNumId w:val="24"/>
  </w:num>
  <w:num w:numId="23" w16cid:durableId="827594420">
    <w:abstractNumId w:val="10"/>
  </w:num>
  <w:num w:numId="24" w16cid:durableId="668557705">
    <w:abstractNumId w:val="11"/>
  </w:num>
  <w:num w:numId="25" w16cid:durableId="1781222488">
    <w:abstractNumId w:val="9"/>
  </w:num>
  <w:num w:numId="26" w16cid:durableId="1657765073">
    <w:abstractNumId w:val="20"/>
  </w:num>
  <w:num w:numId="27" w16cid:durableId="529800990">
    <w:abstractNumId w:val="6"/>
  </w:num>
  <w:num w:numId="28" w16cid:durableId="51854160">
    <w:abstractNumId w:val="16"/>
  </w:num>
  <w:num w:numId="29" w16cid:durableId="1930573714">
    <w:abstractNumId w:val="5"/>
  </w:num>
  <w:num w:numId="30" w16cid:durableId="8811384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DCA"/>
    <w:rsid w:val="0000012D"/>
    <w:rsid w:val="00000414"/>
    <w:rsid w:val="00001DAD"/>
    <w:rsid w:val="000037E9"/>
    <w:rsid w:val="0000441D"/>
    <w:rsid w:val="000051E9"/>
    <w:rsid w:val="00005382"/>
    <w:rsid w:val="00005D9B"/>
    <w:rsid w:val="00006323"/>
    <w:rsid w:val="00006BEA"/>
    <w:rsid w:val="00011427"/>
    <w:rsid w:val="00012EE2"/>
    <w:rsid w:val="000133CE"/>
    <w:rsid w:val="000143CF"/>
    <w:rsid w:val="00016702"/>
    <w:rsid w:val="0001670D"/>
    <w:rsid w:val="00017176"/>
    <w:rsid w:val="00023371"/>
    <w:rsid w:val="00023B14"/>
    <w:rsid w:val="00024288"/>
    <w:rsid w:val="00027085"/>
    <w:rsid w:val="000309B1"/>
    <w:rsid w:val="000309CA"/>
    <w:rsid w:val="00031394"/>
    <w:rsid w:val="00031BD9"/>
    <w:rsid w:val="00033E61"/>
    <w:rsid w:val="00035EB0"/>
    <w:rsid w:val="00036934"/>
    <w:rsid w:val="000448D7"/>
    <w:rsid w:val="000456CD"/>
    <w:rsid w:val="00051245"/>
    <w:rsid w:val="00057B2E"/>
    <w:rsid w:val="00061B22"/>
    <w:rsid w:val="0006368A"/>
    <w:rsid w:val="0006416C"/>
    <w:rsid w:val="00064ED8"/>
    <w:rsid w:val="00065C96"/>
    <w:rsid w:val="0006692B"/>
    <w:rsid w:val="00070887"/>
    <w:rsid w:val="00075296"/>
    <w:rsid w:val="00076F42"/>
    <w:rsid w:val="00082045"/>
    <w:rsid w:val="00082C7A"/>
    <w:rsid w:val="000838EE"/>
    <w:rsid w:val="00084E2D"/>
    <w:rsid w:val="00085C7A"/>
    <w:rsid w:val="000867BB"/>
    <w:rsid w:val="00086831"/>
    <w:rsid w:val="00092FC4"/>
    <w:rsid w:val="000934E1"/>
    <w:rsid w:val="0009628D"/>
    <w:rsid w:val="000964FC"/>
    <w:rsid w:val="000A007D"/>
    <w:rsid w:val="000A0871"/>
    <w:rsid w:val="000A3165"/>
    <w:rsid w:val="000A43F7"/>
    <w:rsid w:val="000A4420"/>
    <w:rsid w:val="000A67D9"/>
    <w:rsid w:val="000B3DE8"/>
    <w:rsid w:val="000B43C4"/>
    <w:rsid w:val="000B44E5"/>
    <w:rsid w:val="000B4B34"/>
    <w:rsid w:val="000B7C3F"/>
    <w:rsid w:val="000B7DBA"/>
    <w:rsid w:val="000B7FB5"/>
    <w:rsid w:val="000C115C"/>
    <w:rsid w:val="000C37F2"/>
    <w:rsid w:val="000C4563"/>
    <w:rsid w:val="000C7EF7"/>
    <w:rsid w:val="000D0BFB"/>
    <w:rsid w:val="000D110D"/>
    <w:rsid w:val="000D2CD3"/>
    <w:rsid w:val="000D3767"/>
    <w:rsid w:val="000D44BA"/>
    <w:rsid w:val="000D7CD4"/>
    <w:rsid w:val="000E062B"/>
    <w:rsid w:val="000E3F88"/>
    <w:rsid w:val="000E58B9"/>
    <w:rsid w:val="000E71DB"/>
    <w:rsid w:val="000F0FA0"/>
    <w:rsid w:val="000F28C6"/>
    <w:rsid w:val="000F3C09"/>
    <w:rsid w:val="000F5668"/>
    <w:rsid w:val="000F741C"/>
    <w:rsid w:val="000F7BFA"/>
    <w:rsid w:val="00100C4B"/>
    <w:rsid w:val="00101EBF"/>
    <w:rsid w:val="00105A2B"/>
    <w:rsid w:val="001073A4"/>
    <w:rsid w:val="00113CE1"/>
    <w:rsid w:val="001156BB"/>
    <w:rsid w:val="001156FE"/>
    <w:rsid w:val="00115A4C"/>
    <w:rsid w:val="001176A8"/>
    <w:rsid w:val="001200EB"/>
    <w:rsid w:val="001204C9"/>
    <w:rsid w:val="001208CA"/>
    <w:rsid w:val="00120F59"/>
    <w:rsid w:val="0012280F"/>
    <w:rsid w:val="0012297D"/>
    <w:rsid w:val="00124700"/>
    <w:rsid w:val="00124AD1"/>
    <w:rsid w:val="00125E32"/>
    <w:rsid w:val="0012645F"/>
    <w:rsid w:val="00131BEE"/>
    <w:rsid w:val="00131D98"/>
    <w:rsid w:val="00141A4E"/>
    <w:rsid w:val="00142600"/>
    <w:rsid w:val="001431EC"/>
    <w:rsid w:val="00144896"/>
    <w:rsid w:val="0015161B"/>
    <w:rsid w:val="001525B9"/>
    <w:rsid w:val="00153088"/>
    <w:rsid w:val="001536B3"/>
    <w:rsid w:val="00154C29"/>
    <w:rsid w:val="0015709F"/>
    <w:rsid w:val="00157176"/>
    <w:rsid w:val="00160B06"/>
    <w:rsid w:val="00163328"/>
    <w:rsid w:val="001647F7"/>
    <w:rsid w:val="00167018"/>
    <w:rsid w:val="0016709B"/>
    <w:rsid w:val="0016753E"/>
    <w:rsid w:val="001675B2"/>
    <w:rsid w:val="00170B4D"/>
    <w:rsid w:val="00171459"/>
    <w:rsid w:val="00171EDE"/>
    <w:rsid w:val="0017477D"/>
    <w:rsid w:val="00175180"/>
    <w:rsid w:val="00175749"/>
    <w:rsid w:val="001761FE"/>
    <w:rsid w:val="0017649D"/>
    <w:rsid w:val="001764B3"/>
    <w:rsid w:val="00177340"/>
    <w:rsid w:val="00180AC9"/>
    <w:rsid w:val="00180D19"/>
    <w:rsid w:val="0018162C"/>
    <w:rsid w:val="00182565"/>
    <w:rsid w:val="00183A1C"/>
    <w:rsid w:val="00190B80"/>
    <w:rsid w:val="001917C0"/>
    <w:rsid w:val="00193082"/>
    <w:rsid w:val="00194788"/>
    <w:rsid w:val="00195922"/>
    <w:rsid w:val="00196B1C"/>
    <w:rsid w:val="001974BA"/>
    <w:rsid w:val="001A0DDB"/>
    <w:rsid w:val="001A1898"/>
    <w:rsid w:val="001A5CFB"/>
    <w:rsid w:val="001A756D"/>
    <w:rsid w:val="001B0F29"/>
    <w:rsid w:val="001B148A"/>
    <w:rsid w:val="001B33E9"/>
    <w:rsid w:val="001B555C"/>
    <w:rsid w:val="001B6513"/>
    <w:rsid w:val="001C1642"/>
    <w:rsid w:val="001C17A3"/>
    <w:rsid w:val="001C1D30"/>
    <w:rsid w:val="001C4DEA"/>
    <w:rsid w:val="001C51DC"/>
    <w:rsid w:val="001C6155"/>
    <w:rsid w:val="001D0207"/>
    <w:rsid w:val="001D1728"/>
    <w:rsid w:val="001D1F36"/>
    <w:rsid w:val="001D31AE"/>
    <w:rsid w:val="001D36B0"/>
    <w:rsid w:val="001D4B8F"/>
    <w:rsid w:val="001D625F"/>
    <w:rsid w:val="001D7C86"/>
    <w:rsid w:val="001E390D"/>
    <w:rsid w:val="001E5E4F"/>
    <w:rsid w:val="001E64A2"/>
    <w:rsid w:val="001E68C8"/>
    <w:rsid w:val="001E6CED"/>
    <w:rsid w:val="001E7041"/>
    <w:rsid w:val="001F10B0"/>
    <w:rsid w:val="001F128F"/>
    <w:rsid w:val="001F2C68"/>
    <w:rsid w:val="001F345D"/>
    <w:rsid w:val="001F3C32"/>
    <w:rsid w:val="001F71D9"/>
    <w:rsid w:val="002007D4"/>
    <w:rsid w:val="002060D7"/>
    <w:rsid w:val="00206B0B"/>
    <w:rsid w:val="00206B9F"/>
    <w:rsid w:val="00206DBC"/>
    <w:rsid w:val="0020794E"/>
    <w:rsid w:val="00207F48"/>
    <w:rsid w:val="002110E8"/>
    <w:rsid w:val="00215DC3"/>
    <w:rsid w:val="00216BD9"/>
    <w:rsid w:val="00223292"/>
    <w:rsid w:val="00223593"/>
    <w:rsid w:val="002248E5"/>
    <w:rsid w:val="002257DF"/>
    <w:rsid w:val="0022730D"/>
    <w:rsid w:val="0023002F"/>
    <w:rsid w:val="002302D1"/>
    <w:rsid w:val="00230630"/>
    <w:rsid w:val="00231CFB"/>
    <w:rsid w:val="002339C4"/>
    <w:rsid w:val="0023488D"/>
    <w:rsid w:val="00234A34"/>
    <w:rsid w:val="00234EE9"/>
    <w:rsid w:val="002362EB"/>
    <w:rsid w:val="00236A31"/>
    <w:rsid w:val="00236AA8"/>
    <w:rsid w:val="00237A7E"/>
    <w:rsid w:val="00237DA7"/>
    <w:rsid w:val="00237F74"/>
    <w:rsid w:val="00240A3B"/>
    <w:rsid w:val="00241622"/>
    <w:rsid w:val="002429E5"/>
    <w:rsid w:val="00245FB2"/>
    <w:rsid w:val="002507E3"/>
    <w:rsid w:val="0025159A"/>
    <w:rsid w:val="00251725"/>
    <w:rsid w:val="00251D42"/>
    <w:rsid w:val="00254C6F"/>
    <w:rsid w:val="0025602F"/>
    <w:rsid w:val="0026045B"/>
    <w:rsid w:val="00261E3F"/>
    <w:rsid w:val="00262558"/>
    <w:rsid w:val="00263F93"/>
    <w:rsid w:val="002640F2"/>
    <w:rsid w:val="002643B5"/>
    <w:rsid w:val="0026577A"/>
    <w:rsid w:val="00265895"/>
    <w:rsid w:val="00266FC6"/>
    <w:rsid w:val="002679D4"/>
    <w:rsid w:val="002715FE"/>
    <w:rsid w:val="00275F86"/>
    <w:rsid w:val="00276924"/>
    <w:rsid w:val="002779C5"/>
    <w:rsid w:val="0028051E"/>
    <w:rsid w:val="0028051F"/>
    <w:rsid w:val="002815C8"/>
    <w:rsid w:val="00282EE3"/>
    <w:rsid w:val="0028346B"/>
    <w:rsid w:val="0028474C"/>
    <w:rsid w:val="0028551D"/>
    <w:rsid w:val="00286E8C"/>
    <w:rsid w:val="0028757A"/>
    <w:rsid w:val="002879F3"/>
    <w:rsid w:val="00287AE8"/>
    <w:rsid w:val="00292486"/>
    <w:rsid w:val="00293B4C"/>
    <w:rsid w:val="00296ABE"/>
    <w:rsid w:val="00296DCF"/>
    <w:rsid w:val="002A21DD"/>
    <w:rsid w:val="002A2663"/>
    <w:rsid w:val="002A2B42"/>
    <w:rsid w:val="002A582C"/>
    <w:rsid w:val="002A6CB4"/>
    <w:rsid w:val="002A7E93"/>
    <w:rsid w:val="002B00BC"/>
    <w:rsid w:val="002B0180"/>
    <w:rsid w:val="002B020D"/>
    <w:rsid w:val="002B178F"/>
    <w:rsid w:val="002B38F6"/>
    <w:rsid w:val="002B41AC"/>
    <w:rsid w:val="002B4A2C"/>
    <w:rsid w:val="002B4E14"/>
    <w:rsid w:val="002B58E0"/>
    <w:rsid w:val="002B7653"/>
    <w:rsid w:val="002C1E2B"/>
    <w:rsid w:val="002C21C1"/>
    <w:rsid w:val="002C2411"/>
    <w:rsid w:val="002C3989"/>
    <w:rsid w:val="002C6062"/>
    <w:rsid w:val="002C60DE"/>
    <w:rsid w:val="002C6446"/>
    <w:rsid w:val="002C7A99"/>
    <w:rsid w:val="002D0CD8"/>
    <w:rsid w:val="002D1799"/>
    <w:rsid w:val="002D2F1A"/>
    <w:rsid w:val="002D3433"/>
    <w:rsid w:val="002D3643"/>
    <w:rsid w:val="002D4DC6"/>
    <w:rsid w:val="002D512F"/>
    <w:rsid w:val="002D54DF"/>
    <w:rsid w:val="002E2804"/>
    <w:rsid w:val="002E2B2C"/>
    <w:rsid w:val="002E4ED2"/>
    <w:rsid w:val="002E6B34"/>
    <w:rsid w:val="002E6F2A"/>
    <w:rsid w:val="002E7143"/>
    <w:rsid w:val="002F13AB"/>
    <w:rsid w:val="002F2674"/>
    <w:rsid w:val="002F6566"/>
    <w:rsid w:val="002F7C28"/>
    <w:rsid w:val="00301031"/>
    <w:rsid w:val="00301FC8"/>
    <w:rsid w:val="0030247B"/>
    <w:rsid w:val="00303572"/>
    <w:rsid w:val="00303670"/>
    <w:rsid w:val="003040FB"/>
    <w:rsid w:val="00304E97"/>
    <w:rsid w:val="00310ABD"/>
    <w:rsid w:val="0031116D"/>
    <w:rsid w:val="003115C6"/>
    <w:rsid w:val="003137E4"/>
    <w:rsid w:val="00314A1F"/>
    <w:rsid w:val="0031521B"/>
    <w:rsid w:val="0031631A"/>
    <w:rsid w:val="00316358"/>
    <w:rsid w:val="00316A9D"/>
    <w:rsid w:val="0031716F"/>
    <w:rsid w:val="00320C8E"/>
    <w:rsid w:val="0032292D"/>
    <w:rsid w:val="00324D88"/>
    <w:rsid w:val="003272AA"/>
    <w:rsid w:val="00330BB7"/>
    <w:rsid w:val="0033171F"/>
    <w:rsid w:val="00337C95"/>
    <w:rsid w:val="00337E83"/>
    <w:rsid w:val="00340942"/>
    <w:rsid w:val="0035055A"/>
    <w:rsid w:val="00350DC2"/>
    <w:rsid w:val="003513EC"/>
    <w:rsid w:val="0035309E"/>
    <w:rsid w:val="00355363"/>
    <w:rsid w:val="00355378"/>
    <w:rsid w:val="00355E3B"/>
    <w:rsid w:val="00355FCC"/>
    <w:rsid w:val="00356FB9"/>
    <w:rsid w:val="00357058"/>
    <w:rsid w:val="00357F82"/>
    <w:rsid w:val="0036079B"/>
    <w:rsid w:val="00360A40"/>
    <w:rsid w:val="00364E47"/>
    <w:rsid w:val="00366465"/>
    <w:rsid w:val="00370E0C"/>
    <w:rsid w:val="003727EB"/>
    <w:rsid w:val="003748E9"/>
    <w:rsid w:val="00374CE8"/>
    <w:rsid w:val="00374D09"/>
    <w:rsid w:val="00375A83"/>
    <w:rsid w:val="00377244"/>
    <w:rsid w:val="00381D85"/>
    <w:rsid w:val="00381F4B"/>
    <w:rsid w:val="00382560"/>
    <w:rsid w:val="00382693"/>
    <w:rsid w:val="0038411A"/>
    <w:rsid w:val="0038432E"/>
    <w:rsid w:val="00387947"/>
    <w:rsid w:val="0039036B"/>
    <w:rsid w:val="00390D6D"/>
    <w:rsid w:val="0039306D"/>
    <w:rsid w:val="00395D12"/>
    <w:rsid w:val="00396367"/>
    <w:rsid w:val="00397070"/>
    <w:rsid w:val="003A0761"/>
    <w:rsid w:val="003A0B58"/>
    <w:rsid w:val="003A10F6"/>
    <w:rsid w:val="003A223C"/>
    <w:rsid w:val="003A2810"/>
    <w:rsid w:val="003A2FDD"/>
    <w:rsid w:val="003A47C3"/>
    <w:rsid w:val="003A5F19"/>
    <w:rsid w:val="003A6A46"/>
    <w:rsid w:val="003A79AC"/>
    <w:rsid w:val="003B1046"/>
    <w:rsid w:val="003B193B"/>
    <w:rsid w:val="003B2D6B"/>
    <w:rsid w:val="003B3A4A"/>
    <w:rsid w:val="003B442C"/>
    <w:rsid w:val="003B5860"/>
    <w:rsid w:val="003B5F8F"/>
    <w:rsid w:val="003C17A3"/>
    <w:rsid w:val="003C1AC1"/>
    <w:rsid w:val="003C246F"/>
    <w:rsid w:val="003C6B78"/>
    <w:rsid w:val="003C762F"/>
    <w:rsid w:val="003D47CE"/>
    <w:rsid w:val="003D4A94"/>
    <w:rsid w:val="003D6067"/>
    <w:rsid w:val="003D6440"/>
    <w:rsid w:val="003D6BB5"/>
    <w:rsid w:val="003D7A5B"/>
    <w:rsid w:val="003E1897"/>
    <w:rsid w:val="003E2304"/>
    <w:rsid w:val="003E25D4"/>
    <w:rsid w:val="003E25E5"/>
    <w:rsid w:val="003E40CF"/>
    <w:rsid w:val="003E4372"/>
    <w:rsid w:val="003E6F95"/>
    <w:rsid w:val="003F0976"/>
    <w:rsid w:val="003F0DC7"/>
    <w:rsid w:val="003F16F8"/>
    <w:rsid w:val="003F1797"/>
    <w:rsid w:val="003F1861"/>
    <w:rsid w:val="003F22FC"/>
    <w:rsid w:val="003F2871"/>
    <w:rsid w:val="003F46DB"/>
    <w:rsid w:val="00401C39"/>
    <w:rsid w:val="00406798"/>
    <w:rsid w:val="004130D8"/>
    <w:rsid w:val="004134B6"/>
    <w:rsid w:val="0041353B"/>
    <w:rsid w:val="0041536D"/>
    <w:rsid w:val="00415703"/>
    <w:rsid w:val="0041696D"/>
    <w:rsid w:val="004171D0"/>
    <w:rsid w:val="00417248"/>
    <w:rsid w:val="00420E6F"/>
    <w:rsid w:val="00422DFC"/>
    <w:rsid w:val="00423A36"/>
    <w:rsid w:val="00423EB6"/>
    <w:rsid w:val="0042425C"/>
    <w:rsid w:val="00424610"/>
    <w:rsid w:val="00424BEA"/>
    <w:rsid w:val="0042577E"/>
    <w:rsid w:val="00427727"/>
    <w:rsid w:val="0043201B"/>
    <w:rsid w:val="0043281F"/>
    <w:rsid w:val="00433087"/>
    <w:rsid w:val="00436B59"/>
    <w:rsid w:val="004432A7"/>
    <w:rsid w:val="00443B32"/>
    <w:rsid w:val="00445759"/>
    <w:rsid w:val="00447BDB"/>
    <w:rsid w:val="00450896"/>
    <w:rsid w:val="00450B48"/>
    <w:rsid w:val="00451DA2"/>
    <w:rsid w:val="00453825"/>
    <w:rsid w:val="00453C88"/>
    <w:rsid w:val="004543D5"/>
    <w:rsid w:val="00456190"/>
    <w:rsid w:val="00456B12"/>
    <w:rsid w:val="00457E3F"/>
    <w:rsid w:val="004602FF"/>
    <w:rsid w:val="00460A84"/>
    <w:rsid w:val="00461C04"/>
    <w:rsid w:val="00462217"/>
    <w:rsid w:val="004662AC"/>
    <w:rsid w:val="0046699A"/>
    <w:rsid w:val="004704D4"/>
    <w:rsid w:val="0047245A"/>
    <w:rsid w:val="004748C9"/>
    <w:rsid w:val="00476B14"/>
    <w:rsid w:val="004770BF"/>
    <w:rsid w:val="0047774B"/>
    <w:rsid w:val="00480001"/>
    <w:rsid w:val="004805CB"/>
    <w:rsid w:val="00482828"/>
    <w:rsid w:val="0048346F"/>
    <w:rsid w:val="004850A0"/>
    <w:rsid w:val="00485D34"/>
    <w:rsid w:val="00486F24"/>
    <w:rsid w:val="004876C7"/>
    <w:rsid w:val="00490565"/>
    <w:rsid w:val="0049162E"/>
    <w:rsid w:val="004919C5"/>
    <w:rsid w:val="004925EC"/>
    <w:rsid w:val="004947B6"/>
    <w:rsid w:val="004948DA"/>
    <w:rsid w:val="00494C9E"/>
    <w:rsid w:val="00494D68"/>
    <w:rsid w:val="00495766"/>
    <w:rsid w:val="00495FB2"/>
    <w:rsid w:val="004A0083"/>
    <w:rsid w:val="004A0E5F"/>
    <w:rsid w:val="004A31A1"/>
    <w:rsid w:val="004A5375"/>
    <w:rsid w:val="004A5E13"/>
    <w:rsid w:val="004A76FE"/>
    <w:rsid w:val="004A7917"/>
    <w:rsid w:val="004B0068"/>
    <w:rsid w:val="004B26E8"/>
    <w:rsid w:val="004B2A60"/>
    <w:rsid w:val="004B31B6"/>
    <w:rsid w:val="004B35E7"/>
    <w:rsid w:val="004B6F2F"/>
    <w:rsid w:val="004B7C3E"/>
    <w:rsid w:val="004C12C9"/>
    <w:rsid w:val="004C2F6A"/>
    <w:rsid w:val="004C414A"/>
    <w:rsid w:val="004C4416"/>
    <w:rsid w:val="004C5B3E"/>
    <w:rsid w:val="004D0E9A"/>
    <w:rsid w:val="004D120D"/>
    <w:rsid w:val="004D3619"/>
    <w:rsid w:val="004D3C12"/>
    <w:rsid w:val="004D65EB"/>
    <w:rsid w:val="004E0D94"/>
    <w:rsid w:val="004E2705"/>
    <w:rsid w:val="004E3ECB"/>
    <w:rsid w:val="004E67DD"/>
    <w:rsid w:val="004E7903"/>
    <w:rsid w:val="004E7A57"/>
    <w:rsid w:val="004F01DE"/>
    <w:rsid w:val="004F27DE"/>
    <w:rsid w:val="004F2AAC"/>
    <w:rsid w:val="004F3BD5"/>
    <w:rsid w:val="004F778D"/>
    <w:rsid w:val="004F7B17"/>
    <w:rsid w:val="00501429"/>
    <w:rsid w:val="005026E4"/>
    <w:rsid w:val="005071FA"/>
    <w:rsid w:val="005075D9"/>
    <w:rsid w:val="00513C81"/>
    <w:rsid w:val="00514B2D"/>
    <w:rsid w:val="00517D09"/>
    <w:rsid w:val="00520254"/>
    <w:rsid w:val="00521B6D"/>
    <w:rsid w:val="00522EE1"/>
    <w:rsid w:val="00524D84"/>
    <w:rsid w:val="0052663F"/>
    <w:rsid w:val="00526B8B"/>
    <w:rsid w:val="005327D0"/>
    <w:rsid w:val="0053348F"/>
    <w:rsid w:val="0053391E"/>
    <w:rsid w:val="0053589A"/>
    <w:rsid w:val="005360D1"/>
    <w:rsid w:val="005367AD"/>
    <w:rsid w:val="00537126"/>
    <w:rsid w:val="005377FA"/>
    <w:rsid w:val="00541018"/>
    <w:rsid w:val="00543FAE"/>
    <w:rsid w:val="005445A2"/>
    <w:rsid w:val="00545C79"/>
    <w:rsid w:val="005473FC"/>
    <w:rsid w:val="00550534"/>
    <w:rsid w:val="00551D6A"/>
    <w:rsid w:val="005522CD"/>
    <w:rsid w:val="0055248E"/>
    <w:rsid w:val="00552E1C"/>
    <w:rsid w:val="00561DA6"/>
    <w:rsid w:val="005636CB"/>
    <w:rsid w:val="00563834"/>
    <w:rsid w:val="00564BC7"/>
    <w:rsid w:val="00564DD1"/>
    <w:rsid w:val="00565280"/>
    <w:rsid w:val="005658AD"/>
    <w:rsid w:val="00566DBF"/>
    <w:rsid w:val="00570637"/>
    <w:rsid w:val="00570D85"/>
    <w:rsid w:val="0057199B"/>
    <w:rsid w:val="00572423"/>
    <w:rsid w:val="00575D5D"/>
    <w:rsid w:val="00575FE3"/>
    <w:rsid w:val="00581198"/>
    <w:rsid w:val="005811BA"/>
    <w:rsid w:val="0058131E"/>
    <w:rsid w:val="00582EE2"/>
    <w:rsid w:val="0058314E"/>
    <w:rsid w:val="00583767"/>
    <w:rsid w:val="005844EA"/>
    <w:rsid w:val="00586F96"/>
    <w:rsid w:val="00594DF0"/>
    <w:rsid w:val="005968C9"/>
    <w:rsid w:val="00597C5B"/>
    <w:rsid w:val="00597C61"/>
    <w:rsid w:val="005A04C6"/>
    <w:rsid w:val="005A0688"/>
    <w:rsid w:val="005A1443"/>
    <w:rsid w:val="005A1BCE"/>
    <w:rsid w:val="005A435A"/>
    <w:rsid w:val="005A4B07"/>
    <w:rsid w:val="005A69C4"/>
    <w:rsid w:val="005A7393"/>
    <w:rsid w:val="005B2091"/>
    <w:rsid w:val="005B2C2A"/>
    <w:rsid w:val="005B3DEE"/>
    <w:rsid w:val="005B442D"/>
    <w:rsid w:val="005C0515"/>
    <w:rsid w:val="005C0D4A"/>
    <w:rsid w:val="005C4B26"/>
    <w:rsid w:val="005D0133"/>
    <w:rsid w:val="005D1312"/>
    <w:rsid w:val="005D2295"/>
    <w:rsid w:val="005D249E"/>
    <w:rsid w:val="005D403B"/>
    <w:rsid w:val="005D6529"/>
    <w:rsid w:val="005D6567"/>
    <w:rsid w:val="005D6D5D"/>
    <w:rsid w:val="005D7D39"/>
    <w:rsid w:val="005D7E14"/>
    <w:rsid w:val="005E0495"/>
    <w:rsid w:val="005E057E"/>
    <w:rsid w:val="005E0CDC"/>
    <w:rsid w:val="005E11D6"/>
    <w:rsid w:val="005E18AF"/>
    <w:rsid w:val="005E1A39"/>
    <w:rsid w:val="005E2F61"/>
    <w:rsid w:val="005E3E0C"/>
    <w:rsid w:val="005E695C"/>
    <w:rsid w:val="005F0739"/>
    <w:rsid w:val="005F2911"/>
    <w:rsid w:val="005F6E01"/>
    <w:rsid w:val="005F6FB2"/>
    <w:rsid w:val="00600087"/>
    <w:rsid w:val="006028AE"/>
    <w:rsid w:val="00604898"/>
    <w:rsid w:val="00605BED"/>
    <w:rsid w:val="00605DC1"/>
    <w:rsid w:val="0060732D"/>
    <w:rsid w:val="0061088F"/>
    <w:rsid w:val="0061151C"/>
    <w:rsid w:val="00612C7E"/>
    <w:rsid w:val="006135B6"/>
    <w:rsid w:val="00616121"/>
    <w:rsid w:val="00617613"/>
    <w:rsid w:val="00621340"/>
    <w:rsid w:val="00621BE6"/>
    <w:rsid w:val="006222B4"/>
    <w:rsid w:val="00622741"/>
    <w:rsid w:val="00622A03"/>
    <w:rsid w:val="00622E71"/>
    <w:rsid w:val="00622F97"/>
    <w:rsid w:val="00623257"/>
    <w:rsid w:val="0062327F"/>
    <w:rsid w:val="0062362D"/>
    <w:rsid w:val="006238F7"/>
    <w:rsid w:val="00625736"/>
    <w:rsid w:val="006260FA"/>
    <w:rsid w:val="00627267"/>
    <w:rsid w:val="00632253"/>
    <w:rsid w:val="00633B05"/>
    <w:rsid w:val="00637ECC"/>
    <w:rsid w:val="00641E6E"/>
    <w:rsid w:val="006438FD"/>
    <w:rsid w:val="00644C16"/>
    <w:rsid w:val="00645AA4"/>
    <w:rsid w:val="00646820"/>
    <w:rsid w:val="00647776"/>
    <w:rsid w:val="00650F9A"/>
    <w:rsid w:val="00652257"/>
    <w:rsid w:val="00655657"/>
    <w:rsid w:val="00655DAE"/>
    <w:rsid w:val="006562B3"/>
    <w:rsid w:val="0066328F"/>
    <w:rsid w:val="00664D16"/>
    <w:rsid w:val="00664E58"/>
    <w:rsid w:val="00664E97"/>
    <w:rsid w:val="00666A58"/>
    <w:rsid w:val="00666E7B"/>
    <w:rsid w:val="0067049D"/>
    <w:rsid w:val="00670AAD"/>
    <w:rsid w:val="00671524"/>
    <w:rsid w:val="00671FA4"/>
    <w:rsid w:val="00672A80"/>
    <w:rsid w:val="00673690"/>
    <w:rsid w:val="006736C0"/>
    <w:rsid w:val="00674864"/>
    <w:rsid w:val="0067506B"/>
    <w:rsid w:val="006815C0"/>
    <w:rsid w:val="00681F30"/>
    <w:rsid w:val="00682CBD"/>
    <w:rsid w:val="00683043"/>
    <w:rsid w:val="0068314F"/>
    <w:rsid w:val="00683360"/>
    <w:rsid w:val="00687684"/>
    <w:rsid w:val="00691653"/>
    <w:rsid w:val="006917F1"/>
    <w:rsid w:val="00692253"/>
    <w:rsid w:val="006957D2"/>
    <w:rsid w:val="00696C64"/>
    <w:rsid w:val="006A1A8E"/>
    <w:rsid w:val="006A329E"/>
    <w:rsid w:val="006A4CAB"/>
    <w:rsid w:val="006A5487"/>
    <w:rsid w:val="006A571D"/>
    <w:rsid w:val="006B03EC"/>
    <w:rsid w:val="006B085D"/>
    <w:rsid w:val="006B0A89"/>
    <w:rsid w:val="006B22B6"/>
    <w:rsid w:val="006B2466"/>
    <w:rsid w:val="006B2486"/>
    <w:rsid w:val="006B2588"/>
    <w:rsid w:val="006B27A1"/>
    <w:rsid w:val="006B3786"/>
    <w:rsid w:val="006B50A0"/>
    <w:rsid w:val="006B61E4"/>
    <w:rsid w:val="006B6308"/>
    <w:rsid w:val="006C18A8"/>
    <w:rsid w:val="006C24A8"/>
    <w:rsid w:val="006C2666"/>
    <w:rsid w:val="006C2AD4"/>
    <w:rsid w:val="006C591D"/>
    <w:rsid w:val="006C6260"/>
    <w:rsid w:val="006C6D13"/>
    <w:rsid w:val="006C6F68"/>
    <w:rsid w:val="006D02E3"/>
    <w:rsid w:val="006D2D83"/>
    <w:rsid w:val="006D2E7B"/>
    <w:rsid w:val="006D31A2"/>
    <w:rsid w:val="006D3206"/>
    <w:rsid w:val="006D3FF3"/>
    <w:rsid w:val="006D52A8"/>
    <w:rsid w:val="006D5970"/>
    <w:rsid w:val="006D5C2D"/>
    <w:rsid w:val="006D64B1"/>
    <w:rsid w:val="006D6B94"/>
    <w:rsid w:val="006D7DE7"/>
    <w:rsid w:val="006E0977"/>
    <w:rsid w:val="006E144A"/>
    <w:rsid w:val="006E2EFE"/>
    <w:rsid w:val="006E35A4"/>
    <w:rsid w:val="006E46EF"/>
    <w:rsid w:val="006F2AE5"/>
    <w:rsid w:val="006F375D"/>
    <w:rsid w:val="006F5360"/>
    <w:rsid w:val="006F63AE"/>
    <w:rsid w:val="007002E4"/>
    <w:rsid w:val="00701EAF"/>
    <w:rsid w:val="00704767"/>
    <w:rsid w:val="00705E14"/>
    <w:rsid w:val="00707292"/>
    <w:rsid w:val="00707A3B"/>
    <w:rsid w:val="0071012B"/>
    <w:rsid w:val="0071299D"/>
    <w:rsid w:val="00712D35"/>
    <w:rsid w:val="0071461C"/>
    <w:rsid w:val="007209A1"/>
    <w:rsid w:val="00720E71"/>
    <w:rsid w:val="00725913"/>
    <w:rsid w:val="00725CDD"/>
    <w:rsid w:val="00725F41"/>
    <w:rsid w:val="00726CAE"/>
    <w:rsid w:val="00727F07"/>
    <w:rsid w:val="007308CC"/>
    <w:rsid w:val="0073140F"/>
    <w:rsid w:val="00731C63"/>
    <w:rsid w:val="0073202A"/>
    <w:rsid w:val="00732106"/>
    <w:rsid w:val="00732932"/>
    <w:rsid w:val="0073424A"/>
    <w:rsid w:val="0073427E"/>
    <w:rsid w:val="0073522A"/>
    <w:rsid w:val="007415D1"/>
    <w:rsid w:val="00741DDD"/>
    <w:rsid w:val="007420CC"/>
    <w:rsid w:val="007469CA"/>
    <w:rsid w:val="00746D99"/>
    <w:rsid w:val="00746DCB"/>
    <w:rsid w:val="007504EE"/>
    <w:rsid w:val="0075456F"/>
    <w:rsid w:val="00755A5E"/>
    <w:rsid w:val="00756844"/>
    <w:rsid w:val="007602E0"/>
    <w:rsid w:val="00760B4D"/>
    <w:rsid w:val="007611AF"/>
    <w:rsid w:val="00761CE1"/>
    <w:rsid w:val="007625CC"/>
    <w:rsid w:val="00762A65"/>
    <w:rsid w:val="00762F7F"/>
    <w:rsid w:val="00764DC2"/>
    <w:rsid w:val="00765929"/>
    <w:rsid w:val="007666B3"/>
    <w:rsid w:val="00766EFF"/>
    <w:rsid w:val="007676A7"/>
    <w:rsid w:val="007676CA"/>
    <w:rsid w:val="007702CC"/>
    <w:rsid w:val="00770431"/>
    <w:rsid w:val="00771302"/>
    <w:rsid w:val="007719BF"/>
    <w:rsid w:val="007738F1"/>
    <w:rsid w:val="00774621"/>
    <w:rsid w:val="00782D0B"/>
    <w:rsid w:val="00785489"/>
    <w:rsid w:val="00786381"/>
    <w:rsid w:val="00790C29"/>
    <w:rsid w:val="00791489"/>
    <w:rsid w:val="00791C74"/>
    <w:rsid w:val="00792A70"/>
    <w:rsid w:val="007936A1"/>
    <w:rsid w:val="00794A80"/>
    <w:rsid w:val="007958BB"/>
    <w:rsid w:val="007A1F42"/>
    <w:rsid w:val="007A377E"/>
    <w:rsid w:val="007A486C"/>
    <w:rsid w:val="007A5690"/>
    <w:rsid w:val="007A6EEC"/>
    <w:rsid w:val="007B1F91"/>
    <w:rsid w:val="007B2F36"/>
    <w:rsid w:val="007B3EF4"/>
    <w:rsid w:val="007B4E58"/>
    <w:rsid w:val="007B711F"/>
    <w:rsid w:val="007C00C3"/>
    <w:rsid w:val="007C07ED"/>
    <w:rsid w:val="007C40DD"/>
    <w:rsid w:val="007C42FF"/>
    <w:rsid w:val="007C43DE"/>
    <w:rsid w:val="007C46D2"/>
    <w:rsid w:val="007D0C66"/>
    <w:rsid w:val="007D16C6"/>
    <w:rsid w:val="007D2A5D"/>
    <w:rsid w:val="007D3418"/>
    <w:rsid w:val="007D689F"/>
    <w:rsid w:val="007D6D2B"/>
    <w:rsid w:val="007E0748"/>
    <w:rsid w:val="007E1F94"/>
    <w:rsid w:val="007E3185"/>
    <w:rsid w:val="007E3F34"/>
    <w:rsid w:val="007E4AEA"/>
    <w:rsid w:val="007F079A"/>
    <w:rsid w:val="007F15F5"/>
    <w:rsid w:val="007F1D9D"/>
    <w:rsid w:val="007F28E0"/>
    <w:rsid w:val="007F2D4D"/>
    <w:rsid w:val="007F2F17"/>
    <w:rsid w:val="007F2FDC"/>
    <w:rsid w:val="007F414A"/>
    <w:rsid w:val="007F5027"/>
    <w:rsid w:val="007F769A"/>
    <w:rsid w:val="00800283"/>
    <w:rsid w:val="00800739"/>
    <w:rsid w:val="0080111A"/>
    <w:rsid w:val="00802AC9"/>
    <w:rsid w:val="0080645C"/>
    <w:rsid w:val="00807484"/>
    <w:rsid w:val="0081251D"/>
    <w:rsid w:val="00812E32"/>
    <w:rsid w:val="0081393B"/>
    <w:rsid w:val="008144DF"/>
    <w:rsid w:val="00816117"/>
    <w:rsid w:val="008178E9"/>
    <w:rsid w:val="0082031A"/>
    <w:rsid w:val="00823AEC"/>
    <w:rsid w:val="00826175"/>
    <w:rsid w:val="008308C5"/>
    <w:rsid w:val="00831B15"/>
    <w:rsid w:val="0083299B"/>
    <w:rsid w:val="0083519F"/>
    <w:rsid w:val="00835325"/>
    <w:rsid w:val="00841E3B"/>
    <w:rsid w:val="0084462B"/>
    <w:rsid w:val="00847560"/>
    <w:rsid w:val="00850320"/>
    <w:rsid w:val="0085041C"/>
    <w:rsid w:val="00852192"/>
    <w:rsid w:val="00853302"/>
    <w:rsid w:val="008535C3"/>
    <w:rsid w:val="0085439B"/>
    <w:rsid w:val="0085473A"/>
    <w:rsid w:val="00854AF6"/>
    <w:rsid w:val="00854B6F"/>
    <w:rsid w:val="008569AA"/>
    <w:rsid w:val="00856FD8"/>
    <w:rsid w:val="0086034E"/>
    <w:rsid w:val="008618BA"/>
    <w:rsid w:val="0086267A"/>
    <w:rsid w:val="0086334A"/>
    <w:rsid w:val="008633C2"/>
    <w:rsid w:val="00863CE7"/>
    <w:rsid w:val="0086401C"/>
    <w:rsid w:val="00864269"/>
    <w:rsid w:val="008644DC"/>
    <w:rsid w:val="008657DA"/>
    <w:rsid w:val="00866AAC"/>
    <w:rsid w:val="00866E86"/>
    <w:rsid w:val="008705D4"/>
    <w:rsid w:val="00870E22"/>
    <w:rsid w:val="00872A5B"/>
    <w:rsid w:val="008734CC"/>
    <w:rsid w:val="00875510"/>
    <w:rsid w:val="00875C65"/>
    <w:rsid w:val="00877DE9"/>
    <w:rsid w:val="00880584"/>
    <w:rsid w:val="00880B48"/>
    <w:rsid w:val="008817CE"/>
    <w:rsid w:val="00884592"/>
    <w:rsid w:val="00884A4B"/>
    <w:rsid w:val="0088541C"/>
    <w:rsid w:val="00885425"/>
    <w:rsid w:val="00886736"/>
    <w:rsid w:val="00886B35"/>
    <w:rsid w:val="008906E1"/>
    <w:rsid w:val="00891C1B"/>
    <w:rsid w:val="00892ACA"/>
    <w:rsid w:val="008A0E60"/>
    <w:rsid w:val="008A3437"/>
    <w:rsid w:val="008A5F2A"/>
    <w:rsid w:val="008A6DE5"/>
    <w:rsid w:val="008A7553"/>
    <w:rsid w:val="008B2C68"/>
    <w:rsid w:val="008B311F"/>
    <w:rsid w:val="008B4562"/>
    <w:rsid w:val="008B4A50"/>
    <w:rsid w:val="008B529F"/>
    <w:rsid w:val="008B6629"/>
    <w:rsid w:val="008B6A4C"/>
    <w:rsid w:val="008C1676"/>
    <w:rsid w:val="008C19C0"/>
    <w:rsid w:val="008C1B6C"/>
    <w:rsid w:val="008C3942"/>
    <w:rsid w:val="008C5538"/>
    <w:rsid w:val="008C6D9C"/>
    <w:rsid w:val="008D169A"/>
    <w:rsid w:val="008D3410"/>
    <w:rsid w:val="008D3FB1"/>
    <w:rsid w:val="008D779F"/>
    <w:rsid w:val="008D7AE3"/>
    <w:rsid w:val="008D7BE7"/>
    <w:rsid w:val="008E1938"/>
    <w:rsid w:val="008E24D1"/>
    <w:rsid w:val="008E31B0"/>
    <w:rsid w:val="008E4964"/>
    <w:rsid w:val="008E56A4"/>
    <w:rsid w:val="008E56EF"/>
    <w:rsid w:val="008E5EFD"/>
    <w:rsid w:val="008E70AA"/>
    <w:rsid w:val="008F0158"/>
    <w:rsid w:val="008F021E"/>
    <w:rsid w:val="008F1DCE"/>
    <w:rsid w:val="008F310E"/>
    <w:rsid w:val="008F322D"/>
    <w:rsid w:val="008F464B"/>
    <w:rsid w:val="008F4CD5"/>
    <w:rsid w:val="008F6BAE"/>
    <w:rsid w:val="008F7128"/>
    <w:rsid w:val="008F76B5"/>
    <w:rsid w:val="00900B4F"/>
    <w:rsid w:val="009039EA"/>
    <w:rsid w:val="00905E5A"/>
    <w:rsid w:val="009070D1"/>
    <w:rsid w:val="009073D2"/>
    <w:rsid w:val="009105C7"/>
    <w:rsid w:val="00911000"/>
    <w:rsid w:val="009111E4"/>
    <w:rsid w:val="009114AD"/>
    <w:rsid w:val="00911D61"/>
    <w:rsid w:val="00912C0B"/>
    <w:rsid w:val="00914429"/>
    <w:rsid w:val="009211CC"/>
    <w:rsid w:val="00923173"/>
    <w:rsid w:val="009268D7"/>
    <w:rsid w:val="00930379"/>
    <w:rsid w:val="00930FCB"/>
    <w:rsid w:val="00932AE7"/>
    <w:rsid w:val="00935C8B"/>
    <w:rsid w:val="00936BD1"/>
    <w:rsid w:val="00937B49"/>
    <w:rsid w:val="009404A9"/>
    <w:rsid w:val="009404E9"/>
    <w:rsid w:val="00940547"/>
    <w:rsid w:val="0094279E"/>
    <w:rsid w:val="009434B1"/>
    <w:rsid w:val="009440BA"/>
    <w:rsid w:val="0094796E"/>
    <w:rsid w:val="00947F15"/>
    <w:rsid w:val="00950308"/>
    <w:rsid w:val="00950340"/>
    <w:rsid w:val="00953CE8"/>
    <w:rsid w:val="0095633E"/>
    <w:rsid w:val="00956E36"/>
    <w:rsid w:val="00960711"/>
    <w:rsid w:val="00960AB9"/>
    <w:rsid w:val="00960F77"/>
    <w:rsid w:val="00961CC7"/>
    <w:rsid w:val="00966A81"/>
    <w:rsid w:val="00967AFC"/>
    <w:rsid w:val="00970BAD"/>
    <w:rsid w:val="00973EEA"/>
    <w:rsid w:val="00975840"/>
    <w:rsid w:val="009779A3"/>
    <w:rsid w:val="00980A06"/>
    <w:rsid w:val="00981783"/>
    <w:rsid w:val="00984FA2"/>
    <w:rsid w:val="00986686"/>
    <w:rsid w:val="00986BA0"/>
    <w:rsid w:val="00990BE8"/>
    <w:rsid w:val="00990FCB"/>
    <w:rsid w:val="00991792"/>
    <w:rsid w:val="00991F45"/>
    <w:rsid w:val="00992D41"/>
    <w:rsid w:val="0099344A"/>
    <w:rsid w:val="009963C5"/>
    <w:rsid w:val="009A0AFD"/>
    <w:rsid w:val="009A283F"/>
    <w:rsid w:val="009A4717"/>
    <w:rsid w:val="009A6E40"/>
    <w:rsid w:val="009A795B"/>
    <w:rsid w:val="009B2B31"/>
    <w:rsid w:val="009B36C1"/>
    <w:rsid w:val="009B3AE6"/>
    <w:rsid w:val="009B6436"/>
    <w:rsid w:val="009B678C"/>
    <w:rsid w:val="009B69B7"/>
    <w:rsid w:val="009C0D61"/>
    <w:rsid w:val="009C187F"/>
    <w:rsid w:val="009C446A"/>
    <w:rsid w:val="009C55CC"/>
    <w:rsid w:val="009C6774"/>
    <w:rsid w:val="009C6EE1"/>
    <w:rsid w:val="009D16FF"/>
    <w:rsid w:val="009D1A9D"/>
    <w:rsid w:val="009D27C3"/>
    <w:rsid w:val="009D2E21"/>
    <w:rsid w:val="009D44D7"/>
    <w:rsid w:val="009D77B5"/>
    <w:rsid w:val="009E124D"/>
    <w:rsid w:val="009E3723"/>
    <w:rsid w:val="009E4035"/>
    <w:rsid w:val="009E4E4E"/>
    <w:rsid w:val="009E546F"/>
    <w:rsid w:val="009E65F6"/>
    <w:rsid w:val="009E713B"/>
    <w:rsid w:val="009F0191"/>
    <w:rsid w:val="009F0593"/>
    <w:rsid w:val="009F06CD"/>
    <w:rsid w:val="009F126F"/>
    <w:rsid w:val="009F1410"/>
    <w:rsid w:val="009F1FB6"/>
    <w:rsid w:val="009F3084"/>
    <w:rsid w:val="009F554A"/>
    <w:rsid w:val="009F75B3"/>
    <w:rsid w:val="00A0029E"/>
    <w:rsid w:val="00A03106"/>
    <w:rsid w:val="00A038AA"/>
    <w:rsid w:val="00A042DF"/>
    <w:rsid w:val="00A069AD"/>
    <w:rsid w:val="00A069E5"/>
    <w:rsid w:val="00A06CBD"/>
    <w:rsid w:val="00A07B2B"/>
    <w:rsid w:val="00A105C0"/>
    <w:rsid w:val="00A11C7D"/>
    <w:rsid w:val="00A13E98"/>
    <w:rsid w:val="00A15A2E"/>
    <w:rsid w:val="00A1662C"/>
    <w:rsid w:val="00A16748"/>
    <w:rsid w:val="00A1676D"/>
    <w:rsid w:val="00A20076"/>
    <w:rsid w:val="00A23AF0"/>
    <w:rsid w:val="00A24704"/>
    <w:rsid w:val="00A24C4E"/>
    <w:rsid w:val="00A25C61"/>
    <w:rsid w:val="00A310E4"/>
    <w:rsid w:val="00A31959"/>
    <w:rsid w:val="00A321D3"/>
    <w:rsid w:val="00A3409E"/>
    <w:rsid w:val="00A3565F"/>
    <w:rsid w:val="00A3799B"/>
    <w:rsid w:val="00A379E5"/>
    <w:rsid w:val="00A42BBA"/>
    <w:rsid w:val="00A4340F"/>
    <w:rsid w:val="00A45675"/>
    <w:rsid w:val="00A45D51"/>
    <w:rsid w:val="00A53618"/>
    <w:rsid w:val="00A53D7E"/>
    <w:rsid w:val="00A551ED"/>
    <w:rsid w:val="00A569F7"/>
    <w:rsid w:val="00A57D94"/>
    <w:rsid w:val="00A602E8"/>
    <w:rsid w:val="00A61378"/>
    <w:rsid w:val="00A618A9"/>
    <w:rsid w:val="00A71035"/>
    <w:rsid w:val="00A71118"/>
    <w:rsid w:val="00A7247E"/>
    <w:rsid w:val="00A724CA"/>
    <w:rsid w:val="00A75A38"/>
    <w:rsid w:val="00A77959"/>
    <w:rsid w:val="00A802A3"/>
    <w:rsid w:val="00A809E0"/>
    <w:rsid w:val="00A82260"/>
    <w:rsid w:val="00A833D4"/>
    <w:rsid w:val="00A83D48"/>
    <w:rsid w:val="00A8446B"/>
    <w:rsid w:val="00A91BB3"/>
    <w:rsid w:val="00A92F33"/>
    <w:rsid w:val="00A9383F"/>
    <w:rsid w:val="00A946B9"/>
    <w:rsid w:val="00A94707"/>
    <w:rsid w:val="00AA01C2"/>
    <w:rsid w:val="00AA134A"/>
    <w:rsid w:val="00AA1477"/>
    <w:rsid w:val="00AA1828"/>
    <w:rsid w:val="00AA5E3B"/>
    <w:rsid w:val="00AB1171"/>
    <w:rsid w:val="00AB374C"/>
    <w:rsid w:val="00AB7E89"/>
    <w:rsid w:val="00AC2B72"/>
    <w:rsid w:val="00AC31E8"/>
    <w:rsid w:val="00AC33D6"/>
    <w:rsid w:val="00AC42C1"/>
    <w:rsid w:val="00AC77E6"/>
    <w:rsid w:val="00AC7C6D"/>
    <w:rsid w:val="00AD0E43"/>
    <w:rsid w:val="00AD1156"/>
    <w:rsid w:val="00AD398A"/>
    <w:rsid w:val="00AD4198"/>
    <w:rsid w:val="00AD4A18"/>
    <w:rsid w:val="00AD4AFF"/>
    <w:rsid w:val="00AD4EAD"/>
    <w:rsid w:val="00AD7286"/>
    <w:rsid w:val="00AE20DF"/>
    <w:rsid w:val="00AE2EAC"/>
    <w:rsid w:val="00AE5A1B"/>
    <w:rsid w:val="00AF2A02"/>
    <w:rsid w:val="00AF3851"/>
    <w:rsid w:val="00AF5196"/>
    <w:rsid w:val="00B0047A"/>
    <w:rsid w:val="00B012A5"/>
    <w:rsid w:val="00B01D39"/>
    <w:rsid w:val="00B01D58"/>
    <w:rsid w:val="00B054B3"/>
    <w:rsid w:val="00B074DD"/>
    <w:rsid w:val="00B079BF"/>
    <w:rsid w:val="00B108FC"/>
    <w:rsid w:val="00B119B8"/>
    <w:rsid w:val="00B13001"/>
    <w:rsid w:val="00B14890"/>
    <w:rsid w:val="00B15285"/>
    <w:rsid w:val="00B155AE"/>
    <w:rsid w:val="00B155D7"/>
    <w:rsid w:val="00B1567C"/>
    <w:rsid w:val="00B16D09"/>
    <w:rsid w:val="00B174B3"/>
    <w:rsid w:val="00B2126E"/>
    <w:rsid w:val="00B23961"/>
    <w:rsid w:val="00B253E4"/>
    <w:rsid w:val="00B25E02"/>
    <w:rsid w:val="00B3041B"/>
    <w:rsid w:val="00B32092"/>
    <w:rsid w:val="00B3237B"/>
    <w:rsid w:val="00B327DF"/>
    <w:rsid w:val="00B328B8"/>
    <w:rsid w:val="00B33C44"/>
    <w:rsid w:val="00B35C4E"/>
    <w:rsid w:val="00B36D8B"/>
    <w:rsid w:val="00B37B9E"/>
    <w:rsid w:val="00B40CFD"/>
    <w:rsid w:val="00B433B7"/>
    <w:rsid w:val="00B45F26"/>
    <w:rsid w:val="00B46066"/>
    <w:rsid w:val="00B47383"/>
    <w:rsid w:val="00B503F0"/>
    <w:rsid w:val="00B5101E"/>
    <w:rsid w:val="00B53D55"/>
    <w:rsid w:val="00B54589"/>
    <w:rsid w:val="00B54C72"/>
    <w:rsid w:val="00B54C9C"/>
    <w:rsid w:val="00B5617E"/>
    <w:rsid w:val="00B572B1"/>
    <w:rsid w:val="00B61477"/>
    <w:rsid w:val="00B63248"/>
    <w:rsid w:val="00B65CC7"/>
    <w:rsid w:val="00B6654E"/>
    <w:rsid w:val="00B67169"/>
    <w:rsid w:val="00B67978"/>
    <w:rsid w:val="00B67CD6"/>
    <w:rsid w:val="00B70535"/>
    <w:rsid w:val="00B70B0A"/>
    <w:rsid w:val="00B70F8B"/>
    <w:rsid w:val="00B72452"/>
    <w:rsid w:val="00B73323"/>
    <w:rsid w:val="00B73EAA"/>
    <w:rsid w:val="00B740C0"/>
    <w:rsid w:val="00B74214"/>
    <w:rsid w:val="00B7451A"/>
    <w:rsid w:val="00B755D4"/>
    <w:rsid w:val="00B80BA1"/>
    <w:rsid w:val="00B81627"/>
    <w:rsid w:val="00B81929"/>
    <w:rsid w:val="00B81969"/>
    <w:rsid w:val="00B8224C"/>
    <w:rsid w:val="00B82330"/>
    <w:rsid w:val="00B829B8"/>
    <w:rsid w:val="00B83015"/>
    <w:rsid w:val="00B845CF"/>
    <w:rsid w:val="00B84757"/>
    <w:rsid w:val="00B857D1"/>
    <w:rsid w:val="00B87136"/>
    <w:rsid w:val="00B90DD6"/>
    <w:rsid w:val="00B90E22"/>
    <w:rsid w:val="00B90FEB"/>
    <w:rsid w:val="00B91A9B"/>
    <w:rsid w:val="00B93219"/>
    <w:rsid w:val="00B952FF"/>
    <w:rsid w:val="00B95983"/>
    <w:rsid w:val="00B959B4"/>
    <w:rsid w:val="00B97A52"/>
    <w:rsid w:val="00BA5FC4"/>
    <w:rsid w:val="00BA6DFA"/>
    <w:rsid w:val="00BA7FCF"/>
    <w:rsid w:val="00BB0CF4"/>
    <w:rsid w:val="00BB1A74"/>
    <w:rsid w:val="00BB2BA1"/>
    <w:rsid w:val="00BB5FDC"/>
    <w:rsid w:val="00BC03B9"/>
    <w:rsid w:val="00BC26E5"/>
    <w:rsid w:val="00BC3853"/>
    <w:rsid w:val="00BC4EF4"/>
    <w:rsid w:val="00BC5FA2"/>
    <w:rsid w:val="00BC6919"/>
    <w:rsid w:val="00BC6931"/>
    <w:rsid w:val="00BC7214"/>
    <w:rsid w:val="00BC7A31"/>
    <w:rsid w:val="00BD0298"/>
    <w:rsid w:val="00BD0B84"/>
    <w:rsid w:val="00BD0E77"/>
    <w:rsid w:val="00BD1887"/>
    <w:rsid w:val="00BD26A5"/>
    <w:rsid w:val="00BD3364"/>
    <w:rsid w:val="00BD5E3A"/>
    <w:rsid w:val="00BD6473"/>
    <w:rsid w:val="00BD79A9"/>
    <w:rsid w:val="00BE0B29"/>
    <w:rsid w:val="00BE1E2B"/>
    <w:rsid w:val="00BE3062"/>
    <w:rsid w:val="00BE3C92"/>
    <w:rsid w:val="00BE3E22"/>
    <w:rsid w:val="00BE4444"/>
    <w:rsid w:val="00BE5B24"/>
    <w:rsid w:val="00BE6F6B"/>
    <w:rsid w:val="00BE7D91"/>
    <w:rsid w:val="00BF28F8"/>
    <w:rsid w:val="00BF2D3F"/>
    <w:rsid w:val="00BF334F"/>
    <w:rsid w:val="00BF347A"/>
    <w:rsid w:val="00BF7C9B"/>
    <w:rsid w:val="00C03EE0"/>
    <w:rsid w:val="00C06D47"/>
    <w:rsid w:val="00C06F1D"/>
    <w:rsid w:val="00C078F8"/>
    <w:rsid w:val="00C07D84"/>
    <w:rsid w:val="00C10A1A"/>
    <w:rsid w:val="00C10D03"/>
    <w:rsid w:val="00C10F75"/>
    <w:rsid w:val="00C113EA"/>
    <w:rsid w:val="00C136FE"/>
    <w:rsid w:val="00C169ED"/>
    <w:rsid w:val="00C16DE0"/>
    <w:rsid w:val="00C17A8D"/>
    <w:rsid w:val="00C2035F"/>
    <w:rsid w:val="00C2283F"/>
    <w:rsid w:val="00C24080"/>
    <w:rsid w:val="00C25504"/>
    <w:rsid w:val="00C267D7"/>
    <w:rsid w:val="00C3140D"/>
    <w:rsid w:val="00C31FDC"/>
    <w:rsid w:val="00C33BB7"/>
    <w:rsid w:val="00C33F7D"/>
    <w:rsid w:val="00C344F0"/>
    <w:rsid w:val="00C3732E"/>
    <w:rsid w:val="00C4197C"/>
    <w:rsid w:val="00C43C47"/>
    <w:rsid w:val="00C4788E"/>
    <w:rsid w:val="00C50895"/>
    <w:rsid w:val="00C52340"/>
    <w:rsid w:val="00C53034"/>
    <w:rsid w:val="00C53116"/>
    <w:rsid w:val="00C536F3"/>
    <w:rsid w:val="00C53D1F"/>
    <w:rsid w:val="00C5594F"/>
    <w:rsid w:val="00C55B18"/>
    <w:rsid w:val="00C6001E"/>
    <w:rsid w:val="00C61093"/>
    <w:rsid w:val="00C631F3"/>
    <w:rsid w:val="00C63795"/>
    <w:rsid w:val="00C638A2"/>
    <w:rsid w:val="00C64BAE"/>
    <w:rsid w:val="00C67EEC"/>
    <w:rsid w:val="00C71395"/>
    <w:rsid w:val="00C728C0"/>
    <w:rsid w:val="00C73091"/>
    <w:rsid w:val="00C73CD4"/>
    <w:rsid w:val="00C73FFC"/>
    <w:rsid w:val="00C746DD"/>
    <w:rsid w:val="00C750B9"/>
    <w:rsid w:val="00C76018"/>
    <w:rsid w:val="00C77227"/>
    <w:rsid w:val="00C80FF4"/>
    <w:rsid w:val="00C82762"/>
    <w:rsid w:val="00C83B6F"/>
    <w:rsid w:val="00C8504D"/>
    <w:rsid w:val="00C85E38"/>
    <w:rsid w:val="00C872E4"/>
    <w:rsid w:val="00C9199E"/>
    <w:rsid w:val="00C9272A"/>
    <w:rsid w:val="00C943A7"/>
    <w:rsid w:val="00C953D6"/>
    <w:rsid w:val="00C95CF7"/>
    <w:rsid w:val="00C973A9"/>
    <w:rsid w:val="00C97640"/>
    <w:rsid w:val="00CA0583"/>
    <w:rsid w:val="00CA093A"/>
    <w:rsid w:val="00CA0ECE"/>
    <w:rsid w:val="00CA2574"/>
    <w:rsid w:val="00CA3682"/>
    <w:rsid w:val="00CA4B62"/>
    <w:rsid w:val="00CA4C2D"/>
    <w:rsid w:val="00CB0327"/>
    <w:rsid w:val="00CB12E0"/>
    <w:rsid w:val="00CB348F"/>
    <w:rsid w:val="00CB3ED3"/>
    <w:rsid w:val="00CB6476"/>
    <w:rsid w:val="00CC0C63"/>
    <w:rsid w:val="00CC302C"/>
    <w:rsid w:val="00CC3472"/>
    <w:rsid w:val="00CC38D1"/>
    <w:rsid w:val="00CC3DCA"/>
    <w:rsid w:val="00CC4827"/>
    <w:rsid w:val="00CC60E3"/>
    <w:rsid w:val="00CD1808"/>
    <w:rsid w:val="00CD38FE"/>
    <w:rsid w:val="00CD4AE9"/>
    <w:rsid w:val="00CD61D6"/>
    <w:rsid w:val="00CD6872"/>
    <w:rsid w:val="00CD6C03"/>
    <w:rsid w:val="00CE159E"/>
    <w:rsid w:val="00CE2F70"/>
    <w:rsid w:val="00CE3221"/>
    <w:rsid w:val="00CE4324"/>
    <w:rsid w:val="00CE6473"/>
    <w:rsid w:val="00CE7221"/>
    <w:rsid w:val="00CF0DBA"/>
    <w:rsid w:val="00CF0EC3"/>
    <w:rsid w:val="00CF2AC3"/>
    <w:rsid w:val="00CF4258"/>
    <w:rsid w:val="00CF484D"/>
    <w:rsid w:val="00CF5E0A"/>
    <w:rsid w:val="00CF746C"/>
    <w:rsid w:val="00CF75AD"/>
    <w:rsid w:val="00D0286B"/>
    <w:rsid w:val="00D03346"/>
    <w:rsid w:val="00D04402"/>
    <w:rsid w:val="00D05B86"/>
    <w:rsid w:val="00D06CF9"/>
    <w:rsid w:val="00D072A1"/>
    <w:rsid w:val="00D0798F"/>
    <w:rsid w:val="00D10B4F"/>
    <w:rsid w:val="00D1104F"/>
    <w:rsid w:val="00D1191E"/>
    <w:rsid w:val="00D1372F"/>
    <w:rsid w:val="00D14098"/>
    <w:rsid w:val="00D147ED"/>
    <w:rsid w:val="00D1578C"/>
    <w:rsid w:val="00D17A43"/>
    <w:rsid w:val="00D22070"/>
    <w:rsid w:val="00D232C6"/>
    <w:rsid w:val="00D25E24"/>
    <w:rsid w:val="00D26CF2"/>
    <w:rsid w:val="00D27C83"/>
    <w:rsid w:val="00D309B7"/>
    <w:rsid w:val="00D31DDA"/>
    <w:rsid w:val="00D32100"/>
    <w:rsid w:val="00D32D76"/>
    <w:rsid w:val="00D33F36"/>
    <w:rsid w:val="00D34615"/>
    <w:rsid w:val="00D402C9"/>
    <w:rsid w:val="00D41751"/>
    <w:rsid w:val="00D41D71"/>
    <w:rsid w:val="00D449F5"/>
    <w:rsid w:val="00D463D5"/>
    <w:rsid w:val="00D465E6"/>
    <w:rsid w:val="00D50333"/>
    <w:rsid w:val="00D50969"/>
    <w:rsid w:val="00D52171"/>
    <w:rsid w:val="00D529BC"/>
    <w:rsid w:val="00D52E98"/>
    <w:rsid w:val="00D53941"/>
    <w:rsid w:val="00D53E15"/>
    <w:rsid w:val="00D54E59"/>
    <w:rsid w:val="00D57152"/>
    <w:rsid w:val="00D604FF"/>
    <w:rsid w:val="00D60FEF"/>
    <w:rsid w:val="00D612EC"/>
    <w:rsid w:val="00D619C5"/>
    <w:rsid w:val="00D632F9"/>
    <w:rsid w:val="00D637C6"/>
    <w:rsid w:val="00D644E3"/>
    <w:rsid w:val="00D659F7"/>
    <w:rsid w:val="00D66874"/>
    <w:rsid w:val="00D67175"/>
    <w:rsid w:val="00D67614"/>
    <w:rsid w:val="00D70679"/>
    <w:rsid w:val="00D72F23"/>
    <w:rsid w:val="00D74456"/>
    <w:rsid w:val="00D74A3B"/>
    <w:rsid w:val="00D75BA4"/>
    <w:rsid w:val="00D77DC7"/>
    <w:rsid w:val="00D81139"/>
    <w:rsid w:val="00D81E3A"/>
    <w:rsid w:val="00D827F8"/>
    <w:rsid w:val="00D84143"/>
    <w:rsid w:val="00D869A2"/>
    <w:rsid w:val="00D877AE"/>
    <w:rsid w:val="00D90656"/>
    <w:rsid w:val="00D90E18"/>
    <w:rsid w:val="00D92AA4"/>
    <w:rsid w:val="00D93708"/>
    <w:rsid w:val="00D94F92"/>
    <w:rsid w:val="00D95377"/>
    <w:rsid w:val="00DA1767"/>
    <w:rsid w:val="00DA2C64"/>
    <w:rsid w:val="00DA3B61"/>
    <w:rsid w:val="00DA3CD9"/>
    <w:rsid w:val="00DA40ED"/>
    <w:rsid w:val="00DA4575"/>
    <w:rsid w:val="00DA54C1"/>
    <w:rsid w:val="00DA6D6E"/>
    <w:rsid w:val="00DA6E89"/>
    <w:rsid w:val="00DB01CF"/>
    <w:rsid w:val="00DB09CD"/>
    <w:rsid w:val="00DB1F8D"/>
    <w:rsid w:val="00DB2273"/>
    <w:rsid w:val="00DB641A"/>
    <w:rsid w:val="00DB704E"/>
    <w:rsid w:val="00DB7087"/>
    <w:rsid w:val="00DB71F8"/>
    <w:rsid w:val="00DC1063"/>
    <w:rsid w:val="00DC1507"/>
    <w:rsid w:val="00DC23ED"/>
    <w:rsid w:val="00DC294A"/>
    <w:rsid w:val="00DC5719"/>
    <w:rsid w:val="00DC724C"/>
    <w:rsid w:val="00DC7A04"/>
    <w:rsid w:val="00DD18E0"/>
    <w:rsid w:val="00DD1D59"/>
    <w:rsid w:val="00DD7E63"/>
    <w:rsid w:val="00DE17AA"/>
    <w:rsid w:val="00DE36D3"/>
    <w:rsid w:val="00DE4D28"/>
    <w:rsid w:val="00DE4EA3"/>
    <w:rsid w:val="00DE556A"/>
    <w:rsid w:val="00DF03DB"/>
    <w:rsid w:val="00DF0E2C"/>
    <w:rsid w:val="00DF2D33"/>
    <w:rsid w:val="00DF3A70"/>
    <w:rsid w:val="00DF3EF5"/>
    <w:rsid w:val="00E00943"/>
    <w:rsid w:val="00E06B82"/>
    <w:rsid w:val="00E07615"/>
    <w:rsid w:val="00E10464"/>
    <w:rsid w:val="00E10CAF"/>
    <w:rsid w:val="00E11FBE"/>
    <w:rsid w:val="00E12D84"/>
    <w:rsid w:val="00E12EC8"/>
    <w:rsid w:val="00E158EF"/>
    <w:rsid w:val="00E20341"/>
    <w:rsid w:val="00E2044D"/>
    <w:rsid w:val="00E215C7"/>
    <w:rsid w:val="00E22E8A"/>
    <w:rsid w:val="00E22EF8"/>
    <w:rsid w:val="00E256DA"/>
    <w:rsid w:val="00E26BC5"/>
    <w:rsid w:val="00E27AA1"/>
    <w:rsid w:val="00E27FA2"/>
    <w:rsid w:val="00E305D9"/>
    <w:rsid w:val="00E30BB7"/>
    <w:rsid w:val="00E33183"/>
    <w:rsid w:val="00E33623"/>
    <w:rsid w:val="00E33B1D"/>
    <w:rsid w:val="00E355BF"/>
    <w:rsid w:val="00E35612"/>
    <w:rsid w:val="00E36572"/>
    <w:rsid w:val="00E36D8E"/>
    <w:rsid w:val="00E406F0"/>
    <w:rsid w:val="00E4192C"/>
    <w:rsid w:val="00E448F2"/>
    <w:rsid w:val="00E45830"/>
    <w:rsid w:val="00E462A3"/>
    <w:rsid w:val="00E479C5"/>
    <w:rsid w:val="00E50BF0"/>
    <w:rsid w:val="00E50DB1"/>
    <w:rsid w:val="00E52216"/>
    <w:rsid w:val="00E528CE"/>
    <w:rsid w:val="00E56113"/>
    <w:rsid w:val="00E56AB9"/>
    <w:rsid w:val="00E56F49"/>
    <w:rsid w:val="00E5792E"/>
    <w:rsid w:val="00E607DD"/>
    <w:rsid w:val="00E60F67"/>
    <w:rsid w:val="00E6490E"/>
    <w:rsid w:val="00E65350"/>
    <w:rsid w:val="00E65F93"/>
    <w:rsid w:val="00E66E5B"/>
    <w:rsid w:val="00E67848"/>
    <w:rsid w:val="00E72964"/>
    <w:rsid w:val="00E730AC"/>
    <w:rsid w:val="00E73245"/>
    <w:rsid w:val="00E73E4B"/>
    <w:rsid w:val="00E75E32"/>
    <w:rsid w:val="00E772DA"/>
    <w:rsid w:val="00E77B70"/>
    <w:rsid w:val="00E80E92"/>
    <w:rsid w:val="00E81AAA"/>
    <w:rsid w:val="00E831CE"/>
    <w:rsid w:val="00E83E47"/>
    <w:rsid w:val="00E85B25"/>
    <w:rsid w:val="00E8640D"/>
    <w:rsid w:val="00E9087F"/>
    <w:rsid w:val="00E915A2"/>
    <w:rsid w:val="00E951A5"/>
    <w:rsid w:val="00E95F95"/>
    <w:rsid w:val="00E970DD"/>
    <w:rsid w:val="00E979C9"/>
    <w:rsid w:val="00EA2E47"/>
    <w:rsid w:val="00EA3EA4"/>
    <w:rsid w:val="00EA4D02"/>
    <w:rsid w:val="00EA513F"/>
    <w:rsid w:val="00EA6493"/>
    <w:rsid w:val="00EB02BC"/>
    <w:rsid w:val="00EB1CC2"/>
    <w:rsid w:val="00EB3DF7"/>
    <w:rsid w:val="00EB4828"/>
    <w:rsid w:val="00EB5551"/>
    <w:rsid w:val="00EB6964"/>
    <w:rsid w:val="00EB78A4"/>
    <w:rsid w:val="00EC2468"/>
    <w:rsid w:val="00EC2F87"/>
    <w:rsid w:val="00EC2F96"/>
    <w:rsid w:val="00EC6435"/>
    <w:rsid w:val="00EC6480"/>
    <w:rsid w:val="00EC6865"/>
    <w:rsid w:val="00EC7D14"/>
    <w:rsid w:val="00ED03CE"/>
    <w:rsid w:val="00ED0C1C"/>
    <w:rsid w:val="00ED1036"/>
    <w:rsid w:val="00ED10A6"/>
    <w:rsid w:val="00ED217F"/>
    <w:rsid w:val="00ED4F68"/>
    <w:rsid w:val="00ED5BF3"/>
    <w:rsid w:val="00ED61F5"/>
    <w:rsid w:val="00ED667C"/>
    <w:rsid w:val="00EE0552"/>
    <w:rsid w:val="00EE30A3"/>
    <w:rsid w:val="00EE5379"/>
    <w:rsid w:val="00EE6922"/>
    <w:rsid w:val="00EE72EC"/>
    <w:rsid w:val="00EE7335"/>
    <w:rsid w:val="00EF0A21"/>
    <w:rsid w:val="00EF3E33"/>
    <w:rsid w:val="00EF632E"/>
    <w:rsid w:val="00F03C23"/>
    <w:rsid w:val="00F040D7"/>
    <w:rsid w:val="00F049D2"/>
    <w:rsid w:val="00F109EF"/>
    <w:rsid w:val="00F11765"/>
    <w:rsid w:val="00F137BC"/>
    <w:rsid w:val="00F158F7"/>
    <w:rsid w:val="00F1646E"/>
    <w:rsid w:val="00F168E6"/>
    <w:rsid w:val="00F16FA1"/>
    <w:rsid w:val="00F20ED2"/>
    <w:rsid w:val="00F212BA"/>
    <w:rsid w:val="00F23E6D"/>
    <w:rsid w:val="00F242EA"/>
    <w:rsid w:val="00F255DB"/>
    <w:rsid w:val="00F302B7"/>
    <w:rsid w:val="00F30BBF"/>
    <w:rsid w:val="00F33A3F"/>
    <w:rsid w:val="00F33E72"/>
    <w:rsid w:val="00F34651"/>
    <w:rsid w:val="00F35B83"/>
    <w:rsid w:val="00F3701C"/>
    <w:rsid w:val="00F37FB9"/>
    <w:rsid w:val="00F43810"/>
    <w:rsid w:val="00F46848"/>
    <w:rsid w:val="00F46BF4"/>
    <w:rsid w:val="00F501B6"/>
    <w:rsid w:val="00F51230"/>
    <w:rsid w:val="00F52EE0"/>
    <w:rsid w:val="00F5342B"/>
    <w:rsid w:val="00F53823"/>
    <w:rsid w:val="00F53A8F"/>
    <w:rsid w:val="00F55334"/>
    <w:rsid w:val="00F554E0"/>
    <w:rsid w:val="00F57266"/>
    <w:rsid w:val="00F62A9A"/>
    <w:rsid w:val="00F6318E"/>
    <w:rsid w:val="00F63989"/>
    <w:rsid w:val="00F70630"/>
    <w:rsid w:val="00F70F36"/>
    <w:rsid w:val="00F761A6"/>
    <w:rsid w:val="00F80C5E"/>
    <w:rsid w:val="00F82701"/>
    <w:rsid w:val="00F83E1B"/>
    <w:rsid w:val="00F876CF"/>
    <w:rsid w:val="00F90886"/>
    <w:rsid w:val="00F93E8F"/>
    <w:rsid w:val="00F95095"/>
    <w:rsid w:val="00F96B7A"/>
    <w:rsid w:val="00FA009E"/>
    <w:rsid w:val="00FA07A3"/>
    <w:rsid w:val="00FA13B1"/>
    <w:rsid w:val="00FA15FF"/>
    <w:rsid w:val="00FA45E5"/>
    <w:rsid w:val="00FA6998"/>
    <w:rsid w:val="00FA7B13"/>
    <w:rsid w:val="00FB0BBD"/>
    <w:rsid w:val="00FB0E38"/>
    <w:rsid w:val="00FB1BDA"/>
    <w:rsid w:val="00FB2B84"/>
    <w:rsid w:val="00FB5C14"/>
    <w:rsid w:val="00FB5C51"/>
    <w:rsid w:val="00FB7886"/>
    <w:rsid w:val="00FC0945"/>
    <w:rsid w:val="00FC20F8"/>
    <w:rsid w:val="00FC2565"/>
    <w:rsid w:val="00FC2900"/>
    <w:rsid w:val="00FC2DAB"/>
    <w:rsid w:val="00FC3EA0"/>
    <w:rsid w:val="00FD1C18"/>
    <w:rsid w:val="00FD1EBB"/>
    <w:rsid w:val="00FD6B4D"/>
    <w:rsid w:val="00FD6DB2"/>
    <w:rsid w:val="00FD7A99"/>
    <w:rsid w:val="00FE0E5B"/>
    <w:rsid w:val="00FE3738"/>
    <w:rsid w:val="00FE38D0"/>
    <w:rsid w:val="00FE3EFC"/>
    <w:rsid w:val="00FE445D"/>
    <w:rsid w:val="00FE607B"/>
    <w:rsid w:val="00FF3BD1"/>
    <w:rsid w:val="00FF526A"/>
    <w:rsid w:val="00FF5F1E"/>
    <w:rsid w:val="00FF6535"/>
    <w:rsid w:val="00FF6EA5"/>
    <w:rsid w:val="00FF756E"/>
    <w:rsid w:val="1B2C9FDD"/>
    <w:rsid w:val="4ACE7D88"/>
    <w:rsid w:val="668277CE"/>
    <w:rsid w:val="7825A8D2"/>
  </w:rsids>
  <m:mathPr>
    <m:mathFont m:val="Cambria Math"/>
    <m:brkBin m:val="before"/>
    <m:brkBinSub m:val="--"/>
    <m:smallFrac m:val="0"/>
    <m:dispDef/>
    <m:lMargin m:val="0"/>
    <m:rMargin m:val="0"/>
    <m:defJc m:val="centerGroup"/>
    <m:wrapIndent m:val="1440"/>
    <m:intLim m:val="subSup"/>
    <m:naryLim m:val="undOvr"/>
  </m:mathPr>
  <w:themeFontLang w:val="en-US" w:eastAsia="zh-CN"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BBF1A"/>
  <w15:docId w15:val="{BEDD0961-54A1-41CB-A8E4-99F50D267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MS Mincho" w:hAnsi="Verdana" w:cstheme="minorBidi"/>
        <w:sz w:val="18"/>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DCA"/>
    <w:pPr>
      <w:spacing w:after="0" w:line="280" w:lineRule="atLeast"/>
    </w:pPr>
    <w:rPr>
      <w:rFonts w:ascii="Times New Roman" w:eastAsia="Times New Roman" w:hAnsi="Times New Roman" w:cs="Times New Roman"/>
      <w:sz w:val="22"/>
      <w:szCs w:val="20"/>
      <w:lang w:val="nl-NL" w:eastAsia="zh-CN"/>
    </w:rPr>
  </w:style>
  <w:style w:type="paragraph" w:styleId="Heading1">
    <w:name w:val="heading 1"/>
    <w:basedOn w:val="Normal"/>
    <w:next w:val="Normal"/>
    <w:link w:val="Heading1Char"/>
    <w:qFormat/>
    <w:rsid w:val="00CC3DCA"/>
    <w:pPr>
      <w:keepNext/>
      <w:numPr>
        <w:numId w:val="1"/>
      </w:numPr>
      <w:spacing w:after="560"/>
      <w:outlineLvl w:val="0"/>
    </w:pPr>
    <w:rPr>
      <w:sz w:val="28"/>
    </w:rPr>
  </w:style>
  <w:style w:type="paragraph" w:styleId="Heading2">
    <w:name w:val="heading 2"/>
    <w:basedOn w:val="Heading1"/>
    <w:next w:val="Normal"/>
    <w:link w:val="Heading2Char"/>
    <w:qFormat/>
    <w:rsid w:val="00CC3DCA"/>
    <w:pPr>
      <w:numPr>
        <w:ilvl w:val="1"/>
      </w:numPr>
      <w:spacing w:after="280"/>
      <w:outlineLvl w:val="1"/>
    </w:pPr>
    <w:rPr>
      <w:b/>
      <w:sz w:val="22"/>
    </w:rPr>
  </w:style>
  <w:style w:type="paragraph" w:styleId="Heading3">
    <w:name w:val="heading 3"/>
    <w:basedOn w:val="Heading2"/>
    <w:next w:val="Normal"/>
    <w:link w:val="Heading3Char"/>
    <w:qFormat/>
    <w:rsid w:val="00CC3DCA"/>
    <w:pPr>
      <w:numPr>
        <w:ilvl w:val="2"/>
      </w:numPr>
      <w:spacing w:after="0"/>
      <w:outlineLvl w:val="2"/>
    </w:pPr>
    <w:rPr>
      <w:b w:val="0"/>
      <w:i/>
    </w:rPr>
  </w:style>
  <w:style w:type="paragraph" w:styleId="Heading4">
    <w:name w:val="heading 4"/>
    <w:basedOn w:val="Heading3"/>
    <w:next w:val="Normal"/>
    <w:link w:val="Heading4Char"/>
    <w:qFormat/>
    <w:rsid w:val="00CC3DCA"/>
    <w:pPr>
      <w:numPr>
        <w:ilvl w:val="3"/>
      </w:numPr>
      <w:outlineLvl w:val="3"/>
    </w:pPr>
  </w:style>
  <w:style w:type="paragraph" w:styleId="Heading5">
    <w:name w:val="heading 5"/>
    <w:basedOn w:val="Normal"/>
    <w:next w:val="Normal"/>
    <w:link w:val="Heading5Char"/>
    <w:qFormat/>
    <w:rsid w:val="00CC3DCA"/>
    <w:pPr>
      <w:numPr>
        <w:ilvl w:val="4"/>
        <w:numId w:val="1"/>
      </w:numPr>
      <w:spacing w:before="240" w:after="60"/>
      <w:outlineLvl w:val="4"/>
    </w:pPr>
    <w:rPr>
      <w:rFonts w:ascii="Arial" w:hAnsi="Arial"/>
    </w:rPr>
  </w:style>
  <w:style w:type="paragraph" w:styleId="Heading6">
    <w:name w:val="heading 6"/>
    <w:basedOn w:val="Normal"/>
    <w:next w:val="Normal"/>
    <w:link w:val="Heading6Char"/>
    <w:qFormat/>
    <w:rsid w:val="00CC3DCA"/>
    <w:pPr>
      <w:numPr>
        <w:ilvl w:val="5"/>
        <w:numId w:val="1"/>
      </w:numPr>
      <w:spacing w:before="240" w:after="60"/>
      <w:outlineLvl w:val="5"/>
    </w:pPr>
    <w:rPr>
      <w:rFonts w:ascii="Arial" w:hAnsi="Arial"/>
      <w:i/>
    </w:rPr>
  </w:style>
  <w:style w:type="paragraph" w:styleId="Heading7">
    <w:name w:val="heading 7"/>
    <w:basedOn w:val="Normal"/>
    <w:next w:val="Normal"/>
    <w:link w:val="Heading7Char"/>
    <w:qFormat/>
    <w:rsid w:val="00CC3DCA"/>
    <w:pPr>
      <w:numPr>
        <w:ilvl w:val="6"/>
        <w:numId w:val="1"/>
      </w:numPr>
      <w:spacing w:before="240" w:after="60"/>
      <w:outlineLvl w:val="6"/>
    </w:pPr>
    <w:rPr>
      <w:rFonts w:ascii="Arial" w:hAnsi="Arial"/>
      <w:sz w:val="20"/>
    </w:rPr>
  </w:style>
  <w:style w:type="paragraph" w:styleId="Heading8">
    <w:name w:val="heading 8"/>
    <w:basedOn w:val="Normal"/>
    <w:next w:val="Normal"/>
    <w:link w:val="Heading8Char"/>
    <w:qFormat/>
    <w:rsid w:val="00CC3DCA"/>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qFormat/>
    <w:rsid w:val="00CC3DCA"/>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3DCA"/>
    <w:rPr>
      <w:rFonts w:ascii="Times New Roman" w:eastAsia="Times New Roman" w:hAnsi="Times New Roman" w:cs="Times New Roman"/>
      <w:sz w:val="28"/>
      <w:szCs w:val="20"/>
      <w:lang w:val="nl-NL" w:eastAsia="zh-CN"/>
    </w:rPr>
  </w:style>
  <w:style w:type="character" w:customStyle="1" w:styleId="Heading2Char">
    <w:name w:val="Heading 2 Char"/>
    <w:basedOn w:val="DefaultParagraphFont"/>
    <w:link w:val="Heading2"/>
    <w:rsid w:val="00CC3DCA"/>
    <w:rPr>
      <w:rFonts w:ascii="Times New Roman" w:eastAsia="Times New Roman" w:hAnsi="Times New Roman" w:cs="Times New Roman"/>
      <w:b/>
      <w:sz w:val="22"/>
      <w:szCs w:val="20"/>
      <w:lang w:val="nl-NL" w:eastAsia="zh-CN"/>
    </w:rPr>
  </w:style>
  <w:style w:type="character" w:customStyle="1" w:styleId="Heading3Char">
    <w:name w:val="Heading 3 Char"/>
    <w:basedOn w:val="DefaultParagraphFont"/>
    <w:link w:val="Heading3"/>
    <w:rsid w:val="00CC3DCA"/>
    <w:rPr>
      <w:rFonts w:ascii="Times New Roman" w:eastAsia="Times New Roman" w:hAnsi="Times New Roman" w:cs="Times New Roman"/>
      <w:i/>
      <w:sz w:val="22"/>
      <w:szCs w:val="20"/>
      <w:lang w:val="nl-NL" w:eastAsia="zh-CN"/>
    </w:rPr>
  </w:style>
  <w:style w:type="character" w:customStyle="1" w:styleId="Heading4Char">
    <w:name w:val="Heading 4 Char"/>
    <w:basedOn w:val="DefaultParagraphFont"/>
    <w:link w:val="Heading4"/>
    <w:rsid w:val="00CC3DCA"/>
    <w:rPr>
      <w:rFonts w:ascii="Times New Roman" w:eastAsia="Times New Roman" w:hAnsi="Times New Roman" w:cs="Times New Roman"/>
      <w:i/>
      <w:sz w:val="22"/>
      <w:szCs w:val="20"/>
      <w:lang w:val="nl-NL" w:eastAsia="zh-CN"/>
    </w:rPr>
  </w:style>
  <w:style w:type="character" w:customStyle="1" w:styleId="Heading5Char">
    <w:name w:val="Heading 5 Char"/>
    <w:basedOn w:val="DefaultParagraphFont"/>
    <w:link w:val="Heading5"/>
    <w:rsid w:val="00CC3DCA"/>
    <w:rPr>
      <w:rFonts w:ascii="Arial" w:eastAsia="Times New Roman" w:hAnsi="Arial" w:cs="Times New Roman"/>
      <w:sz w:val="22"/>
      <w:szCs w:val="20"/>
      <w:lang w:val="nl-NL" w:eastAsia="zh-CN"/>
    </w:rPr>
  </w:style>
  <w:style w:type="character" w:customStyle="1" w:styleId="Heading6Char">
    <w:name w:val="Heading 6 Char"/>
    <w:basedOn w:val="DefaultParagraphFont"/>
    <w:link w:val="Heading6"/>
    <w:rsid w:val="00CC3DCA"/>
    <w:rPr>
      <w:rFonts w:ascii="Arial" w:eastAsia="Times New Roman" w:hAnsi="Arial" w:cs="Times New Roman"/>
      <w:i/>
      <w:sz w:val="22"/>
      <w:szCs w:val="20"/>
      <w:lang w:val="nl-NL" w:eastAsia="zh-CN"/>
    </w:rPr>
  </w:style>
  <w:style w:type="character" w:customStyle="1" w:styleId="Heading7Char">
    <w:name w:val="Heading 7 Char"/>
    <w:basedOn w:val="DefaultParagraphFont"/>
    <w:link w:val="Heading7"/>
    <w:rsid w:val="00CC3DCA"/>
    <w:rPr>
      <w:rFonts w:ascii="Arial" w:eastAsia="Times New Roman" w:hAnsi="Arial" w:cs="Times New Roman"/>
      <w:sz w:val="20"/>
      <w:szCs w:val="20"/>
      <w:lang w:val="nl-NL" w:eastAsia="zh-CN"/>
    </w:rPr>
  </w:style>
  <w:style w:type="character" w:customStyle="1" w:styleId="Heading8Char">
    <w:name w:val="Heading 8 Char"/>
    <w:basedOn w:val="DefaultParagraphFont"/>
    <w:link w:val="Heading8"/>
    <w:rsid w:val="00CC3DCA"/>
    <w:rPr>
      <w:rFonts w:ascii="Arial" w:eastAsia="Times New Roman" w:hAnsi="Arial" w:cs="Times New Roman"/>
      <w:i/>
      <w:sz w:val="20"/>
      <w:szCs w:val="20"/>
      <w:lang w:val="nl-NL" w:eastAsia="zh-CN"/>
    </w:rPr>
  </w:style>
  <w:style w:type="character" w:customStyle="1" w:styleId="Heading9Char">
    <w:name w:val="Heading 9 Char"/>
    <w:basedOn w:val="DefaultParagraphFont"/>
    <w:link w:val="Heading9"/>
    <w:rsid w:val="00CC3DCA"/>
    <w:rPr>
      <w:rFonts w:ascii="Arial" w:eastAsia="Times New Roman" w:hAnsi="Arial" w:cs="Times New Roman"/>
      <w:i/>
      <w:szCs w:val="20"/>
      <w:lang w:val="nl-NL" w:eastAsia="zh-CN"/>
    </w:rPr>
  </w:style>
  <w:style w:type="character" w:styleId="PageNumber">
    <w:name w:val="page number"/>
    <w:rsid w:val="00CC3DCA"/>
    <w:rPr>
      <w:rFonts w:ascii="Univers" w:hAnsi="Univers"/>
      <w:color w:val="auto"/>
      <w:spacing w:val="0"/>
      <w:kern w:val="0"/>
      <w:position w:val="0"/>
      <w:sz w:val="14"/>
      <w:u w:val="none"/>
      <w:vertAlign w:val="baseline"/>
    </w:rPr>
  </w:style>
  <w:style w:type="paragraph" w:styleId="Footer">
    <w:name w:val="footer"/>
    <w:basedOn w:val="Normal"/>
    <w:link w:val="FooterChar"/>
    <w:rsid w:val="00CC3DCA"/>
    <w:pPr>
      <w:tabs>
        <w:tab w:val="center" w:pos="4252"/>
        <w:tab w:val="right" w:pos="8504"/>
      </w:tabs>
      <w:spacing w:after="360" w:line="240" w:lineRule="exact"/>
      <w:ind w:left="3969"/>
    </w:pPr>
    <w:rPr>
      <w:rFonts w:ascii="Univers" w:hAnsi="Univers"/>
      <w:sz w:val="14"/>
    </w:rPr>
  </w:style>
  <w:style w:type="character" w:customStyle="1" w:styleId="FooterChar">
    <w:name w:val="Footer Char"/>
    <w:basedOn w:val="DefaultParagraphFont"/>
    <w:link w:val="Footer"/>
    <w:rsid w:val="00CC3DCA"/>
    <w:rPr>
      <w:rFonts w:ascii="Univers" w:eastAsia="Times New Roman" w:hAnsi="Univers" w:cs="Times New Roman"/>
      <w:sz w:val="14"/>
      <w:szCs w:val="20"/>
      <w:lang w:val="nl-NL" w:eastAsia="zh-CN"/>
    </w:rPr>
  </w:style>
  <w:style w:type="character" w:styleId="Hyperlink">
    <w:name w:val="Hyperlink"/>
    <w:rsid w:val="00CC3DCA"/>
    <w:rPr>
      <w:color w:val="0000FF"/>
      <w:u w:val="single"/>
    </w:rPr>
  </w:style>
  <w:style w:type="paragraph" w:styleId="FootnoteText">
    <w:name w:val="footnote text"/>
    <w:basedOn w:val="Normal"/>
    <w:link w:val="FootnoteTextChar"/>
    <w:semiHidden/>
    <w:rsid w:val="00CC3DCA"/>
    <w:rPr>
      <w:sz w:val="20"/>
    </w:rPr>
  </w:style>
  <w:style w:type="character" w:customStyle="1" w:styleId="FootnoteTextChar">
    <w:name w:val="Footnote Text Char"/>
    <w:basedOn w:val="DefaultParagraphFont"/>
    <w:link w:val="FootnoteText"/>
    <w:semiHidden/>
    <w:rsid w:val="00CC3DCA"/>
    <w:rPr>
      <w:rFonts w:ascii="Times New Roman" w:eastAsia="Times New Roman" w:hAnsi="Times New Roman" w:cs="Times New Roman"/>
      <w:sz w:val="20"/>
      <w:szCs w:val="20"/>
      <w:lang w:val="nl-NL" w:eastAsia="zh-CN"/>
    </w:rPr>
  </w:style>
  <w:style w:type="character" w:styleId="FootnoteReference">
    <w:name w:val="footnote reference"/>
    <w:semiHidden/>
    <w:rsid w:val="00CC3DCA"/>
    <w:rPr>
      <w:vertAlign w:val="superscript"/>
    </w:rPr>
  </w:style>
  <w:style w:type="paragraph" w:styleId="ListParagraph">
    <w:name w:val="List Paragraph"/>
    <w:basedOn w:val="Normal"/>
    <w:uiPriority w:val="34"/>
    <w:qFormat/>
    <w:rsid w:val="00CC3DCA"/>
    <w:pPr>
      <w:ind w:left="720"/>
    </w:pPr>
  </w:style>
  <w:style w:type="paragraph" w:customStyle="1" w:styleId="Spreekpunten">
    <w:name w:val="Spreekpunten"/>
    <w:basedOn w:val="Normal"/>
    <w:rsid w:val="00CC3DCA"/>
    <w:pPr>
      <w:numPr>
        <w:numId w:val="5"/>
      </w:numPr>
      <w:spacing w:line="360" w:lineRule="auto"/>
    </w:pPr>
    <w:rPr>
      <w:bCs/>
      <w:sz w:val="28"/>
      <w:lang w:val="en-GB" w:eastAsia="nl-NL"/>
    </w:rPr>
  </w:style>
  <w:style w:type="paragraph" w:styleId="PlainText">
    <w:name w:val="Plain Text"/>
    <w:basedOn w:val="Normal"/>
    <w:link w:val="PlainTextChar"/>
    <w:uiPriority w:val="99"/>
    <w:unhideWhenUsed/>
    <w:rsid w:val="00CC3DCA"/>
    <w:pPr>
      <w:spacing w:line="240" w:lineRule="auto"/>
    </w:pPr>
    <w:rPr>
      <w:rFonts w:ascii="Calibri" w:eastAsia="Calibri" w:hAnsi="Calibri"/>
      <w:szCs w:val="21"/>
      <w:lang w:eastAsia="en-US"/>
    </w:rPr>
  </w:style>
  <w:style w:type="character" w:customStyle="1" w:styleId="PlainTextChar">
    <w:name w:val="Plain Text Char"/>
    <w:basedOn w:val="DefaultParagraphFont"/>
    <w:link w:val="PlainText"/>
    <w:uiPriority w:val="99"/>
    <w:rsid w:val="00CC3DCA"/>
    <w:rPr>
      <w:rFonts w:ascii="Calibri" w:eastAsia="Calibri" w:hAnsi="Calibri" w:cs="Times New Roman"/>
      <w:sz w:val="22"/>
      <w:szCs w:val="21"/>
      <w:lang w:val="nl-NL"/>
    </w:rPr>
  </w:style>
  <w:style w:type="paragraph" w:styleId="Header">
    <w:name w:val="header"/>
    <w:basedOn w:val="Normal"/>
    <w:link w:val="HeaderChar"/>
    <w:uiPriority w:val="99"/>
    <w:unhideWhenUsed/>
    <w:rsid w:val="00CC3DCA"/>
    <w:pPr>
      <w:tabs>
        <w:tab w:val="center" w:pos="4513"/>
        <w:tab w:val="right" w:pos="9026"/>
      </w:tabs>
      <w:spacing w:line="240" w:lineRule="auto"/>
    </w:pPr>
  </w:style>
  <w:style w:type="character" w:customStyle="1" w:styleId="HeaderChar">
    <w:name w:val="Header Char"/>
    <w:basedOn w:val="DefaultParagraphFont"/>
    <w:link w:val="Header"/>
    <w:uiPriority w:val="99"/>
    <w:rsid w:val="00CC3DCA"/>
    <w:rPr>
      <w:rFonts w:ascii="Times New Roman" w:eastAsia="Times New Roman" w:hAnsi="Times New Roman" w:cs="Times New Roman"/>
      <w:sz w:val="22"/>
      <w:szCs w:val="20"/>
      <w:lang w:val="nl-NL" w:eastAsia="zh-CN"/>
    </w:rPr>
  </w:style>
  <w:style w:type="paragraph" w:styleId="BalloonText">
    <w:name w:val="Balloon Text"/>
    <w:basedOn w:val="Normal"/>
    <w:link w:val="BalloonTextChar"/>
    <w:uiPriority w:val="99"/>
    <w:semiHidden/>
    <w:unhideWhenUsed/>
    <w:rsid w:val="00CC3DC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3DCA"/>
    <w:rPr>
      <w:rFonts w:ascii="Tahoma" w:eastAsia="Times New Roman" w:hAnsi="Tahoma" w:cs="Tahoma"/>
      <w:sz w:val="16"/>
      <w:szCs w:val="16"/>
      <w:lang w:val="nl-NL" w:eastAsia="zh-CN"/>
    </w:rPr>
  </w:style>
  <w:style w:type="character" w:styleId="CommentReference">
    <w:name w:val="annotation reference"/>
    <w:semiHidden/>
    <w:rsid w:val="009C446A"/>
    <w:rPr>
      <w:sz w:val="16"/>
      <w:szCs w:val="16"/>
    </w:rPr>
  </w:style>
  <w:style w:type="paragraph" w:styleId="CommentText">
    <w:name w:val="annotation text"/>
    <w:basedOn w:val="Normal"/>
    <w:link w:val="CommentTextChar"/>
    <w:semiHidden/>
    <w:rsid w:val="009C446A"/>
    <w:rPr>
      <w:sz w:val="20"/>
    </w:rPr>
  </w:style>
  <w:style w:type="character" w:customStyle="1" w:styleId="CommentTextChar">
    <w:name w:val="Comment Text Char"/>
    <w:basedOn w:val="DefaultParagraphFont"/>
    <w:link w:val="CommentText"/>
    <w:semiHidden/>
    <w:rsid w:val="009C446A"/>
    <w:rPr>
      <w:rFonts w:ascii="Times New Roman" w:eastAsia="Times New Roman" w:hAnsi="Times New Roman" w:cs="Times New Roman"/>
      <w:sz w:val="20"/>
      <w:szCs w:val="20"/>
      <w:lang w:val="nl-NL" w:eastAsia="zh-CN"/>
    </w:rPr>
  </w:style>
  <w:style w:type="character" w:styleId="FollowedHyperlink">
    <w:name w:val="FollowedHyperlink"/>
    <w:basedOn w:val="DefaultParagraphFont"/>
    <w:uiPriority w:val="99"/>
    <w:semiHidden/>
    <w:unhideWhenUsed/>
    <w:rsid w:val="004770BF"/>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870E22"/>
    <w:pPr>
      <w:spacing w:line="240" w:lineRule="auto"/>
    </w:pPr>
    <w:rPr>
      <w:b/>
      <w:bCs/>
    </w:rPr>
  </w:style>
  <w:style w:type="character" w:customStyle="1" w:styleId="CommentSubjectChar">
    <w:name w:val="Comment Subject Char"/>
    <w:basedOn w:val="CommentTextChar"/>
    <w:link w:val="CommentSubject"/>
    <w:uiPriority w:val="99"/>
    <w:semiHidden/>
    <w:rsid w:val="00870E22"/>
    <w:rPr>
      <w:rFonts w:ascii="Times New Roman" w:eastAsia="Times New Roman" w:hAnsi="Times New Roman" w:cs="Times New Roman"/>
      <w:b/>
      <w:bCs/>
      <w:sz w:val="20"/>
      <w:szCs w:val="20"/>
      <w:lang w:val="nl-NL" w:eastAsia="zh-CN"/>
    </w:rPr>
  </w:style>
  <w:style w:type="paragraph" w:styleId="Revision">
    <w:name w:val="Revision"/>
    <w:hidden/>
    <w:uiPriority w:val="99"/>
    <w:semiHidden/>
    <w:rsid w:val="00E479C5"/>
    <w:pPr>
      <w:spacing w:after="0"/>
    </w:pPr>
    <w:rPr>
      <w:rFonts w:ascii="Times New Roman" w:eastAsia="Times New Roman" w:hAnsi="Times New Roman" w:cs="Times New Roman"/>
      <w:sz w:val="22"/>
      <w:szCs w:val="20"/>
      <w:lang w:val="nl-NL" w:eastAsia="zh-CN"/>
    </w:rPr>
  </w:style>
  <w:style w:type="paragraph" w:styleId="NoSpacing">
    <w:name w:val="No Spacing"/>
    <w:link w:val="NoSpacingChar"/>
    <w:uiPriority w:val="1"/>
    <w:qFormat/>
    <w:rsid w:val="00792A70"/>
    <w:pPr>
      <w:spacing w:after="0"/>
    </w:pPr>
    <w:rPr>
      <w:rFonts w:asciiTheme="minorHAnsi" w:eastAsiaTheme="minorEastAsia" w:hAnsiTheme="minorHAnsi"/>
      <w:sz w:val="22"/>
    </w:rPr>
  </w:style>
  <w:style w:type="character" w:customStyle="1" w:styleId="NoSpacingChar">
    <w:name w:val="No Spacing Char"/>
    <w:basedOn w:val="DefaultParagraphFont"/>
    <w:link w:val="NoSpacing"/>
    <w:uiPriority w:val="1"/>
    <w:rsid w:val="00792A70"/>
    <w:rPr>
      <w:rFonts w:asciiTheme="minorHAnsi" w:eastAsiaTheme="minorEastAsia" w:hAnsiTheme="minorHAnsi"/>
      <w:sz w:val="22"/>
    </w:rPr>
  </w:style>
  <w:style w:type="character" w:styleId="UnresolvedMention">
    <w:name w:val="Unresolved Mention"/>
    <w:basedOn w:val="DefaultParagraphFont"/>
    <w:uiPriority w:val="99"/>
    <w:semiHidden/>
    <w:unhideWhenUsed/>
    <w:rsid w:val="00550534"/>
    <w:rPr>
      <w:color w:val="605E5C"/>
      <w:shd w:val="clear" w:color="auto" w:fill="E1DFDD"/>
    </w:rPr>
  </w:style>
  <w:style w:type="paragraph" w:styleId="NormalWeb">
    <w:name w:val="Normal (Web)"/>
    <w:basedOn w:val="Normal"/>
    <w:uiPriority w:val="99"/>
    <w:semiHidden/>
    <w:unhideWhenUsed/>
    <w:rsid w:val="00AE20DF"/>
    <w:rPr>
      <w:sz w:val="24"/>
      <w:szCs w:val="24"/>
    </w:rPr>
  </w:style>
  <w:style w:type="paragraph" w:customStyle="1" w:styleId="Default">
    <w:name w:val="Default"/>
    <w:rsid w:val="00880584"/>
    <w:pPr>
      <w:autoSpaceDE w:val="0"/>
      <w:autoSpaceDN w:val="0"/>
      <w:adjustRightInd w:val="0"/>
      <w:spacing w:after="0"/>
    </w:pPr>
    <w:rPr>
      <w:rFonts w:ascii="Times New Roman" w:hAnsi="Times New Roman" w:cs="Times New Roman"/>
      <w:color w:val="000000"/>
      <w:sz w:val="24"/>
      <w:szCs w:val="24"/>
      <w:lang w:val="nl-NL"/>
    </w:rPr>
  </w:style>
  <w:style w:type="paragraph" w:customStyle="1" w:styleId="Standaardcursief">
    <w:name w:val="Standaard cursief"/>
    <w:basedOn w:val="Normal"/>
    <w:next w:val="Normal"/>
    <w:uiPriority w:val="5"/>
    <w:qFormat/>
    <w:rsid w:val="001C17A3"/>
    <w:pPr>
      <w:autoSpaceDN w:val="0"/>
      <w:spacing w:line="240" w:lineRule="exact"/>
      <w:textAlignment w:val="baseline"/>
    </w:pPr>
    <w:rPr>
      <w:rFonts w:ascii="Verdana" w:eastAsia="DejaVu Sans" w:hAnsi="Verdana" w:cs="Lohit Hindi"/>
      <w:i/>
      <w:color w:val="000000"/>
      <w:sz w:val="18"/>
      <w:szCs w:val="18"/>
      <w:lang w:eastAsia="nl-NL"/>
    </w:rPr>
  </w:style>
  <w:style w:type="paragraph" w:styleId="IntenseQuote">
    <w:name w:val="Intense Quote"/>
    <w:basedOn w:val="Normal"/>
    <w:next w:val="Normal"/>
    <w:link w:val="IntenseQuoteChar"/>
    <w:uiPriority w:val="30"/>
    <w:qFormat/>
    <w:rsid w:val="00251D4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51D42"/>
    <w:rPr>
      <w:rFonts w:ascii="Times New Roman" w:eastAsia="Times New Roman" w:hAnsi="Times New Roman" w:cs="Times New Roman"/>
      <w:i/>
      <w:iCs/>
      <w:color w:val="365F91" w:themeColor="accent1" w:themeShade="BF"/>
      <w:sz w:val="22"/>
      <w:szCs w:val="20"/>
      <w:lang w:val="nl-NL" w:eastAsia="zh-CN"/>
    </w:rPr>
  </w:style>
  <w:style w:type="paragraph" w:styleId="EndnoteText">
    <w:name w:val="endnote text"/>
    <w:basedOn w:val="Normal"/>
    <w:link w:val="EndnoteTextChar"/>
    <w:uiPriority w:val="99"/>
    <w:semiHidden/>
    <w:unhideWhenUsed/>
    <w:rsid w:val="00AA5E3B"/>
    <w:pPr>
      <w:spacing w:line="240" w:lineRule="auto"/>
    </w:pPr>
    <w:rPr>
      <w:sz w:val="20"/>
    </w:rPr>
  </w:style>
  <w:style w:type="character" w:customStyle="1" w:styleId="EndnoteTextChar">
    <w:name w:val="Endnote Text Char"/>
    <w:basedOn w:val="DefaultParagraphFont"/>
    <w:link w:val="EndnoteText"/>
    <w:uiPriority w:val="99"/>
    <w:semiHidden/>
    <w:rsid w:val="00AA5E3B"/>
    <w:rPr>
      <w:rFonts w:ascii="Times New Roman" w:eastAsia="Times New Roman" w:hAnsi="Times New Roman" w:cs="Times New Roman"/>
      <w:sz w:val="20"/>
      <w:szCs w:val="20"/>
      <w:lang w:val="nl-NL" w:eastAsia="zh-CN"/>
    </w:rPr>
  </w:style>
  <w:style w:type="character" w:styleId="EndnoteReference">
    <w:name w:val="endnote reference"/>
    <w:basedOn w:val="DefaultParagraphFont"/>
    <w:uiPriority w:val="99"/>
    <w:semiHidden/>
    <w:unhideWhenUsed/>
    <w:rsid w:val="00AA5E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43442">
      <w:bodyDiv w:val="1"/>
      <w:marLeft w:val="0"/>
      <w:marRight w:val="0"/>
      <w:marTop w:val="0"/>
      <w:marBottom w:val="0"/>
      <w:divBdr>
        <w:top w:val="none" w:sz="0" w:space="0" w:color="auto"/>
        <w:left w:val="none" w:sz="0" w:space="0" w:color="auto"/>
        <w:bottom w:val="none" w:sz="0" w:space="0" w:color="auto"/>
        <w:right w:val="none" w:sz="0" w:space="0" w:color="auto"/>
      </w:divBdr>
    </w:div>
    <w:div w:id="56587989">
      <w:bodyDiv w:val="1"/>
      <w:marLeft w:val="0"/>
      <w:marRight w:val="0"/>
      <w:marTop w:val="0"/>
      <w:marBottom w:val="0"/>
      <w:divBdr>
        <w:top w:val="none" w:sz="0" w:space="0" w:color="auto"/>
        <w:left w:val="none" w:sz="0" w:space="0" w:color="auto"/>
        <w:bottom w:val="none" w:sz="0" w:space="0" w:color="auto"/>
        <w:right w:val="none" w:sz="0" w:space="0" w:color="auto"/>
      </w:divBdr>
    </w:div>
    <w:div w:id="57166835">
      <w:bodyDiv w:val="1"/>
      <w:marLeft w:val="0"/>
      <w:marRight w:val="0"/>
      <w:marTop w:val="0"/>
      <w:marBottom w:val="0"/>
      <w:divBdr>
        <w:top w:val="none" w:sz="0" w:space="0" w:color="auto"/>
        <w:left w:val="none" w:sz="0" w:space="0" w:color="auto"/>
        <w:bottom w:val="none" w:sz="0" w:space="0" w:color="auto"/>
        <w:right w:val="none" w:sz="0" w:space="0" w:color="auto"/>
      </w:divBdr>
    </w:div>
    <w:div w:id="155265659">
      <w:bodyDiv w:val="1"/>
      <w:marLeft w:val="0"/>
      <w:marRight w:val="0"/>
      <w:marTop w:val="0"/>
      <w:marBottom w:val="0"/>
      <w:divBdr>
        <w:top w:val="none" w:sz="0" w:space="0" w:color="auto"/>
        <w:left w:val="none" w:sz="0" w:space="0" w:color="auto"/>
        <w:bottom w:val="none" w:sz="0" w:space="0" w:color="auto"/>
        <w:right w:val="none" w:sz="0" w:space="0" w:color="auto"/>
      </w:divBdr>
    </w:div>
    <w:div w:id="200097690">
      <w:bodyDiv w:val="1"/>
      <w:marLeft w:val="0"/>
      <w:marRight w:val="0"/>
      <w:marTop w:val="0"/>
      <w:marBottom w:val="0"/>
      <w:divBdr>
        <w:top w:val="none" w:sz="0" w:space="0" w:color="auto"/>
        <w:left w:val="none" w:sz="0" w:space="0" w:color="auto"/>
        <w:bottom w:val="none" w:sz="0" w:space="0" w:color="auto"/>
        <w:right w:val="none" w:sz="0" w:space="0" w:color="auto"/>
      </w:divBdr>
    </w:div>
    <w:div w:id="227301492">
      <w:bodyDiv w:val="1"/>
      <w:marLeft w:val="0"/>
      <w:marRight w:val="0"/>
      <w:marTop w:val="0"/>
      <w:marBottom w:val="0"/>
      <w:divBdr>
        <w:top w:val="none" w:sz="0" w:space="0" w:color="auto"/>
        <w:left w:val="none" w:sz="0" w:space="0" w:color="auto"/>
        <w:bottom w:val="none" w:sz="0" w:space="0" w:color="auto"/>
        <w:right w:val="none" w:sz="0" w:space="0" w:color="auto"/>
      </w:divBdr>
    </w:div>
    <w:div w:id="241912769">
      <w:bodyDiv w:val="1"/>
      <w:marLeft w:val="0"/>
      <w:marRight w:val="0"/>
      <w:marTop w:val="0"/>
      <w:marBottom w:val="0"/>
      <w:divBdr>
        <w:top w:val="none" w:sz="0" w:space="0" w:color="auto"/>
        <w:left w:val="none" w:sz="0" w:space="0" w:color="auto"/>
        <w:bottom w:val="none" w:sz="0" w:space="0" w:color="auto"/>
        <w:right w:val="none" w:sz="0" w:space="0" w:color="auto"/>
      </w:divBdr>
    </w:div>
    <w:div w:id="276571423">
      <w:bodyDiv w:val="1"/>
      <w:marLeft w:val="0"/>
      <w:marRight w:val="0"/>
      <w:marTop w:val="0"/>
      <w:marBottom w:val="0"/>
      <w:divBdr>
        <w:top w:val="none" w:sz="0" w:space="0" w:color="auto"/>
        <w:left w:val="none" w:sz="0" w:space="0" w:color="auto"/>
        <w:bottom w:val="none" w:sz="0" w:space="0" w:color="auto"/>
        <w:right w:val="none" w:sz="0" w:space="0" w:color="auto"/>
      </w:divBdr>
    </w:div>
    <w:div w:id="331490248">
      <w:bodyDiv w:val="1"/>
      <w:marLeft w:val="0"/>
      <w:marRight w:val="0"/>
      <w:marTop w:val="0"/>
      <w:marBottom w:val="0"/>
      <w:divBdr>
        <w:top w:val="none" w:sz="0" w:space="0" w:color="auto"/>
        <w:left w:val="none" w:sz="0" w:space="0" w:color="auto"/>
        <w:bottom w:val="none" w:sz="0" w:space="0" w:color="auto"/>
        <w:right w:val="none" w:sz="0" w:space="0" w:color="auto"/>
      </w:divBdr>
    </w:div>
    <w:div w:id="364526157">
      <w:bodyDiv w:val="1"/>
      <w:marLeft w:val="0"/>
      <w:marRight w:val="0"/>
      <w:marTop w:val="0"/>
      <w:marBottom w:val="0"/>
      <w:divBdr>
        <w:top w:val="none" w:sz="0" w:space="0" w:color="auto"/>
        <w:left w:val="none" w:sz="0" w:space="0" w:color="auto"/>
        <w:bottom w:val="none" w:sz="0" w:space="0" w:color="auto"/>
        <w:right w:val="none" w:sz="0" w:space="0" w:color="auto"/>
      </w:divBdr>
      <w:divsChild>
        <w:div w:id="1053776266">
          <w:marLeft w:val="0"/>
          <w:marRight w:val="0"/>
          <w:marTop w:val="0"/>
          <w:marBottom w:val="0"/>
          <w:divBdr>
            <w:top w:val="none" w:sz="0" w:space="0" w:color="auto"/>
            <w:left w:val="none" w:sz="0" w:space="0" w:color="auto"/>
            <w:bottom w:val="none" w:sz="0" w:space="0" w:color="auto"/>
            <w:right w:val="none" w:sz="0" w:space="0" w:color="auto"/>
          </w:divBdr>
        </w:div>
      </w:divsChild>
    </w:div>
    <w:div w:id="379214178">
      <w:bodyDiv w:val="1"/>
      <w:marLeft w:val="0"/>
      <w:marRight w:val="0"/>
      <w:marTop w:val="0"/>
      <w:marBottom w:val="0"/>
      <w:divBdr>
        <w:top w:val="none" w:sz="0" w:space="0" w:color="auto"/>
        <w:left w:val="none" w:sz="0" w:space="0" w:color="auto"/>
        <w:bottom w:val="none" w:sz="0" w:space="0" w:color="auto"/>
        <w:right w:val="none" w:sz="0" w:space="0" w:color="auto"/>
      </w:divBdr>
    </w:div>
    <w:div w:id="399593870">
      <w:bodyDiv w:val="1"/>
      <w:marLeft w:val="0"/>
      <w:marRight w:val="0"/>
      <w:marTop w:val="0"/>
      <w:marBottom w:val="0"/>
      <w:divBdr>
        <w:top w:val="none" w:sz="0" w:space="0" w:color="auto"/>
        <w:left w:val="none" w:sz="0" w:space="0" w:color="auto"/>
        <w:bottom w:val="none" w:sz="0" w:space="0" w:color="auto"/>
        <w:right w:val="none" w:sz="0" w:space="0" w:color="auto"/>
      </w:divBdr>
    </w:div>
    <w:div w:id="415518086">
      <w:bodyDiv w:val="1"/>
      <w:marLeft w:val="0"/>
      <w:marRight w:val="0"/>
      <w:marTop w:val="0"/>
      <w:marBottom w:val="0"/>
      <w:divBdr>
        <w:top w:val="none" w:sz="0" w:space="0" w:color="auto"/>
        <w:left w:val="none" w:sz="0" w:space="0" w:color="auto"/>
        <w:bottom w:val="none" w:sz="0" w:space="0" w:color="auto"/>
        <w:right w:val="none" w:sz="0" w:space="0" w:color="auto"/>
      </w:divBdr>
    </w:div>
    <w:div w:id="417942905">
      <w:bodyDiv w:val="1"/>
      <w:marLeft w:val="0"/>
      <w:marRight w:val="0"/>
      <w:marTop w:val="0"/>
      <w:marBottom w:val="0"/>
      <w:divBdr>
        <w:top w:val="none" w:sz="0" w:space="0" w:color="auto"/>
        <w:left w:val="none" w:sz="0" w:space="0" w:color="auto"/>
        <w:bottom w:val="none" w:sz="0" w:space="0" w:color="auto"/>
        <w:right w:val="none" w:sz="0" w:space="0" w:color="auto"/>
      </w:divBdr>
    </w:div>
    <w:div w:id="425734609">
      <w:bodyDiv w:val="1"/>
      <w:marLeft w:val="0"/>
      <w:marRight w:val="0"/>
      <w:marTop w:val="0"/>
      <w:marBottom w:val="0"/>
      <w:divBdr>
        <w:top w:val="none" w:sz="0" w:space="0" w:color="auto"/>
        <w:left w:val="none" w:sz="0" w:space="0" w:color="auto"/>
        <w:bottom w:val="none" w:sz="0" w:space="0" w:color="auto"/>
        <w:right w:val="none" w:sz="0" w:space="0" w:color="auto"/>
      </w:divBdr>
    </w:div>
    <w:div w:id="491263797">
      <w:bodyDiv w:val="1"/>
      <w:marLeft w:val="0"/>
      <w:marRight w:val="0"/>
      <w:marTop w:val="0"/>
      <w:marBottom w:val="0"/>
      <w:divBdr>
        <w:top w:val="none" w:sz="0" w:space="0" w:color="auto"/>
        <w:left w:val="none" w:sz="0" w:space="0" w:color="auto"/>
        <w:bottom w:val="none" w:sz="0" w:space="0" w:color="auto"/>
        <w:right w:val="none" w:sz="0" w:space="0" w:color="auto"/>
      </w:divBdr>
    </w:div>
    <w:div w:id="505292057">
      <w:bodyDiv w:val="1"/>
      <w:marLeft w:val="0"/>
      <w:marRight w:val="0"/>
      <w:marTop w:val="0"/>
      <w:marBottom w:val="0"/>
      <w:divBdr>
        <w:top w:val="none" w:sz="0" w:space="0" w:color="auto"/>
        <w:left w:val="none" w:sz="0" w:space="0" w:color="auto"/>
        <w:bottom w:val="none" w:sz="0" w:space="0" w:color="auto"/>
        <w:right w:val="none" w:sz="0" w:space="0" w:color="auto"/>
      </w:divBdr>
    </w:div>
    <w:div w:id="518200598">
      <w:bodyDiv w:val="1"/>
      <w:marLeft w:val="0"/>
      <w:marRight w:val="0"/>
      <w:marTop w:val="0"/>
      <w:marBottom w:val="0"/>
      <w:divBdr>
        <w:top w:val="none" w:sz="0" w:space="0" w:color="auto"/>
        <w:left w:val="none" w:sz="0" w:space="0" w:color="auto"/>
        <w:bottom w:val="none" w:sz="0" w:space="0" w:color="auto"/>
        <w:right w:val="none" w:sz="0" w:space="0" w:color="auto"/>
      </w:divBdr>
    </w:div>
    <w:div w:id="554899642">
      <w:bodyDiv w:val="1"/>
      <w:marLeft w:val="0"/>
      <w:marRight w:val="0"/>
      <w:marTop w:val="0"/>
      <w:marBottom w:val="0"/>
      <w:divBdr>
        <w:top w:val="none" w:sz="0" w:space="0" w:color="auto"/>
        <w:left w:val="none" w:sz="0" w:space="0" w:color="auto"/>
        <w:bottom w:val="none" w:sz="0" w:space="0" w:color="auto"/>
        <w:right w:val="none" w:sz="0" w:space="0" w:color="auto"/>
      </w:divBdr>
    </w:div>
    <w:div w:id="619533869">
      <w:bodyDiv w:val="1"/>
      <w:marLeft w:val="0"/>
      <w:marRight w:val="0"/>
      <w:marTop w:val="0"/>
      <w:marBottom w:val="0"/>
      <w:divBdr>
        <w:top w:val="none" w:sz="0" w:space="0" w:color="auto"/>
        <w:left w:val="none" w:sz="0" w:space="0" w:color="auto"/>
        <w:bottom w:val="none" w:sz="0" w:space="0" w:color="auto"/>
        <w:right w:val="none" w:sz="0" w:space="0" w:color="auto"/>
      </w:divBdr>
    </w:div>
    <w:div w:id="624120179">
      <w:bodyDiv w:val="1"/>
      <w:marLeft w:val="0"/>
      <w:marRight w:val="0"/>
      <w:marTop w:val="0"/>
      <w:marBottom w:val="0"/>
      <w:divBdr>
        <w:top w:val="none" w:sz="0" w:space="0" w:color="auto"/>
        <w:left w:val="none" w:sz="0" w:space="0" w:color="auto"/>
        <w:bottom w:val="none" w:sz="0" w:space="0" w:color="auto"/>
        <w:right w:val="none" w:sz="0" w:space="0" w:color="auto"/>
      </w:divBdr>
    </w:div>
    <w:div w:id="665674346">
      <w:bodyDiv w:val="1"/>
      <w:marLeft w:val="0"/>
      <w:marRight w:val="0"/>
      <w:marTop w:val="0"/>
      <w:marBottom w:val="0"/>
      <w:divBdr>
        <w:top w:val="none" w:sz="0" w:space="0" w:color="auto"/>
        <w:left w:val="none" w:sz="0" w:space="0" w:color="auto"/>
        <w:bottom w:val="none" w:sz="0" w:space="0" w:color="auto"/>
        <w:right w:val="none" w:sz="0" w:space="0" w:color="auto"/>
      </w:divBdr>
    </w:div>
    <w:div w:id="665715127">
      <w:bodyDiv w:val="1"/>
      <w:marLeft w:val="0"/>
      <w:marRight w:val="0"/>
      <w:marTop w:val="0"/>
      <w:marBottom w:val="0"/>
      <w:divBdr>
        <w:top w:val="none" w:sz="0" w:space="0" w:color="auto"/>
        <w:left w:val="none" w:sz="0" w:space="0" w:color="auto"/>
        <w:bottom w:val="none" w:sz="0" w:space="0" w:color="auto"/>
        <w:right w:val="none" w:sz="0" w:space="0" w:color="auto"/>
      </w:divBdr>
    </w:div>
    <w:div w:id="665940079">
      <w:bodyDiv w:val="1"/>
      <w:marLeft w:val="0"/>
      <w:marRight w:val="0"/>
      <w:marTop w:val="0"/>
      <w:marBottom w:val="0"/>
      <w:divBdr>
        <w:top w:val="none" w:sz="0" w:space="0" w:color="auto"/>
        <w:left w:val="none" w:sz="0" w:space="0" w:color="auto"/>
        <w:bottom w:val="none" w:sz="0" w:space="0" w:color="auto"/>
        <w:right w:val="none" w:sz="0" w:space="0" w:color="auto"/>
      </w:divBdr>
    </w:div>
    <w:div w:id="688532791">
      <w:bodyDiv w:val="1"/>
      <w:marLeft w:val="0"/>
      <w:marRight w:val="0"/>
      <w:marTop w:val="0"/>
      <w:marBottom w:val="0"/>
      <w:divBdr>
        <w:top w:val="none" w:sz="0" w:space="0" w:color="auto"/>
        <w:left w:val="none" w:sz="0" w:space="0" w:color="auto"/>
        <w:bottom w:val="none" w:sz="0" w:space="0" w:color="auto"/>
        <w:right w:val="none" w:sz="0" w:space="0" w:color="auto"/>
      </w:divBdr>
    </w:div>
    <w:div w:id="719550472">
      <w:bodyDiv w:val="1"/>
      <w:marLeft w:val="0"/>
      <w:marRight w:val="0"/>
      <w:marTop w:val="0"/>
      <w:marBottom w:val="0"/>
      <w:divBdr>
        <w:top w:val="none" w:sz="0" w:space="0" w:color="auto"/>
        <w:left w:val="none" w:sz="0" w:space="0" w:color="auto"/>
        <w:bottom w:val="none" w:sz="0" w:space="0" w:color="auto"/>
        <w:right w:val="none" w:sz="0" w:space="0" w:color="auto"/>
      </w:divBdr>
      <w:divsChild>
        <w:div w:id="609120752">
          <w:marLeft w:val="0"/>
          <w:marRight w:val="0"/>
          <w:marTop w:val="0"/>
          <w:marBottom w:val="0"/>
          <w:divBdr>
            <w:top w:val="none" w:sz="0" w:space="0" w:color="auto"/>
            <w:left w:val="none" w:sz="0" w:space="0" w:color="auto"/>
            <w:bottom w:val="none" w:sz="0" w:space="0" w:color="auto"/>
            <w:right w:val="none" w:sz="0" w:space="0" w:color="auto"/>
          </w:divBdr>
        </w:div>
      </w:divsChild>
    </w:div>
    <w:div w:id="804741624">
      <w:bodyDiv w:val="1"/>
      <w:marLeft w:val="0"/>
      <w:marRight w:val="0"/>
      <w:marTop w:val="0"/>
      <w:marBottom w:val="0"/>
      <w:divBdr>
        <w:top w:val="none" w:sz="0" w:space="0" w:color="auto"/>
        <w:left w:val="none" w:sz="0" w:space="0" w:color="auto"/>
        <w:bottom w:val="none" w:sz="0" w:space="0" w:color="auto"/>
        <w:right w:val="none" w:sz="0" w:space="0" w:color="auto"/>
      </w:divBdr>
    </w:div>
    <w:div w:id="807363438">
      <w:bodyDiv w:val="1"/>
      <w:marLeft w:val="0"/>
      <w:marRight w:val="0"/>
      <w:marTop w:val="0"/>
      <w:marBottom w:val="0"/>
      <w:divBdr>
        <w:top w:val="none" w:sz="0" w:space="0" w:color="auto"/>
        <w:left w:val="none" w:sz="0" w:space="0" w:color="auto"/>
        <w:bottom w:val="none" w:sz="0" w:space="0" w:color="auto"/>
        <w:right w:val="none" w:sz="0" w:space="0" w:color="auto"/>
      </w:divBdr>
    </w:div>
    <w:div w:id="809633450">
      <w:bodyDiv w:val="1"/>
      <w:marLeft w:val="0"/>
      <w:marRight w:val="0"/>
      <w:marTop w:val="0"/>
      <w:marBottom w:val="0"/>
      <w:divBdr>
        <w:top w:val="none" w:sz="0" w:space="0" w:color="auto"/>
        <w:left w:val="none" w:sz="0" w:space="0" w:color="auto"/>
        <w:bottom w:val="none" w:sz="0" w:space="0" w:color="auto"/>
        <w:right w:val="none" w:sz="0" w:space="0" w:color="auto"/>
      </w:divBdr>
    </w:div>
    <w:div w:id="819541333">
      <w:bodyDiv w:val="1"/>
      <w:marLeft w:val="0"/>
      <w:marRight w:val="0"/>
      <w:marTop w:val="0"/>
      <w:marBottom w:val="0"/>
      <w:divBdr>
        <w:top w:val="none" w:sz="0" w:space="0" w:color="auto"/>
        <w:left w:val="none" w:sz="0" w:space="0" w:color="auto"/>
        <w:bottom w:val="none" w:sz="0" w:space="0" w:color="auto"/>
        <w:right w:val="none" w:sz="0" w:space="0" w:color="auto"/>
      </w:divBdr>
    </w:div>
    <w:div w:id="825319398">
      <w:bodyDiv w:val="1"/>
      <w:marLeft w:val="0"/>
      <w:marRight w:val="0"/>
      <w:marTop w:val="0"/>
      <w:marBottom w:val="0"/>
      <w:divBdr>
        <w:top w:val="none" w:sz="0" w:space="0" w:color="auto"/>
        <w:left w:val="none" w:sz="0" w:space="0" w:color="auto"/>
        <w:bottom w:val="none" w:sz="0" w:space="0" w:color="auto"/>
        <w:right w:val="none" w:sz="0" w:space="0" w:color="auto"/>
      </w:divBdr>
    </w:div>
    <w:div w:id="846749446">
      <w:bodyDiv w:val="1"/>
      <w:marLeft w:val="0"/>
      <w:marRight w:val="0"/>
      <w:marTop w:val="0"/>
      <w:marBottom w:val="0"/>
      <w:divBdr>
        <w:top w:val="none" w:sz="0" w:space="0" w:color="auto"/>
        <w:left w:val="none" w:sz="0" w:space="0" w:color="auto"/>
        <w:bottom w:val="none" w:sz="0" w:space="0" w:color="auto"/>
        <w:right w:val="none" w:sz="0" w:space="0" w:color="auto"/>
      </w:divBdr>
    </w:div>
    <w:div w:id="917910105">
      <w:bodyDiv w:val="1"/>
      <w:marLeft w:val="0"/>
      <w:marRight w:val="0"/>
      <w:marTop w:val="0"/>
      <w:marBottom w:val="0"/>
      <w:divBdr>
        <w:top w:val="none" w:sz="0" w:space="0" w:color="auto"/>
        <w:left w:val="none" w:sz="0" w:space="0" w:color="auto"/>
        <w:bottom w:val="none" w:sz="0" w:space="0" w:color="auto"/>
        <w:right w:val="none" w:sz="0" w:space="0" w:color="auto"/>
      </w:divBdr>
    </w:div>
    <w:div w:id="919555911">
      <w:bodyDiv w:val="1"/>
      <w:marLeft w:val="0"/>
      <w:marRight w:val="0"/>
      <w:marTop w:val="0"/>
      <w:marBottom w:val="0"/>
      <w:divBdr>
        <w:top w:val="none" w:sz="0" w:space="0" w:color="auto"/>
        <w:left w:val="none" w:sz="0" w:space="0" w:color="auto"/>
        <w:bottom w:val="none" w:sz="0" w:space="0" w:color="auto"/>
        <w:right w:val="none" w:sz="0" w:space="0" w:color="auto"/>
      </w:divBdr>
    </w:div>
    <w:div w:id="936256964">
      <w:bodyDiv w:val="1"/>
      <w:marLeft w:val="0"/>
      <w:marRight w:val="0"/>
      <w:marTop w:val="0"/>
      <w:marBottom w:val="0"/>
      <w:divBdr>
        <w:top w:val="none" w:sz="0" w:space="0" w:color="auto"/>
        <w:left w:val="none" w:sz="0" w:space="0" w:color="auto"/>
        <w:bottom w:val="none" w:sz="0" w:space="0" w:color="auto"/>
        <w:right w:val="none" w:sz="0" w:space="0" w:color="auto"/>
      </w:divBdr>
    </w:div>
    <w:div w:id="938371973">
      <w:bodyDiv w:val="1"/>
      <w:marLeft w:val="0"/>
      <w:marRight w:val="0"/>
      <w:marTop w:val="0"/>
      <w:marBottom w:val="0"/>
      <w:divBdr>
        <w:top w:val="none" w:sz="0" w:space="0" w:color="auto"/>
        <w:left w:val="none" w:sz="0" w:space="0" w:color="auto"/>
        <w:bottom w:val="none" w:sz="0" w:space="0" w:color="auto"/>
        <w:right w:val="none" w:sz="0" w:space="0" w:color="auto"/>
      </w:divBdr>
    </w:div>
    <w:div w:id="966395895">
      <w:bodyDiv w:val="1"/>
      <w:marLeft w:val="0"/>
      <w:marRight w:val="0"/>
      <w:marTop w:val="0"/>
      <w:marBottom w:val="0"/>
      <w:divBdr>
        <w:top w:val="none" w:sz="0" w:space="0" w:color="auto"/>
        <w:left w:val="none" w:sz="0" w:space="0" w:color="auto"/>
        <w:bottom w:val="none" w:sz="0" w:space="0" w:color="auto"/>
        <w:right w:val="none" w:sz="0" w:space="0" w:color="auto"/>
      </w:divBdr>
    </w:div>
    <w:div w:id="967469772">
      <w:bodyDiv w:val="1"/>
      <w:marLeft w:val="0"/>
      <w:marRight w:val="0"/>
      <w:marTop w:val="0"/>
      <w:marBottom w:val="0"/>
      <w:divBdr>
        <w:top w:val="none" w:sz="0" w:space="0" w:color="auto"/>
        <w:left w:val="none" w:sz="0" w:space="0" w:color="auto"/>
        <w:bottom w:val="none" w:sz="0" w:space="0" w:color="auto"/>
        <w:right w:val="none" w:sz="0" w:space="0" w:color="auto"/>
      </w:divBdr>
    </w:div>
    <w:div w:id="981620379">
      <w:bodyDiv w:val="1"/>
      <w:marLeft w:val="0"/>
      <w:marRight w:val="0"/>
      <w:marTop w:val="0"/>
      <w:marBottom w:val="0"/>
      <w:divBdr>
        <w:top w:val="none" w:sz="0" w:space="0" w:color="auto"/>
        <w:left w:val="none" w:sz="0" w:space="0" w:color="auto"/>
        <w:bottom w:val="none" w:sz="0" w:space="0" w:color="auto"/>
        <w:right w:val="none" w:sz="0" w:space="0" w:color="auto"/>
      </w:divBdr>
    </w:div>
    <w:div w:id="988174711">
      <w:bodyDiv w:val="1"/>
      <w:marLeft w:val="0"/>
      <w:marRight w:val="0"/>
      <w:marTop w:val="0"/>
      <w:marBottom w:val="0"/>
      <w:divBdr>
        <w:top w:val="none" w:sz="0" w:space="0" w:color="auto"/>
        <w:left w:val="none" w:sz="0" w:space="0" w:color="auto"/>
        <w:bottom w:val="none" w:sz="0" w:space="0" w:color="auto"/>
        <w:right w:val="none" w:sz="0" w:space="0" w:color="auto"/>
      </w:divBdr>
    </w:div>
    <w:div w:id="1045254785">
      <w:bodyDiv w:val="1"/>
      <w:marLeft w:val="0"/>
      <w:marRight w:val="0"/>
      <w:marTop w:val="0"/>
      <w:marBottom w:val="0"/>
      <w:divBdr>
        <w:top w:val="none" w:sz="0" w:space="0" w:color="auto"/>
        <w:left w:val="none" w:sz="0" w:space="0" w:color="auto"/>
        <w:bottom w:val="none" w:sz="0" w:space="0" w:color="auto"/>
        <w:right w:val="none" w:sz="0" w:space="0" w:color="auto"/>
      </w:divBdr>
    </w:div>
    <w:div w:id="1156460161">
      <w:bodyDiv w:val="1"/>
      <w:marLeft w:val="0"/>
      <w:marRight w:val="0"/>
      <w:marTop w:val="0"/>
      <w:marBottom w:val="0"/>
      <w:divBdr>
        <w:top w:val="none" w:sz="0" w:space="0" w:color="auto"/>
        <w:left w:val="none" w:sz="0" w:space="0" w:color="auto"/>
        <w:bottom w:val="none" w:sz="0" w:space="0" w:color="auto"/>
        <w:right w:val="none" w:sz="0" w:space="0" w:color="auto"/>
      </w:divBdr>
    </w:div>
    <w:div w:id="1162698932">
      <w:bodyDiv w:val="1"/>
      <w:marLeft w:val="0"/>
      <w:marRight w:val="0"/>
      <w:marTop w:val="0"/>
      <w:marBottom w:val="0"/>
      <w:divBdr>
        <w:top w:val="none" w:sz="0" w:space="0" w:color="auto"/>
        <w:left w:val="none" w:sz="0" w:space="0" w:color="auto"/>
        <w:bottom w:val="none" w:sz="0" w:space="0" w:color="auto"/>
        <w:right w:val="none" w:sz="0" w:space="0" w:color="auto"/>
      </w:divBdr>
    </w:div>
    <w:div w:id="1249273140">
      <w:bodyDiv w:val="1"/>
      <w:marLeft w:val="0"/>
      <w:marRight w:val="0"/>
      <w:marTop w:val="0"/>
      <w:marBottom w:val="0"/>
      <w:divBdr>
        <w:top w:val="none" w:sz="0" w:space="0" w:color="auto"/>
        <w:left w:val="none" w:sz="0" w:space="0" w:color="auto"/>
        <w:bottom w:val="none" w:sz="0" w:space="0" w:color="auto"/>
        <w:right w:val="none" w:sz="0" w:space="0" w:color="auto"/>
      </w:divBdr>
    </w:div>
    <w:div w:id="1346438261">
      <w:bodyDiv w:val="1"/>
      <w:marLeft w:val="0"/>
      <w:marRight w:val="0"/>
      <w:marTop w:val="0"/>
      <w:marBottom w:val="0"/>
      <w:divBdr>
        <w:top w:val="none" w:sz="0" w:space="0" w:color="auto"/>
        <w:left w:val="none" w:sz="0" w:space="0" w:color="auto"/>
        <w:bottom w:val="none" w:sz="0" w:space="0" w:color="auto"/>
        <w:right w:val="none" w:sz="0" w:space="0" w:color="auto"/>
      </w:divBdr>
    </w:div>
    <w:div w:id="1381974804">
      <w:bodyDiv w:val="1"/>
      <w:marLeft w:val="0"/>
      <w:marRight w:val="0"/>
      <w:marTop w:val="0"/>
      <w:marBottom w:val="0"/>
      <w:divBdr>
        <w:top w:val="none" w:sz="0" w:space="0" w:color="auto"/>
        <w:left w:val="none" w:sz="0" w:space="0" w:color="auto"/>
        <w:bottom w:val="none" w:sz="0" w:space="0" w:color="auto"/>
        <w:right w:val="none" w:sz="0" w:space="0" w:color="auto"/>
      </w:divBdr>
    </w:div>
    <w:div w:id="1416592081">
      <w:bodyDiv w:val="1"/>
      <w:marLeft w:val="0"/>
      <w:marRight w:val="0"/>
      <w:marTop w:val="0"/>
      <w:marBottom w:val="0"/>
      <w:divBdr>
        <w:top w:val="none" w:sz="0" w:space="0" w:color="auto"/>
        <w:left w:val="none" w:sz="0" w:space="0" w:color="auto"/>
        <w:bottom w:val="none" w:sz="0" w:space="0" w:color="auto"/>
        <w:right w:val="none" w:sz="0" w:space="0" w:color="auto"/>
      </w:divBdr>
    </w:div>
    <w:div w:id="1432435365">
      <w:bodyDiv w:val="1"/>
      <w:marLeft w:val="0"/>
      <w:marRight w:val="0"/>
      <w:marTop w:val="0"/>
      <w:marBottom w:val="0"/>
      <w:divBdr>
        <w:top w:val="none" w:sz="0" w:space="0" w:color="auto"/>
        <w:left w:val="none" w:sz="0" w:space="0" w:color="auto"/>
        <w:bottom w:val="none" w:sz="0" w:space="0" w:color="auto"/>
        <w:right w:val="none" w:sz="0" w:space="0" w:color="auto"/>
      </w:divBdr>
    </w:div>
    <w:div w:id="1494443043">
      <w:bodyDiv w:val="1"/>
      <w:marLeft w:val="0"/>
      <w:marRight w:val="0"/>
      <w:marTop w:val="0"/>
      <w:marBottom w:val="0"/>
      <w:divBdr>
        <w:top w:val="none" w:sz="0" w:space="0" w:color="auto"/>
        <w:left w:val="none" w:sz="0" w:space="0" w:color="auto"/>
        <w:bottom w:val="none" w:sz="0" w:space="0" w:color="auto"/>
        <w:right w:val="none" w:sz="0" w:space="0" w:color="auto"/>
      </w:divBdr>
      <w:divsChild>
        <w:div w:id="982739380">
          <w:marLeft w:val="734"/>
          <w:marRight w:val="0"/>
          <w:marTop w:val="86"/>
          <w:marBottom w:val="0"/>
          <w:divBdr>
            <w:top w:val="none" w:sz="0" w:space="0" w:color="auto"/>
            <w:left w:val="none" w:sz="0" w:space="0" w:color="auto"/>
            <w:bottom w:val="none" w:sz="0" w:space="0" w:color="auto"/>
            <w:right w:val="none" w:sz="0" w:space="0" w:color="auto"/>
          </w:divBdr>
        </w:div>
        <w:div w:id="1574001765">
          <w:marLeft w:val="734"/>
          <w:marRight w:val="0"/>
          <w:marTop w:val="86"/>
          <w:marBottom w:val="0"/>
          <w:divBdr>
            <w:top w:val="none" w:sz="0" w:space="0" w:color="auto"/>
            <w:left w:val="none" w:sz="0" w:space="0" w:color="auto"/>
            <w:bottom w:val="none" w:sz="0" w:space="0" w:color="auto"/>
            <w:right w:val="none" w:sz="0" w:space="0" w:color="auto"/>
          </w:divBdr>
        </w:div>
        <w:div w:id="1433815512">
          <w:marLeft w:val="734"/>
          <w:marRight w:val="0"/>
          <w:marTop w:val="86"/>
          <w:marBottom w:val="0"/>
          <w:divBdr>
            <w:top w:val="none" w:sz="0" w:space="0" w:color="auto"/>
            <w:left w:val="none" w:sz="0" w:space="0" w:color="auto"/>
            <w:bottom w:val="none" w:sz="0" w:space="0" w:color="auto"/>
            <w:right w:val="none" w:sz="0" w:space="0" w:color="auto"/>
          </w:divBdr>
        </w:div>
        <w:div w:id="760299810">
          <w:marLeft w:val="734"/>
          <w:marRight w:val="0"/>
          <w:marTop w:val="86"/>
          <w:marBottom w:val="0"/>
          <w:divBdr>
            <w:top w:val="none" w:sz="0" w:space="0" w:color="auto"/>
            <w:left w:val="none" w:sz="0" w:space="0" w:color="auto"/>
            <w:bottom w:val="none" w:sz="0" w:space="0" w:color="auto"/>
            <w:right w:val="none" w:sz="0" w:space="0" w:color="auto"/>
          </w:divBdr>
        </w:div>
      </w:divsChild>
    </w:div>
    <w:div w:id="1558005967">
      <w:bodyDiv w:val="1"/>
      <w:marLeft w:val="0"/>
      <w:marRight w:val="0"/>
      <w:marTop w:val="0"/>
      <w:marBottom w:val="0"/>
      <w:divBdr>
        <w:top w:val="none" w:sz="0" w:space="0" w:color="auto"/>
        <w:left w:val="none" w:sz="0" w:space="0" w:color="auto"/>
        <w:bottom w:val="none" w:sz="0" w:space="0" w:color="auto"/>
        <w:right w:val="none" w:sz="0" w:space="0" w:color="auto"/>
      </w:divBdr>
    </w:div>
    <w:div w:id="1575505861">
      <w:bodyDiv w:val="1"/>
      <w:marLeft w:val="0"/>
      <w:marRight w:val="0"/>
      <w:marTop w:val="0"/>
      <w:marBottom w:val="0"/>
      <w:divBdr>
        <w:top w:val="none" w:sz="0" w:space="0" w:color="auto"/>
        <w:left w:val="none" w:sz="0" w:space="0" w:color="auto"/>
        <w:bottom w:val="none" w:sz="0" w:space="0" w:color="auto"/>
        <w:right w:val="none" w:sz="0" w:space="0" w:color="auto"/>
      </w:divBdr>
    </w:div>
    <w:div w:id="1640845914">
      <w:bodyDiv w:val="1"/>
      <w:marLeft w:val="0"/>
      <w:marRight w:val="0"/>
      <w:marTop w:val="0"/>
      <w:marBottom w:val="0"/>
      <w:divBdr>
        <w:top w:val="none" w:sz="0" w:space="0" w:color="auto"/>
        <w:left w:val="none" w:sz="0" w:space="0" w:color="auto"/>
        <w:bottom w:val="none" w:sz="0" w:space="0" w:color="auto"/>
        <w:right w:val="none" w:sz="0" w:space="0" w:color="auto"/>
      </w:divBdr>
    </w:div>
    <w:div w:id="1687710121">
      <w:bodyDiv w:val="1"/>
      <w:marLeft w:val="0"/>
      <w:marRight w:val="0"/>
      <w:marTop w:val="0"/>
      <w:marBottom w:val="0"/>
      <w:divBdr>
        <w:top w:val="none" w:sz="0" w:space="0" w:color="auto"/>
        <w:left w:val="none" w:sz="0" w:space="0" w:color="auto"/>
        <w:bottom w:val="none" w:sz="0" w:space="0" w:color="auto"/>
        <w:right w:val="none" w:sz="0" w:space="0" w:color="auto"/>
      </w:divBdr>
    </w:div>
    <w:div w:id="1723287685">
      <w:bodyDiv w:val="1"/>
      <w:marLeft w:val="0"/>
      <w:marRight w:val="0"/>
      <w:marTop w:val="0"/>
      <w:marBottom w:val="0"/>
      <w:divBdr>
        <w:top w:val="none" w:sz="0" w:space="0" w:color="auto"/>
        <w:left w:val="none" w:sz="0" w:space="0" w:color="auto"/>
        <w:bottom w:val="none" w:sz="0" w:space="0" w:color="auto"/>
        <w:right w:val="none" w:sz="0" w:space="0" w:color="auto"/>
      </w:divBdr>
    </w:div>
    <w:div w:id="1766727415">
      <w:bodyDiv w:val="1"/>
      <w:marLeft w:val="0"/>
      <w:marRight w:val="0"/>
      <w:marTop w:val="0"/>
      <w:marBottom w:val="0"/>
      <w:divBdr>
        <w:top w:val="none" w:sz="0" w:space="0" w:color="auto"/>
        <w:left w:val="none" w:sz="0" w:space="0" w:color="auto"/>
        <w:bottom w:val="none" w:sz="0" w:space="0" w:color="auto"/>
        <w:right w:val="none" w:sz="0" w:space="0" w:color="auto"/>
      </w:divBdr>
    </w:div>
    <w:div w:id="1772316563">
      <w:bodyDiv w:val="1"/>
      <w:marLeft w:val="0"/>
      <w:marRight w:val="0"/>
      <w:marTop w:val="0"/>
      <w:marBottom w:val="0"/>
      <w:divBdr>
        <w:top w:val="none" w:sz="0" w:space="0" w:color="auto"/>
        <w:left w:val="none" w:sz="0" w:space="0" w:color="auto"/>
        <w:bottom w:val="none" w:sz="0" w:space="0" w:color="auto"/>
        <w:right w:val="none" w:sz="0" w:space="0" w:color="auto"/>
      </w:divBdr>
    </w:div>
    <w:div w:id="1777097606">
      <w:bodyDiv w:val="1"/>
      <w:marLeft w:val="0"/>
      <w:marRight w:val="0"/>
      <w:marTop w:val="0"/>
      <w:marBottom w:val="0"/>
      <w:divBdr>
        <w:top w:val="none" w:sz="0" w:space="0" w:color="auto"/>
        <w:left w:val="none" w:sz="0" w:space="0" w:color="auto"/>
        <w:bottom w:val="none" w:sz="0" w:space="0" w:color="auto"/>
        <w:right w:val="none" w:sz="0" w:space="0" w:color="auto"/>
      </w:divBdr>
    </w:div>
    <w:div w:id="1806923045">
      <w:bodyDiv w:val="1"/>
      <w:marLeft w:val="0"/>
      <w:marRight w:val="0"/>
      <w:marTop w:val="0"/>
      <w:marBottom w:val="0"/>
      <w:divBdr>
        <w:top w:val="none" w:sz="0" w:space="0" w:color="auto"/>
        <w:left w:val="none" w:sz="0" w:space="0" w:color="auto"/>
        <w:bottom w:val="none" w:sz="0" w:space="0" w:color="auto"/>
        <w:right w:val="none" w:sz="0" w:space="0" w:color="auto"/>
      </w:divBdr>
    </w:div>
    <w:div w:id="1811750345">
      <w:bodyDiv w:val="1"/>
      <w:marLeft w:val="0"/>
      <w:marRight w:val="0"/>
      <w:marTop w:val="0"/>
      <w:marBottom w:val="0"/>
      <w:divBdr>
        <w:top w:val="none" w:sz="0" w:space="0" w:color="auto"/>
        <w:left w:val="none" w:sz="0" w:space="0" w:color="auto"/>
        <w:bottom w:val="none" w:sz="0" w:space="0" w:color="auto"/>
        <w:right w:val="none" w:sz="0" w:space="0" w:color="auto"/>
      </w:divBdr>
    </w:div>
    <w:div w:id="1816531896">
      <w:bodyDiv w:val="1"/>
      <w:marLeft w:val="0"/>
      <w:marRight w:val="0"/>
      <w:marTop w:val="0"/>
      <w:marBottom w:val="0"/>
      <w:divBdr>
        <w:top w:val="none" w:sz="0" w:space="0" w:color="auto"/>
        <w:left w:val="none" w:sz="0" w:space="0" w:color="auto"/>
        <w:bottom w:val="none" w:sz="0" w:space="0" w:color="auto"/>
        <w:right w:val="none" w:sz="0" w:space="0" w:color="auto"/>
      </w:divBdr>
    </w:div>
    <w:div w:id="1840731783">
      <w:bodyDiv w:val="1"/>
      <w:marLeft w:val="0"/>
      <w:marRight w:val="0"/>
      <w:marTop w:val="0"/>
      <w:marBottom w:val="0"/>
      <w:divBdr>
        <w:top w:val="none" w:sz="0" w:space="0" w:color="auto"/>
        <w:left w:val="none" w:sz="0" w:space="0" w:color="auto"/>
        <w:bottom w:val="none" w:sz="0" w:space="0" w:color="auto"/>
        <w:right w:val="none" w:sz="0" w:space="0" w:color="auto"/>
      </w:divBdr>
    </w:div>
    <w:div w:id="1897666592">
      <w:bodyDiv w:val="1"/>
      <w:marLeft w:val="0"/>
      <w:marRight w:val="0"/>
      <w:marTop w:val="0"/>
      <w:marBottom w:val="0"/>
      <w:divBdr>
        <w:top w:val="none" w:sz="0" w:space="0" w:color="auto"/>
        <w:left w:val="none" w:sz="0" w:space="0" w:color="auto"/>
        <w:bottom w:val="none" w:sz="0" w:space="0" w:color="auto"/>
        <w:right w:val="none" w:sz="0" w:space="0" w:color="auto"/>
      </w:divBdr>
    </w:div>
    <w:div w:id="1905143489">
      <w:bodyDiv w:val="1"/>
      <w:marLeft w:val="0"/>
      <w:marRight w:val="0"/>
      <w:marTop w:val="0"/>
      <w:marBottom w:val="0"/>
      <w:divBdr>
        <w:top w:val="none" w:sz="0" w:space="0" w:color="auto"/>
        <w:left w:val="none" w:sz="0" w:space="0" w:color="auto"/>
        <w:bottom w:val="none" w:sz="0" w:space="0" w:color="auto"/>
        <w:right w:val="none" w:sz="0" w:space="0" w:color="auto"/>
      </w:divBdr>
      <w:divsChild>
        <w:div w:id="1333874683">
          <w:marLeft w:val="0"/>
          <w:marRight w:val="0"/>
          <w:marTop w:val="0"/>
          <w:marBottom w:val="0"/>
          <w:divBdr>
            <w:top w:val="none" w:sz="0" w:space="0" w:color="auto"/>
            <w:left w:val="none" w:sz="0" w:space="0" w:color="auto"/>
            <w:bottom w:val="none" w:sz="0" w:space="0" w:color="auto"/>
            <w:right w:val="none" w:sz="0" w:space="0" w:color="auto"/>
          </w:divBdr>
        </w:div>
      </w:divsChild>
    </w:div>
    <w:div w:id="1910579239">
      <w:bodyDiv w:val="1"/>
      <w:marLeft w:val="0"/>
      <w:marRight w:val="0"/>
      <w:marTop w:val="0"/>
      <w:marBottom w:val="0"/>
      <w:divBdr>
        <w:top w:val="none" w:sz="0" w:space="0" w:color="auto"/>
        <w:left w:val="none" w:sz="0" w:space="0" w:color="auto"/>
        <w:bottom w:val="none" w:sz="0" w:space="0" w:color="auto"/>
        <w:right w:val="none" w:sz="0" w:space="0" w:color="auto"/>
      </w:divBdr>
    </w:div>
    <w:div w:id="1915773829">
      <w:bodyDiv w:val="1"/>
      <w:marLeft w:val="0"/>
      <w:marRight w:val="0"/>
      <w:marTop w:val="0"/>
      <w:marBottom w:val="0"/>
      <w:divBdr>
        <w:top w:val="none" w:sz="0" w:space="0" w:color="auto"/>
        <w:left w:val="none" w:sz="0" w:space="0" w:color="auto"/>
        <w:bottom w:val="none" w:sz="0" w:space="0" w:color="auto"/>
        <w:right w:val="none" w:sz="0" w:space="0" w:color="auto"/>
      </w:divBdr>
    </w:div>
    <w:div w:id="1931111066">
      <w:bodyDiv w:val="1"/>
      <w:marLeft w:val="0"/>
      <w:marRight w:val="0"/>
      <w:marTop w:val="0"/>
      <w:marBottom w:val="0"/>
      <w:divBdr>
        <w:top w:val="none" w:sz="0" w:space="0" w:color="auto"/>
        <w:left w:val="none" w:sz="0" w:space="0" w:color="auto"/>
        <w:bottom w:val="none" w:sz="0" w:space="0" w:color="auto"/>
        <w:right w:val="none" w:sz="0" w:space="0" w:color="auto"/>
      </w:divBdr>
    </w:div>
    <w:div w:id="2014650596">
      <w:bodyDiv w:val="1"/>
      <w:marLeft w:val="0"/>
      <w:marRight w:val="0"/>
      <w:marTop w:val="0"/>
      <w:marBottom w:val="0"/>
      <w:divBdr>
        <w:top w:val="none" w:sz="0" w:space="0" w:color="auto"/>
        <w:left w:val="none" w:sz="0" w:space="0" w:color="auto"/>
        <w:bottom w:val="none" w:sz="0" w:space="0" w:color="auto"/>
        <w:right w:val="none" w:sz="0" w:space="0" w:color="auto"/>
      </w:divBdr>
    </w:div>
    <w:div w:id="2092585155">
      <w:bodyDiv w:val="1"/>
      <w:marLeft w:val="0"/>
      <w:marRight w:val="0"/>
      <w:marTop w:val="0"/>
      <w:marBottom w:val="0"/>
      <w:divBdr>
        <w:top w:val="none" w:sz="0" w:space="0" w:color="auto"/>
        <w:left w:val="none" w:sz="0" w:space="0" w:color="auto"/>
        <w:bottom w:val="none" w:sz="0" w:space="0" w:color="auto"/>
        <w:right w:val="none" w:sz="0" w:space="0" w:color="auto"/>
      </w:divBdr>
    </w:div>
    <w:div w:id="2131626563">
      <w:bodyDiv w:val="1"/>
      <w:marLeft w:val="0"/>
      <w:marRight w:val="0"/>
      <w:marTop w:val="0"/>
      <w:marBottom w:val="0"/>
      <w:divBdr>
        <w:top w:val="none" w:sz="0" w:space="0" w:color="auto"/>
        <w:left w:val="none" w:sz="0" w:space="0" w:color="auto"/>
        <w:bottom w:val="none" w:sz="0" w:space="0" w:color="auto"/>
        <w:right w:val="none" w:sz="0" w:space="0" w:color="auto"/>
      </w:divBdr>
      <w:divsChild>
        <w:div w:id="1810170233">
          <w:marLeft w:val="0"/>
          <w:marRight w:val="0"/>
          <w:marTop w:val="0"/>
          <w:marBottom w:val="0"/>
          <w:divBdr>
            <w:top w:val="none" w:sz="0" w:space="0" w:color="auto"/>
            <w:left w:val="none" w:sz="0" w:space="0" w:color="auto"/>
            <w:bottom w:val="none" w:sz="0" w:space="0" w:color="auto"/>
            <w:right w:val="none" w:sz="0" w:space="0" w:color="auto"/>
          </w:divBdr>
        </w:div>
      </w:divsChild>
    </w:div>
    <w:div w:id="2144038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styles" Target="styles.xml" Id="rId7" /><Relationship Type="http://schemas.openxmlformats.org/officeDocument/2006/relationships/hyperlink" Target="https://eur-lex.europa.eu/legal-content/NL/TXT/PDF/?uri=CELEX:52026DC0197" TargetMode="Externa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webSettings" Target="webSettings.xml" Id="rId9" /><Relationship Type="http://schemas.openxmlformats.org/officeDocument/2006/relationships/header" Target="header2.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tweedekamer.nl/downloads/document?id=2026D20071" TargetMode="External"/><Relationship Id="rId13" Type="http://schemas.openxmlformats.org/officeDocument/2006/relationships/hyperlink" Target="https://datastudio.google.com/reporting/1w1TJEMuGaR_HgaROkIu9EZydmnFiXgBH/page/hMih?params=%7B%22df2%22:%22include%25EE%2580%25800%25EE%2580%2580IN%25EE%2580%2580Netherlands%22,%22df35%22:%22include%25EE%2580%25800%25EE%2580%2580IN%25EE%2580%2580UNAIDS%25EE%2580%2580UNFPA%25EE%2580%2580UNICEF%25EE%2580%2580WHO%22,%22df3%22:%22include%25EE%2580%25801%25EE%2580%2580IN%25EE%2580%25802021%22%7D" TargetMode="External"/><Relationship Id="rId18" Type="http://schemas.openxmlformats.org/officeDocument/2006/relationships/hyperlink" Target="https://zoek.officielebekendmakingen.nl/kst-22112-2682.html" TargetMode="External"/><Relationship Id="rId3" Type="http://schemas.openxmlformats.org/officeDocument/2006/relationships/hyperlink" Target="https://eur-lex.europa.eu/legal-content/EN/TXT/?uri=CELEX%3A52025JC0130&amp;qid=1744623550550" TargetMode="External"/><Relationship Id="rId7" Type="http://schemas.openxmlformats.org/officeDocument/2006/relationships/hyperlink" Target="https://international-partnerships.ec.europa.eu/funding-and-technical-assistance/funding-instruments/european-fund-sustainable-development-plus/accelerating-human-development_en" TargetMode="External"/><Relationship Id="rId12" Type="http://schemas.openxmlformats.org/officeDocument/2006/relationships/hyperlink" Target="https://www.tweedekamer.nl/kamerstukken/brieven_regering/detail?id=2025Z16830&amp;did=2025D39021" TargetMode="External"/><Relationship Id="rId17" Type="http://schemas.openxmlformats.org/officeDocument/2006/relationships/hyperlink" Target="https://digital-strategy.ec.europa.eu/en/policies/code-practice-disinformation" TargetMode="External"/><Relationship Id="rId2" Type="http://schemas.openxmlformats.org/officeDocument/2006/relationships/hyperlink" Target="https://health.ec.europa.eu/document/download/6e26bad9-5722-4c95-8bc5-4c21d8e370dd_en?filename=policy_com-2024-206_en.pdf" TargetMode="External"/><Relationship Id="rId16" Type="http://schemas.openxmlformats.org/officeDocument/2006/relationships/hyperlink" Target="https://digital-strategy.ec.europa.eu/en/policies/digital-services-act" TargetMode="External"/><Relationship Id="rId1" Type="http://schemas.openxmlformats.org/officeDocument/2006/relationships/hyperlink" Target="https://ec.europa.eu/commission/presscorner/detail/ov/SPEECH_25_2053" TargetMode="External"/><Relationship Id="rId6" Type="http://schemas.openxmlformats.org/officeDocument/2006/relationships/hyperlink" Target="https://www.tweedekamer.nl/kamerstukken/detail?id=2025Z19657&amp;did=2025D46146" TargetMode="External"/><Relationship Id="rId11" Type="http://schemas.openxmlformats.org/officeDocument/2006/relationships/hyperlink" Target="https://health.ec.europa.eu/document/download/1be3e462-bd50-4c64-b147-add9d1d5a580_en?filename=com_2025-529-1_act_en.pdf" TargetMode="External"/><Relationship Id="rId5" Type="http://schemas.openxmlformats.org/officeDocument/2006/relationships/hyperlink" Target="https://www.google.com/url?sa=t&amp;rct=j&amp;q=&amp;esrc=s&amp;source=web&amp;cd=&amp;ved=2ahUKEwjXlYSO0e6UAxUCxwIHHRr_GUsQFnoECCEQAQ&amp;url=https%3A%2F%2Fapps.who.int%2Fgb%2Febwha%2Fpdf_files%2FWHA79%2FA79_24-en.pdf&amp;usg=AOvVaw32EKNl-c5DgrxvOk1jNDaH&amp;opi=89978449" TargetMode="External"/><Relationship Id="rId15" Type="http://schemas.openxmlformats.org/officeDocument/2006/relationships/hyperlink" Target="https://iris.who.int/server/api/core/bitstreams/533c8487-eb17-4277-83d7-e46f4c9535e2/content" TargetMode="External"/><Relationship Id="rId10" Type="http://schemas.openxmlformats.org/officeDocument/2006/relationships/hyperlink" Target="https://www.globalhealthhub.nl/site/binaries/site-content/collections/documents/2023/09/22/nederlandse-mondiale-gezondheidsstrategie-2023-2030/22_530+GHH+-+NL-01PM.pdf" TargetMode="External"/><Relationship Id="rId19" Type="http://schemas.openxmlformats.org/officeDocument/2006/relationships/hyperlink" Target="https://health.ec.europa.eu/funding/eu4health-programme-2021-2027-vision-healthier-european-union_en" TargetMode="External"/><Relationship Id="rId4" Type="http://schemas.openxmlformats.org/officeDocument/2006/relationships/hyperlink" Target="https://eur-lex.europa.eu/legal-content/EN/TXT/?uri=celex:52022DC0675" TargetMode="External"/><Relationship Id="rId9" Type="http://schemas.openxmlformats.org/officeDocument/2006/relationships/hyperlink" Target="https://open.overheid.nl/documenten/2b716c40-b371-48df-808d-64b330a11546/" TargetMode="External"/><Relationship Id="rId14" Type="http://schemas.openxmlformats.org/officeDocument/2006/relationships/hyperlink" Target="https://zoek.officielebekendmakingen.nl/kst-30821-17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8</ap:Pages>
  <ap:Words>3387</ap:Words>
  <ap:Characters>18633</ap:Characters>
  <ap:DocSecurity>0</ap:DocSecurity>
  <ap:Lines>155</ap:Lines>
  <ap:Paragraphs>43</ap:Paragraphs>
  <ap:ScaleCrop>false</ap:ScaleCrop>
  <ap:LinksUpToDate>false</ap:LinksUpToDate>
  <ap:CharactersWithSpaces>21977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2026-06-17T13:13:00.0000000Z</lastPrinted>
  <dcterms:created xsi:type="dcterms:W3CDTF">2026-06-19T07:22:00.0000000Z</dcterms:created>
  <dcterms:modified xsi:type="dcterms:W3CDTF">2026-06-19T07:22:00.0000000Z</dcterms:modified>
  <category/>
  <contentStatu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0x0101009C7CE436063D44E9BE7DC0259EF7C32F006EB9F9836A634AE58B6169785FD3936F0059C617296B049142960D7DBD88D31EB3</vt:lpwstr>
  </property>
  <property fmtid="{D5CDD505-2E9C-101B-9397-08002B2CF9AE}" pid="3" name="BZ_Country">
    <vt:lpwstr>2;#Not applicable|ec01d90b-9d0f-4785-8785-e1ea615196bf</vt:lpwstr>
  </property>
  <property fmtid="{D5CDD505-2E9C-101B-9397-08002B2CF9AE}" pid="4" name="BZ_Theme">
    <vt:lpwstr>1;#European cooperation (non-EU) general|32cb20cb-36c6-4655-9372-780089c6b4ef</vt:lpwstr>
  </property>
  <property fmtid="{D5CDD505-2E9C-101B-9397-08002B2CF9AE}" pid="5" name="BZ_Classification">
    <vt:lpwstr>4;#UNCLASSIFIED|d92c6340-bc14-4cb2-a9a6-6deda93c493b</vt:lpwstr>
  </property>
  <property fmtid="{D5CDD505-2E9C-101B-9397-08002B2CF9AE}" pid="6" name="BZ_Forum">
    <vt:lpwstr>3;#EU|4d8f9873-61b3-4ee5-b6f7-0bb00c6df5e8</vt:lpwstr>
  </property>
  <property fmtid="{D5CDD505-2E9C-101B-9397-08002B2CF9AE}" pid="7" name="ClassificationContentMarkingFooterShapeIds">
    <vt:lpwstr>6eccc5e2,47b322e3,6afeb900</vt:lpwstr>
  </property>
  <property fmtid="{D5CDD505-2E9C-101B-9397-08002B2CF9AE}" pid="8" name="ClassificationContentMarkingFooterFontProps">
    <vt:lpwstr>#000000,10,Aptos</vt:lpwstr>
  </property>
  <property fmtid="{D5CDD505-2E9C-101B-9397-08002B2CF9AE}" pid="9" name="ClassificationContentMarkingFooterText">
    <vt:lpwstr>Intern gebruik</vt:lpwstr>
  </property>
  <property fmtid="{D5CDD505-2E9C-101B-9397-08002B2CF9AE}" pid="10" name="gc2efd3bfea04f7f8169be07009f5536">
    <vt:lpwstr/>
  </property>
  <property fmtid="{D5CDD505-2E9C-101B-9397-08002B2CF9AE}" pid="11" name="BZForumOrganisation">
    <vt:lpwstr>2;#Not applicable|0049e722-bfb1-4a3f-9d08-af7366a9af40</vt:lpwstr>
  </property>
  <property fmtid="{D5CDD505-2E9C-101B-9397-08002B2CF9AE}" pid="12" name="BZTheme">
    <vt:lpwstr>1;#Not applicable|ec01d90b-9d0f-4785-8785-e1ea615196bf</vt:lpwstr>
  </property>
  <property fmtid="{D5CDD505-2E9C-101B-9397-08002B2CF9AE}" pid="13" name="BZDossierSendTo">
    <vt:lpwstr/>
  </property>
  <property fmtid="{D5CDD505-2E9C-101B-9397-08002B2CF9AE}" pid="14" name="BZDossierResponsibleDepartment">
    <vt:lpwstr/>
  </property>
  <property fmtid="{D5CDD505-2E9C-101B-9397-08002B2CF9AE}" pid="15" name="BZCountryState">
    <vt:lpwstr>3;#Not applicable|ec01d90b-9d0f-4785-8785-e1ea615196bf</vt:lpwstr>
  </property>
  <property fmtid="{D5CDD505-2E9C-101B-9397-08002B2CF9AE}" pid="16" name="BZDossierGovernmentOfficial">
    <vt:lpwstr/>
  </property>
  <property fmtid="{D5CDD505-2E9C-101B-9397-08002B2CF9AE}" pid="17" name="BZDossierProcessLocation">
    <vt:lpwstr/>
  </property>
  <property fmtid="{D5CDD505-2E9C-101B-9397-08002B2CF9AE}" pid="18" name="i42ef48d5fa942a0ad0d60e44f201751">
    <vt:lpwstr/>
  </property>
  <property fmtid="{D5CDD505-2E9C-101B-9397-08002B2CF9AE}" pid="19" name="BZDossierPublishingWOOCategory">
    <vt:lpwstr/>
  </property>
  <property fmtid="{D5CDD505-2E9C-101B-9397-08002B2CF9AE}" pid="20" name="f2fb2a8e39404f1ab554e4e4a49d2918">
    <vt:lpwstr/>
  </property>
  <property fmtid="{D5CDD505-2E9C-101B-9397-08002B2CF9AE}" pid="21" name="BZMarking">
    <vt:lpwstr>5;#NO MARKING|0a4eb9ae-69eb-4d9e-b573-43ab99ef8592</vt:lpwstr>
  </property>
  <property fmtid="{D5CDD505-2E9C-101B-9397-08002B2CF9AE}" pid="22" name="_dlc_DocIdItemGuid">
    <vt:lpwstr>611d5590-2613-45b0-bbf3-f319c48c4603</vt:lpwstr>
  </property>
  <property fmtid="{D5CDD505-2E9C-101B-9397-08002B2CF9AE}" pid="23" name="f8e003236e1c4ac2ab9051d5d8789bbb">
    <vt:lpwstr/>
  </property>
  <property fmtid="{D5CDD505-2E9C-101B-9397-08002B2CF9AE}" pid="24" name="BZClassification">
    <vt:lpwstr>4;#UNCLASSIFIED (U)|284e6a62-15ab-4017-be27-a1e965f4e940</vt:lpwstr>
  </property>
  <property fmtid="{D5CDD505-2E9C-101B-9397-08002B2CF9AE}" pid="25" name="p29721a54a5c4bbe9786e930fc91e270">
    <vt:lpwstr/>
  </property>
  <property fmtid="{D5CDD505-2E9C-101B-9397-08002B2CF9AE}" pid="26" name="BZDossierTemplate">
    <vt:lpwstr>ReguliereKamerbrief</vt:lpwstr>
  </property>
  <property fmtid="{D5CDD505-2E9C-101B-9397-08002B2CF9AE}" pid="27" name="e256f556a7b748329ab47889947c7d40">
    <vt:lpwstr/>
  </property>
  <property fmtid="{D5CDD505-2E9C-101B-9397-08002B2CF9AE}" pid="28" name="ed9282a3f18446ec8c17c7829edf82dd">
    <vt:lpwstr/>
  </property>
  <property fmtid="{D5CDD505-2E9C-101B-9397-08002B2CF9AE}" pid="29" name="BZDossierProcessType">
    <vt:lpwstr/>
  </property>
  <property fmtid="{D5CDD505-2E9C-101B-9397-08002B2CF9AE}" pid="30" name="URL">
    <vt:lpwstr>https://247.plaza.buzaservices.nl/subject/AC-OC2026022026/BZ2627478/BNC%20fiche%20mededeling%20oostelijke%20regios%20EU.docx, </vt:lpwstr>
  </property>
  <property fmtid="{D5CDD505-2E9C-101B-9397-08002B2CF9AE}" pid="31" name="BZDossierBudgetManager">
    <vt:lpwstr/>
  </property>
  <property fmtid="{D5CDD505-2E9C-101B-9397-08002B2CF9AE}" pid="32" name="_docset_NoMedatataSyncRequired">
    <vt:lpwstr>False</vt:lpwstr>
  </property>
  <property fmtid="{D5CDD505-2E9C-101B-9397-08002B2CF9AE}" pid="33" name="MSIP_Label_6800fede-0e59-47ad-af95-4e63bbdb932d_Enabled">
    <vt:lpwstr>true</vt:lpwstr>
  </property>
  <property fmtid="{D5CDD505-2E9C-101B-9397-08002B2CF9AE}" pid="34" name="MSIP_Label_6800fede-0e59-47ad-af95-4e63bbdb932d_SetDate">
    <vt:lpwstr>2026-04-28T15:10:43Z</vt:lpwstr>
  </property>
  <property fmtid="{D5CDD505-2E9C-101B-9397-08002B2CF9AE}" pid="35" name="MSIP_Label_6800fede-0e59-47ad-af95-4e63bbdb932d_Method">
    <vt:lpwstr>Standard</vt:lpwstr>
  </property>
  <property fmtid="{D5CDD505-2E9C-101B-9397-08002B2CF9AE}" pid="36" name="MSIP_Label_6800fede-0e59-47ad-af95-4e63bbdb932d_Name">
    <vt:lpwstr>FIN-DGGT-Rijksoverheid</vt:lpwstr>
  </property>
  <property fmtid="{D5CDD505-2E9C-101B-9397-08002B2CF9AE}" pid="37" name="MSIP_Label_6800fede-0e59-47ad-af95-4e63bbdb932d_SiteId">
    <vt:lpwstr>84712536-f524-40a0-913b-5d25ba502732</vt:lpwstr>
  </property>
  <property fmtid="{D5CDD505-2E9C-101B-9397-08002B2CF9AE}" pid="38" name="MSIP_Label_6800fede-0e59-47ad-af95-4e63bbdb932d_ActionId">
    <vt:lpwstr>a8ed9f2d-a420-452a-aed1-c61202a68fad</vt:lpwstr>
  </property>
  <property fmtid="{D5CDD505-2E9C-101B-9397-08002B2CF9AE}" pid="39" name="MSIP_Label_6800fede-0e59-47ad-af95-4e63bbdb932d_ContentBits">
    <vt:lpwstr>0</vt:lpwstr>
  </property>
  <property fmtid="{D5CDD505-2E9C-101B-9397-08002B2CF9AE}" pid="40" name="MSIP_Label_6800fede-0e59-47ad-af95-4e63bbdb932d_Tag">
    <vt:lpwstr>10, 3, 0, 1</vt:lpwstr>
  </property>
</Properties>
</file>