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04C1" w:rsidR="007500FF" w:rsidP="005C7239" w:rsidRDefault="005C7239" w14:paraId="2047CA52" w14:textId="30801970">
      <w:pPr>
        <w:spacing w:line="280" w:lineRule="atLeast"/>
        <w:rPr>
          <w:rFonts w:ascii="Verdana" w:hAnsi="Verdana"/>
          <w:b/>
          <w:bCs/>
          <w:sz w:val="20"/>
          <w:szCs w:val="20"/>
        </w:rPr>
      </w:pPr>
      <w:r w:rsidRPr="007B04C1">
        <w:rPr>
          <w:rFonts w:ascii="Verdana" w:hAnsi="Verdana"/>
          <w:b/>
          <w:bCs/>
          <w:sz w:val="20"/>
          <w:szCs w:val="20"/>
        </w:rPr>
        <w:t>Vereenvoudiging kindregelingen (AKW + WKB + KOT)</w:t>
      </w:r>
    </w:p>
    <w:tbl>
      <w:tblPr>
        <w:tblStyle w:val="Tabelraster"/>
        <w:tblW w:w="10946" w:type="dxa"/>
        <w:tblInd w:w="-60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2331"/>
        <w:gridCol w:w="8681"/>
      </w:tblGrid>
      <w:tr w:rsidRPr="00431443" w:rsidR="005C7239" w:rsidTr="00314BDF" w14:paraId="58BD0E5B" w14:textId="77777777">
        <w:tc>
          <w:tcPr>
            <w:tcW w:w="2331" w:type="dxa"/>
            <w:tcMar>
              <w:top w:w="57" w:type="dxa"/>
              <w:bottom w:w="57" w:type="dxa"/>
            </w:tcMar>
          </w:tcPr>
          <w:p w:rsidRPr="00431443" w:rsidR="005C7239" w:rsidP="00BB388C" w:rsidRDefault="005C7239" w14:paraId="156315E5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Probleemstelling</w:t>
            </w: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8013AE" w:rsidR="005C7239" w:rsidP="00871CE1" w:rsidRDefault="00871CE1" w14:paraId="765FEABB" w14:textId="1C3C5AE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Pr="00871CE1">
              <w:rPr>
                <w:rFonts w:ascii="Verdana" w:hAnsi="Verdana"/>
                <w:sz w:val="18"/>
                <w:szCs w:val="18"/>
              </w:rPr>
              <w:t xml:space="preserve">m ouders in staat te stellen goed voor hun kinderen te zorgen en dit met </w:t>
            </w:r>
            <w:r w:rsidR="00120047">
              <w:rPr>
                <w:rFonts w:ascii="Verdana" w:hAnsi="Verdana"/>
                <w:sz w:val="18"/>
                <w:szCs w:val="18"/>
              </w:rPr>
              <w:t>werk</w:t>
            </w:r>
            <w:r w:rsidRPr="00871CE1">
              <w:rPr>
                <w:rFonts w:ascii="Verdana" w:hAnsi="Verdana"/>
                <w:sz w:val="18"/>
                <w:szCs w:val="18"/>
              </w:rPr>
              <w:t xml:space="preserve"> te </w:t>
            </w:r>
            <w:r w:rsidR="00120047">
              <w:rPr>
                <w:rFonts w:ascii="Verdana" w:hAnsi="Verdana"/>
                <w:sz w:val="18"/>
                <w:szCs w:val="18"/>
              </w:rPr>
              <w:t>combineren</w:t>
            </w:r>
            <w:r w:rsidR="00E073A6">
              <w:rPr>
                <w:rFonts w:ascii="Verdana" w:hAnsi="Verdana"/>
                <w:sz w:val="18"/>
                <w:szCs w:val="18"/>
              </w:rPr>
              <w:t xml:space="preserve">, zorgt de overheid voor een financiële tegemoetkoming </w:t>
            </w:r>
            <w:r w:rsidR="00120047">
              <w:rPr>
                <w:rFonts w:ascii="Verdana" w:hAnsi="Verdana"/>
                <w:sz w:val="18"/>
                <w:szCs w:val="18"/>
              </w:rPr>
              <w:t xml:space="preserve">aan de hand van </w:t>
            </w:r>
            <w:r w:rsidR="00E073A6">
              <w:rPr>
                <w:rFonts w:ascii="Verdana" w:hAnsi="Verdana"/>
                <w:sz w:val="18"/>
                <w:szCs w:val="18"/>
              </w:rPr>
              <w:t>drie kindregelingen:</w:t>
            </w:r>
            <w:r w:rsidRPr="00871CE1">
              <w:rPr>
                <w:rFonts w:ascii="Verdana" w:hAnsi="Verdana"/>
                <w:sz w:val="18"/>
                <w:szCs w:val="18"/>
              </w:rPr>
              <w:t xml:space="preserve"> de kinderbijslag, het kindgebonden budget en de kinderopvangtoeslag. Voor de meeste ouders werken de regelingen goed</w:t>
            </w:r>
            <w:r w:rsidR="00E073A6">
              <w:rPr>
                <w:rFonts w:ascii="Verdana" w:hAnsi="Verdana"/>
                <w:sz w:val="18"/>
                <w:szCs w:val="18"/>
              </w:rPr>
              <w:t>.</w:t>
            </w:r>
            <w:r w:rsidRPr="00871C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073A6">
              <w:rPr>
                <w:rFonts w:ascii="Verdana" w:hAnsi="Verdana"/>
                <w:sz w:val="18"/>
                <w:szCs w:val="18"/>
              </w:rPr>
              <w:t>V</w:t>
            </w:r>
            <w:r w:rsidRPr="00871CE1">
              <w:rPr>
                <w:rFonts w:ascii="Verdana" w:hAnsi="Verdana"/>
                <w:sz w:val="18"/>
                <w:szCs w:val="18"/>
              </w:rPr>
              <w:t xml:space="preserve">oor een deel van de ouders </w:t>
            </w:r>
            <w:r w:rsidR="001963B2">
              <w:rPr>
                <w:rFonts w:ascii="Verdana" w:hAnsi="Verdana"/>
                <w:sz w:val="18"/>
                <w:szCs w:val="18"/>
              </w:rPr>
              <w:t>zijn</w:t>
            </w:r>
            <w:r w:rsidRPr="00871CE1">
              <w:rPr>
                <w:rFonts w:ascii="Verdana" w:hAnsi="Verdana"/>
                <w:sz w:val="18"/>
                <w:szCs w:val="18"/>
              </w:rPr>
              <w:t xml:space="preserve"> het kindgebonden budget en de kinderopvangtoeslag ingewikkeld, met name wanneer zich grote veranderingen in het leven voordoen.</w:t>
            </w:r>
            <w:r w:rsidR="00E073A6">
              <w:rPr>
                <w:rFonts w:ascii="Verdana" w:hAnsi="Verdana"/>
                <w:sz w:val="18"/>
                <w:szCs w:val="18"/>
              </w:rPr>
              <w:t xml:space="preserve"> Dit kan leiden tot (soms hoge) terugvorderingen en financiële onzeker</w:t>
            </w:r>
            <w:r w:rsidR="003E1164">
              <w:rPr>
                <w:rFonts w:ascii="Verdana" w:hAnsi="Verdana"/>
                <w:sz w:val="18"/>
                <w:szCs w:val="18"/>
              </w:rPr>
              <w:t>heid.</w:t>
            </w:r>
            <w:r w:rsidR="00E073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20047">
              <w:rPr>
                <w:rFonts w:ascii="Verdana" w:hAnsi="Verdana"/>
                <w:sz w:val="18"/>
                <w:szCs w:val="18"/>
              </w:rPr>
              <w:t xml:space="preserve">Omdat het kindgebonden budget en de kinderopvangtoeslag afhankelijk zijn van het inkomen van ouders, dragen ze voor sommige ouders bij aan </w:t>
            </w:r>
            <w:r w:rsidR="005A124D">
              <w:rPr>
                <w:rFonts w:ascii="Verdana" w:hAnsi="Verdana"/>
                <w:sz w:val="18"/>
                <w:szCs w:val="18"/>
              </w:rPr>
              <w:t xml:space="preserve">een hogere </w:t>
            </w:r>
            <w:r w:rsidR="00120047">
              <w:rPr>
                <w:rFonts w:ascii="Verdana" w:hAnsi="Verdana"/>
                <w:sz w:val="18"/>
                <w:szCs w:val="18"/>
              </w:rPr>
              <w:t>marginale dru</w:t>
            </w:r>
            <w:r w:rsidR="0098236B">
              <w:rPr>
                <w:rFonts w:ascii="Verdana" w:hAnsi="Verdana"/>
                <w:sz w:val="18"/>
                <w:szCs w:val="18"/>
              </w:rPr>
              <w:t>k</w:t>
            </w:r>
            <w:r w:rsidR="00120047">
              <w:rPr>
                <w:rFonts w:ascii="Verdana" w:hAnsi="Verdana"/>
                <w:sz w:val="18"/>
                <w:szCs w:val="18"/>
              </w:rPr>
              <w:t xml:space="preserve"> waardoor werken minder loont. </w:t>
            </w:r>
            <w:r w:rsidR="0098236B">
              <w:rPr>
                <w:rFonts w:ascii="Verdana" w:hAnsi="Verdana"/>
                <w:sz w:val="18"/>
                <w:szCs w:val="18"/>
              </w:rPr>
              <w:t xml:space="preserve">Voor beide regelingen geldt dat vereenvoudiging nodig is, die vanuit de bredere hervorming van het belasting- en toeslagenstelsel moet worden bekeken. </w:t>
            </w:r>
          </w:p>
        </w:tc>
      </w:tr>
      <w:tr w:rsidRPr="00431443" w:rsidR="005C7239" w:rsidTr="00314BDF" w14:paraId="13B3BBAB" w14:textId="77777777"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67DC8DCD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Oplossing</w:t>
            </w: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38420E" w:rsidR="00DB34CC" w:rsidP="0038420E" w:rsidRDefault="0098236B" w14:paraId="35262705" w14:textId="0E4AEC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Het stelsel van de drie kindregelingen kan op verschillende manieren vereenvoudigd worden</w:t>
            </w:r>
            <w:r w:rsidR="00510C28">
              <w:rPr>
                <w:rFonts w:ascii="Verdana" w:hAnsi="Verdana"/>
                <w:sz w:val="18"/>
                <w:szCs w:val="18"/>
              </w:rPr>
              <w:t>.</w:t>
            </w:r>
            <w:r w:rsidR="00E4542A">
              <w:rPr>
                <w:rFonts w:ascii="Verdana" w:hAnsi="Verdana"/>
                <w:sz w:val="18"/>
                <w:szCs w:val="18"/>
              </w:rPr>
              <w:t xml:space="preserve"> Voor de kinderopvangtoeslag is al per 2029 een nieuw financieringsstelsel voorzien </w:t>
            </w:r>
            <w:r w:rsidR="001963B2">
              <w:rPr>
                <w:rFonts w:ascii="Verdana" w:hAnsi="Verdana"/>
                <w:sz w:val="18"/>
                <w:szCs w:val="18"/>
              </w:rPr>
              <w:t>dat</w:t>
            </w:r>
            <w:r w:rsidR="00E4542A">
              <w:rPr>
                <w:rFonts w:ascii="Verdana" w:hAnsi="Verdana"/>
                <w:sz w:val="18"/>
                <w:szCs w:val="18"/>
              </w:rPr>
              <w:t xml:space="preserve"> eenvoudiger en zekerder is voor ouders. Om tegemoet te komen aan de motie Schalk c.s.</w:t>
            </w:r>
            <w:r w:rsidR="00E4542A">
              <w:rPr>
                <w:rStyle w:val="Voetnootmarkering"/>
                <w:rFonts w:ascii="Verdana" w:hAnsi="Verdana"/>
                <w:sz w:val="18"/>
                <w:szCs w:val="18"/>
              </w:rPr>
              <w:footnoteReference w:id="1"/>
            </w:r>
            <w:r w:rsidR="00E4542A">
              <w:rPr>
                <w:rFonts w:ascii="Verdana" w:hAnsi="Verdana"/>
                <w:sz w:val="18"/>
                <w:szCs w:val="18"/>
              </w:rPr>
              <w:t>, word</w:t>
            </w:r>
            <w:r w:rsidR="001963B2">
              <w:rPr>
                <w:rFonts w:ascii="Verdana" w:hAnsi="Verdana"/>
                <w:sz w:val="18"/>
                <w:szCs w:val="18"/>
              </w:rPr>
              <w:t>t</w:t>
            </w:r>
            <w:r w:rsidR="00E4542A">
              <w:rPr>
                <w:rFonts w:ascii="Verdana" w:hAnsi="Verdana"/>
                <w:sz w:val="18"/>
                <w:szCs w:val="18"/>
              </w:rPr>
              <w:t xml:space="preserve"> in</w:t>
            </w:r>
            <w:r w:rsidR="00763305">
              <w:rPr>
                <w:rFonts w:ascii="Verdana" w:hAnsi="Verdana"/>
                <w:sz w:val="18"/>
                <w:szCs w:val="18"/>
              </w:rPr>
              <w:t xml:space="preserve"> dit fiche </w:t>
            </w:r>
            <w:r w:rsidR="001963B2">
              <w:rPr>
                <w:rFonts w:ascii="Verdana" w:hAnsi="Verdana"/>
                <w:sz w:val="18"/>
                <w:szCs w:val="18"/>
              </w:rPr>
              <w:t xml:space="preserve">het volgende uitgewerkt: </w:t>
            </w:r>
            <w:r w:rsidR="00763305">
              <w:rPr>
                <w:rFonts w:ascii="Verdana" w:hAnsi="Verdana"/>
                <w:sz w:val="18"/>
                <w:szCs w:val="18"/>
              </w:rPr>
              <w:t xml:space="preserve">de kinderbijslag, het kindgebonden budget en de kinderopvangtoeslag </w:t>
            </w:r>
            <w:r w:rsidR="001963B2">
              <w:rPr>
                <w:rFonts w:ascii="Verdana" w:hAnsi="Verdana"/>
                <w:sz w:val="18"/>
                <w:szCs w:val="18"/>
              </w:rPr>
              <w:t xml:space="preserve">worden afgeschaft </w:t>
            </w:r>
            <w:r w:rsidR="00C95F9C">
              <w:rPr>
                <w:rFonts w:ascii="Verdana" w:hAnsi="Verdana"/>
                <w:sz w:val="18"/>
                <w:szCs w:val="18"/>
              </w:rPr>
              <w:t>en tot één regeling gebracht</w:t>
            </w:r>
            <w:r w:rsidR="00372C4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85D90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B67A8A">
              <w:rPr>
                <w:rFonts w:ascii="Verdana" w:hAnsi="Verdana"/>
                <w:sz w:val="18"/>
                <w:szCs w:val="18"/>
              </w:rPr>
              <w:t xml:space="preserve">budgetneutraal </w:t>
            </w:r>
            <w:r w:rsidR="00C85D90">
              <w:rPr>
                <w:rFonts w:ascii="Verdana" w:hAnsi="Verdana"/>
                <w:sz w:val="18"/>
                <w:szCs w:val="18"/>
              </w:rPr>
              <w:t xml:space="preserve">is </w:t>
            </w:r>
            <w:r w:rsidR="00B67A8A">
              <w:rPr>
                <w:rFonts w:ascii="Verdana" w:hAnsi="Verdana"/>
                <w:sz w:val="18"/>
                <w:szCs w:val="18"/>
              </w:rPr>
              <w:t>vormgegeven</w:t>
            </w:r>
            <w:r w:rsidR="00C85D90">
              <w:rPr>
                <w:rFonts w:ascii="Verdana" w:hAnsi="Verdana"/>
                <w:sz w:val="18"/>
                <w:szCs w:val="18"/>
              </w:rPr>
              <w:t xml:space="preserve"> en naar verwachting niet eerder dan per 2030 kan worden ingevoerd</w:t>
            </w:r>
            <w:r w:rsidR="00A921A5">
              <w:rPr>
                <w:rFonts w:ascii="Verdana" w:hAnsi="Verdana"/>
                <w:sz w:val="18"/>
                <w:szCs w:val="18"/>
              </w:rPr>
              <w:t>.</w:t>
            </w:r>
            <w:r w:rsidR="00B67A8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206B1">
              <w:rPr>
                <w:rFonts w:ascii="Verdana" w:hAnsi="Verdana"/>
                <w:sz w:val="18"/>
                <w:szCs w:val="18"/>
              </w:rPr>
              <w:t xml:space="preserve">Het </w:t>
            </w:r>
            <w:r w:rsidRPr="00B206B1" w:rsidR="00B206B1">
              <w:rPr>
                <w:rFonts w:ascii="Verdana" w:hAnsi="Verdana"/>
                <w:sz w:val="18"/>
                <w:szCs w:val="18"/>
              </w:rPr>
              <w:t>samenvoegen van d</w:t>
            </w:r>
            <w:r w:rsidR="00B206B1">
              <w:rPr>
                <w:rFonts w:ascii="Verdana" w:hAnsi="Verdana"/>
                <w:sz w:val="18"/>
                <w:szCs w:val="18"/>
              </w:rPr>
              <w:t xml:space="preserve">eze drie regelingen </w:t>
            </w:r>
            <w:r w:rsidRPr="00B206B1" w:rsidR="00B206B1">
              <w:rPr>
                <w:rFonts w:ascii="Verdana" w:hAnsi="Verdana"/>
                <w:sz w:val="18"/>
                <w:szCs w:val="18"/>
              </w:rPr>
              <w:t>betekent dat de herziening van het financieringsstelsel in de kinderopvang stopt.</w:t>
            </w:r>
          </w:p>
        </w:tc>
      </w:tr>
      <w:tr w:rsidRPr="00431443" w:rsidR="005C7239" w:rsidTr="00314BDF" w14:paraId="6FBB71A7" w14:textId="77777777">
        <w:trPr>
          <w:trHeight w:val="81"/>
        </w:trPr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71334238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Juridische haalbaarheid</w:t>
            </w:r>
          </w:p>
          <w:p w:rsidRPr="00F11651" w:rsidR="005C7239" w:rsidP="00BB388C" w:rsidRDefault="005C7239" w14:paraId="568059E6" w14:textId="6453AA9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="005C7239" w:rsidP="00A921A5" w:rsidRDefault="00A921A5" w14:paraId="5C863F4F" w14:textId="366F2B04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Dit voorstel vergt een wetswijziging en is naar verwachting </w:t>
            </w:r>
            <w:r w:rsidR="00DC63DF">
              <w:rPr>
                <w:sz w:val="18"/>
                <w:szCs w:val="18"/>
              </w:rPr>
              <w:t xml:space="preserve">juridisch </w:t>
            </w:r>
            <w:r>
              <w:rPr>
                <w:sz w:val="18"/>
                <w:szCs w:val="18"/>
              </w:rPr>
              <w:t>uitvoerbaar per 2030.</w:t>
            </w:r>
          </w:p>
          <w:p w:rsidR="00A921A5" w:rsidP="00A921A5" w:rsidRDefault="00A921A5" w14:paraId="1287C754" w14:textId="7777777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Afhankelijk van de vormgeving is overgangsrecht nodig.</w:t>
            </w:r>
          </w:p>
          <w:p w:rsidRPr="00A921A5" w:rsidR="00A921A5" w:rsidP="00A921A5" w:rsidRDefault="00A921A5" w14:paraId="17D55F73" w14:textId="3CBDA9C2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 de keuze voor een wettelijk kader moeten de gevolgen voor de samenloop van Europese gezinsbijlagen en de export van de kindregelingen worden meegenomen.</w:t>
            </w:r>
          </w:p>
        </w:tc>
      </w:tr>
      <w:tr w:rsidRPr="00431443" w:rsidR="005C7239" w:rsidTr="00314BDF" w14:paraId="1247AC76" w14:textId="77777777">
        <w:trPr>
          <w:trHeight w:val="81"/>
        </w:trPr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0503FA53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Uitvoerbaarheid</w:t>
            </w:r>
          </w:p>
          <w:p w:rsidR="005C7239" w:rsidP="00BB388C" w:rsidRDefault="005C7239" w14:paraId="04A6EFF0" w14:textId="78C3DC8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="00852D70" w:rsidP="00852D70" w:rsidRDefault="0083481B" w14:paraId="626332B4" w14:textId="51681E8A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</w:t>
            </w:r>
            <w:r w:rsidRPr="00852D70" w:rsidR="006B43BE">
              <w:rPr>
                <w:rFonts w:ascii="Verdana" w:hAnsi="Verdana"/>
                <w:sz w:val="18"/>
                <w:szCs w:val="18"/>
              </w:rPr>
              <w:t xml:space="preserve"> samenvoeging van de kindregelingen </w:t>
            </w:r>
            <w:r>
              <w:rPr>
                <w:rFonts w:ascii="Verdana" w:hAnsi="Verdana"/>
                <w:sz w:val="18"/>
                <w:szCs w:val="18"/>
              </w:rPr>
              <w:t xml:space="preserve">kan </w:t>
            </w:r>
            <w:r w:rsidR="00E4542A">
              <w:rPr>
                <w:rFonts w:ascii="Verdana" w:hAnsi="Verdana"/>
                <w:sz w:val="18"/>
                <w:szCs w:val="18"/>
              </w:rPr>
              <w:t xml:space="preserve">naar verwachting </w:t>
            </w:r>
            <w:r>
              <w:rPr>
                <w:rFonts w:ascii="Verdana" w:hAnsi="Verdana"/>
                <w:sz w:val="18"/>
                <w:szCs w:val="18"/>
              </w:rPr>
              <w:t>worden uitgevoerd per</w:t>
            </w:r>
            <w:r w:rsidR="00861DA7">
              <w:rPr>
                <w:rFonts w:ascii="Verdana" w:hAnsi="Verdana"/>
                <w:sz w:val="18"/>
                <w:szCs w:val="18"/>
              </w:rPr>
              <w:t xml:space="preserve"> 2030.</w:t>
            </w:r>
          </w:p>
          <w:p w:rsidR="00852D70" w:rsidP="00852D70" w:rsidRDefault="00852D70" w14:paraId="22E62163" w14:textId="71313803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852D70" w:rsidR="00510C28">
              <w:rPr>
                <w:rFonts w:ascii="Verdana" w:hAnsi="Verdana"/>
                <w:sz w:val="18"/>
                <w:szCs w:val="18"/>
              </w:rPr>
              <w:t xml:space="preserve">fhankelijk van de uiteindelijke vormgeving vergt </w:t>
            </w:r>
            <w:r w:rsidR="00C85D90">
              <w:rPr>
                <w:rFonts w:ascii="Verdana" w:hAnsi="Verdana"/>
                <w:sz w:val="18"/>
                <w:szCs w:val="18"/>
              </w:rPr>
              <w:t>de transitie</w:t>
            </w:r>
            <w:r w:rsidRPr="00852D70" w:rsidR="00510C28">
              <w:rPr>
                <w:rFonts w:ascii="Verdana" w:hAnsi="Verdana"/>
                <w:sz w:val="18"/>
                <w:szCs w:val="18"/>
              </w:rPr>
              <w:t xml:space="preserve"> grote aanpassingen bij de betrokken dienstverleners (SVB, Dienst Toeslagen) en </w:t>
            </w:r>
            <w:r w:rsidR="001963B2">
              <w:rPr>
                <w:rFonts w:ascii="Verdana" w:hAnsi="Verdana"/>
                <w:sz w:val="18"/>
                <w:szCs w:val="18"/>
              </w:rPr>
              <w:t>zal</w:t>
            </w:r>
            <w:r w:rsidRPr="00852D70" w:rsidR="00510C28">
              <w:rPr>
                <w:rFonts w:ascii="Verdana" w:hAnsi="Verdana"/>
                <w:sz w:val="18"/>
                <w:szCs w:val="18"/>
              </w:rPr>
              <w:t xml:space="preserve"> tot grote uitvoeringskosten leiden (</w:t>
            </w:r>
            <w:proofErr w:type="gramStart"/>
            <w:r w:rsidRPr="00852D70" w:rsidR="00510C28">
              <w:rPr>
                <w:rFonts w:ascii="Verdana" w:hAnsi="Verdana"/>
                <w:sz w:val="18"/>
                <w:szCs w:val="18"/>
              </w:rPr>
              <w:t>circa</w:t>
            </w:r>
            <w:proofErr w:type="gramEnd"/>
            <w:r w:rsidRPr="00852D70" w:rsidR="00510C28">
              <w:rPr>
                <w:rFonts w:ascii="Verdana" w:hAnsi="Verdana"/>
                <w:sz w:val="18"/>
                <w:szCs w:val="18"/>
              </w:rPr>
              <w:t xml:space="preserve"> €40 miljoen incidenteel). </w:t>
            </w:r>
          </w:p>
          <w:p w:rsidR="005C7239" w:rsidP="00852D70" w:rsidRDefault="00510C28" w14:paraId="78C334BA" w14:textId="5C8861D5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852D70">
              <w:rPr>
                <w:rFonts w:ascii="Verdana" w:hAnsi="Verdana"/>
                <w:sz w:val="18"/>
                <w:szCs w:val="18"/>
              </w:rPr>
              <w:t>De impact op de uitvoering moet nader worden onderzocht.</w:t>
            </w:r>
            <w:r w:rsidR="00FF079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Pr="00825AE8" w:rsidR="00852D70" w:rsidP="00852D70" w:rsidRDefault="00852D70" w14:paraId="73CAACB1" w14:textId="77777777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6320AD35">
              <w:rPr>
                <w:rFonts w:ascii="Verdana" w:hAnsi="Verdana"/>
                <w:sz w:val="18"/>
                <w:szCs w:val="18"/>
              </w:rPr>
              <w:t xml:space="preserve">eze regeling betekent voor het knelpunt rondom internationale gevallen een vereenvoudiging voor de uitvoering, omdat het uitbetalen, terugvorderen en de dienstverlening onder één wettelijk kader valt. </w:t>
            </w:r>
          </w:p>
          <w:p w:rsidRPr="00852D70" w:rsidR="00852D70" w:rsidP="00852D70" w:rsidRDefault="00852D70" w14:paraId="262FC93B" w14:textId="414FFC82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Aandachtpunt is de beschikbare (IV) verandercapaciteit.</w:t>
            </w:r>
          </w:p>
        </w:tc>
      </w:tr>
      <w:tr w:rsidRPr="00431443" w:rsidR="005C7239" w:rsidTr="00314BDF" w14:paraId="0B9F7069" w14:textId="77777777">
        <w:trPr>
          <w:trHeight w:val="81"/>
        </w:trPr>
        <w:tc>
          <w:tcPr>
            <w:tcW w:w="2331" w:type="dxa"/>
            <w:tcMar>
              <w:top w:w="57" w:type="dxa"/>
              <w:bottom w:w="57" w:type="dxa"/>
            </w:tcMar>
          </w:tcPr>
          <w:p w:rsidRPr="00431443" w:rsidR="005C7239" w:rsidP="00BB388C" w:rsidRDefault="005C7239" w14:paraId="62AFDE0B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Invoeringsdatum</w:t>
            </w: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8315FA" w:rsidR="005C7239" w:rsidP="00BB388C" w:rsidRDefault="003244D3" w14:paraId="0FE62829" w14:textId="640CCD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Pr="00593D14" w:rsidR="005C7239">
              <w:rPr>
                <w:rFonts w:ascii="Verdana" w:hAnsi="Verdana"/>
                <w:sz w:val="18"/>
                <w:szCs w:val="18"/>
              </w:rPr>
              <w:t xml:space="preserve">nwerkingtreding van </w:t>
            </w:r>
            <w:r>
              <w:rPr>
                <w:rFonts w:ascii="Verdana" w:hAnsi="Verdana"/>
                <w:sz w:val="18"/>
                <w:szCs w:val="18"/>
              </w:rPr>
              <w:t>deze maatregel</w:t>
            </w:r>
            <w:r w:rsidRPr="00593D14" w:rsidR="005C723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66B31">
              <w:rPr>
                <w:rFonts w:ascii="Verdana" w:hAnsi="Verdana"/>
                <w:sz w:val="18"/>
                <w:szCs w:val="18"/>
              </w:rPr>
              <w:t xml:space="preserve">is </w:t>
            </w:r>
            <w:r>
              <w:rPr>
                <w:rFonts w:ascii="Verdana" w:hAnsi="Verdana"/>
                <w:sz w:val="18"/>
                <w:szCs w:val="18"/>
              </w:rPr>
              <w:t xml:space="preserve">mogelijk </w:t>
            </w:r>
            <w:r w:rsidRPr="00593D14" w:rsidR="005C7239">
              <w:rPr>
                <w:rFonts w:ascii="Verdana" w:hAnsi="Verdana"/>
                <w:sz w:val="18"/>
                <w:szCs w:val="18"/>
              </w:rPr>
              <w:t>per 1 januari 2030</w:t>
            </w:r>
            <w:r w:rsidR="005C723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Pr="00431443" w:rsidR="005C7239" w:rsidTr="00314BDF" w14:paraId="493D6E4C" w14:textId="77777777">
        <w:trPr>
          <w:trHeight w:val="990"/>
        </w:trPr>
        <w:tc>
          <w:tcPr>
            <w:tcW w:w="2331" w:type="dxa"/>
            <w:tcMar>
              <w:top w:w="57" w:type="dxa"/>
              <w:bottom w:w="57" w:type="dxa"/>
            </w:tcMar>
          </w:tcPr>
          <w:p w:rsidRPr="00431443" w:rsidR="005C7239" w:rsidP="00BB388C" w:rsidRDefault="005C7239" w14:paraId="7EA8128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40681">
              <w:rPr>
                <w:rFonts w:ascii="Verdana" w:hAnsi="Verdana"/>
                <w:b/>
                <w:bCs/>
                <w:sz w:val="18"/>
                <w:szCs w:val="18"/>
              </w:rPr>
              <w:t>Kosten</w:t>
            </w:r>
          </w:p>
          <w:p w:rsidR="005C7239" w:rsidP="00BB388C" w:rsidRDefault="005C7239" w14:paraId="10DADF12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55522499">
              <w:rPr>
                <w:rFonts w:ascii="Verdana" w:hAnsi="Verdana"/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x</w:t>
            </w:r>
            <w:proofErr w:type="gramEnd"/>
            <w:r w:rsidRPr="55522499">
              <w:rPr>
                <w:rFonts w:ascii="Verdana" w:hAnsi="Verdana"/>
                <w:b/>
                <w:bCs/>
                <w:sz w:val="18"/>
                <w:szCs w:val="18"/>
              </w:rPr>
              <w:t xml:space="preserve"> €1 miljoen)</w:t>
            </w:r>
          </w:p>
          <w:p w:rsidRPr="00837DF2" w:rsidR="005C7239" w:rsidP="00BB388C" w:rsidRDefault="005C7239" w14:paraId="37AC60EC" w14:textId="0CF150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tbl>
            <w:tblPr>
              <w:tblStyle w:val="Tabelraster"/>
              <w:tblpPr w:leftFromText="141" w:rightFromText="141" w:vertAnchor="page" w:horzAnchor="margin" w:tblpY="64"/>
              <w:tblOverlap w:val="never"/>
              <w:tblW w:w="5000" w:type="pct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ook w:val="01E0" w:firstRow="1" w:lastRow="1" w:firstColumn="1" w:lastColumn="1" w:noHBand="0" w:noVBand="0"/>
            </w:tblPr>
            <w:tblGrid>
              <w:gridCol w:w="2646"/>
              <w:gridCol w:w="799"/>
              <w:gridCol w:w="798"/>
              <w:gridCol w:w="798"/>
              <w:gridCol w:w="925"/>
              <w:gridCol w:w="798"/>
              <w:gridCol w:w="798"/>
              <w:gridCol w:w="895"/>
            </w:tblGrid>
            <w:tr w:rsidRPr="00431443" w:rsidR="005C7239" w:rsidTr="003244D3" w14:paraId="402E7870" w14:textId="77777777">
              <w:tc>
                <w:tcPr>
                  <w:tcW w:w="1564" w:type="pct"/>
                  <w:tcBorders>
                    <w:top w:val="single" w:color="auto" w:sz="4" w:space="0"/>
                    <w:left w:val="single" w:color="auto" w:sz="4" w:space="0"/>
                  </w:tcBorders>
                </w:tcPr>
                <w:p w:rsidRPr="00431443" w:rsidR="005C7239" w:rsidP="00BB388C" w:rsidRDefault="005C7239" w14:paraId="6B0F1E17" w14:textId="77777777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  <w:tcBorders>
                    <w:top w:val="single" w:color="auto" w:sz="4" w:space="0"/>
                  </w:tcBorders>
                </w:tcPr>
                <w:p w:rsidRPr="00431443" w:rsidR="005C7239" w:rsidP="00BB388C" w:rsidRDefault="005C7239" w14:paraId="3E0248D3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14F568E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2" w:type="pct"/>
                  <w:tcBorders>
                    <w:top w:val="single" w:color="auto" w:sz="4" w:space="0"/>
                  </w:tcBorders>
                </w:tcPr>
                <w:p w:rsidRPr="00431443" w:rsidR="005C7239" w:rsidP="00BB388C" w:rsidRDefault="005C7239" w14:paraId="78B092DA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14F568E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72" w:type="pct"/>
                  <w:tcBorders>
                    <w:top w:val="single" w:color="auto" w:sz="4" w:space="0"/>
                  </w:tcBorders>
                </w:tcPr>
                <w:p w:rsidRPr="00431443" w:rsidR="005C7239" w:rsidP="00BB388C" w:rsidRDefault="005C7239" w14:paraId="28FEAAFC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14F568E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47" w:type="pct"/>
                  <w:tcBorders>
                    <w:top w:val="single" w:color="auto" w:sz="4" w:space="0"/>
                  </w:tcBorders>
                </w:tcPr>
                <w:p w:rsidRPr="00431443" w:rsidR="005C7239" w:rsidP="00BB388C" w:rsidRDefault="005C7239" w14:paraId="4CF24DB4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14F568E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72" w:type="pct"/>
                  <w:tcBorders>
                    <w:top w:val="single" w:color="auto" w:sz="4" w:space="0"/>
                  </w:tcBorders>
                </w:tcPr>
                <w:p w:rsidRPr="00431443" w:rsidR="005C7239" w:rsidP="00BB388C" w:rsidRDefault="005C7239" w14:paraId="069BC929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14F568E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72" w:type="pct"/>
                  <w:tcBorders>
                    <w:top w:val="single" w:color="auto" w:sz="4" w:space="0"/>
                  </w:tcBorders>
                </w:tcPr>
                <w:p w:rsidRPr="00431443" w:rsidR="005C7239" w:rsidP="00BB388C" w:rsidRDefault="005C7239" w14:paraId="2180EA69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14F568E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530" w:type="pct"/>
                  <w:tcBorders>
                    <w:top w:val="single" w:color="auto" w:sz="4" w:space="0"/>
                  </w:tcBorders>
                </w:tcPr>
                <w:p w:rsidRPr="00431443" w:rsidR="005C7239" w:rsidP="00BB388C" w:rsidRDefault="005C7239" w14:paraId="69AD80AE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14F568E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Struc.</w:t>
                  </w:r>
                </w:p>
              </w:tc>
            </w:tr>
            <w:tr w:rsidRPr="00431443" w:rsidR="005C7239" w:rsidTr="003244D3" w14:paraId="3E59B449" w14:textId="77777777">
              <w:tc>
                <w:tcPr>
                  <w:tcW w:w="1564" w:type="pct"/>
                </w:tcPr>
                <w:p w:rsidRPr="00DC11A2" w:rsidR="005C7239" w:rsidP="00BB388C" w:rsidRDefault="005C7239" w14:paraId="51CF49BC" w14:textId="77777777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Intensivering:</w:t>
                  </w: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184CA477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4F4E23AD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03BB7167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47" w:type="pct"/>
                </w:tcPr>
                <w:p w:rsidRPr="00431443" w:rsidR="005C7239" w:rsidP="00BB388C" w:rsidRDefault="005C7239" w14:paraId="48FA2FD2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410955FE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1E34CEC9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30" w:type="pct"/>
                </w:tcPr>
                <w:p w:rsidRPr="00431443" w:rsidR="005C7239" w:rsidP="00BB388C" w:rsidRDefault="005C7239" w14:paraId="6AEDC2DE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Pr="00431443" w:rsidR="005C7239" w:rsidTr="003244D3" w14:paraId="03306498" w14:textId="77777777">
              <w:tc>
                <w:tcPr>
                  <w:tcW w:w="1564" w:type="pct"/>
                </w:tcPr>
                <w:p w:rsidRPr="00431443" w:rsidR="005C7239" w:rsidP="00BB388C" w:rsidRDefault="005C7239" w14:paraId="12663541" w14:textId="77777777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Programmakosten</w:t>
                  </w: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7615C531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3C3AED0D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3BA4D621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47" w:type="pct"/>
                </w:tcPr>
                <w:p w:rsidRPr="00431443" w:rsidR="005C7239" w:rsidP="00BB388C" w:rsidRDefault="005C7239" w14:paraId="3DB771A0" w14:textId="7777777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852D70" w14:paraId="418EE576" w14:textId="4FBEF99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2" w:type="pct"/>
                </w:tcPr>
                <w:p w:rsidRPr="00431443" w:rsidR="005C7239" w:rsidP="00BB388C" w:rsidRDefault="00852D70" w14:paraId="2205ADA5" w14:textId="6C79ECFF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30" w:type="pct"/>
                </w:tcPr>
                <w:p w:rsidRPr="00431443" w:rsidR="005C7239" w:rsidP="00BB388C" w:rsidRDefault="00852D70" w14:paraId="4EE35B3F" w14:textId="1C85D5FE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0</w:t>
                  </w:r>
                </w:p>
              </w:tc>
            </w:tr>
            <w:tr w:rsidRPr="00431443" w:rsidR="005C7239" w:rsidTr="003244D3" w14:paraId="6A40E534" w14:textId="77777777">
              <w:tc>
                <w:tcPr>
                  <w:tcW w:w="1564" w:type="pct"/>
                </w:tcPr>
                <w:p w:rsidRPr="00431443" w:rsidR="005C7239" w:rsidP="00BB388C" w:rsidRDefault="005C7239" w14:paraId="728FD37D" w14:textId="77777777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55522499">
                    <w:rPr>
                      <w:rFonts w:ascii="Verdana" w:hAnsi="Verdana"/>
                      <w:sz w:val="18"/>
                      <w:szCs w:val="18"/>
                    </w:rPr>
                    <w:t>Uitvoeringskosten</w:t>
                  </w: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12B14C11" w14:textId="235EA988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36BFD0B6" w14:textId="019A9948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77B6BA38" w14:textId="22F70E97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47" w:type="pct"/>
                </w:tcPr>
                <w:p w:rsidRPr="00431443" w:rsidR="005C7239" w:rsidP="00852D70" w:rsidRDefault="00852D70" w14:paraId="3812E9F5" w14:textId="5DCB5E05">
                  <w:pPr>
                    <w:tabs>
                      <w:tab w:val="left" w:pos="48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20</w:t>
                  </w:r>
                </w:p>
              </w:tc>
              <w:tc>
                <w:tcPr>
                  <w:tcW w:w="472" w:type="pct"/>
                </w:tcPr>
                <w:p w:rsidRPr="00431443" w:rsidR="005C7239" w:rsidP="00BB388C" w:rsidRDefault="005A034C" w14:paraId="48A64055" w14:textId="1941A84E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72" w:type="pct"/>
                </w:tcPr>
                <w:p w:rsidRPr="00431443" w:rsidR="005C7239" w:rsidP="00BB388C" w:rsidRDefault="005C7239" w14:paraId="2CFEDF09" w14:textId="5D39AB08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30" w:type="pct"/>
                </w:tcPr>
                <w:p w:rsidRPr="00431443" w:rsidR="005C7239" w:rsidP="00BB388C" w:rsidRDefault="005C7239" w14:paraId="48BF3429" w14:textId="2319130E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Pr="00431443" w:rsidR="005C7239" w:rsidTr="003244D3" w14:paraId="5CD60629" w14:textId="77777777">
              <w:tc>
                <w:tcPr>
                  <w:tcW w:w="1564" w:type="pct"/>
                </w:tcPr>
                <w:p w:rsidRPr="00753466" w:rsidR="005C7239" w:rsidP="00BB388C" w:rsidRDefault="005C7239" w14:paraId="56A5F3B3" w14:textId="77777777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55522499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Totaal</w:t>
                  </w:r>
                </w:p>
              </w:tc>
              <w:tc>
                <w:tcPr>
                  <w:tcW w:w="472" w:type="pct"/>
                </w:tcPr>
                <w:p w:rsidRPr="00753466" w:rsidR="005C7239" w:rsidP="00BB388C" w:rsidRDefault="005C7239" w14:paraId="378304E0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753466" w:rsidR="005C7239" w:rsidP="00BB388C" w:rsidRDefault="005C7239" w14:paraId="385EDFF7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753466" w:rsidR="005C7239" w:rsidP="00BB388C" w:rsidRDefault="005C7239" w14:paraId="2AC2D15C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47" w:type="pct"/>
                </w:tcPr>
                <w:p w:rsidRPr="00753466" w:rsidR="005C7239" w:rsidP="00BB388C" w:rsidRDefault="005C7239" w14:paraId="0EE68CF8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753466" w:rsidR="005C7239" w:rsidP="00BB388C" w:rsidRDefault="005C7239" w14:paraId="3DBAB1B4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2" w:type="pct"/>
                </w:tcPr>
                <w:p w:rsidRPr="00753466" w:rsidR="005C7239" w:rsidP="00BB388C" w:rsidRDefault="005C7239" w14:paraId="3E40154A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30" w:type="pct"/>
                </w:tcPr>
                <w:p w:rsidRPr="00753466" w:rsidR="005C7239" w:rsidP="00BB388C" w:rsidRDefault="005C7239" w14:paraId="3B7D9BFD" w14:textId="77777777">
                  <w:pPr>
                    <w:jc w:val="right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Pr="00431443" w:rsidR="005C7239" w:rsidP="00BB388C" w:rsidRDefault="005C7239" w14:paraId="1E088E07" w14:textId="413002E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431443" w:rsidR="005C7239" w:rsidTr="00314BDF" w14:paraId="37B41F56" w14:textId="77777777"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54BD2596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40681">
              <w:rPr>
                <w:rFonts w:ascii="Verdana" w:hAnsi="Verdana"/>
                <w:b/>
                <w:bCs/>
                <w:sz w:val="18"/>
                <w:szCs w:val="18"/>
              </w:rPr>
              <w:t>Toelichting raming</w:t>
            </w:r>
          </w:p>
          <w:p w:rsidRPr="00431443" w:rsidR="005C7239" w:rsidP="00BB388C" w:rsidRDefault="005C7239" w14:paraId="7757CC5F" w14:textId="20A0EC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F873CF" w:rsidR="005C7239" w:rsidP="00BB388C" w:rsidRDefault="00852D70" w14:paraId="7E485364" w14:textId="58D63B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Deze maatregel </w:t>
            </w:r>
            <w:r w:rsidR="00C85D90">
              <w:rPr>
                <w:rFonts w:ascii="Verdana" w:hAnsi="Verdana"/>
                <w:sz w:val="18"/>
                <w:szCs w:val="18"/>
              </w:rPr>
              <w:t xml:space="preserve">is 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in dit fiche </w:t>
            </w:r>
            <w:r>
              <w:rPr>
                <w:rFonts w:ascii="Verdana" w:hAnsi="Verdana"/>
                <w:sz w:val="18"/>
                <w:szCs w:val="18"/>
              </w:rPr>
              <w:t>budgetneutraal vormgegeven</w:t>
            </w:r>
            <w:r w:rsidR="00F96ABF">
              <w:rPr>
                <w:rFonts w:ascii="Verdana" w:hAnsi="Verdana"/>
                <w:sz w:val="18"/>
                <w:szCs w:val="18"/>
              </w:rPr>
              <w:t>, waarbij de verwachting is dat</w:t>
            </w:r>
            <w:r w:rsidR="003244D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96ABF">
              <w:rPr>
                <w:rFonts w:ascii="Verdana" w:hAnsi="Verdana"/>
                <w:sz w:val="18"/>
                <w:szCs w:val="18"/>
              </w:rPr>
              <w:t>d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e kinderbijslag, het kindgebonden budget en de kinderopvangtoeslag per 2030 </w:t>
            </w:r>
            <w:r w:rsidR="00F96ABF">
              <w:rPr>
                <w:rFonts w:ascii="Verdana" w:hAnsi="Verdana"/>
                <w:sz w:val="18"/>
                <w:szCs w:val="18"/>
              </w:rPr>
              <w:t xml:space="preserve">kan worden 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afgeschaft. In de samengevoegde kindregeling wordt aangenomen dat het </w:t>
            </w:r>
            <w:proofErr w:type="spellStart"/>
            <w:r w:rsidR="004D3EB1">
              <w:rPr>
                <w:rFonts w:ascii="Verdana" w:hAnsi="Verdana"/>
                <w:sz w:val="18"/>
                <w:szCs w:val="18"/>
              </w:rPr>
              <w:t>inkomen</w:t>
            </w:r>
            <w:r w:rsidR="00314BDF">
              <w:rPr>
                <w:rFonts w:ascii="Verdana" w:hAnsi="Verdana"/>
                <w:sz w:val="18"/>
                <w:szCs w:val="18"/>
              </w:rPr>
              <w:t>-</w:t>
            </w:r>
            <w:r w:rsidR="004D3EB1">
              <w:rPr>
                <w:rFonts w:ascii="Verdana" w:hAnsi="Verdana"/>
                <w:sz w:val="18"/>
                <w:szCs w:val="18"/>
              </w:rPr>
              <w:t>safhankelijke</w:t>
            </w:r>
            <w:proofErr w:type="spellEnd"/>
            <w:r w:rsidR="004D3EB1">
              <w:rPr>
                <w:rFonts w:ascii="Verdana" w:hAnsi="Verdana"/>
                <w:sz w:val="18"/>
                <w:szCs w:val="18"/>
              </w:rPr>
              <w:t xml:space="preserve"> bedrag </w:t>
            </w:r>
            <w:r w:rsidR="00677C15">
              <w:rPr>
                <w:rFonts w:ascii="Verdana" w:hAnsi="Verdana"/>
                <w:sz w:val="18"/>
                <w:szCs w:val="18"/>
              </w:rPr>
              <w:t xml:space="preserve">in 2030 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gelijk blijft aan </w:t>
            </w:r>
            <w:r w:rsidR="00677C15">
              <w:rPr>
                <w:rFonts w:ascii="Verdana" w:hAnsi="Verdana"/>
                <w:sz w:val="18"/>
                <w:szCs w:val="18"/>
              </w:rPr>
              <w:t xml:space="preserve">de hoogte van </w:t>
            </w:r>
            <w:r w:rsidR="004D3EB1">
              <w:rPr>
                <w:rFonts w:ascii="Verdana" w:hAnsi="Verdana"/>
                <w:sz w:val="18"/>
                <w:szCs w:val="18"/>
              </w:rPr>
              <w:t>het huidige kindgebonden budget</w:t>
            </w:r>
            <w:r w:rsidR="00677C15">
              <w:rPr>
                <w:rFonts w:ascii="Verdana" w:hAnsi="Verdana"/>
                <w:sz w:val="18"/>
                <w:szCs w:val="18"/>
              </w:rPr>
              <w:t xml:space="preserve"> in 2030 (</w:t>
            </w:r>
            <w:proofErr w:type="gramStart"/>
            <w:r w:rsidR="00677C15">
              <w:rPr>
                <w:rFonts w:ascii="Verdana" w:hAnsi="Verdana"/>
                <w:sz w:val="18"/>
                <w:szCs w:val="18"/>
              </w:rPr>
              <w:t>conform</w:t>
            </w:r>
            <w:proofErr w:type="gramEnd"/>
            <w:r w:rsidR="00677C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B16D1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677C15">
              <w:rPr>
                <w:rFonts w:ascii="Verdana" w:hAnsi="Verdana"/>
                <w:sz w:val="18"/>
                <w:szCs w:val="18"/>
              </w:rPr>
              <w:t>technische invulling</w:t>
            </w:r>
            <w:r w:rsidR="00BB16D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77C15">
              <w:rPr>
                <w:rFonts w:ascii="Verdana" w:hAnsi="Verdana"/>
                <w:sz w:val="18"/>
                <w:szCs w:val="18"/>
              </w:rPr>
              <w:t>in het CEP)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. De opbrengst van de afschaffing van de </w:t>
            </w:r>
            <w:r w:rsidR="00A14EA2">
              <w:rPr>
                <w:rFonts w:ascii="Verdana" w:hAnsi="Verdana"/>
                <w:sz w:val="18"/>
                <w:szCs w:val="18"/>
              </w:rPr>
              <w:t>kinderopvangtoeslag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 wordt gebruikt om het inkomensonafhankelijke bedrag</w:t>
            </w:r>
            <w:r w:rsidR="005F2DDE">
              <w:rPr>
                <w:rFonts w:ascii="Verdana" w:hAnsi="Verdana"/>
                <w:sz w:val="18"/>
                <w:szCs w:val="18"/>
              </w:rPr>
              <w:t xml:space="preserve"> van de nieuwe kindregeling</w:t>
            </w:r>
            <w:r w:rsidR="00FC7C70">
              <w:rPr>
                <w:rFonts w:ascii="Verdana" w:hAnsi="Verdana"/>
                <w:sz w:val="18"/>
                <w:szCs w:val="18"/>
              </w:rPr>
              <w:t xml:space="preserve"> in 2030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 te verhogen met € 2.8</w:t>
            </w:r>
            <w:r w:rsidR="00BB16D1">
              <w:rPr>
                <w:rFonts w:ascii="Verdana" w:hAnsi="Verdana"/>
                <w:sz w:val="18"/>
                <w:szCs w:val="18"/>
              </w:rPr>
              <w:t>97</w:t>
            </w:r>
            <w:r w:rsidR="004D3EB1">
              <w:rPr>
                <w:rFonts w:ascii="Verdana" w:hAnsi="Verdana"/>
                <w:sz w:val="18"/>
                <w:szCs w:val="18"/>
              </w:rPr>
              <w:t xml:space="preserve"> per kind </w:t>
            </w:r>
            <w:r w:rsidR="00270D62">
              <w:rPr>
                <w:rFonts w:ascii="Verdana" w:hAnsi="Verdana"/>
                <w:sz w:val="18"/>
                <w:szCs w:val="18"/>
              </w:rPr>
              <w:t xml:space="preserve">per jaar </w:t>
            </w:r>
            <w:r w:rsidR="004D3EB1">
              <w:rPr>
                <w:rFonts w:ascii="Verdana" w:hAnsi="Verdana"/>
                <w:sz w:val="18"/>
                <w:szCs w:val="18"/>
              </w:rPr>
              <w:t>(prijzen ’25)</w:t>
            </w:r>
            <w:r w:rsidR="00A14EA2">
              <w:rPr>
                <w:rFonts w:ascii="Verdana" w:hAnsi="Verdana"/>
                <w:sz w:val="18"/>
                <w:szCs w:val="18"/>
              </w:rPr>
              <w:t>.</w:t>
            </w:r>
            <w:r w:rsidR="004D3EB1">
              <w:rPr>
                <w:rStyle w:val="Voetnootmarkering"/>
                <w:rFonts w:ascii="Verdana" w:hAnsi="Verdana"/>
                <w:sz w:val="18"/>
                <w:szCs w:val="18"/>
              </w:rPr>
              <w:footnoteReference w:id="2"/>
            </w:r>
            <w:r w:rsidR="00A14EA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2F2CC2" w:rsidR="005C7239" w:rsidTr="00314BDF" w14:paraId="3D554533" w14:textId="77777777"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17EAEE86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55522499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Inkomenseffecten</w:t>
            </w:r>
          </w:p>
          <w:p w:rsidRPr="002F2CC2" w:rsidR="005C7239" w:rsidP="00BB388C" w:rsidRDefault="005C7239" w14:paraId="2ACD3AC9" w14:textId="58B066C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7057E6" w:rsidR="00D0004A" w:rsidP="00E35C88" w:rsidRDefault="002B6322" w14:paraId="0A7A4AB2" w14:textId="39649FCF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7057E6">
              <w:rPr>
                <w:rFonts w:ascii="Verdana" w:hAnsi="Verdana"/>
                <w:sz w:val="18"/>
                <w:szCs w:val="18"/>
              </w:rPr>
              <w:t>Tabe</w:t>
            </w:r>
            <w:r w:rsidRPr="007057E6" w:rsidR="00D0004A">
              <w:rPr>
                <w:rFonts w:ascii="Verdana" w:hAnsi="Verdana"/>
                <w:sz w:val="18"/>
                <w:szCs w:val="18"/>
              </w:rPr>
              <w:t xml:space="preserve">l 1 en 2 tonen de inkomenseffecten van een </w:t>
            </w:r>
            <w:proofErr w:type="spellStart"/>
            <w:r w:rsidRPr="007057E6" w:rsidR="00D0004A">
              <w:rPr>
                <w:rFonts w:ascii="Verdana" w:hAnsi="Verdana"/>
                <w:sz w:val="18"/>
                <w:szCs w:val="18"/>
              </w:rPr>
              <w:t>budgetneutrale</w:t>
            </w:r>
            <w:proofErr w:type="spellEnd"/>
            <w:r w:rsidRPr="007057E6" w:rsidR="00D0004A">
              <w:rPr>
                <w:rFonts w:ascii="Verdana" w:hAnsi="Verdana"/>
                <w:sz w:val="18"/>
                <w:szCs w:val="18"/>
              </w:rPr>
              <w:t xml:space="preserve"> vormgeving van de samengevoegde kindregeling. </w:t>
            </w:r>
            <w:r w:rsidRPr="007057E6" w:rsidR="00872369">
              <w:rPr>
                <w:rFonts w:ascii="Verdana" w:hAnsi="Verdana"/>
                <w:sz w:val="18"/>
                <w:szCs w:val="18"/>
              </w:rPr>
              <w:t xml:space="preserve">Tabel 1 toont de inkomenseffecten van huishoudens met kinderen en recht op </w:t>
            </w:r>
            <w:r w:rsidR="0050009C">
              <w:rPr>
                <w:rFonts w:ascii="Verdana" w:hAnsi="Verdana"/>
                <w:sz w:val="18"/>
                <w:szCs w:val="18"/>
              </w:rPr>
              <w:t xml:space="preserve">tegemoetkoming voor </w:t>
            </w:r>
            <w:r w:rsidRPr="007057E6" w:rsidR="00872369">
              <w:rPr>
                <w:rFonts w:ascii="Verdana" w:hAnsi="Verdana"/>
                <w:sz w:val="18"/>
                <w:szCs w:val="18"/>
              </w:rPr>
              <w:t xml:space="preserve">kinderopvang. Tabel 2 toont de inkomenseffecten van huishoudens met kinderen zonder </w:t>
            </w:r>
            <w:r w:rsidR="0050009C">
              <w:rPr>
                <w:rFonts w:ascii="Verdana" w:hAnsi="Verdana"/>
                <w:sz w:val="18"/>
                <w:szCs w:val="18"/>
              </w:rPr>
              <w:t xml:space="preserve">tegemoetkoming voor </w:t>
            </w:r>
            <w:r w:rsidRPr="007057E6" w:rsidR="00872369">
              <w:rPr>
                <w:rFonts w:ascii="Verdana" w:hAnsi="Verdana"/>
                <w:sz w:val="18"/>
                <w:szCs w:val="18"/>
              </w:rPr>
              <w:t>kinderopvang.</w:t>
            </w:r>
            <w:r w:rsidR="00A7635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244D3" w:rsidR="003244D3">
              <w:rPr>
                <w:rFonts w:ascii="Verdana" w:hAnsi="Verdana"/>
                <w:sz w:val="18"/>
                <w:szCs w:val="18"/>
              </w:rPr>
              <w:t xml:space="preserve">Het vrijgevallen budget van de kinderopvangtoeslag is in deze </w:t>
            </w:r>
            <w:proofErr w:type="spellStart"/>
            <w:r w:rsidRPr="003244D3" w:rsidR="003244D3">
              <w:rPr>
                <w:rFonts w:ascii="Verdana" w:hAnsi="Verdana"/>
                <w:sz w:val="18"/>
                <w:szCs w:val="18"/>
              </w:rPr>
              <w:t>budgetneutrale</w:t>
            </w:r>
            <w:proofErr w:type="spellEnd"/>
            <w:r w:rsidRPr="003244D3" w:rsidR="003244D3">
              <w:rPr>
                <w:rFonts w:ascii="Verdana" w:hAnsi="Verdana"/>
                <w:sz w:val="18"/>
                <w:szCs w:val="18"/>
              </w:rPr>
              <w:t xml:space="preserve"> optie verdeeld over alle kinderen met kinderbijslag. Dat is een bredere doelgroep (0 t/m 17) dan de doelgroep die in aanmerking komt voor kinderopvangtoeslag (0 t/m 12). Dit betekent een herverdeeleffect van gezinnen met jonge kinderen naar gezinnen met oudere kinderen.</w:t>
            </w:r>
          </w:p>
          <w:p w:rsidRPr="00314BDF" w:rsidR="00B81D64" w:rsidP="004402B1" w:rsidRDefault="00D0004A" w14:paraId="4FB53F4D" w14:textId="36C8A2CB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314BDF">
              <w:rPr>
                <w:rFonts w:ascii="Verdana" w:hAnsi="Verdana"/>
                <w:sz w:val="18"/>
                <w:szCs w:val="18"/>
              </w:rPr>
              <w:t xml:space="preserve">De maatregel zorgt voor een herverdeling van ouders met tegemoetkoming voor kinderopvang naar ouders </w:t>
            </w:r>
            <w:r w:rsidRPr="00314BDF" w:rsidR="003B043F">
              <w:rPr>
                <w:rFonts w:ascii="Verdana" w:hAnsi="Verdana"/>
                <w:sz w:val="18"/>
                <w:szCs w:val="18"/>
              </w:rPr>
              <w:t>zonder</w:t>
            </w:r>
            <w:r w:rsidRPr="00314BDF">
              <w:rPr>
                <w:rFonts w:ascii="Verdana" w:hAnsi="Verdana"/>
                <w:sz w:val="18"/>
                <w:szCs w:val="18"/>
              </w:rPr>
              <w:t xml:space="preserve"> tegemoetkoming voor kinderopvang</w:t>
            </w:r>
            <w:r w:rsidRPr="00314BDF" w:rsidR="003B043F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314BDF" w:rsidR="00B81D64">
              <w:rPr>
                <w:rFonts w:ascii="Verdana" w:hAnsi="Verdana"/>
                <w:sz w:val="18"/>
                <w:szCs w:val="18"/>
              </w:rPr>
              <w:t xml:space="preserve">Bij huishoudens met kinderopvang (tabel 1) is het mediane inkomenseffect het meest negatief bij de laagste inkomensgroep. </w:t>
            </w:r>
            <w:r w:rsidRPr="00314BDF" w:rsidR="0050009C">
              <w:rPr>
                <w:rFonts w:ascii="Verdana" w:hAnsi="Verdana"/>
                <w:sz w:val="18"/>
                <w:szCs w:val="18"/>
              </w:rPr>
              <w:t>Tegelijkertijd maken r</w:t>
            </w:r>
            <w:r w:rsidRPr="00314BDF" w:rsidR="00B81D64">
              <w:rPr>
                <w:rFonts w:ascii="Verdana" w:hAnsi="Verdana"/>
                <w:sz w:val="18"/>
                <w:szCs w:val="18"/>
              </w:rPr>
              <w:t>elatief meer hoge inkomens gebruik van kinderopvang.</w:t>
            </w:r>
          </w:p>
          <w:p w:rsidRPr="007057E6" w:rsidR="00D0004A" w:rsidP="00E35C88" w:rsidRDefault="00710C3E" w14:paraId="7105798A" w14:textId="4A1A0DAD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7057E6">
              <w:rPr>
                <w:rFonts w:ascii="Verdana" w:hAnsi="Verdana"/>
                <w:sz w:val="18"/>
                <w:szCs w:val="18"/>
              </w:rPr>
              <w:t xml:space="preserve">Ook binnen de </w:t>
            </w:r>
            <w:r w:rsidRPr="007057E6" w:rsidR="00364853">
              <w:rPr>
                <w:rFonts w:ascii="Verdana" w:hAnsi="Verdana"/>
                <w:sz w:val="18"/>
                <w:szCs w:val="18"/>
              </w:rPr>
              <w:t>inkomens</w:t>
            </w:r>
            <w:r w:rsidRPr="007057E6">
              <w:rPr>
                <w:rFonts w:ascii="Verdana" w:hAnsi="Verdana"/>
                <w:sz w:val="18"/>
                <w:szCs w:val="18"/>
              </w:rPr>
              <w:t>groepen is</w:t>
            </w:r>
            <w:r w:rsidRPr="007057E6" w:rsidR="00BD5386">
              <w:rPr>
                <w:rFonts w:ascii="Verdana" w:hAnsi="Verdana"/>
                <w:sz w:val="18"/>
                <w:szCs w:val="18"/>
              </w:rPr>
              <w:t xml:space="preserve"> forse</w:t>
            </w:r>
            <w:r w:rsidRPr="007057E6">
              <w:rPr>
                <w:rFonts w:ascii="Verdana" w:hAnsi="Verdana"/>
                <w:sz w:val="18"/>
                <w:szCs w:val="18"/>
              </w:rPr>
              <w:t xml:space="preserve"> spreiding van inkomenseffecten. </w:t>
            </w:r>
            <w:r w:rsidRPr="007057E6" w:rsidR="003B043F">
              <w:rPr>
                <w:rFonts w:ascii="Verdana" w:hAnsi="Verdana"/>
                <w:sz w:val="18"/>
                <w:szCs w:val="18"/>
              </w:rPr>
              <w:t xml:space="preserve">Voor de meeste huishoudens met kinderopvang </w:t>
            </w:r>
            <w:r w:rsidRPr="007057E6">
              <w:rPr>
                <w:rFonts w:ascii="Verdana" w:hAnsi="Verdana"/>
                <w:sz w:val="18"/>
                <w:szCs w:val="18"/>
              </w:rPr>
              <w:t xml:space="preserve">(tabel 1) </w:t>
            </w:r>
            <w:r w:rsidRPr="007057E6" w:rsidR="003B043F">
              <w:rPr>
                <w:rFonts w:ascii="Verdana" w:hAnsi="Verdana"/>
                <w:sz w:val="18"/>
                <w:szCs w:val="18"/>
              </w:rPr>
              <w:t xml:space="preserve">zorgt deze maatregel voor een negatief inkomenseffect. </w:t>
            </w:r>
            <w:r w:rsidRPr="007057E6" w:rsidR="00364853">
              <w:rPr>
                <w:rFonts w:ascii="Verdana" w:hAnsi="Verdana"/>
                <w:sz w:val="18"/>
                <w:szCs w:val="18"/>
              </w:rPr>
              <w:t xml:space="preserve">Tegelijkertijd </w:t>
            </w:r>
            <w:r w:rsidRPr="007057E6" w:rsidR="003B043F">
              <w:rPr>
                <w:rFonts w:ascii="Verdana" w:hAnsi="Verdana"/>
                <w:sz w:val="18"/>
                <w:szCs w:val="18"/>
              </w:rPr>
              <w:t>zijn</w:t>
            </w:r>
            <w:r w:rsidRPr="007057E6" w:rsidR="00364853">
              <w:rPr>
                <w:rFonts w:ascii="Verdana" w:hAnsi="Verdana"/>
                <w:sz w:val="18"/>
                <w:szCs w:val="18"/>
              </w:rPr>
              <w:t xml:space="preserve"> er</w:t>
            </w:r>
            <w:r w:rsidRPr="007057E6" w:rsidR="003B043F">
              <w:rPr>
                <w:rFonts w:ascii="Verdana" w:hAnsi="Verdana"/>
                <w:sz w:val="18"/>
                <w:szCs w:val="18"/>
              </w:rPr>
              <w:t xml:space="preserve"> ook ouders die beperkt gebruikmaken van kinderopvang. Voor deze huishoudens zorgt een verhoging van het inkomensonafhankelijke bedrag per saldo voor een positief inkomenseffect.</w:t>
            </w:r>
          </w:p>
          <w:p w:rsidRPr="007057E6" w:rsidR="003D6152" w:rsidP="00E35C88" w:rsidRDefault="00710C3E" w14:paraId="6A3871B3" w14:textId="3CA44FB1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7057E6">
              <w:rPr>
                <w:rFonts w:ascii="Verdana" w:hAnsi="Verdana"/>
                <w:sz w:val="18"/>
                <w:szCs w:val="18"/>
              </w:rPr>
              <w:t xml:space="preserve">Huishoudens zonder kinderopvang (tabel 2) profiteren van de verhoging van het inkomensonafhankelijke bedrag, </w:t>
            </w:r>
            <w:r w:rsidRPr="007057E6" w:rsidR="00B81D64">
              <w:rPr>
                <w:rFonts w:ascii="Verdana" w:hAnsi="Verdana"/>
                <w:sz w:val="18"/>
                <w:szCs w:val="18"/>
              </w:rPr>
              <w:t>terwijl zij geen nadeel hebben van de afschaffing van de kinderopvangtoeslag</w:t>
            </w:r>
            <w:r w:rsidRPr="007057E6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7057E6" w:rsidR="00B81D64">
              <w:rPr>
                <w:rFonts w:ascii="Verdana" w:hAnsi="Verdana"/>
                <w:sz w:val="18"/>
                <w:szCs w:val="18"/>
              </w:rPr>
              <w:t>Bij de laagste inkomensgroep is het mediane inkomenseffect het meest positief.</w:t>
            </w:r>
            <w:r w:rsidRPr="007057E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57E6" w:rsidR="00B81D64">
              <w:rPr>
                <w:rFonts w:ascii="Verdana" w:hAnsi="Verdana"/>
                <w:sz w:val="18"/>
                <w:szCs w:val="18"/>
              </w:rPr>
              <w:t>De verhoging van het inkomensonafhankelijke bedrag maakt namelijk een relatief groter deel uit van het inkomen dan bij hoge inkomens.</w:t>
            </w:r>
          </w:p>
          <w:p w:rsidRPr="007057E6" w:rsidR="002B6322" w:rsidP="002B6322" w:rsidRDefault="00C35272" w14:paraId="53B47DD5" w14:textId="7E38D189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7057E6">
              <w:rPr>
                <w:rFonts w:ascii="Verdana" w:hAnsi="Verdana"/>
                <w:sz w:val="18"/>
                <w:szCs w:val="18"/>
              </w:rPr>
              <w:t xml:space="preserve">Door de maatregel </w:t>
            </w:r>
            <w:r w:rsidRPr="007057E6" w:rsidR="00A34232">
              <w:rPr>
                <w:rFonts w:ascii="Verdana" w:hAnsi="Verdana"/>
                <w:sz w:val="18"/>
                <w:szCs w:val="18"/>
              </w:rPr>
              <w:t xml:space="preserve">stijgt </w:t>
            </w:r>
            <w:r w:rsidRPr="007057E6">
              <w:rPr>
                <w:rFonts w:ascii="Verdana" w:hAnsi="Verdana"/>
                <w:sz w:val="18"/>
                <w:szCs w:val="18"/>
              </w:rPr>
              <w:t xml:space="preserve">de kinderarmoede met </w:t>
            </w:r>
            <w:r w:rsidRPr="007057E6" w:rsidR="00A34232">
              <w:rPr>
                <w:rFonts w:ascii="Verdana" w:hAnsi="Verdana"/>
                <w:sz w:val="18"/>
                <w:szCs w:val="18"/>
              </w:rPr>
              <w:t xml:space="preserve">minimaal </w:t>
            </w:r>
            <w:r w:rsidRPr="007057E6">
              <w:rPr>
                <w:rFonts w:ascii="Verdana" w:hAnsi="Verdana"/>
                <w:sz w:val="18"/>
                <w:szCs w:val="18"/>
              </w:rPr>
              <w:t>0,</w:t>
            </w:r>
            <w:r w:rsidRPr="007057E6" w:rsidR="00A34232">
              <w:rPr>
                <w:rFonts w:ascii="Verdana" w:hAnsi="Verdana"/>
                <w:sz w:val="18"/>
                <w:szCs w:val="18"/>
              </w:rPr>
              <w:t>2</w:t>
            </w:r>
            <w:r w:rsidRPr="007057E6">
              <w:rPr>
                <w:rFonts w:ascii="Verdana" w:hAnsi="Verdana"/>
                <w:sz w:val="18"/>
                <w:szCs w:val="18"/>
              </w:rPr>
              <w:t>%-punt</w:t>
            </w:r>
            <w:r w:rsidRPr="007057E6" w:rsidR="0016779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57E6" w:rsidR="00A34232">
              <w:rPr>
                <w:rFonts w:ascii="Verdana" w:hAnsi="Verdana"/>
                <w:sz w:val="18"/>
                <w:szCs w:val="18"/>
              </w:rPr>
              <w:t>in 2030</w:t>
            </w:r>
            <w:r w:rsidR="00677C15">
              <w:rPr>
                <w:rFonts w:ascii="Verdana" w:hAnsi="Verdana"/>
                <w:sz w:val="18"/>
                <w:szCs w:val="18"/>
              </w:rPr>
              <w:t>.</w:t>
            </w:r>
          </w:p>
          <w:p w:rsidRPr="00B868EF" w:rsidR="00D77C54" w:rsidP="002B6322" w:rsidRDefault="00D77C54" w14:paraId="3E83DF1F" w14:textId="77777777">
            <w:pPr>
              <w:rPr>
                <w:rFonts w:ascii="Verdana" w:hAnsi="Verdana"/>
                <w:sz w:val="16"/>
                <w:szCs w:val="16"/>
              </w:rPr>
            </w:pPr>
          </w:p>
          <w:p w:rsidRPr="00B868EF" w:rsidR="00D77C54" w:rsidP="002B6322" w:rsidRDefault="00D77C54" w14:paraId="481C1BD3" w14:textId="749DB922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t xml:space="preserve">Tabel </w:t>
            </w:r>
            <w:r w:rsidRPr="00B868EF" w:rsidR="00872369">
              <w:rPr>
                <w:rFonts w:ascii="Verdana" w:hAnsi="Verdana"/>
                <w:i/>
                <w:iCs/>
                <w:sz w:val="16"/>
                <w:szCs w:val="16"/>
              </w:rPr>
              <w:t>1</w:t>
            </w: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t>: Inkomenseffecten</w:t>
            </w:r>
            <w:r w:rsidRPr="00B868EF" w:rsidR="00872369">
              <w:rPr>
                <w:rFonts w:ascii="Verdana" w:hAnsi="Verdana"/>
                <w:i/>
                <w:iCs/>
                <w:sz w:val="16"/>
                <w:szCs w:val="16"/>
              </w:rPr>
              <w:t xml:space="preserve"> van</w:t>
            </w: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FF5045">
              <w:rPr>
                <w:rFonts w:ascii="Verdana" w:hAnsi="Verdana"/>
                <w:i/>
                <w:iCs/>
                <w:sz w:val="16"/>
                <w:szCs w:val="16"/>
              </w:rPr>
              <w:t xml:space="preserve">de </w:t>
            </w: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t xml:space="preserve">samengevoegde kindregeling voor </w:t>
            </w:r>
            <w:r w:rsidRPr="00B868EF" w:rsidR="00872369">
              <w:rPr>
                <w:rFonts w:ascii="Verdana" w:hAnsi="Verdana"/>
                <w:i/>
                <w:iCs/>
                <w:sz w:val="16"/>
                <w:szCs w:val="16"/>
              </w:rPr>
              <w:t xml:space="preserve">huishoudens met kinderen en recht op </w:t>
            </w:r>
            <w:r w:rsidR="00FF5045">
              <w:rPr>
                <w:rFonts w:ascii="Verdana" w:hAnsi="Verdana"/>
                <w:i/>
                <w:iCs/>
                <w:sz w:val="16"/>
                <w:szCs w:val="16"/>
              </w:rPr>
              <w:t xml:space="preserve">tegemoetkoming voor </w:t>
            </w:r>
            <w:r w:rsidRPr="00B868EF" w:rsidR="00872369">
              <w:rPr>
                <w:rFonts w:ascii="Verdana" w:hAnsi="Verdana"/>
                <w:i/>
                <w:iCs/>
                <w:sz w:val="16"/>
                <w:szCs w:val="16"/>
              </w:rPr>
              <w:t>kinderopvang</w:t>
            </w: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t xml:space="preserve"> in 2030. </w:t>
            </w:r>
          </w:p>
          <w:p w:rsidRPr="00B868EF" w:rsidR="00D77C54" w:rsidP="002B6322" w:rsidRDefault="00D77C54" w14:paraId="315F5A59" w14:textId="77777777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84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613"/>
              <w:gridCol w:w="613"/>
              <w:gridCol w:w="614"/>
              <w:gridCol w:w="614"/>
              <w:gridCol w:w="614"/>
              <w:gridCol w:w="614"/>
              <w:gridCol w:w="614"/>
              <w:gridCol w:w="695"/>
              <w:gridCol w:w="808"/>
              <w:gridCol w:w="831"/>
            </w:tblGrid>
            <w:tr w:rsidRPr="007B7F2F" w:rsidR="007C2181" w:rsidTr="00314BDF" w14:paraId="0C355614" w14:textId="77777777">
              <w:trPr>
                <w:trHeight w:val="227"/>
              </w:trPr>
              <w:tc>
                <w:tcPr>
                  <w:tcW w:w="1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86179D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E8C684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&lt;-5%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B893B9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-5 tot -2%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ABFFAE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-2 tot 0%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hideMark/>
                </w:tcPr>
                <w:p w:rsidRPr="007B7F2F" w:rsidR="007C2181" w:rsidP="007C2181" w:rsidRDefault="007C2181" w14:paraId="020A45A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geen</w:t>
                  </w:r>
                  <w:proofErr w:type="gramEnd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 xml:space="preserve"> effect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F1F765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 tot 2%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50C549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2 tot 5%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5169D1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&gt;5%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F9572F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8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3675D7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Mediaan</w:t>
                  </w:r>
                </w:p>
              </w:tc>
              <w:tc>
                <w:tcPr>
                  <w:tcW w:w="8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F7A91B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Aandeel</w:t>
                  </w:r>
                </w:p>
              </w:tc>
            </w:tr>
            <w:tr w:rsidRPr="007B7F2F" w:rsidR="007C2181" w:rsidTr="00314BDF" w14:paraId="7E535577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533F802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Inkomensgroepen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5BE4E2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0C8F78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8CCA2D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D90507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46D070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5B3912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4D4577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12B4E9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573983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EA3D5F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067DDC82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E02AB0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1e (&lt;=105% WML)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768A5B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57%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4AABD8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5354ED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91E588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C365B3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8%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C569E6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207C98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14%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FCC3B6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90FD10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-9,5%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ED402D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7%</w:t>
                  </w:r>
                </w:p>
              </w:tc>
            </w:tr>
            <w:tr w:rsidRPr="007B7F2F" w:rsidR="007C2181" w:rsidTr="00314BDF" w14:paraId="28735BF2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581180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2e (105-170% WML)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482C1B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56%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74E842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A3019D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25B3E5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174750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4%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BB9DE4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13%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49098F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13%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A481EE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BD67D7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-7,9%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E97967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5%</w:t>
                  </w:r>
                </w:p>
              </w:tc>
            </w:tr>
            <w:tr w:rsidRPr="007B7F2F" w:rsidR="007C2181" w:rsidTr="00314BDF" w14:paraId="4014F873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C9B262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3e (170-254% WML)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713C52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53%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C7FC72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11%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D09114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FE84AB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D87802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24B8BE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742874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E4C029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50C1EE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-6,1%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D09E7F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16%</w:t>
                  </w:r>
                </w:p>
              </w:tc>
            </w:tr>
            <w:tr w:rsidRPr="007B7F2F" w:rsidR="007C2181" w:rsidTr="00314BDF" w14:paraId="555CAD99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F8C281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4e (254-377% WML)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EEA21A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57%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719680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4B860A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061DD6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576E13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CAA514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CFBB10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EC457C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D674FB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-6,9%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F6A200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34%</w:t>
                  </w:r>
                </w:p>
              </w:tc>
            </w:tr>
            <w:tr w:rsidRPr="007B7F2F" w:rsidR="007C2181" w:rsidTr="00314BDF" w14:paraId="7E42F890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F7CB1C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5e (&gt;377% WML)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DBE02E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53%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D82344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14%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71D6CC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11%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EE1E87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BA06B4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44096A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CDF606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3%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083097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E0E17B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-5,6%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DB0448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36%</w:t>
                  </w:r>
                </w:p>
              </w:tc>
            </w:tr>
            <w:tr w:rsidRPr="007B7F2F" w:rsidR="007C2181" w:rsidTr="00314BDF" w14:paraId="084FEEA2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A46AB9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432974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3E15DB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7D461A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9B27A3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F084FB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CE6623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D51B55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2A58AC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3CA413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134F96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21079B52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D828202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Inkomensbron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2C279A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9C2612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116BCD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0572E2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B91F11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8DB13A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78D3FF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0DBA1D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4DCE7B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9B2F25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2C79CE1E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BDE569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werkenden</w:t>
                  </w:r>
                  <w:proofErr w:type="gram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BAD4C8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55%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25DB72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12%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04914E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EB4072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B82910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B035E9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B4FD19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02883C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D54D8D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-6,2%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B0F7EA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100</w:t>
                  </w: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%</w:t>
                  </w:r>
                </w:p>
              </w:tc>
            </w:tr>
            <w:tr w:rsidRPr="007B7F2F" w:rsidR="007C2181" w:rsidTr="00314BDF" w14:paraId="4609E62C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7E5106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uitkeringsontvangers</w:t>
                  </w:r>
                  <w:proofErr w:type="gram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9B2AEB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6E5428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436EB2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9E8C98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2892CD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38B2A2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CDCC40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C5A152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6EAE26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BFD0DD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Pr="007B7F2F" w:rsidR="007C2181" w:rsidTr="00314BDF" w14:paraId="21090FC4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4D00EB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gepensioneerden</w:t>
                  </w:r>
                  <w:proofErr w:type="gram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CD2199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32C80C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D556B1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0F9796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DB2C1B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DBED29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CA1B26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24651E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EC0797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900715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</w:tr>
            <w:tr w:rsidRPr="007B7F2F" w:rsidR="007C2181" w:rsidTr="00314BDF" w14:paraId="4A1BB1C6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3AEA11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D67468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E0A5C7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E8A723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04C5CC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C9126E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78F0EA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6317A6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332811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38E180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D3BCC5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050FF328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37FD64B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Huishoudtype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A4CBB2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CB4EB6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3B7FAF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4242EF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B29E9E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2003E9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E6D9BE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E034C4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F9242B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91566A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6EAA0696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FEFFAE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tweeverdieners</w:t>
                  </w:r>
                  <w:proofErr w:type="gram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478702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55%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B73E0B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12%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7807DB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7636F8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CBB7C8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FA4BD4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DFF1BC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EDA3F7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5C0C63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-6,2%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F800E1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8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6</w:t>
                  </w: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%</w:t>
                  </w:r>
                </w:p>
              </w:tc>
            </w:tr>
            <w:tr w:rsidRPr="007B7F2F" w:rsidR="007C2181" w:rsidTr="00314BDF" w14:paraId="01A23215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BCB8E2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alleenstaanden</w:t>
                  </w:r>
                  <w:proofErr w:type="gram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B19F43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54%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DB9DD3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8%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E68192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A9B259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CFE2C6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DFB6D9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1A8672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11%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48A954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38D37D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-6,5%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BA3AFF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%</w:t>
                  </w:r>
                </w:p>
              </w:tc>
            </w:tr>
            <w:tr w:rsidRPr="007B7F2F" w:rsidR="007C2181" w:rsidTr="00314BDF" w14:paraId="1AF936DA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6680EA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alleenverdieners</w:t>
                  </w:r>
                  <w:proofErr w:type="gram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106A09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64AAAB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9836E9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2358CD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B68D79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024952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679C67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8BF94E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8C03B4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1B013E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</w:tr>
            <w:tr w:rsidRPr="007B7F2F" w:rsidR="007C2181" w:rsidTr="00314BDF" w14:paraId="37EEFAF5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5BA152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ECB19D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0AC2E2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873FD4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4C7E4C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3A0A6A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525E78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A30DD5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FA9547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E1B041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:rsidRPr="007B7F2F" w:rsidR="007C2181" w:rsidP="007C2181" w:rsidRDefault="007C2181" w14:paraId="2D79E26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3DFA611B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61E60AB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Kinderen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66F6DE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BD7A1A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A60D3F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FAF836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B51629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C3ED4E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17A6A4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04CD14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E0591A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6B2372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34BB5672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96C1A6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met</w:t>
                  </w:r>
                  <w:proofErr w:type="gramEnd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 xml:space="preserve"> kinderen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33DDA3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55%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6E8CF3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12%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C63228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230D7A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6CD30F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8DCB97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6C3F17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613E11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3ADF36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-6,2%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360D44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</w:tr>
            <w:tr w:rsidRPr="007B7F2F" w:rsidR="007C2181" w:rsidTr="00314BDF" w14:paraId="2D9EACE4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1F019E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gepensioneerden</w:t>
                  </w:r>
                  <w:proofErr w:type="gram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31F49A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2595A1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8E3118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A255A9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2610285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4E79BB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544EAC9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93F7A7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349F2C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06F2D9E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Pr="007B7F2F" w:rsidR="007C2181" w:rsidTr="00314BDF" w14:paraId="07C25BF0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B5B7A3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F6CBCE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9983F8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70CA658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FA4CD9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06F2D7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42EDB8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64A8D2E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3BB1158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1394D6A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7B7F2F" w:rsidR="007C2181" w:rsidP="007C2181" w:rsidRDefault="007C2181" w14:paraId="4FFBBE5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7B7F2F" w:rsidR="007C2181" w:rsidTr="00314BDF" w14:paraId="3927652C" w14:textId="77777777">
              <w:trPr>
                <w:trHeight w:val="227"/>
              </w:trPr>
              <w:tc>
                <w:tcPr>
                  <w:tcW w:w="181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464DC67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Alle huishoudens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30C40A5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55%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6BCC90A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12%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21D63E9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332C24A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3F87404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42B90E2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5060B06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285C4F2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7854C4E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-6,2%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671203C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</w:tr>
          </w:tbl>
          <w:p w:rsidRPr="00B868EF" w:rsidR="00D77C54" w:rsidP="002B6322" w:rsidRDefault="00D77C54" w14:paraId="5450445F" w14:textId="77777777">
            <w:pPr>
              <w:rPr>
                <w:rFonts w:ascii="Verdana" w:hAnsi="Verdana"/>
                <w:sz w:val="16"/>
                <w:szCs w:val="16"/>
              </w:rPr>
            </w:pPr>
          </w:p>
          <w:p w:rsidR="00314BDF" w:rsidP="002B6322" w:rsidRDefault="00314BDF" w14:paraId="433616C1" w14:textId="77777777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314BDF" w:rsidP="002B6322" w:rsidRDefault="00314BDF" w14:paraId="480F734F" w14:textId="77777777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Pr="00B868EF" w:rsidR="00B868EF" w:rsidP="002B6322" w:rsidRDefault="00B868EF" w14:paraId="5974CC93" w14:textId="7A4E63AD">
            <w:pPr>
              <w:rPr>
                <w:rFonts w:ascii="Verdana" w:hAnsi="Verdana"/>
                <w:sz w:val="16"/>
                <w:szCs w:val="16"/>
              </w:rPr>
            </w:pP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lastRenderedPageBreak/>
              <w:t>Tabel 2:</w:t>
            </w:r>
            <w:r w:rsidRPr="00B868E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t xml:space="preserve">Inkomenseffecten van samengevoegde kindregeling voor huishoudens met kinderen zonder </w:t>
            </w:r>
            <w:r w:rsidR="00FF5045">
              <w:rPr>
                <w:rFonts w:ascii="Verdana" w:hAnsi="Verdana"/>
                <w:i/>
                <w:iCs/>
                <w:sz w:val="16"/>
                <w:szCs w:val="16"/>
              </w:rPr>
              <w:t xml:space="preserve">tegemoetkoming voor </w:t>
            </w:r>
            <w:r w:rsidRPr="00B868EF">
              <w:rPr>
                <w:rFonts w:ascii="Verdana" w:hAnsi="Verdana"/>
                <w:i/>
                <w:iCs/>
                <w:sz w:val="16"/>
                <w:szCs w:val="16"/>
              </w:rPr>
              <w:t xml:space="preserve">kinderopvang in 2030. </w:t>
            </w:r>
          </w:p>
          <w:tbl>
            <w:tblPr>
              <w:tblW w:w="84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452"/>
              <w:gridCol w:w="606"/>
              <w:gridCol w:w="606"/>
              <w:gridCol w:w="606"/>
              <w:gridCol w:w="606"/>
              <w:gridCol w:w="606"/>
              <w:gridCol w:w="686"/>
              <w:gridCol w:w="686"/>
              <w:gridCol w:w="808"/>
              <w:gridCol w:w="821"/>
            </w:tblGrid>
            <w:tr w:rsidRPr="00607975" w:rsidR="007C2181" w:rsidTr="00314BDF" w14:paraId="76B3990C" w14:textId="77777777">
              <w:trPr>
                <w:trHeight w:val="227"/>
              </w:trPr>
              <w:tc>
                <w:tcPr>
                  <w:tcW w:w="19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02E081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0F815B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&lt;-5%</w:t>
                  </w:r>
                </w:p>
              </w:tc>
              <w:tc>
                <w:tcPr>
                  <w:tcW w:w="6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867023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-5 tot -2%</w:t>
                  </w:r>
                </w:p>
              </w:tc>
              <w:tc>
                <w:tcPr>
                  <w:tcW w:w="6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2CE1E3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-2 tot 0%</w:t>
                  </w:r>
                </w:p>
              </w:tc>
              <w:tc>
                <w:tcPr>
                  <w:tcW w:w="6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hideMark/>
                </w:tcPr>
                <w:p w:rsidRPr="00607975" w:rsidR="007C2181" w:rsidP="007C2181" w:rsidRDefault="007C2181" w14:paraId="5869795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geen</w:t>
                  </w:r>
                  <w:proofErr w:type="gramEnd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 xml:space="preserve"> effect</w:t>
                  </w:r>
                </w:p>
              </w:tc>
              <w:tc>
                <w:tcPr>
                  <w:tcW w:w="6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161179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 tot 2%</w:t>
                  </w:r>
                </w:p>
              </w:tc>
              <w:tc>
                <w:tcPr>
                  <w:tcW w:w="6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4D3921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2 tot 5%</w:t>
                  </w:r>
                </w:p>
              </w:tc>
              <w:tc>
                <w:tcPr>
                  <w:tcW w:w="6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3975A3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&gt;5%</w:t>
                  </w:r>
                </w:p>
              </w:tc>
              <w:tc>
                <w:tcPr>
                  <w:tcW w:w="68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06CA0C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Totaal</w:t>
                  </w:r>
                </w:p>
              </w:tc>
              <w:tc>
                <w:tcPr>
                  <w:tcW w:w="8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26015D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Mediaan</w:t>
                  </w:r>
                </w:p>
              </w:tc>
              <w:tc>
                <w:tcPr>
                  <w:tcW w:w="8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B3260A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Aandeel</w:t>
                  </w:r>
                </w:p>
              </w:tc>
            </w:tr>
            <w:tr w:rsidRPr="00607975" w:rsidR="007C2181" w:rsidTr="00314BDF" w14:paraId="22EEB637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3035725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Inkomensgroepen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23314F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CB7F82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8B7173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302F4F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37CB35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1F839D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ACFB9E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E1BDA1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D8A71E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340AB0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580516B9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AD1211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1e (&lt;=105% WML)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3EE4EC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851450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0D2908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8FFB3E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4A69B5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6A1FF0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FC229C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6CA916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4385CB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12,0%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14A3CA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13%</w:t>
                  </w:r>
                </w:p>
              </w:tc>
            </w:tr>
            <w:tr w:rsidRPr="00607975" w:rsidR="007C2181" w:rsidTr="00314BDF" w14:paraId="2B976E01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645AB6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2e (105-170% WML)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9CE1D8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34EE4D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4ACB83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123AF6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10C232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9AE452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3%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D9F877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97%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C1BC7A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0C8189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9,7%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763D2B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11%</w:t>
                  </w:r>
                </w:p>
              </w:tc>
            </w:tr>
            <w:tr w:rsidRPr="00607975" w:rsidR="007C2181" w:rsidTr="00314BDF" w14:paraId="0917E364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B63E6B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3e (170-254% WML)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295F55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DF1A06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9A3B09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7BA5F9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3F2937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C1084D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0C4031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75%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AB6856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728C5A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7,4%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232FCC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17%</w:t>
                  </w:r>
                </w:p>
              </w:tc>
            </w:tr>
            <w:tr w:rsidRPr="00607975" w:rsidR="007C2181" w:rsidTr="00314BDF" w14:paraId="69799F2E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47B344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4e (254-377% WML)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591E73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9608F1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85E11D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BE0211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061D54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43FFCE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5D60A4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60%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F550FE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D4FB6A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6,6%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620200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28%</w:t>
                  </w:r>
                </w:p>
              </w:tc>
            </w:tr>
            <w:tr w:rsidRPr="00607975" w:rsidR="007C2181" w:rsidTr="00314BDF" w14:paraId="155A136D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9DCA47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sz w:val="16"/>
                      <w:szCs w:val="16"/>
                    </w:rPr>
                    <w:t>5e (&gt;377% WML)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09E53A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4FB1EA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0D2E9D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661D7E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2A4FAA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E31DAC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49%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9A2B78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42%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26832A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26B09E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4,3%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F66C9D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33%</w:t>
                  </w:r>
                </w:p>
              </w:tc>
            </w:tr>
            <w:tr w:rsidRPr="00607975" w:rsidR="007C2181" w:rsidTr="00314BDF" w14:paraId="048F67B6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BA7F9A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621CA0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95004C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DD4DDE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A52A27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F2E9E9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A87FDD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E23322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746AE8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DA112C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75B4C6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657B6240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C8A657F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Inkomensbron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4646B5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B76B6E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453B50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A53AF3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775D89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F035D1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F1730C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7B6C15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92332C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65F6A3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5FFB1A86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975250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werkenden</w:t>
                  </w:r>
                  <w:proofErr w:type="gram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E19D64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03E5B1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339D13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C1BB32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DB48AE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3%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24282E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34%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CA5E6B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62%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38FBBE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C29C36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6,0%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939F86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88%</w:t>
                  </w:r>
                </w:p>
              </w:tc>
            </w:tr>
            <w:tr w:rsidRPr="00607975" w:rsidR="007C2181" w:rsidTr="00314BDF" w14:paraId="7DE0DC49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F356CB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uitkeringsontvangers</w:t>
                  </w:r>
                  <w:proofErr w:type="gram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F992AE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20FF27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8D6174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846BF6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D2A95E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5C4DE6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C953DC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94%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470011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7E79F1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10,7%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BCFCC6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11%</w:t>
                  </w:r>
                </w:p>
              </w:tc>
            </w:tr>
            <w:tr w:rsidRPr="00607975" w:rsidR="007C2181" w:rsidTr="00314BDF" w14:paraId="0F5828C6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66FD30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gepensioneerden</w:t>
                  </w:r>
                  <w:proofErr w:type="gram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B00A7B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32ED2F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6607CF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EA7CA4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607F3D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A23389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43F6B8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00DC08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A9F359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8D786B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Pr="00607975" w:rsidR="007C2181" w:rsidTr="00314BDF" w14:paraId="1238BF70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420E4E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CFB76B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6065F2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D7CA9F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2904F6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543F05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A695C4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7070D8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49FC5A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06F1D1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1BBF1D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653BA1FB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614DD5E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Huishoudtype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97D230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0B5D97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B64E28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8543521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187213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811CF8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E52A597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3A75E5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6DBB45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5A2E51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1F8FDA38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BC2195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tweeverdieners</w:t>
                  </w:r>
                  <w:proofErr w:type="gram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052DB7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5B9912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B01B4B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B7DE75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8216DF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4%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58489C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38%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8A56F9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58%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DB7538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D0BD05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5,7%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945385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69%</w:t>
                  </w:r>
                </w:p>
              </w:tc>
            </w:tr>
            <w:tr w:rsidRPr="00607975" w:rsidR="007C2181" w:rsidTr="00314BDF" w14:paraId="5C51FB97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CB3640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alleenstaanden</w:t>
                  </w:r>
                  <w:proofErr w:type="gram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911E1B3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E0C527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9C563A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48D847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41EBD6B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A55679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14%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974152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85%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55B3D7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852246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8,4%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24C186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22%</w:t>
                  </w:r>
                </w:p>
              </w:tc>
            </w:tr>
            <w:tr w:rsidRPr="00607975" w:rsidR="007C2181" w:rsidTr="00314BDF" w14:paraId="782DE568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02DC29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alleenverdieners</w:t>
                  </w:r>
                  <w:proofErr w:type="gram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68E386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916875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0529F6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CB9C58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DDB8BB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2%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A8C6DE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21%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861497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77%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74CB24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45F0E6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8,2%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DB948E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9%</w:t>
                  </w:r>
                </w:p>
              </w:tc>
            </w:tr>
            <w:tr w:rsidRPr="00607975" w:rsidR="007C2181" w:rsidTr="00314BDF" w14:paraId="4EBB8264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3C6C8C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C11803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66FA1F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3A5ED4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F8CA77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202596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F2D7D7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F333A6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B53C0F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71F2EE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:rsidRPr="00607975" w:rsidR="007C2181" w:rsidP="007C2181" w:rsidRDefault="007C2181" w14:paraId="425840D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44359A32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A8628D2" w14:textId="77777777">
                  <w:pPr>
                    <w:rPr>
                      <w:rFonts w:ascii="Verdana" w:hAnsi="Verdana" w:cs="Calibri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Kinderen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7D8C8B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29A13AA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BF1372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FDD973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2FE7D09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80F7F4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59201A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D55A1F5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933026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4EF1CE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3C8758AF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76951C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met</w:t>
                  </w:r>
                  <w:proofErr w:type="gramEnd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 xml:space="preserve"> kinderen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E73CC9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B7C694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EE00AC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40A7EC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1ADCC18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3%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037B729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31%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1E8A5D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66%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52FDBE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814FD1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6,4%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83DF90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</w:tr>
            <w:tr w:rsidRPr="00607975" w:rsidR="007C2181" w:rsidTr="00314BDF" w14:paraId="3FB41F3E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F6214EE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7975">
                    <w:rPr>
                      <w:rFonts w:ascii="Verdana" w:hAnsi="Verdana"/>
                      <w:sz w:val="16"/>
                      <w:szCs w:val="16"/>
                    </w:rPr>
                    <w:t>gepensioneerden</w:t>
                  </w:r>
                  <w:proofErr w:type="gram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0C9C2C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7414D37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F3C0E6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E021E1A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2498F41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B09993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A479C5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845627D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8E027AE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7B7F2F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4A5F28F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Pr="00607975" w:rsidR="007C2181" w:rsidTr="00314BDF" w14:paraId="596FB894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C1F633D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5B2F1392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80E9DFC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3CF8D23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C664138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29E0E27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35C3F3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74F1772B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6E759F2F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3168C3F0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607975" w:rsidR="007C2181" w:rsidP="007C2181" w:rsidRDefault="007C2181" w14:paraId="1B319D64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Pr="00607975" w:rsidR="007C2181" w:rsidTr="00314BDF" w14:paraId="787A5917" w14:textId="77777777">
              <w:trPr>
                <w:trHeight w:val="227"/>
              </w:trPr>
              <w:tc>
                <w:tcPr>
                  <w:tcW w:w="198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2E08E8E6" w14:textId="77777777">
                  <w:pPr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Alle huishoudens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26DB7EF2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4DA1D704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54C28AC5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46528AFF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67AB33E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3%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2DF2E189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31%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59C31C9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66%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2D2C7BD6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1E979650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6,4%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Pr="002E1B01" w:rsidR="007C2181" w:rsidP="007C2181" w:rsidRDefault="007C2181" w14:paraId="386E3F2C" w14:textId="77777777">
                  <w:pPr>
                    <w:jc w:val="right"/>
                    <w:rPr>
                      <w:rFonts w:ascii="Verdana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2E1B01">
                    <w:rPr>
                      <w:rFonts w:ascii="Verdana" w:hAnsi="Verdana"/>
                      <w:sz w:val="16"/>
                      <w:szCs w:val="16"/>
                    </w:rPr>
                    <w:t>100%</w:t>
                  </w:r>
                </w:p>
              </w:tc>
            </w:tr>
          </w:tbl>
          <w:p w:rsidRPr="00B868EF" w:rsidR="00B868EF" w:rsidP="002B6322" w:rsidRDefault="00B868EF" w14:paraId="1E54FC06" w14:textId="4B63697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Pr="002F2CC2" w:rsidR="005C7239" w:rsidTr="00314BDF" w14:paraId="2480D334" w14:textId="77777777">
        <w:trPr>
          <w:trHeight w:val="463"/>
        </w:trPr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0B4C9943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55522499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Arbeidsmarkt-effecten</w:t>
            </w:r>
          </w:p>
          <w:p w:rsidRPr="00837DF2" w:rsidR="005C7239" w:rsidP="00BB388C" w:rsidRDefault="005C7239" w14:paraId="14A049C1" w14:textId="0264857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536DD3" w:rsidR="005C7239" w:rsidP="00BB388C" w:rsidRDefault="00E44CF9" w14:paraId="643A1D3F" w14:textId="3D8D2A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Het samenvoegen van de kinderbijslag, het kindgebonden budget en de kinderopvangtoeslag zorgt voor een forse daling van de arbeidsparticipatie. Dit komt voornamelijk door de afschaffing van de kinderopvangtoeslag. </w:t>
            </w:r>
            <w:r w:rsidRPr="000F7A87">
              <w:rPr>
                <w:rFonts w:ascii="Verdana" w:hAnsi="Verdana"/>
                <w:sz w:val="18"/>
                <w:szCs w:val="18"/>
              </w:rPr>
              <w:t>Kinderopvang wordt</w:t>
            </w:r>
            <w:r>
              <w:rPr>
                <w:rFonts w:ascii="Verdana" w:hAnsi="Verdana"/>
                <w:sz w:val="18"/>
                <w:szCs w:val="18"/>
              </w:rPr>
              <w:t xml:space="preserve"> daardoor</w:t>
            </w:r>
            <w:r w:rsidRPr="000F7A87">
              <w:rPr>
                <w:rFonts w:ascii="Verdana" w:hAnsi="Verdana"/>
                <w:sz w:val="18"/>
                <w:szCs w:val="18"/>
              </w:rPr>
              <w:t xml:space="preserve"> duurder voor werkende ouders dan nu</w:t>
            </w:r>
            <w:r>
              <w:rPr>
                <w:rFonts w:ascii="Verdana" w:hAnsi="Verdana"/>
                <w:sz w:val="18"/>
                <w:szCs w:val="18"/>
              </w:rPr>
              <w:t xml:space="preserve"> en zeker duurder dan in het nieuwe stelsel</w:t>
            </w:r>
            <w:r w:rsidRPr="000F7A87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>Deze maatregel heeft waarschijnlijk het meest effect op de arbeidsparticipatie van de tweede verdiener, wat vaak vrouwen zijn.</w:t>
            </w:r>
            <w:r w:rsidR="00F7523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2F2CC2" w:rsidR="005C7239" w:rsidTr="00314BDF" w14:paraId="5890DBB5" w14:textId="77777777"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7D333925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Draagt bij aan doelen Hervormingsagenda:</w:t>
            </w:r>
          </w:p>
          <w:p w:rsidRPr="00AA455C" w:rsidR="005C7239" w:rsidP="00BB388C" w:rsidRDefault="005C7239" w14:paraId="312436AE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A455C">
              <w:rPr>
                <w:rFonts w:ascii="Verdana" w:hAnsi="Verdana"/>
                <w:b/>
                <w:bCs/>
                <w:sz w:val="18"/>
                <w:szCs w:val="18"/>
              </w:rPr>
              <w:t>Zeker, begrijpelijk, werken loont</w:t>
            </w: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005410" w:rsidR="005C7239" w:rsidP="00BB388C" w:rsidRDefault="00852D70" w14:paraId="55527CF6" w14:textId="60D19707">
            <w:pPr>
              <w:rPr>
                <w:rFonts w:ascii="Verdana" w:hAnsi="Verdana"/>
                <w:sz w:val="18"/>
                <w:szCs w:val="18"/>
              </w:rPr>
            </w:pPr>
            <w:r w:rsidRPr="6320AD35">
              <w:rPr>
                <w:rFonts w:ascii="Verdana" w:hAnsi="Verdana"/>
                <w:sz w:val="18"/>
                <w:szCs w:val="18"/>
              </w:rPr>
              <w:t xml:space="preserve">De regeling betekent </w:t>
            </w:r>
            <w:r>
              <w:rPr>
                <w:rFonts w:ascii="Verdana" w:hAnsi="Verdana"/>
                <w:sz w:val="18"/>
                <w:szCs w:val="18"/>
              </w:rPr>
              <w:t xml:space="preserve">op termijn </w:t>
            </w:r>
            <w:r w:rsidRPr="6320AD35">
              <w:rPr>
                <w:rFonts w:ascii="Verdana" w:hAnsi="Verdana"/>
                <w:sz w:val="18"/>
                <w:szCs w:val="18"/>
              </w:rPr>
              <w:t>vooral voor de</w:t>
            </w:r>
            <w:r>
              <w:rPr>
                <w:rFonts w:ascii="Verdana" w:hAnsi="Verdana"/>
                <w:sz w:val="18"/>
                <w:szCs w:val="18"/>
              </w:rPr>
              <w:t xml:space="preserve"> (internationale)</w:t>
            </w:r>
            <w:r w:rsidRPr="6320AD35">
              <w:rPr>
                <w:rFonts w:ascii="Verdana" w:hAnsi="Verdana"/>
                <w:sz w:val="18"/>
                <w:szCs w:val="18"/>
              </w:rPr>
              <w:t xml:space="preserve"> uitvoering een vereenvoudiging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6320AD35">
              <w:rPr>
                <w:rFonts w:ascii="Verdana" w:hAnsi="Verdana"/>
                <w:sz w:val="18"/>
                <w:szCs w:val="18"/>
              </w:rPr>
              <w:t>(anticumulatie en terugvorderingen)</w:t>
            </w:r>
            <w:r>
              <w:rPr>
                <w:rFonts w:ascii="Verdana" w:hAnsi="Verdana"/>
                <w:sz w:val="18"/>
                <w:szCs w:val="18"/>
              </w:rPr>
              <w:t>. Omdat er sprake is van één kind</w:t>
            </w:r>
            <w:r w:rsidR="005A773F">
              <w:rPr>
                <w:rFonts w:ascii="Verdana" w:hAnsi="Verdana"/>
                <w:sz w:val="18"/>
                <w:szCs w:val="18"/>
              </w:rPr>
              <w:t>regeling</w:t>
            </w:r>
            <w:r>
              <w:rPr>
                <w:rFonts w:ascii="Verdana" w:hAnsi="Verdana"/>
                <w:sz w:val="18"/>
                <w:szCs w:val="18"/>
              </w:rPr>
              <w:t xml:space="preserve">, in plaats van </w:t>
            </w:r>
            <w:r w:rsidR="00DC63DF">
              <w:rPr>
                <w:rFonts w:ascii="Verdana" w:hAnsi="Verdana"/>
                <w:sz w:val="18"/>
                <w:szCs w:val="18"/>
              </w:rPr>
              <w:t>drie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6320AD35">
              <w:rPr>
                <w:rFonts w:ascii="Verdana" w:hAnsi="Verdana"/>
                <w:sz w:val="18"/>
                <w:szCs w:val="18"/>
              </w:rPr>
              <w:t xml:space="preserve"> draagt </w:t>
            </w:r>
            <w:r w:rsidR="00DC63DF">
              <w:rPr>
                <w:rFonts w:ascii="Verdana" w:hAnsi="Verdana"/>
                <w:sz w:val="18"/>
                <w:szCs w:val="18"/>
              </w:rPr>
              <w:t xml:space="preserve">het </w:t>
            </w:r>
            <w:r w:rsidRPr="6320AD35">
              <w:rPr>
                <w:rFonts w:ascii="Verdana" w:hAnsi="Verdana"/>
                <w:sz w:val="18"/>
                <w:szCs w:val="18"/>
              </w:rPr>
              <w:t xml:space="preserve">bij aan meer </w:t>
            </w:r>
            <w:r>
              <w:rPr>
                <w:rFonts w:ascii="Verdana" w:hAnsi="Verdana"/>
                <w:sz w:val="18"/>
                <w:szCs w:val="18"/>
              </w:rPr>
              <w:t xml:space="preserve">eenvoud en </w:t>
            </w:r>
            <w:r w:rsidRPr="6320AD35">
              <w:rPr>
                <w:rFonts w:ascii="Verdana" w:hAnsi="Verdana"/>
                <w:sz w:val="18"/>
                <w:szCs w:val="18"/>
              </w:rPr>
              <w:t>begrijpelijkheid</w:t>
            </w:r>
            <w:r w:rsidR="005A773F">
              <w:rPr>
                <w:rFonts w:ascii="Verdana" w:hAnsi="Verdana"/>
                <w:sz w:val="18"/>
                <w:szCs w:val="18"/>
              </w:rPr>
              <w:t xml:space="preserve"> voor ouders</w:t>
            </w:r>
            <w:r>
              <w:rPr>
                <w:rFonts w:ascii="Verdana" w:hAnsi="Verdana"/>
                <w:sz w:val="18"/>
                <w:szCs w:val="18"/>
              </w:rPr>
              <w:t xml:space="preserve">. Omdat de </w:t>
            </w:r>
            <w:r w:rsidR="005A773F">
              <w:rPr>
                <w:rFonts w:ascii="Verdana" w:hAnsi="Verdana"/>
                <w:sz w:val="18"/>
                <w:szCs w:val="18"/>
              </w:rPr>
              <w:t xml:space="preserve">kindregeling </w:t>
            </w:r>
            <w:r w:rsidR="00F24AC1">
              <w:rPr>
                <w:rFonts w:ascii="Verdana" w:hAnsi="Verdana"/>
                <w:sz w:val="18"/>
                <w:szCs w:val="18"/>
              </w:rPr>
              <w:t xml:space="preserve">deels </w:t>
            </w:r>
            <w:r>
              <w:rPr>
                <w:rFonts w:ascii="Verdana" w:hAnsi="Verdana"/>
                <w:sz w:val="18"/>
                <w:szCs w:val="18"/>
              </w:rPr>
              <w:t xml:space="preserve">inkomensafhankelijk </w:t>
            </w:r>
            <w:r w:rsidR="00F24AC1">
              <w:rPr>
                <w:rFonts w:ascii="Verdana" w:hAnsi="Verdana"/>
                <w:sz w:val="18"/>
                <w:szCs w:val="18"/>
              </w:rPr>
              <w:t>is</w:t>
            </w:r>
            <w:r>
              <w:rPr>
                <w:rFonts w:ascii="Verdana" w:hAnsi="Verdana"/>
                <w:sz w:val="18"/>
                <w:szCs w:val="18"/>
              </w:rPr>
              <w:t xml:space="preserve">, blijft het risico op terugvorderingen en </w:t>
            </w:r>
            <w:r w:rsidR="00F24AC1">
              <w:rPr>
                <w:rFonts w:ascii="Verdana" w:hAnsi="Verdana"/>
                <w:sz w:val="18"/>
                <w:szCs w:val="18"/>
              </w:rPr>
              <w:t xml:space="preserve">een hogere </w:t>
            </w:r>
            <w:r>
              <w:rPr>
                <w:rFonts w:ascii="Verdana" w:hAnsi="Verdana"/>
                <w:sz w:val="18"/>
                <w:szCs w:val="18"/>
              </w:rPr>
              <w:t xml:space="preserve">marginale druk bestaan. </w:t>
            </w:r>
            <w:r w:rsidR="00DC63DF">
              <w:rPr>
                <w:rFonts w:ascii="Verdana" w:hAnsi="Verdana"/>
                <w:sz w:val="18"/>
                <w:szCs w:val="18"/>
              </w:rPr>
              <w:t xml:space="preserve">Een inkomensafhankelijke component blijft extra vragen van het doenvermogen van ouders én vergt complexe (en daarmee duurdere) uitvoering. </w:t>
            </w:r>
            <w:r w:rsidR="00F24AC1">
              <w:rPr>
                <w:rFonts w:ascii="Verdana" w:hAnsi="Verdana"/>
                <w:sz w:val="18"/>
                <w:szCs w:val="18"/>
              </w:rPr>
              <w:t>Dit kan beperkt worden door bijvoorbeeld een volledig inkomensonafhankelijke kindregeling te introduceren</w:t>
            </w:r>
            <w:r w:rsidR="00BD0DF7">
              <w:rPr>
                <w:rFonts w:ascii="Verdana" w:hAnsi="Verdana"/>
                <w:sz w:val="18"/>
                <w:szCs w:val="18"/>
              </w:rPr>
              <w:t>, het inkomensafhankelijke deel te verlagen en het inkomensonafhankelijke deel te verhogen</w:t>
            </w:r>
            <w:r w:rsidR="00AA734D">
              <w:rPr>
                <w:rFonts w:ascii="Verdana" w:hAnsi="Verdana"/>
                <w:sz w:val="18"/>
                <w:szCs w:val="18"/>
              </w:rPr>
              <w:t>,</w:t>
            </w:r>
            <w:r w:rsidR="00F24AC1">
              <w:rPr>
                <w:rFonts w:ascii="Verdana" w:hAnsi="Verdana"/>
                <w:sz w:val="18"/>
                <w:szCs w:val="18"/>
              </w:rPr>
              <w:t xml:space="preserve"> of aanpassingen te maken in het afbouwpad van het inkomensafhankelijke deel.</w:t>
            </w:r>
          </w:p>
        </w:tc>
      </w:tr>
      <w:tr w:rsidRPr="002F2CC2" w:rsidR="005C7239" w:rsidTr="00314BDF" w14:paraId="40ABE5F1" w14:textId="77777777">
        <w:tc>
          <w:tcPr>
            <w:tcW w:w="2331" w:type="dxa"/>
            <w:tcMar>
              <w:top w:w="57" w:type="dxa"/>
              <w:bottom w:w="57" w:type="dxa"/>
            </w:tcMar>
          </w:tcPr>
          <w:p w:rsidR="005C7239" w:rsidP="00BB388C" w:rsidRDefault="005C7239" w14:paraId="48498FA3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55522499">
              <w:rPr>
                <w:rFonts w:ascii="Verdana" w:hAnsi="Verdana"/>
                <w:b/>
                <w:bCs/>
                <w:sz w:val="18"/>
                <w:szCs w:val="18"/>
              </w:rPr>
              <w:t xml:space="preserve">Overige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relevante aspecten</w:t>
            </w:r>
          </w:p>
        </w:tc>
        <w:tc>
          <w:tcPr>
            <w:tcW w:w="8615" w:type="dxa"/>
            <w:tcMar>
              <w:top w:w="57" w:type="dxa"/>
              <w:bottom w:w="57" w:type="dxa"/>
            </w:tcMar>
          </w:tcPr>
          <w:p w:rsidRPr="0014018E" w:rsidR="005C7239" w:rsidP="00BB388C" w:rsidRDefault="00FF0793" w14:paraId="491834BC" w14:textId="7D5A9F9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maatregel doet een groter beroep op de informele kinderopvang, doordat de kinderopvangtoeslag wordt afgeschaft.</w:t>
            </w:r>
            <w:r w:rsidR="00F75230">
              <w:rPr>
                <w:rFonts w:ascii="Verdana" w:hAnsi="Verdana"/>
                <w:sz w:val="18"/>
                <w:szCs w:val="18"/>
              </w:rPr>
              <w:t xml:space="preserve"> Daarnaast heeft de maatregel – met oog op de negatieve effecten op de arbeidsparticipatie van vrouwen – een negatief effect op emancipatie en economische zelfstandigheid van vrouwen.</w:t>
            </w:r>
          </w:p>
        </w:tc>
      </w:tr>
    </w:tbl>
    <w:p w:rsidR="005C7239" w:rsidP="005C7239" w:rsidRDefault="005C7239" w14:paraId="1DA119A2" w14:textId="77777777"/>
    <w:p w:rsidR="009C27F7" w:rsidRDefault="009C27F7" w14:paraId="52E55A21" w14:textId="77777777"/>
    <w:sectPr w:rsidR="009C27F7" w:rsidSect="005C7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36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6EF0" w14:textId="77777777" w:rsidR="00E9661F" w:rsidRDefault="00E9661F">
      <w:r>
        <w:separator/>
      </w:r>
    </w:p>
  </w:endnote>
  <w:endnote w:type="continuationSeparator" w:id="0">
    <w:p w14:paraId="7F4CD97D" w14:textId="77777777" w:rsidR="00E9661F" w:rsidRDefault="00E9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4D04" w14:textId="77777777" w:rsidR="0053601B" w:rsidRDefault="00FA6668" w:rsidP="00E019F8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>
      <w:rPr>
        <w:rStyle w:val="Paginanummer"/>
        <w:rFonts w:eastAsiaTheme="majorEastAsia"/>
        <w:noProof/>
      </w:rPr>
      <w:t>2</w:t>
    </w:r>
    <w:r>
      <w:rPr>
        <w:rStyle w:val="Paginanummer"/>
        <w:rFonts w:eastAsiaTheme="majorEastAsia"/>
      </w:rPr>
      <w:fldChar w:fldCharType="end"/>
    </w:r>
  </w:p>
  <w:p w14:paraId="765D5B95" w14:textId="77777777" w:rsidR="0053601B" w:rsidRDefault="0053601B" w:rsidP="00E019F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B537" w14:textId="77777777" w:rsidR="0053601B" w:rsidRPr="00BD01E8" w:rsidRDefault="00FA6668" w:rsidP="00E019F8">
    <w:pPr>
      <w:pStyle w:val="Voettekst"/>
      <w:framePr w:wrap="around" w:vAnchor="text" w:hAnchor="margin" w:xAlign="right" w:y="1"/>
      <w:rPr>
        <w:rStyle w:val="Paginanummer"/>
        <w:rFonts w:ascii="Verdana" w:eastAsiaTheme="majorEastAsia" w:hAnsi="Verdana"/>
        <w:sz w:val="16"/>
        <w:szCs w:val="16"/>
      </w:rPr>
    </w:pPr>
    <w:r w:rsidRPr="00BD01E8">
      <w:rPr>
        <w:rStyle w:val="Paginanummer"/>
        <w:rFonts w:ascii="Verdana" w:eastAsiaTheme="majorEastAsia" w:hAnsi="Verdana"/>
        <w:sz w:val="16"/>
        <w:szCs w:val="16"/>
      </w:rPr>
      <w:fldChar w:fldCharType="begin"/>
    </w:r>
    <w:r w:rsidRPr="00BD01E8">
      <w:rPr>
        <w:rStyle w:val="Paginanummer"/>
        <w:rFonts w:ascii="Verdana" w:eastAsiaTheme="majorEastAsia" w:hAnsi="Verdana"/>
        <w:sz w:val="16"/>
        <w:szCs w:val="16"/>
      </w:rPr>
      <w:instrText xml:space="preserve">PAGE  </w:instrText>
    </w:r>
    <w:r w:rsidRPr="00BD01E8">
      <w:rPr>
        <w:rStyle w:val="Paginanummer"/>
        <w:rFonts w:ascii="Verdana" w:eastAsiaTheme="majorEastAsia" w:hAnsi="Verdana"/>
        <w:sz w:val="16"/>
        <w:szCs w:val="16"/>
      </w:rPr>
      <w:fldChar w:fldCharType="separate"/>
    </w:r>
    <w:r>
      <w:rPr>
        <w:rStyle w:val="Paginanummer"/>
        <w:rFonts w:ascii="Verdana" w:eastAsiaTheme="majorEastAsia" w:hAnsi="Verdana"/>
        <w:noProof/>
        <w:sz w:val="16"/>
        <w:szCs w:val="16"/>
      </w:rPr>
      <w:t>1</w:t>
    </w:r>
    <w:r w:rsidRPr="00BD01E8">
      <w:rPr>
        <w:rStyle w:val="Paginanummer"/>
        <w:rFonts w:ascii="Verdana" w:eastAsiaTheme="majorEastAsia" w:hAnsi="Verdana"/>
        <w:sz w:val="16"/>
        <w:szCs w:val="16"/>
      </w:rPr>
      <w:fldChar w:fldCharType="end"/>
    </w:r>
  </w:p>
  <w:p w14:paraId="08F4F3CC" w14:textId="77777777" w:rsidR="0053601B" w:rsidRDefault="0053601B" w:rsidP="00E019F8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FD2E" w14:textId="77777777" w:rsidR="0053601B" w:rsidRDefault="005360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1E97" w14:textId="77777777" w:rsidR="00E9661F" w:rsidRDefault="00E9661F">
      <w:r>
        <w:separator/>
      </w:r>
    </w:p>
  </w:footnote>
  <w:footnote w:type="continuationSeparator" w:id="0">
    <w:p w14:paraId="03962795" w14:textId="77777777" w:rsidR="00E9661F" w:rsidRDefault="00E9661F">
      <w:r>
        <w:continuationSeparator/>
      </w:r>
    </w:p>
  </w:footnote>
  <w:footnote w:id="1">
    <w:p w14:paraId="148C17AC" w14:textId="77777777" w:rsidR="00E4542A" w:rsidRPr="0083481B" w:rsidRDefault="00E4542A" w:rsidP="00E4542A">
      <w:pPr>
        <w:pStyle w:val="Voetnoottekst"/>
        <w:rPr>
          <w:rFonts w:ascii="Verdana" w:hAnsi="Verdana"/>
          <w:sz w:val="16"/>
          <w:szCs w:val="16"/>
        </w:rPr>
      </w:pPr>
      <w:r w:rsidRPr="0083481B">
        <w:rPr>
          <w:rStyle w:val="Voetnootmarkering"/>
          <w:rFonts w:ascii="Verdana" w:hAnsi="Verdana"/>
          <w:sz w:val="16"/>
          <w:szCs w:val="16"/>
        </w:rPr>
        <w:footnoteRef/>
      </w:r>
      <w:r w:rsidRPr="0083481B">
        <w:rPr>
          <w:rFonts w:ascii="Verdana" w:hAnsi="Verdana"/>
          <w:sz w:val="16"/>
          <w:szCs w:val="16"/>
        </w:rPr>
        <w:t xml:space="preserve"> Kamerstuk I, 2025</w:t>
      </w:r>
      <w:r>
        <w:rPr>
          <w:rFonts w:ascii="Verdana" w:hAnsi="Verdana"/>
          <w:sz w:val="16"/>
          <w:szCs w:val="16"/>
        </w:rPr>
        <w:t>/2</w:t>
      </w:r>
      <w:r w:rsidRPr="0083481B">
        <w:rPr>
          <w:rFonts w:ascii="Verdana" w:hAnsi="Verdana"/>
          <w:sz w:val="16"/>
          <w:szCs w:val="16"/>
        </w:rPr>
        <w:t>6, 36 800, L</w:t>
      </w:r>
    </w:p>
  </w:footnote>
  <w:footnote w:id="2">
    <w:p w14:paraId="7EDDD325" w14:textId="5CE8FACB" w:rsidR="004D3EB1" w:rsidRPr="0083481B" w:rsidRDefault="004D3EB1">
      <w:pPr>
        <w:pStyle w:val="Voetnoottekst"/>
        <w:rPr>
          <w:rFonts w:ascii="Verdana" w:hAnsi="Verdana"/>
          <w:sz w:val="16"/>
          <w:szCs w:val="16"/>
        </w:rPr>
      </w:pPr>
      <w:r w:rsidRPr="0083481B">
        <w:rPr>
          <w:rStyle w:val="Voetnootmarkering"/>
          <w:rFonts w:ascii="Verdana" w:hAnsi="Verdana"/>
          <w:sz w:val="16"/>
          <w:szCs w:val="16"/>
        </w:rPr>
        <w:footnoteRef/>
      </w:r>
      <w:r w:rsidRPr="0083481B">
        <w:rPr>
          <w:rFonts w:ascii="Verdana" w:hAnsi="Verdana"/>
          <w:sz w:val="16"/>
          <w:szCs w:val="16"/>
        </w:rPr>
        <w:t xml:space="preserve"> </w:t>
      </w:r>
      <w:r w:rsidR="00A14EA2" w:rsidRPr="0083481B">
        <w:rPr>
          <w:rFonts w:ascii="Verdana" w:hAnsi="Verdana"/>
          <w:sz w:val="16"/>
          <w:szCs w:val="16"/>
        </w:rPr>
        <w:t xml:space="preserve">Dit is de verhoging voor het maximale </w:t>
      </w:r>
      <w:r w:rsidR="00A14EA2">
        <w:rPr>
          <w:rFonts w:ascii="Verdana" w:hAnsi="Verdana"/>
          <w:sz w:val="16"/>
          <w:szCs w:val="16"/>
        </w:rPr>
        <w:t xml:space="preserve">inkomensonafhankelijke </w:t>
      </w:r>
      <w:r w:rsidR="00A14EA2" w:rsidRPr="0083481B">
        <w:rPr>
          <w:rFonts w:ascii="Verdana" w:hAnsi="Verdana"/>
          <w:sz w:val="16"/>
          <w:szCs w:val="16"/>
        </w:rPr>
        <w:t>bedrag (voor kinderen met de leeftijd van 12 t</w:t>
      </w:r>
      <w:r w:rsidR="00A14EA2">
        <w:rPr>
          <w:rFonts w:ascii="Verdana" w:hAnsi="Verdana"/>
          <w:sz w:val="16"/>
          <w:szCs w:val="16"/>
        </w:rPr>
        <w:t>/m</w:t>
      </w:r>
      <w:r w:rsidR="00A14EA2" w:rsidRPr="0083481B">
        <w:rPr>
          <w:rFonts w:ascii="Verdana" w:hAnsi="Verdana"/>
          <w:sz w:val="16"/>
          <w:szCs w:val="16"/>
        </w:rPr>
        <w:t xml:space="preserve"> 17 jaar). Voor jongere kinderen worden dezelfde </w:t>
      </w:r>
      <w:r w:rsidR="00A14EA2" w:rsidRPr="00A14EA2">
        <w:rPr>
          <w:rFonts w:ascii="Verdana" w:hAnsi="Verdana"/>
          <w:sz w:val="16"/>
          <w:szCs w:val="16"/>
        </w:rPr>
        <w:t>leeftijdscategorieën</w:t>
      </w:r>
      <w:r w:rsidR="00A14EA2" w:rsidRPr="0083481B">
        <w:rPr>
          <w:rFonts w:ascii="Verdana" w:hAnsi="Verdana"/>
          <w:sz w:val="16"/>
          <w:szCs w:val="16"/>
        </w:rPr>
        <w:t xml:space="preserve"> aangehouden als in de huidige kinderbijslag. Voor kinderen met de leeftijd 6 t/m 11 jaar ontvangen huishoudens </w:t>
      </w:r>
      <w:r w:rsidR="00270D62">
        <w:rPr>
          <w:rFonts w:ascii="Verdana" w:hAnsi="Verdana"/>
          <w:sz w:val="16"/>
          <w:szCs w:val="16"/>
        </w:rPr>
        <w:t>€ 2.4</w:t>
      </w:r>
      <w:r w:rsidR="00DD2C61">
        <w:rPr>
          <w:rFonts w:ascii="Verdana" w:hAnsi="Verdana"/>
          <w:sz w:val="16"/>
          <w:szCs w:val="16"/>
        </w:rPr>
        <w:t>62</w:t>
      </w:r>
      <w:r w:rsidR="00270D62">
        <w:rPr>
          <w:rFonts w:ascii="Verdana" w:hAnsi="Verdana"/>
          <w:sz w:val="16"/>
          <w:szCs w:val="16"/>
        </w:rPr>
        <w:t xml:space="preserve"> per kind (</w:t>
      </w:r>
      <w:r w:rsidR="00A14EA2" w:rsidRPr="0083481B">
        <w:rPr>
          <w:rFonts w:ascii="Verdana" w:hAnsi="Verdana"/>
          <w:sz w:val="16"/>
          <w:szCs w:val="16"/>
        </w:rPr>
        <w:t>85% van het maximale bedrag</w:t>
      </w:r>
      <w:r w:rsidR="00270D62">
        <w:rPr>
          <w:rFonts w:ascii="Verdana" w:hAnsi="Verdana"/>
          <w:sz w:val="16"/>
          <w:szCs w:val="16"/>
        </w:rPr>
        <w:t>)</w:t>
      </w:r>
      <w:r w:rsidR="00A14EA2" w:rsidRPr="0083481B">
        <w:rPr>
          <w:rFonts w:ascii="Verdana" w:hAnsi="Verdana"/>
          <w:sz w:val="16"/>
          <w:szCs w:val="16"/>
        </w:rPr>
        <w:t xml:space="preserve"> </w:t>
      </w:r>
      <w:r w:rsidR="001D50FB">
        <w:rPr>
          <w:rFonts w:ascii="Verdana" w:hAnsi="Verdana"/>
          <w:sz w:val="16"/>
          <w:szCs w:val="16"/>
        </w:rPr>
        <w:t xml:space="preserve">meer </w:t>
      </w:r>
      <w:r w:rsidR="00A14EA2" w:rsidRPr="0083481B">
        <w:rPr>
          <w:rFonts w:ascii="Verdana" w:hAnsi="Verdana"/>
          <w:sz w:val="16"/>
          <w:szCs w:val="16"/>
        </w:rPr>
        <w:t xml:space="preserve">en voor </w:t>
      </w:r>
      <w:r w:rsidR="001D50FB">
        <w:rPr>
          <w:rFonts w:ascii="Verdana" w:hAnsi="Verdana"/>
          <w:sz w:val="16"/>
          <w:szCs w:val="16"/>
        </w:rPr>
        <w:t xml:space="preserve">kinderen met </w:t>
      </w:r>
      <w:r w:rsidR="00A14EA2" w:rsidRPr="0083481B">
        <w:rPr>
          <w:rFonts w:ascii="Verdana" w:hAnsi="Verdana"/>
          <w:sz w:val="16"/>
          <w:szCs w:val="16"/>
        </w:rPr>
        <w:t>de leeftijd 0 t/m 5 jaar is dat</w:t>
      </w:r>
      <w:r w:rsidR="00270D62">
        <w:rPr>
          <w:rFonts w:ascii="Verdana" w:hAnsi="Verdana"/>
          <w:sz w:val="16"/>
          <w:szCs w:val="16"/>
        </w:rPr>
        <w:t xml:space="preserve"> € 2.02</w:t>
      </w:r>
      <w:r w:rsidR="00DD2C61">
        <w:rPr>
          <w:rFonts w:ascii="Verdana" w:hAnsi="Verdana"/>
          <w:sz w:val="16"/>
          <w:szCs w:val="16"/>
        </w:rPr>
        <w:t>8</w:t>
      </w:r>
      <w:r w:rsidR="00A14EA2" w:rsidRPr="0083481B">
        <w:rPr>
          <w:rFonts w:ascii="Verdana" w:hAnsi="Verdana"/>
          <w:sz w:val="16"/>
          <w:szCs w:val="16"/>
        </w:rPr>
        <w:t xml:space="preserve"> </w:t>
      </w:r>
      <w:r w:rsidR="00270D62">
        <w:rPr>
          <w:rFonts w:ascii="Verdana" w:hAnsi="Verdana"/>
          <w:sz w:val="16"/>
          <w:szCs w:val="16"/>
        </w:rPr>
        <w:t>(</w:t>
      </w:r>
      <w:r w:rsidR="00A14EA2" w:rsidRPr="0083481B">
        <w:rPr>
          <w:rFonts w:ascii="Verdana" w:hAnsi="Verdana"/>
          <w:sz w:val="16"/>
          <w:szCs w:val="16"/>
        </w:rPr>
        <w:t>70%</w:t>
      </w:r>
      <w:r w:rsidR="00270D62">
        <w:rPr>
          <w:rFonts w:ascii="Verdana" w:hAnsi="Verdana"/>
          <w:sz w:val="16"/>
          <w:szCs w:val="16"/>
        </w:rPr>
        <w:t xml:space="preserve"> van het maximale bedrag)</w:t>
      </w:r>
      <w:r w:rsidR="001D50FB">
        <w:rPr>
          <w:rFonts w:ascii="Verdana" w:hAnsi="Verdana"/>
          <w:sz w:val="16"/>
          <w:szCs w:val="16"/>
        </w:rPr>
        <w:t xml:space="preserve"> meer per kind.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0F7A" w14:textId="77777777" w:rsidR="0053601B" w:rsidRDefault="005360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6D9C" w14:textId="77777777" w:rsidR="0053601B" w:rsidRPr="001A6628" w:rsidRDefault="00FA6668" w:rsidP="00E019F8">
    <w:pPr>
      <w:pStyle w:val="Kopteks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6954F57" wp14:editId="3911910D">
          <wp:simplePos x="0" y="0"/>
          <wp:positionH relativeFrom="page">
            <wp:posOffset>3546475</wp:posOffset>
          </wp:positionH>
          <wp:positionV relativeFrom="page">
            <wp:posOffset>0</wp:posOffset>
          </wp:positionV>
          <wp:extent cx="467995" cy="1585595"/>
          <wp:effectExtent l="19050" t="0" r="8255" b="0"/>
          <wp:wrapNone/>
          <wp:docPr id="1" name="Afbeelding 1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9C45" w14:textId="77777777" w:rsidR="0053601B" w:rsidRDefault="005360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EDA"/>
    <w:multiLevelType w:val="hybridMultilevel"/>
    <w:tmpl w:val="DFE6179A"/>
    <w:lvl w:ilvl="0" w:tplc="DFAA2674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7C27"/>
    <w:multiLevelType w:val="hybridMultilevel"/>
    <w:tmpl w:val="720E0F5C"/>
    <w:lvl w:ilvl="0" w:tplc="E4841CFC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45AF3"/>
    <w:multiLevelType w:val="hybridMultilevel"/>
    <w:tmpl w:val="C840EC5C"/>
    <w:lvl w:ilvl="0" w:tplc="6212D3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0F7B"/>
    <w:multiLevelType w:val="hybridMultilevel"/>
    <w:tmpl w:val="47DC38A2"/>
    <w:lvl w:ilvl="0" w:tplc="632ABA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6502F"/>
    <w:multiLevelType w:val="hybridMultilevel"/>
    <w:tmpl w:val="AD087CE6"/>
    <w:lvl w:ilvl="0" w:tplc="E4841CFC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3439"/>
    <w:multiLevelType w:val="hybridMultilevel"/>
    <w:tmpl w:val="97E2528C"/>
    <w:lvl w:ilvl="0" w:tplc="DFAA267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7BFE"/>
    <w:multiLevelType w:val="hybridMultilevel"/>
    <w:tmpl w:val="58A2D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3E6F"/>
    <w:multiLevelType w:val="hybridMultilevel"/>
    <w:tmpl w:val="C50009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BD6AD2"/>
    <w:multiLevelType w:val="hybridMultilevel"/>
    <w:tmpl w:val="D3D2C490"/>
    <w:lvl w:ilvl="0" w:tplc="A1B2DAF0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D51120"/>
    <w:multiLevelType w:val="hybridMultilevel"/>
    <w:tmpl w:val="F160AA60"/>
    <w:lvl w:ilvl="0" w:tplc="0FA2FD2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AE27F8"/>
    <w:multiLevelType w:val="hybridMultilevel"/>
    <w:tmpl w:val="F94807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8959BC"/>
    <w:multiLevelType w:val="hybridMultilevel"/>
    <w:tmpl w:val="9D427B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779128">
    <w:abstractNumId w:val="9"/>
  </w:num>
  <w:num w:numId="2" w16cid:durableId="1274172349">
    <w:abstractNumId w:val="8"/>
  </w:num>
  <w:num w:numId="3" w16cid:durableId="186528735">
    <w:abstractNumId w:val="2"/>
  </w:num>
  <w:num w:numId="4" w16cid:durableId="643852277">
    <w:abstractNumId w:val="1"/>
  </w:num>
  <w:num w:numId="5" w16cid:durableId="1856768742">
    <w:abstractNumId w:val="4"/>
  </w:num>
  <w:num w:numId="6" w16cid:durableId="570391799">
    <w:abstractNumId w:val="6"/>
  </w:num>
  <w:num w:numId="7" w16cid:durableId="395904486">
    <w:abstractNumId w:val="5"/>
  </w:num>
  <w:num w:numId="8" w16cid:durableId="228736490">
    <w:abstractNumId w:val="0"/>
  </w:num>
  <w:num w:numId="9" w16cid:durableId="1891571395">
    <w:abstractNumId w:val="7"/>
  </w:num>
  <w:num w:numId="10" w16cid:durableId="641816692">
    <w:abstractNumId w:val="3"/>
  </w:num>
  <w:num w:numId="11" w16cid:durableId="1707557184">
    <w:abstractNumId w:val="11"/>
  </w:num>
  <w:num w:numId="12" w16cid:durableId="737481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39"/>
    <w:rsid w:val="000646E6"/>
    <w:rsid w:val="000669F2"/>
    <w:rsid w:val="00082297"/>
    <w:rsid w:val="000C0AD6"/>
    <w:rsid w:val="001013B9"/>
    <w:rsid w:val="00120047"/>
    <w:rsid w:val="00151C49"/>
    <w:rsid w:val="001527B3"/>
    <w:rsid w:val="00167795"/>
    <w:rsid w:val="00174697"/>
    <w:rsid w:val="001963B2"/>
    <w:rsid w:val="001D4F47"/>
    <w:rsid w:val="001D50FB"/>
    <w:rsid w:val="001E66ED"/>
    <w:rsid w:val="00263F4D"/>
    <w:rsid w:val="00266B31"/>
    <w:rsid w:val="00270D62"/>
    <w:rsid w:val="00273551"/>
    <w:rsid w:val="00284C01"/>
    <w:rsid w:val="002B6322"/>
    <w:rsid w:val="002B7F60"/>
    <w:rsid w:val="002E1B01"/>
    <w:rsid w:val="002F1674"/>
    <w:rsid w:val="00314BDF"/>
    <w:rsid w:val="003244D3"/>
    <w:rsid w:val="00364853"/>
    <w:rsid w:val="00372C40"/>
    <w:rsid w:val="00381692"/>
    <w:rsid w:val="0038420E"/>
    <w:rsid w:val="003B043F"/>
    <w:rsid w:val="003D6152"/>
    <w:rsid w:val="003E1164"/>
    <w:rsid w:val="003F69F9"/>
    <w:rsid w:val="0041590C"/>
    <w:rsid w:val="0044668B"/>
    <w:rsid w:val="004C6F33"/>
    <w:rsid w:val="004D3EB1"/>
    <w:rsid w:val="004D7EB0"/>
    <w:rsid w:val="004E31D3"/>
    <w:rsid w:val="004F1348"/>
    <w:rsid w:val="0050009C"/>
    <w:rsid w:val="00510C28"/>
    <w:rsid w:val="0051777F"/>
    <w:rsid w:val="0053601B"/>
    <w:rsid w:val="005611AD"/>
    <w:rsid w:val="005A034C"/>
    <w:rsid w:val="005A124D"/>
    <w:rsid w:val="005A773F"/>
    <w:rsid w:val="005B2773"/>
    <w:rsid w:val="005C7239"/>
    <w:rsid w:val="005F2DDE"/>
    <w:rsid w:val="00630244"/>
    <w:rsid w:val="00634FE3"/>
    <w:rsid w:val="00656D06"/>
    <w:rsid w:val="00657CB6"/>
    <w:rsid w:val="00677C15"/>
    <w:rsid w:val="006B43BE"/>
    <w:rsid w:val="007057E6"/>
    <w:rsid w:val="00710C3E"/>
    <w:rsid w:val="00743EF8"/>
    <w:rsid w:val="007500FF"/>
    <w:rsid w:val="007621D6"/>
    <w:rsid w:val="00763305"/>
    <w:rsid w:val="0078330D"/>
    <w:rsid w:val="007B04C1"/>
    <w:rsid w:val="007B67A6"/>
    <w:rsid w:val="007C2181"/>
    <w:rsid w:val="008211F6"/>
    <w:rsid w:val="0083481B"/>
    <w:rsid w:val="00852D70"/>
    <w:rsid w:val="00861DA7"/>
    <w:rsid w:val="00862D98"/>
    <w:rsid w:val="00871CE1"/>
    <w:rsid w:val="00872369"/>
    <w:rsid w:val="00887074"/>
    <w:rsid w:val="008C6D28"/>
    <w:rsid w:val="00911957"/>
    <w:rsid w:val="0098236B"/>
    <w:rsid w:val="009A36CF"/>
    <w:rsid w:val="009C27F7"/>
    <w:rsid w:val="009E4F96"/>
    <w:rsid w:val="00A14EA2"/>
    <w:rsid w:val="00A151FD"/>
    <w:rsid w:val="00A2482F"/>
    <w:rsid w:val="00A30A37"/>
    <w:rsid w:val="00A34232"/>
    <w:rsid w:val="00A6010B"/>
    <w:rsid w:val="00A62586"/>
    <w:rsid w:val="00A640C5"/>
    <w:rsid w:val="00A76359"/>
    <w:rsid w:val="00A921A5"/>
    <w:rsid w:val="00AA734D"/>
    <w:rsid w:val="00AB4200"/>
    <w:rsid w:val="00B0345F"/>
    <w:rsid w:val="00B206B1"/>
    <w:rsid w:val="00B67A8A"/>
    <w:rsid w:val="00B81A47"/>
    <w:rsid w:val="00B81D64"/>
    <w:rsid w:val="00B85F39"/>
    <w:rsid w:val="00B868EF"/>
    <w:rsid w:val="00BB16D1"/>
    <w:rsid w:val="00BD0DF7"/>
    <w:rsid w:val="00BD5386"/>
    <w:rsid w:val="00BE38C4"/>
    <w:rsid w:val="00BF635D"/>
    <w:rsid w:val="00C05E74"/>
    <w:rsid w:val="00C2685F"/>
    <w:rsid w:val="00C35272"/>
    <w:rsid w:val="00C71EF2"/>
    <w:rsid w:val="00C85D90"/>
    <w:rsid w:val="00C95F9C"/>
    <w:rsid w:val="00D0004A"/>
    <w:rsid w:val="00D77C54"/>
    <w:rsid w:val="00D97256"/>
    <w:rsid w:val="00DB34CC"/>
    <w:rsid w:val="00DB3D40"/>
    <w:rsid w:val="00DB679A"/>
    <w:rsid w:val="00DC63DF"/>
    <w:rsid w:val="00DD2C61"/>
    <w:rsid w:val="00DD36C7"/>
    <w:rsid w:val="00DE0CDF"/>
    <w:rsid w:val="00E073A6"/>
    <w:rsid w:val="00E17CDC"/>
    <w:rsid w:val="00E35C88"/>
    <w:rsid w:val="00E37DCF"/>
    <w:rsid w:val="00E44CF9"/>
    <w:rsid w:val="00E4542A"/>
    <w:rsid w:val="00E667EE"/>
    <w:rsid w:val="00E9661F"/>
    <w:rsid w:val="00EC17FC"/>
    <w:rsid w:val="00F24AC1"/>
    <w:rsid w:val="00F401DD"/>
    <w:rsid w:val="00F40AB0"/>
    <w:rsid w:val="00F75230"/>
    <w:rsid w:val="00F96ABF"/>
    <w:rsid w:val="00FA6668"/>
    <w:rsid w:val="00FC7C70"/>
    <w:rsid w:val="00FE6E37"/>
    <w:rsid w:val="00FF0793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7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72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C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7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7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7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7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7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7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7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7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7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72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72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72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72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72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7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7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7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72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72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72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72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723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5C72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C7239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Paginanummer">
    <w:name w:val="page number"/>
    <w:basedOn w:val="Standaardalinea-lettertype"/>
    <w:rsid w:val="005C7239"/>
  </w:style>
  <w:style w:type="paragraph" w:styleId="Koptekst">
    <w:name w:val="header"/>
    <w:basedOn w:val="Standaard"/>
    <w:link w:val="KoptekstChar"/>
    <w:rsid w:val="005C72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C7239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rsid w:val="005C72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72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Geenafstand">
    <w:name w:val="No Spacing"/>
    <w:uiPriority w:val="1"/>
    <w:qFormat/>
    <w:rsid w:val="005C72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FA66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2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24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24D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12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124D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079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079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0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1413</ap:Words>
  <ap:Characters>7776</ap:Characters>
  <ap:DocSecurity>0</ap:DocSecurity>
  <ap:Lines>64</ap:Lines>
  <ap:Paragraphs>18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2026-06-18T11:17:00.0000000Z</dcterms:created>
  <dcterms:modified xsi:type="dcterms:W3CDTF">2026-06-18T11:17:00.0000000Z</dcterms:modified>
  <version/>
  <category/>
</coreProperties>
</file>