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B28ED" w:rsidRDefault="00340ECA" w14:paraId="637F0140" w14:textId="77777777"/>
    <w:p w:rsidR="00962C44" w:rsidP="00FB28ED" w:rsidRDefault="00962C44" w14:paraId="1A5FCEC4" w14:textId="77777777"/>
    <w:p w:rsidR="00CE78E9" w:rsidP="00FB28ED" w:rsidRDefault="00D709EA" w14:paraId="688BF8DC" w14:textId="77777777">
      <w:r>
        <w:t>Geachte Voorzitter,</w:t>
      </w:r>
      <w:r>
        <w:br/>
      </w:r>
    </w:p>
    <w:p w:rsidRPr="005F44E2" w:rsidR="0029019C" w:rsidP="00FB28ED" w:rsidRDefault="00D709EA" w14:paraId="19A0FE75" w14:textId="05E33F87">
      <w:pPr>
        <w:rPr>
          <w:szCs w:val="18"/>
        </w:rPr>
      </w:pPr>
      <w:r>
        <w:t>Hierbij zend ik u</w:t>
      </w:r>
      <w:r w:rsidR="005F44E2">
        <w:t xml:space="preserve">, mede namens de staatssecretaris </w:t>
      </w:r>
      <w:r w:rsidRPr="00E36FFF" w:rsidR="005F44E2">
        <w:rPr>
          <w:szCs w:val="18"/>
        </w:rPr>
        <w:t>van Binnenlandse Zaken en Koninkrijksrelaties</w:t>
      </w:r>
      <w:r w:rsidR="005F44E2">
        <w:rPr>
          <w:szCs w:val="18"/>
        </w:rPr>
        <w:t>,</w:t>
      </w:r>
      <w:r>
        <w:t xml:space="preserve"> de antwoorden op de vragen van het lid </w:t>
      </w:r>
      <w:r w:rsidR="005F44E2">
        <w:t>V</w:t>
      </w:r>
      <w:r w:rsidRPr="00E36FFF" w:rsidR="005F44E2">
        <w:rPr>
          <w:szCs w:val="18"/>
        </w:rPr>
        <w:t>an den Berg (JA21)</w:t>
      </w:r>
      <w:r>
        <w:t xml:space="preserve"> </w:t>
      </w:r>
      <w:r w:rsidRPr="00E36FFF" w:rsidR="005F44E2">
        <w:rPr>
          <w:szCs w:val="18"/>
        </w:rPr>
        <w:t>over de negatieve BTI-toets in het</w:t>
      </w:r>
      <w:r w:rsidR="005F44E2">
        <w:rPr>
          <w:szCs w:val="18"/>
        </w:rPr>
        <w:t xml:space="preserve"> </w:t>
      </w:r>
      <w:r w:rsidRPr="00E36FFF" w:rsidR="005F44E2">
        <w:rPr>
          <w:szCs w:val="18"/>
        </w:rPr>
        <w:t xml:space="preserve">kader van de overname van het bedrijf </w:t>
      </w:r>
      <w:proofErr w:type="spellStart"/>
      <w:r w:rsidR="005F44E2">
        <w:rPr>
          <w:szCs w:val="18"/>
        </w:rPr>
        <w:t>S</w:t>
      </w:r>
      <w:r w:rsidRPr="00E36FFF" w:rsidR="005F44E2">
        <w:rPr>
          <w:szCs w:val="18"/>
        </w:rPr>
        <w:t>olvinity</w:t>
      </w:r>
      <w:proofErr w:type="spellEnd"/>
      <w:r w:rsidRPr="00E36FFF" w:rsidR="005F44E2">
        <w:rPr>
          <w:szCs w:val="18"/>
        </w:rPr>
        <w:t xml:space="preserve"> (Platform </w:t>
      </w:r>
      <w:proofErr w:type="spellStart"/>
      <w:r w:rsidRPr="00E36FFF" w:rsidR="005F44E2">
        <w:rPr>
          <w:szCs w:val="18"/>
        </w:rPr>
        <w:t>DigiD</w:t>
      </w:r>
      <w:proofErr w:type="spellEnd"/>
      <w:r w:rsidRPr="00E36FFF" w:rsidR="005F44E2">
        <w:rPr>
          <w:szCs w:val="18"/>
        </w:rPr>
        <w:t>)</w:t>
      </w:r>
      <w:r>
        <w:t xml:space="preserve"> (</w:t>
      </w:r>
      <w:r w:rsidRPr="005F44E2" w:rsidR="005F44E2">
        <w:t>2026Z11041</w:t>
      </w:r>
      <w:r>
        <w:t xml:space="preserve">, ingezonden </w:t>
      </w:r>
      <w:r w:rsidR="005F44E2">
        <w:t>27 mei 2026</w:t>
      </w:r>
      <w:r>
        <w:t>).</w:t>
      </w:r>
    </w:p>
    <w:p w:rsidR="00EF6D37" w:rsidP="00FB28ED" w:rsidRDefault="00EF6D37" w14:paraId="504E99E2" w14:textId="77777777">
      <w:pPr>
        <w:rPr>
          <w:b/>
        </w:rPr>
      </w:pPr>
    </w:p>
    <w:p w:rsidR="00FB28ED" w:rsidP="00FB28ED" w:rsidRDefault="00FB28ED" w14:paraId="1C38FF4A" w14:textId="77777777"/>
    <w:p w:rsidR="00FB28ED" w:rsidP="00FB28ED" w:rsidRDefault="00FB28ED" w14:paraId="51A677C6" w14:textId="77777777"/>
    <w:p w:rsidR="00FB28ED" w:rsidP="00FB28ED" w:rsidRDefault="00FB28ED" w14:paraId="7A4DC21D" w14:textId="77777777"/>
    <w:p w:rsidR="00FB28ED" w:rsidP="00FB28ED" w:rsidRDefault="00FB28ED" w14:paraId="141CD4EA" w14:textId="77777777">
      <w:r w:rsidRPr="0091232B">
        <w:t>W.J.M. Aerdts</w:t>
      </w:r>
      <w:r w:rsidRPr="003A6510">
        <w:br/>
      </w:r>
      <w:r>
        <w:t>S</w:t>
      </w:r>
      <w:r w:rsidRPr="003A6510">
        <w:t>taatssecretaris van Economische Zaken en Klimaat</w:t>
      </w:r>
    </w:p>
    <w:p w:rsidR="00FB28ED" w:rsidP="00FB28ED" w:rsidRDefault="00FB28ED" w14:paraId="3120CA95" w14:textId="77777777"/>
    <w:p w:rsidR="00FB28ED" w:rsidP="00FB28ED" w:rsidRDefault="00FB28ED" w14:paraId="00918BE6" w14:textId="77777777">
      <w:pPr>
        <w:rPr>
          <w:b/>
        </w:rPr>
      </w:pPr>
    </w:p>
    <w:p w:rsidR="00225675" w:rsidP="00FB28ED" w:rsidRDefault="00D709EA" w14:paraId="2471DD12" w14:textId="77777777">
      <w:pPr>
        <w:rPr>
          <w:b/>
        </w:rPr>
      </w:pPr>
      <w:r>
        <w:rPr>
          <w:b/>
        </w:rPr>
        <w:br w:type="page"/>
      </w:r>
    </w:p>
    <w:p w:rsidR="00FB28ED" w:rsidP="00FB28ED" w:rsidRDefault="005F44E2" w14:paraId="66EE9614" w14:textId="77777777">
      <w:pPr>
        <w:rPr>
          <w:rStyle w:val="Zwaar"/>
          <w:b w:val="0"/>
          <w:bCs w:val="0"/>
        </w:rPr>
      </w:pPr>
      <w:r w:rsidRPr="005F44E2">
        <w:rPr>
          <w:b/>
        </w:rPr>
        <w:lastRenderedPageBreak/>
        <w:t>2026Z11041</w:t>
      </w:r>
      <w:r w:rsidR="00747885">
        <w:rPr>
          <w:b/>
        </w:rPr>
        <w:br/>
      </w:r>
    </w:p>
    <w:p w:rsidRPr="004F0D17" w:rsidR="005F0D54" w:rsidP="00FB28ED" w:rsidRDefault="005F44E2" w14:paraId="3F3ACE2F" w14:textId="2ED61BA0">
      <w:r w:rsidRPr="006B7A36">
        <w:rPr>
          <w:rStyle w:val="Zwaar"/>
          <w:b w:val="0"/>
          <w:bCs w:val="0"/>
        </w:rPr>
        <w:t>1</w:t>
      </w:r>
      <w:r w:rsidR="00747885">
        <w:rPr>
          <w:rStyle w:val="Zwaar"/>
          <w:bCs w:val="0"/>
        </w:rPr>
        <w:br/>
      </w:r>
      <w:r w:rsidR="004F0D17">
        <w:t xml:space="preserve">Wat betekent een negatief BTI-oordeel concreet voor de continuïteit, stabiliteit en beschikbaarheid van het bedrijf </w:t>
      </w:r>
      <w:proofErr w:type="spellStart"/>
      <w:r w:rsidR="004F0D17">
        <w:t>Solvinity</w:t>
      </w:r>
      <w:proofErr w:type="spellEnd"/>
      <w:r w:rsidR="004F0D17">
        <w:t xml:space="preserve"> en daarmee voor </w:t>
      </w:r>
      <w:proofErr w:type="spellStart"/>
      <w:r w:rsidR="004F0D17">
        <w:t>DigiD</w:t>
      </w:r>
      <w:proofErr w:type="spellEnd"/>
      <w:r w:rsidR="004F0D17">
        <w:t>?</w:t>
      </w:r>
      <w:r>
        <w:t xml:space="preserve"> </w:t>
      </w:r>
    </w:p>
    <w:p w:rsidR="00FB28ED" w:rsidP="00FB28ED" w:rsidRDefault="00FB28ED" w14:paraId="6CA6FCBD" w14:textId="77777777">
      <w:pPr>
        <w:rPr>
          <w:rStyle w:val="Zwaar"/>
          <w:b w:val="0"/>
          <w:bCs w:val="0"/>
        </w:rPr>
      </w:pPr>
    </w:p>
    <w:p w:rsidRPr="006B7A36" w:rsidR="005F0D54" w:rsidP="00FB28ED" w:rsidRDefault="00D709EA" w14:paraId="4E04C853" w14:textId="59C4C42E">
      <w:pPr>
        <w:rPr>
          <w:b/>
          <w:bCs/>
        </w:rPr>
      </w:pPr>
      <w:r w:rsidRPr="006B7A36">
        <w:rPr>
          <w:rStyle w:val="Zwaar"/>
          <w:b w:val="0"/>
          <w:bCs w:val="0"/>
        </w:rPr>
        <w:t>Antwoord</w:t>
      </w:r>
    </w:p>
    <w:p w:rsidR="004F0D17" w:rsidP="00FB28ED" w:rsidRDefault="004F0D17" w14:paraId="773A2B53" w14:textId="3A2B22DE">
      <w:r>
        <w:t xml:space="preserve">Op dit moment is er geen indicatie dat het besluit inzake </w:t>
      </w:r>
      <w:proofErr w:type="spellStart"/>
      <w:r>
        <w:t>Solvinity</w:t>
      </w:r>
      <w:proofErr w:type="spellEnd"/>
      <w:r>
        <w:t xml:space="preserve"> leidt tot een gevaar voor de continuïteit, stabiliteit en beschikbaarheid van </w:t>
      </w:r>
      <w:proofErr w:type="spellStart"/>
      <w:r>
        <w:t>DigiD</w:t>
      </w:r>
      <w:proofErr w:type="spellEnd"/>
      <w:r>
        <w:t xml:space="preserve"> en andere </w:t>
      </w:r>
      <w:proofErr w:type="spellStart"/>
      <w:r>
        <w:t>Logius</w:t>
      </w:r>
      <w:proofErr w:type="spellEnd"/>
      <w:r>
        <w:t xml:space="preserve"> voorzieningen. </w:t>
      </w:r>
      <w:proofErr w:type="spellStart"/>
      <w:r>
        <w:t>Logius</w:t>
      </w:r>
      <w:proofErr w:type="spellEnd"/>
      <w:r>
        <w:t xml:space="preserve"> heeft strenge contractuele afspraken met </w:t>
      </w:r>
      <w:proofErr w:type="spellStart"/>
      <w:r>
        <w:t>Solvinity</w:t>
      </w:r>
      <w:proofErr w:type="spellEnd"/>
      <w:r>
        <w:t xml:space="preserve"> dat zij de beschikbaarheid en veiligheid van </w:t>
      </w:r>
      <w:proofErr w:type="spellStart"/>
      <w:r>
        <w:t>DigiD</w:t>
      </w:r>
      <w:proofErr w:type="spellEnd"/>
      <w:r>
        <w:t xml:space="preserve"> moet garanderen.</w:t>
      </w:r>
    </w:p>
    <w:p w:rsidR="004F0D17" w:rsidP="00FB28ED" w:rsidRDefault="004F0D17" w14:paraId="0D9D12E1" w14:textId="77777777"/>
    <w:p w:rsidR="005F0D54" w:rsidP="00FB28ED" w:rsidRDefault="004F0D17" w14:paraId="2885FD88" w14:textId="54350459">
      <w:r>
        <w:t xml:space="preserve">Een besluit in het kader van hoofdstuk 14a van de Telecommunicatiewet ziet op de risico’s van een voorgenomen investering of overname voor het publiek belang. Een dergelijk besluit vormt geen </w:t>
      </w:r>
      <w:r w:rsidR="00F61F08">
        <w:t xml:space="preserve">oordeel </w:t>
      </w:r>
      <w:r>
        <w:t xml:space="preserve">over de operationele continuïteit, stabiliteit of financiële positie van een onderneming, dus ook in dit geval niet over </w:t>
      </w:r>
      <w:proofErr w:type="spellStart"/>
      <w:r>
        <w:t>Solvinity</w:t>
      </w:r>
      <w:proofErr w:type="spellEnd"/>
      <w:r>
        <w:t xml:space="preserve">. Het kabinet blijft in contact met </w:t>
      </w:r>
      <w:proofErr w:type="spellStart"/>
      <w:r>
        <w:t>Solvinity</w:t>
      </w:r>
      <w:proofErr w:type="spellEnd"/>
      <w:r>
        <w:t xml:space="preserve"> over de verdere ontwikkelingen. Over de bedrijfseconomische situatie van individuele ondernemingen doet het kabinet geen uitspraken. </w:t>
      </w:r>
    </w:p>
    <w:p w:rsidR="005F0D54" w:rsidP="00FB28ED" w:rsidRDefault="005F0D54" w14:paraId="375C1B08" w14:textId="77777777"/>
    <w:p w:rsidR="005F0D54" w:rsidP="00FB28ED" w:rsidRDefault="00D709EA" w14:paraId="6385C677" w14:textId="77777777">
      <w:r>
        <w:t>2</w:t>
      </w:r>
    </w:p>
    <w:p w:rsidR="005F0D54" w:rsidP="00FB28ED" w:rsidRDefault="005F44E2" w14:paraId="1E1BA4CA" w14:textId="28CBCAAC">
      <w:r>
        <w:t>Kunt u uiteenzetten welke risico’s er bestaan voor burgers alsmede voor de</w:t>
      </w:r>
      <w:r w:rsidR="00FB28ED">
        <w:t xml:space="preserve"> </w:t>
      </w:r>
      <w:r>
        <w:t xml:space="preserve">overheidsdienstverlening als de huidige situatie langer voortduurt? </w:t>
      </w:r>
    </w:p>
    <w:p w:rsidR="005F0D54" w:rsidP="00FB28ED" w:rsidRDefault="005F0D54" w14:paraId="258D9FE4" w14:textId="77777777"/>
    <w:p w:rsidR="005F0D54" w:rsidP="00FB28ED" w:rsidRDefault="00D709EA" w14:paraId="453BC4BF" w14:textId="77777777">
      <w:r>
        <w:t>Antwoord</w:t>
      </w:r>
    </w:p>
    <w:p w:rsidR="005F0D54" w:rsidP="00FB28ED" w:rsidRDefault="00A97D46" w14:paraId="20F7A1D7" w14:textId="66935BBA">
      <w:proofErr w:type="spellStart"/>
      <w:r>
        <w:t>Logius</w:t>
      </w:r>
      <w:proofErr w:type="spellEnd"/>
      <w:r>
        <w:t xml:space="preserve"> actualiseert het risicoprofiel naar aanleiding van het verbod van de overname. </w:t>
      </w:r>
      <w:r w:rsidRPr="005F44E2" w:rsidR="005F44E2">
        <w:t xml:space="preserve">Indien nodig zal </w:t>
      </w:r>
      <w:r w:rsidR="00232211">
        <w:t xml:space="preserve">het kabinet </w:t>
      </w:r>
      <w:r w:rsidRPr="005F44E2" w:rsidR="005F44E2">
        <w:t xml:space="preserve">stappen nemen om de continuïteit van </w:t>
      </w:r>
      <w:proofErr w:type="spellStart"/>
      <w:r w:rsidRPr="005F44E2" w:rsidR="005F44E2">
        <w:t>DigiD</w:t>
      </w:r>
      <w:proofErr w:type="spellEnd"/>
      <w:r w:rsidRPr="005F44E2" w:rsidR="005F44E2">
        <w:t>, en alle overige overheidsdienstverlening in afstemming met andere overheden te kunnen blijven garanderen.</w:t>
      </w:r>
      <w:r w:rsidR="005F44E2">
        <w:t xml:space="preserve"> </w:t>
      </w:r>
    </w:p>
    <w:p w:rsidR="005F0D54" w:rsidP="00FB28ED" w:rsidRDefault="00D709EA" w14:paraId="57086F66" w14:textId="77777777">
      <w:r>
        <w:br/>
        <w:t>3</w:t>
      </w:r>
    </w:p>
    <w:p w:rsidR="005F0D54" w:rsidP="00FB28ED" w:rsidRDefault="005F44E2" w14:paraId="79A68207" w14:textId="2D768A85">
      <w:r w:rsidRPr="005F44E2">
        <w:t xml:space="preserve">Welke </w:t>
      </w:r>
      <w:proofErr w:type="spellStart"/>
      <w:r w:rsidRPr="005F44E2">
        <w:t>exitstrategie</w:t>
      </w:r>
      <w:proofErr w:type="spellEnd"/>
      <w:r w:rsidRPr="005F44E2">
        <w:t xml:space="preserve"> is er richting 2028, zeker omdat </w:t>
      </w:r>
      <w:proofErr w:type="spellStart"/>
      <w:r w:rsidRPr="005F44E2">
        <w:t>Logius</w:t>
      </w:r>
      <w:proofErr w:type="spellEnd"/>
      <w:r w:rsidRPr="005F44E2">
        <w:t xml:space="preserve">/BZK zelf meldt dat het </w:t>
      </w:r>
      <w:proofErr w:type="spellStart"/>
      <w:r w:rsidRPr="005F44E2">
        <w:t>Solvinity</w:t>
      </w:r>
      <w:proofErr w:type="spellEnd"/>
      <w:r w:rsidRPr="005F44E2">
        <w:t xml:space="preserve"> contract op 27 maart 2026 met twee jaar is verlengd omdat een </w:t>
      </w:r>
      <w:r>
        <w:t>o</w:t>
      </w:r>
      <w:r w:rsidRPr="005F44E2">
        <w:t>verstap vóór augustus 2026 niet veilig werd geacht?</w:t>
      </w:r>
      <w:r>
        <w:t xml:space="preserve"> </w:t>
      </w:r>
    </w:p>
    <w:p w:rsidR="005F0D54" w:rsidP="00FB28ED" w:rsidRDefault="005F0D54" w14:paraId="03D74EEB" w14:textId="77777777"/>
    <w:p w:rsidR="005F0D54" w:rsidP="00FB28ED" w:rsidRDefault="00D709EA" w14:paraId="75FB30F6" w14:textId="77777777">
      <w:r>
        <w:t>Antwoord</w:t>
      </w:r>
    </w:p>
    <w:p w:rsidR="005F0D54" w:rsidP="00FB28ED" w:rsidRDefault="005F44E2" w14:paraId="4391FB95" w14:textId="198725CA">
      <w:pPr>
        <w:rPr>
          <w:rFonts w:eastAsia="Verdana" w:cs="Verdana"/>
          <w:szCs w:val="18"/>
        </w:rPr>
      </w:pPr>
      <w:r w:rsidRPr="000671C5">
        <w:rPr>
          <w:rFonts w:eastAsia="Verdana" w:cs="Verdana"/>
          <w:szCs w:val="18"/>
        </w:rPr>
        <w:t xml:space="preserve">De huidige overeenkomst met </w:t>
      </w:r>
      <w:proofErr w:type="spellStart"/>
      <w:r w:rsidRPr="000671C5">
        <w:rPr>
          <w:rFonts w:eastAsia="Verdana" w:cs="Verdana"/>
          <w:szCs w:val="18"/>
        </w:rPr>
        <w:t>Solvinity</w:t>
      </w:r>
      <w:proofErr w:type="spellEnd"/>
      <w:r w:rsidRPr="000671C5">
        <w:rPr>
          <w:rFonts w:eastAsia="Verdana" w:cs="Verdana"/>
          <w:szCs w:val="18"/>
        </w:rPr>
        <w:t xml:space="preserve"> is op 6 mei 2026 verlengd en loopt uiterlijk af in augustus 2028. Op dit moment worden voor de aanbesteding vanaf 2028 </w:t>
      </w:r>
      <w:r w:rsidRPr="000671C5" w:rsidR="00232211">
        <w:rPr>
          <w:rFonts w:eastAsia="Verdana" w:cs="Verdana"/>
          <w:szCs w:val="18"/>
        </w:rPr>
        <w:t xml:space="preserve">voorbereidingen getroffen </w:t>
      </w:r>
      <w:r w:rsidRPr="000671C5">
        <w:rPr>
          <w:rFonts w:eastAsia="Verdana" w:cs="Verdana"/>
          <w:szCs w:val="18"/>
        </w:rPr>
        <w:t xml:space="preserve">via de Aanbestedingswet Defensie en Veiligheid (ADV). De reden hiervoor is dat de ADV meer mogelijkheden biedt dan een reguliere Europese Aanbesteding om risico’s voor de nationale veiligheid te beperken. Na het selecteren van een contractant geldt een overdrachtsperiode van 6 tot 12 maanden. Voor augustus 2026 had </w:t>
      </w:r>
      <w:proofErr w:type="spellStart"/>
      <w:r w:rsidRPr="000671C5">
        <w:rPr>
          <w:rFonts w:eastAsia="Verdana" w:cs="Verdana"/>
          <w:szCs w:val="18"/>
        </w:rPr>
        <w:t>Logius</w:t>
      </w:r>
      <w:proofErr w:type="spellEnd"/>
      <w:r w:rsidRPr="000671C5">
        <w:rPr>
          <w:rFonts w:eastAsia="Verdana" w:cs="Verdana"/>
          <w:szCs w:val="18"/>
        </w:rPr>
        <w:t xml:space="preserve"> niet de mogelijkheid om zowel het aanbestedingstraject als de overdrachtsperiode te voltooien.</w:t>
      </w:r>
    </w:p>
    <w:p w:rsidR="005F44E2" w:rsidP="00FB28ED" w:rsidRDefault="005F44E2" w14:paraId="49FC8E83" w14:textId="77777777"/>
    <w:p w:rsidR="005F44E2" w:rsidP="00FB28ED" w:rsidRDefault="005F44E2" w14:paraId="0EACA149" w14:textId="09448591">
      <w:r>
        <w:t>4</w:t>
      </w:r>
    </w:p>
    <w:p w:rsidR="005F44E2" w:rsidP="00FB28ED" w:rsidRDefault="005F44E2" w14:paraId="0FB41F46" w14:textId="6508D96E">
      <w:r>
        <w:t xml:space="preserve">Kunt u in het licht van de in de vorige vraag benoemde risico’s, de eerdere namens de JA21-fractie gestelde Kamervragen omtrent de overname van </w:t>
      </w:r>
      <w:proofErr w:type="spellStart"/>
      <w:r>
        <w:t>Solvinity</w:t>
      </w:r>
      <w:proofErr w:type="spellEnd"/>
      <w:r>
        <w:t xml:space="preserve"> </w:t>
      </w:r>
      <w:r>
        <w:lastRenderedPageBreak/>
        <w:t xml:space="preserve">deze week beantwoorden, zodat de risico’s duidelijk in kaart kunnen worden gebracht? </w:t>
      </w:r>
    </w:p>
    <w:p w:rsidR="005F44E2" w:rsidP="00FB28ED" w:rsidRDefault="005F44E2" w14:paraId="0C208B49" w14:textId="77777777"/>
    <w:p w:rsidR="005F44E2" w:rsidP="00FB28ED" w:rsidRDefault="005F44E2" w14:paraId="578C349A" w14:textId="77777777">
      <w:r>
        <w:t>Antwoord</w:t>
      </w:r>
    </w:p>
    <w:p w:rsidR="005F44E2" w:rsidP="00FB28ED" w:rsidRDefault="005F44E2" w14:paraId="51C65A77" w14:textId="77777777">
      <w:pPr>
        <w:rPr>
          <w:szCs w:val="18"/>
        </w:rPr>
      </w:pPr>
      <w:r>
        <w:rPr>
          <w:szCs w:val="18"/>
        </w:rPr>
        <w:t xml:space="preserve">De </w:t>
      </w:r>
      <w:r w:rsidRPr="00895CEC">
        <w:rPr>
          <w:szCs w:val="18"/>
        </w:rPr>
        <w:t xml:space="preserve">eerdere namens de JA21-fractie gestelde Kamervragen </w:t>
      </w:r>
      <w:r>
        <w:rPr>
          <w:szCs w:val="18"/>
        </w:rPr>
        <w:t xml:space="preserve">zijn inmiddels beantwoord. </w:t>
      </w:r>
    </w:p>
    <w:p w:rsidR="005F44E2" w:rsidP="00FB28ED" w:rsidRDefault="005F44E2" w14:paraId="5A967E65" w14:textId="77777777"/>
    <w:p w:rsidR="005F44E2" w:rsidP="00FB28ED" w:rsidRDefault="005F44E2" w14:paraId="4B0C70A8" w14:textId="4E2D1AB2">
      <w:r>
        <w:t>5</w:t>
      </w:r>
    </w:p>
    <w:p w:rsidR="005F44E2" w:rsidP="00FB28ED" w:rsidRDefault="005F44E2" w14:paraId="374AC9AE" w14:textId="452F511A">
      <w:r>
        <w:t xml:space="preserve">Kunt u toelichten op basis van welke criteria, risicoanalyses en wettelijke kaders het BTI-advies tot stand is gekomen? </w:t>
      </w:r>
    </w:p>
    <w:p w:rsidR="005F44E2" w:rsidP="00FB28ED" w:rsidRDefault="005F44E2" w14:paraId="4B27DA39" w14:textId="77777777"/>
    <w:p w:rsidR="005F44E2" w:rsidP="00FB28ED" w:rsidRDefault="005F44E2" w14:paraId="52EB9785" w14:textId="77777777">
      <w:r>
        <w:t>Antwoord</w:t>
      </w:r>
    </w:p>
    <w:p w:rsidR="005F44E2" w:rsidP="00FB28ED" w:rsidRDefault="005F44E2" w14:paraId="1B260935" w14:textId="22754E98">
      <w:pPr>
        <w:rPr>
          <w:szCs w:val="18"/>
        </w:rPr>
      </w:pPr>
      <w:r w:rsidRPr="23F94D02">
        <w:rPr>
          <w:szCs w:val="18"/>
        </w:rPr>
        <w:t xml:space="preserve">Het BTI heeft de voorgenomen overname van </w:t>
      </w:r>
      <w:proofErr w:type="spellStart"/>
      <w:r w:rsidRPr="23F94D02">
        <w:rPr>
          <w:szCs w:val="18"/>
        </w:rPr>
        <w:t>Solvinity</w:t>
      </w:r>
      <w:proofErr w:type="spellEnd"/>
      <w:r w:rsidRPr="23F94D02">
        <w:rPr>
          <w:szCs w:val="18"/>
        </w:rPr>
        <w:t xml:space="preserve"> door </w:t>
      </w:r>
      <w:proofErr w:type="spellStart"/>
      <w:r w:rsidRPr="23F94D02">
        <w:rPr>
          <w:szCs w:val="18"/>
        </w:rPr>
        <w:t>Kyndryl</w:t>
      </w:r>
      <w:proofErr w:type="spellEnd"/>
      <w:r w:rsidRPr="23F94D02">
        <w:rPr>
          <w:szCs w:val="18"/>
        </w:rPr>
        <w:t xml:space="preserve"> getoetst op grond van hoofdstuk 14a van de Telecommunicatiewet (</w:t>
      </w:r>
      <w:proofErr w:type="spellStart"/>
      <w:r w:rsidRPr="23F94D02">
        <w:rPr>
          <w:szCs w:val="18"/>
        </w:rPr>
        <w:t>Tw</w:t>
      </w:r>
      <w:proofErr w:type="spellEnd"/>
      <w:r w:rsidRPr="23F94D02">
        <w:rPr>
          <w:szCs w:val="18"/>
        </w:rPr>
        <w:t>) en het Besluit ongewenste zeggenschap telecommunicatie.</w:t>
      </w:r>
    </w:p>
    <w:p w:rsidRPr="00E36FFF" w:rsidR="005F44E2" w:rsidP="00FB28ED" w:rsidRDefault="005F44E2" w14:paraId="1D3BEB88" w14:textId="77777777">
      <w:pPr>
        <w:rPr>
          <w:szCs w:val="18"/>
        </w:rPr>
      </w:pPr>
    </w:p>
    <w:p w:rsidR="005F44E2" w:rsidP="00FB28ED" w:rsidRDefault="005F44E2" w14:paraId="1EC77981" w14:textId="5DDCCA89">
      <w:pPr>
        <w:rPr>
          <w:szCs w:val="18"/>
        </w:rPr>
      </w:pPr>
      <w:r w:rsidRPr="23F94D02">
        <w:rPr>
          <w:szCs w:val="18"/>
        </w:rPr>
        <w:t xml:space="preserve">De </w:t>
      </w:r>
      <w:proofErr w:type="spellStart"/>
      <w:r w:rsidRPr="23F94D02">
        <w:rPr>
          <w:szCs w:val="18"/>
        </w:rPr>
        <w:t>Tw</w:t>
      </w:r>
      <w:proofErr w:type="spellEnd"/>
      <w:r w:rsidRPr="23F94D02">
        <w:rPr>
          <w:szCs w:val="18"/>
        </w:rPr>
        <w:t xml:space="preserve"> biedt de bevoegdheid </w:t>
      </w:r>
      <w:r w:rsidR="00F47A5C">
        <w:rPr>
          <w:szCs w:val="18"/>
        </w:rPr>
        <w:t xml:space="preserve">tot </w:t>
      </w:r>
      <w:r w:rsidRPr="23F94D02">
        <w:rPr>
          <w:szCs w:val="18"/>
        </w:rPr>
        <w:t xml:space="preserve">het verkrijgen of houden van overwegende zeggenschap in een telecommunicatiepartij te verbieden indien het verkrijgen of houden van deze zeggenschap leidt tot een </w:t>
      </w:r>
      <w:r w:rsidR="00560A06">
        <w:rPr>
          <w:szCs w:val="18"/>
        </w:rPr>
        <w:t xml:space="preserve">risico op een </w:t>
      </w:r>
      <w:r w:rsidRPr="23F94D02">
        <w:rPr>
          <w:szCs w:val="18"/>
        </w:rPr>
        <w:t xml:space="preserve">bedreiging van het publiek belang. Daarbij worden de omstandigheden van het specifieke geval beoordeeld aan de hand van de criteria die in de WOZT (artikel 14a.4) zijn vastgelegd. Hierbij wordt gekeken naar de combinatie van de </w:t>
      </w:r>
      <w:r w:rsidR="00560A06">
        <w:rPr>
          <w:szCs w:val="18"/>
        </w:rPr>
        <w:t xml:space="preserve">kenmerken van de </w:t>
      </w:r>
      <w:r w:rsidRPr="23F94D02">
        <w:rPr>
          <w:szCs w:val="18"/>
        </w:rPr>
        <w:t xml:space="preserve">voorgenomen koper, de </w:t>
      </w:r>
      <w:r w:rsidR="00560A06">
        <w:rPr>
          <w:szCs w:val="18"/>
        </w:rPr>
        <w:t>vormgeving van de</w:t>
      </w:r>
      <w:r w:rsidRPr="23F94D02">
        <w:rPr>
          <w:szCs w:val="18"/>
        </w:rPr>
        <w:t xml:space="preserve"> transactie en de kenmerken van de activiteiten van de doelonderneming, in dit geval </w:t>
      </w:r>
      <w:proofErr w:type="spellStart"/>
      <w:r w:rsidRPr="23F94D02">
        <w:rPr>
          <w:szCs w:val="18"/>
        </w:rPr>
        <w:t>Solvinity</w:t>
      </w:r>
      <w:proofErr w:type="spellEnd"/>
      <w:r w:rsidRPr="23F94D02">
        <w:rPr>
          <w:szCs w:val="18"/>
        </w:rPr>
        <w:t>.</w:t>
      </w:r>
    </w:p>
    <w:p w:rsidRPr="00E36FFF" w:rsidR="005F44E2" w:rsidP="00FB28ED" w:rsidRDefault="005F44E2" w14:paraId="658D0D12" w14:textId="77777777">
      <w:pPr>
        <w:rPr>
          <w:szCs w:val="18"/>
        </w:rPr>
      </w:pPr>
    </w:p>
    <w:p w:rsidR="005F44E2" w:rsidP="00FB28ED" w:rsidRDefault="005F44E2" w14:paraId="3320A8DA" w14:textId="6F3B691E">
      <w:r w:rsidRPr="1A9C77C9">
        <w:rPr>
          <w:szCs w:val="18"/>
        </w:rPr>
        <w:t>Over de inhoud van de beoordeling en de daaraan ten grondslag liggende analyses in individuele gevallen worden geen nadere mededelingen gedaan.</w:t>
      </w:r>
      <w:r>
        <w:t xml:space="preserve"> </w:t>
      </w:r>
    </w:p>
    <w:p w:rsidR="005F44E2" w:rsidP="00FB28ED" w:rsidRDefault="005F44E2" w14:paraId="06FA7D61" w14:textId="77777777"/>
    <w:p w:rsidR="005F44E2" w:rsidP="00FB28ED" w:rsidRDefault="005F44E2" w14:paraId="29482385" w14:textId="5DF2276A">
      <w:r>
        <w:t>6</w:t>
      </w:r>
    </w:p>
    <w:p w:rsidR="005F44E2" w:rsidP="00FB28ED" w:rsidRDefault="005F44E2" w14:paraId="4F877B09" w14:textId="6A4E37CC">
      <w:r>
        <w:t xml:space="preserve">Welke specifieke veiligheids-, afhankelijkheids-, </w:t>
      </w:r>
      <w:proofErr w:type="spellStart"/>
      <w:r>
        <w:t>governance</w:t>
      </w:r>
      <w:proofErr w:type="spellEnd"/>
      <w:r>
        <w:t xml:space="preserve">- of soevereiniteitsrisico’s lagen ten grondslag aan het negatieve oordeel en speelt digitale autonomie hierin ook een rol? </w:t>
      </w:r>
    </w:p>
    <w:p w:rsidR="005F44E2" w:rsidP="00FB28ED" w:rsidRDefault="005F44E2" w14:paraId="1B87DA52" w14:textId="77777777"/>
    <w:p w:rsidR="005F44E2" w:rsidP="00FB28ED" w:rsidRDefault="005F44E2" w14:paraId="45CF2B4B" w14:textId="77777777">
      <w:r>
        <w:t>Antwoord</w:t>
      </w:r>
    </w:p>
    <w:p w:rsidR="005F44E2" w:rsidP="00FB28ED" w:rsidRDefault="005F44E2" w14:paraId="2EF65613" w14:textId="77777777">
      <w:r>
        <w:t>Voor de beantwoording van deze vraag wordt verwezen naar het antwoord op vraag 5. Het kabinet doet geen uitspraken over de specifieke risico’s, analyses of afwegingen die ten grondslag liggen aan de beoordeling van individuele zaken op grond van de Telecommunicatiewet.</w:t>
      </w:r>
    </w:p>
    <w:p w:rsidR="005F44E2" w:rsidP="00FB28ED" w:rsidRDefault="005F44E2" w14:paraId="3B50DF82" w14:textId="77777777"/>
    <w:p w:rsidR="005F44E2" w:rsidP="00FB28ED" w:rsidRDefault="005F44E2" w14:paraId="37BCBC3B" w14:textId="289B5871">
      <w:r>
        <w:t xml:space="preserve">Digitale autonomie is geen afzonderlijk wettelijk criterium binnen de WOZT. Voor zover aspecten die onder de noemer digitale autonomie worden geschaard relevant zijn voor de beoordeling van risico’s voor het publiek belang, kunnen deze worden betrokken in de integrale afweging. Over de toepassing daarvan in individuele gevallen doet het kabinet geen uitspraken. </w:t>
      </w:r>
    </w:p>
    <w:p w:rsidR="005F44E2" w:rsidP="00FB28ED" w:rsidRDefault="005F44E2" w14:paraId="5E8DF10F" w14:textId="77777777"/>
    <w:p w:rsidR="005F44E2" w:rsidP="00FB28ED" w:rsidRDefault="005F44E2" w14:paraId="017C2849" w14:textId="21AE5684">
      <w:r>
        <w:t>7</w:t>
      </w:r>
    </w:p>
    <w:p w:rsidR="005F44E2" w:rsidP="00FB28ED" w:rsidRDefault="005F44E2" w14:paraId="13221F43" w14:textId="7AEF17BB">
      <w:r>
        <w:t xml:space="preserve">Kunt u het volledige BTI-advies, inclusief de onderliggende overwegingen en risicoanalyses met de Kamer delen? </w:t>
      </w:r>
    </w:p>
    <w:p w:rsidR="005F44E2" w:rsidP="00FB28ED" w:rsidRDefault="005F44E2" w14:paraId="1F15FD4C" w14:textId="77777777"/>
    <w:p w:rsidR="005F44E2" w:rsidP="00FB28ED" w:rsidRDefault="005F44E2" w14:paraId="29A3152E" w14:textId="77777777">
      <w:r>
        <w:lastRenderedPageBreak/>
        <w:t>Antwoord</w:t>
      </w:r>
    </w:p>
    <w:p w:rsidR="005F44E2" w:rsidP="00FB28ED" w:rsidRDefault="005F44E2" w14:paraId="70704942" w14:textId="7B652481">
      <w:r w:rsidRPr="005F44E2">
        <w:t>Nee. Het kabinet maakt de onderliggende adviezen, risicoanalyses en vertrouwelijke overwegingen die ten grondslag liggen aan beoordelingen op grond van hoofdstuk 14a van de Telecommunicatiewet niet openbaar. Deze stukken bevatten vertrouwelijke bedrijfsinformatie</w:t>
      </w:r>
      <w:r w:rsidR="00560A06">
        <w:t>, toezichtvertrouwelijke informatie</w:t>
      </w:r>
      <w:r w:rsidRPr="005F44E2">
        <w:t xml:space="preserve"> en informatie die raakt aan de bescherming van de nationale veiligheid. Openbaarmaking zou afbreuk kunnen doen aan de belangen die de wet juist beoogt te beschermen. Het kabinet hecht tegelijkertijd aan een goede informatievoorziening van de Kamer. Daarom is de Kamer in de gelegenheid gesteld om in vertrouwelijke technische briefing te worden geïnformeerd over de BTI-procedure.</w:t>
      </w:r>
      <w:r>
        <w:t xml:space="preserve"> </w:t>
      </w:r>
    </w:p>
    <w:p w:rsidR="005F44E2" w:rsidP="00FB28ED" w:rsidRDefault="005F44E2" w14:paraId="1EB74C5F" w14:textId="77777777"/>
    <w:p w:rsidR="005F44E2" w:rsidP="00FB28ED" w:rsidRDefault="005F44E2" w14:paraId="41419D85" w14:textId="75DFCD90">
      <w:r>
        <w:t>8</w:t>
      </w:r>
    </w:p>
    <w:p w:rsidR="005F44E2" w:rsidP="00FB28ED" w:rsidRDefault="005F44E2" w14:paraId="0D44DF65" w14:textId="70D8E83E">
      <w:r>
        <w:t xml:space="preserve">Op welke exacte grondslag wordt de overname tegengehouden: Wet </w:t>
      </w:r>
      <w:proofErr w:type="spellStart"/>
      <w:r>
        <w:t>Vifo</w:t>
      </w:r>
      <w:proofErr w:type="spellEnd"/>
      <w:r>
        <w:t xml:space="preserve">, hoofdstuk 14a van de Telecommunicatiewet, beide, of andere gronden? Zo ja, welke specifieke gronden? </w:t>
      </w:r>
    </w:p>
    <w:p w:rsidR="005F44E2" w:rsidP="00FB28ED" w:rsidRDefault="005F44E2" w14:paraId="263AE4A2" w14:textId="77777777"/>
    <w:p w:rsidR="005F44E2" w:rsidP="00FB28ED" w:rsidRDefault="005F44E2" w14:paraId="3C61E482" w14:textId="77777777">
      <w:r>
        <w:t>Antwoord</w:t>
      </w:r>
    </w:p>
    <w:p w:rsidR="005F44E2" w:rsidP="00FB28ED" w:rsidRDefault="005F44E2" w14:paraId="128817E9" w14:textId="1FA74346">
      <w:r w:rsidRPr="14F8BE4E">
        <w:rPr>
          <w:szCs w:val="18"/>
        </w:rPr>
        <w:t xml:space="preserve">Zoals aangegeven in de Kamerbrief </w:t>
      </w:r>
      <w:r w:rsidRPr="2A17F14E">
        <w:rPr>
          <w:szCs w:val="18"/>
        </w:rPr>
        <w:t xml:space="preserve">'Besluit investeringstoetsing </w:t>
      </w:r>
      <w:proofErr w:type="spellStart"/>
      <w:r w:rsidRPr="2A17F14E">
        <w:rPr>
          <w:szCs w:val="18"/>
        </w:rPr>
        <w:t>Solvinity</w:t>
      </w:r>
      <w:proofErr w:type="spellEnd"/>
      <w:r w:rsidRPr="2A17F14E">
        <w:rPr>
          <w:szCs w:val="18"/>
        </w:rPr>
        <w:t>'</w:t>
      </w:r>
      <w:r w:rsidRPr="14F8BE4E">
        <w:rPr>
          <w:szCs w:val="18"/>
        </w:rPr>
        <w:t xml:space="preserve"> van 26</w:t>
      </w:r>
      <w:r w:rsidR="00FB28ED">
        <w:rPr>
          <w:szCs w:val="18"/>
        </w:rPr>
        <w:t> </w:t>
      </w:r>
      <w:r w:rsidRPr="14F8BE4E">
        <w:rPr>
          <w:szCs w:val="18"/>
        </w:rPr>
        <w:t xml:space="preserve">mei </w:t>
      </w:r>
      <w:r w:rsidRPr="03C7ED86">
        <w:rPr>
          <w:szCs w:val="18"/>
        </w:rPr>
        <w:t>is d</w:t>
      </w:r>
      <w:r w:rsidRPr="00E36FFF">
        <w:rPr>
          <w:szCs w:val="18"/>
        </w:rPr>
        <w:t xml:space="preserve">e voorgenomen overname beoordeeld </w:t>
      </w:r>
      <w:r w:rsidRPr="4496C54D">
        <w:rPr>
          <w:szCs w:val="18"/>
        </w:rPr>
        <w:t>op grond van hoofdstuk 14a van de Telecommunicatiewet (Wet ongewenste zeggenschap telecommunicatie, WOZT).</w:t>
      </w:r>
      <w:r>
        <w:t xml:space="preserve"> </w:t>
      </w:r>
    </w:p>
    <w:p w:rsidR="005F44E2" w:rsidP="00FB28ED" w:rsidRDefault="005F44E2" w14:paraId="0A0A0078" w14:textId="77777777"/>
    <w:p w:rsidR="005F44E2" w:rsidP="00FB28ED" w:rsidRDefault="005F44E2" w14:paraId="191EBFF0" w14:textId="5AB03BB2">
      <w:r>
        <w:t>9</w:t>
      </w:r>
    </w:p>
    <w:p w:rsidR="005F44E2" w:rsidP="00FB28ED" w:rsidRDefault="005F44E2" w14:paraId="4BB608CB" w14:textId="57ED8220">
      <w:r>
        <w:t xml:space="preserve">Kunt u toelichten welke Europese of nationale technologische alternatieven zijn onderzocht voor de overname van IT-dienst van </w:t>
      </w:r>
      <w:proofErr w:type="spellStart"/>
      <w:r>
        <w:t>DigiD</w:t>
      </w:r>
      <w:proofErr w:type="spellEnd"/>
      <w:r>
        <w:t xml:space="preserve">? Kunt u tevens uitleggen of deze alternatieven van gelijkwaardige technologie zijn als die van </w:t>
      </w:r>
      <w:proofErr w:type="spellStart"/>
      <w:r>
        <w:t>Kyndryl</w:t>
      </w:r>
      <w:proofErr w:type="spellEnd"/>
      <w:r>
        <w:t xml:space="preserve">, aangezien blijkt dat Europa en Nederland, de Verenigde Staten niet kunnen bijbenen op het gebied van technologische innovatie op vele gebieden? </w:t>
      </w:r>
    </w:p>
    <w:p w:rsidR="005F44E2" w:rsidP="00FB28ED" w:rsidRDefault="005F44E2" w14:paraId="217C2CD7" w14:textId="77777777"/>
    <w:p w:rsidR="005F44E2" w:rsidP="00FB28ED" w:rsidRDefault="005F44E2" w14:paraId="33D0E675" w14:textId="77777777">
      <w:r>
        <w:t>Antwoord</w:t>
      </w:r>
    </w:p>
    <w:p w:rsidR="005F44E2" w:rsidP="00FB28ED" w:rsidRDefault="005F44E2" w14:paraId="7025F2BD" w14:textId="5113F1C5">
      <w:r w:rsidRPr="000671C5">
        <w:rPr>
          <w:rFonts w:eastAsia="Verdana" w:cs="Verdana"/>
          <w:szCs w:val="18"/>
        </w:rPr>
        <w:t xml:space="preserve">In 2020 is door </w:t>
      </w:r>
      <w:proofErr w:type="spellStart"/>
      <w:r w:rsidRPr="000671C5">
        <w:rPr>
          <w:rFonts w:eastAsia="Verdana" w:cs="Verdana"/>
          <w:szCs w:val="18"/>
        </w:rPr>
        <w:t>Logius</w:t>
      </w:r>
      <w:proofErr w:type="spellEnd"/>
      <w:r w:rsidRPr="000671C5">
        <w:rPr>
          <w:rFonts w:eastAsia="Verdana" w:cs="Verdana"/>
          <w:szCs w:val="18"/>
        </w:rPr>
        <w:t xml:space="preserve"> een Europese aanbesteding uitgezet in de markt voor het leveren van IT-diensten. Deze aanbesteding is uitgezet onder strenge voorwaarden zodat de continuïteit en veiligheid van voorzieningen gewaarborgd blijft. </w:t>
      </w:r>
      <w:proofErr w:type="spellStart"/>
      <w:r w:rsidRPr="000671C5">
        <w:rPr>
          <w:rFonts w:eastAsia="Verdana" w:cs="Verdana"/>
          <w:szCs w:val="18"/>
        </w:rPr>
        <w:t>Solvinity</w:t>
      </w:r>
      <w:proofErr w:type="spellEnd"/>
      <w:r w:rsidRPr="000671C5">
        <w:rPr>
          <w:rFonts w:eastAsia="Verdana" w:cs="Verdana"/>
          <w:szCs w:val="18"/>
        </w:rPr>
        <w:t xml:space="preserve"> is destijds geselecteerd als contractant en met </w:t>
      </w:r>
      <w:proofErr w:type="spellStart"/>
      <w:r w:rsidRPr="000671C5">
        <w:rPr>
          <w:rFonts w:eastAsia="Verdana" w:cs="Verdana"/>
          <w:szCs w:val="18"/>
        </w:rPr>
        <w:t>Solvinity</w:t>
      </w:r>
      <w:proofErr w:type="spellEnd"/>
      <w:r w:rsidRPr="000671C5">
        <w:rPr>
          <w:rFonts w:eastAsia="Verdana" w:cs="Verdana"/>
          <w:szCs w:val="18"/>
        </w:rPr>
        <w:t xml:space="preserve"> zijn contractuele afspraken gemaakt. De diensten die </w:t>
      </w:r>
      <w:proofErr w:type="spellStart"/>
      <w:r w:rsidRPr="000671C5">
        <w:rPr>
          <w:rFonts w:eastAsia="Verdana" w:cs="Verdana"/>
          <w:szCs w:val="18"/>
        </w:rPr>
        <w:t>Solvinity</w:t>
      </w:r>
      <w:proofErr w:type="spellEnd"/>
      <w:r w:rsidRPr="000671C5">
        <w:rPr>
          <w:rFonts w:eastAsia="Verdana" w:cs="Verdana"/>
          <w:szCs w:val="18"/>
        </w:rPr>
        <w:t xml:space="preserve"> levert aan </w:t>
      </w:r>
      <w:proofErr w:type="spellStart"/>
      <w:r w:rsidRPr="000671C5">
        <w:rPr>
          <w:rFonts w:eastAsia="Verdana" w:cs="Verdana"/>
          <w:szCs w:val="18"/>
        </w:rPr>
        <w:t>Logius</w:t>
      </w:r>
      <w:proofErr w:type="spellEnd"/>
      <w:r w:rsidRPr="000671C5">
        <w:rPr>
          <w:rFonts w:eastAsia="Verdana" w:cs="Verdana"/>
          <w:szCs w:val="18"/>
        </w:rPr>
        <w:t xml:space="preserve"> zijn niet uniek en kunnen bij meerdere leveranciers worden afgenomen. Het voorbereiden van een aanbesteding en de overdracht kost echter tijd. Zoals in de beantwoording op vraag 3 aangegeven bereidt </w:t>
      </w:r>
      <w:proofErr w:type="spellStart"/>
      <w:r w:rsidRPr="000671C5">
        <w:rPr>
          <w:rFonts w:eastAsia="Verdana" w:cs="Verdana"/>
          <w:szCs w:val="18"/>
        </w:rPr>
        <w:t>Logius</w:t>
      </w:r>
      <w:proofErr w:type="spellEnd"/>
      <w:r w:rsidRPr="000671C5">
        <w:rPr>
          <w:rFonts w:eastAsia="Verdana" w:cs="Verdana"/>
          <w:szCs w:val="18"/>
        </w:rPr>
        <w:t xml:space="preserve"> nu de aanbesteding voor 2028 voor. Dit betekent niet dat we inleveren op kwaliteit van de dienstverlening en veiligheid van burgers.</w:t>
      </w:r>
      <w:r>
        <w:t xml:space="preserve"> </w:t>
      </w:r>
    </w:p>
    <w:p w:rsidR="005F44E2" w:rsidP="00FB28ED" w:rsidRDefault="005F44E2" w14:paraId="7ADE2D80" w14:textId="77777777"/>
    <w:p w:rsidR="005F44E2" w:rsidP="00FB28ED" w:rsidRDefault="005F44E2" w14:paraId="0CB63FD3" w14:textId="4EF6491F">
      <w:r>
        <w:t>10</w:t>
      </w:r>
    </w:p>
    <w:p w:rsidR="005F44E2" w:rsidP="00FB28ED" w:rsidRDefault="005F44E2" w14:paraId="46BB2DA3" w14:textId="157FBC3D">
      <w:r>
        <w:t xml:space="preserve">Kunt u uitleggen dat indien het alternatief niet van gelijkwaardige technologische kwaliteit is, er voldoende rekening is gehouden met het verhoogde risico op cyberaanvallen en daarmee met de veiligheid van burgers? </w:t>
      </w:r>
    </w:p>
    <w:p w:rsidR="005F44E2" w:rsidP="00FB28ED" w:rsidRDefault="005F44E2" w14:paraId="15D29198" w14:textId="77777777"/>
    <w:p w:rsidR="005F44E2" w:rsidP="00FB28ED" w:rsidRDefault="005F44E2" w14:paraId="4A2843B8" w14:textId="77777777">
      <w:r>
        <w:t>Antwoord</w:t>
      </w:r>
    </w:p>
    <w:p w:rsidR="005F44E2" w:rsidP="00FB28ED" w:rsidRDefault="005F44E2" w14:paraId="05BAB8F9" w14:textId="6DC9E2C4">
      <w:r w:rsidRPr="1A9C77C9">
        <w:rPr>
          <w:rFonts w:eastAsia="Verdana" w:cs="Verdana"/>
          <w:szCs w:val="18"/>
        </w:rPr>
        <w:t>Zie antwoord op vraag 9.</w:t>
      </w:r>
      <w:r>
        <w:t xml:space="preserve"> </w:t>
      </w:r>
    </w:p>
    <w:p w:rsidR="005F44E2" w:rsidP="00FB28ED" w:rsidRDefault="005F44E2" w14:paraId="6756D4BD" w14:textId="77777777"/>
    <w:p w:rsidR="005F44E2" w:rsidP="00FB28ED" w:rsidRDefault="005F44E2" w14:paraId="16E7184B" w14:textId="0AE6BDB4">
      <w:r>
        <w:t>11</w:t>
      </w:r>
    </w:p>
    <w:p w:rsidR="005F44E2" w:rsidP="00FB28ED" w:rsidRDefault="005F44E2" w14:paraId="3A9BA547" w14:textId="6FCBE75B">
      <w:r>
        <w:t xml:space="preserve">Welke gevolgen verwacht het kabinet dat dit oordeel heeft voor het investerings- en vestigingsklimaat voor internationale technologiebedrijven in Nederland? </w:t>
      </w:r>
    </w:p>
    <w:p w:rsidR="005F44E2" w:rsidP="00FB28ED" w:rsidRDefault="005F44E2" w14:paraId="002058D5" w14:textId="77777777"/>
    <w:p w:rsidR="005F44E2" w:rsidP="00FB28ED" w:rsidRDefault="005F44E2" w14:paraId="73FC9428" w14:textId="77777777">
      <w:r>
        <w:t>Antwoord</w:t>
      </w:r>
    </w:p>
    <w:p w:rsidR="005F44E2" w:rsidP="00FB28ED" w:rsidRDefault="005F44E2" w14:paraId="0A50651D" w14:textId="77777777">
      <w:r>
        <w:t>Nederland heeft een open economie en een aantrekkelijk investerings- en vestigingsklimaat voor nationale en internationale ondernemingen. Het kabinet hecht grote waarde aan buitenlandse investeringen, die bijdragen aan innovatie, werkgelegenheid en economische groei.</w:t>
      </w:r>
    </w:p>
    <w:p w:rsidR="005F44E2" w:rsidP="00FB28ED" w:rsidRDefault="005F44E2" w14:paraId="4943C04F" w14:textId="77777777"/>
    <w:p w:rsidR="005F44E2" w:rsidP="00FB28ED" w:rsidRDefault="005F44E2" w14:paraId="47356812" w14:textId="77777777">
      <w:r>
        <w:t xml:space="preserve">Tegelijkertijd is het van belang dat de nationale veiligheid en andere zwaarwegende publieke belangen adequaat worden beschermd. Instrumenten zoals de Wet ongewenste zeggenschap telecommunicatie zijn bedoeld voor situaties waarin dergelijke belangen in het geding kunnen zijn. Deze instrumenten worden indien nodig toegepast en de beoordeling vindt zorgvuldig plaats op basis van de wettelijke criteria en de specifieke omstandigheden van het geval. </w:t>
      </w:r>
    </w:p>
    <w:p w:rsidR="005F44E2" w:rsidP="00FB28ED" w:rsidRDefault="005F44E2" w14:paraId="66E65E6B" w14:textId="77777777"/>
    <w:p w:rsidR="005F44E2" w:rsidP="00FB28ED" w:rsidRDefault="005F44E2" w14:paraId="3BCCA5E3" w14:textId="527FA3E2">
      <w:r>
        <w:t xml:space="preserve">Uit een evaluatie van de investeringstoetsen (Wet ongewenste zeggenschap telecommunicatie en Wet veiligheidstoets investeringen, fusies en overnames) van najaar 2025 komt naar voren dat de impact op het investeringsklimaat door deze toetsen te overzien lijkt, mede door de gerichte aanpak. Het kabinet is van oordeel dat een helder, voorspelbaar en wettelijk verankerd toetsingskader bijdraagt aan een stabiel investeringsklimaat. Het is niet mogelijk om vast te stellen welke concrete gevolgen een individueel besluit heeft voor toekomstige investerings- of vestigingsbeslissingen van ondernemingen. </w:t>
      </w:r>
    </w:p>
    <w:p w:rsidR="005F44E2" w:rsidP="00FB28ED" w:rsidRDefault="005F44E2" w14:paraId="3504D825" w14:textId="77777777"/>
    <w:p w:rsidR="005F44E2" w:rsidP="00FB28ED" w:rsidRDefault="005F44E2" w14:paraId="6D87F5BA" w14:textId="0A30DADE">
      <w:r>
        <w:t>12</w:t>
      </w:r>
    </w:p>
    <w:p w:rsidR="005F44E2" w:rsidP="00FB28ED" w:rsidRDefault="005F44E2" w14:paraId="34B81DF0" w14:textId="7BB4F48B">
      <w:r>
        <w:t>Binnen welke termijn verwacht het kabinet duidelijkheid te kunnen geven over een definitieve oplossing?</w:t>
      </w:r>
    </w:p>
    <w:p w:rsidR="005F44E2" w:rsidP="00FB28ED" w:rsidRDefault="005F44E2" w14:paraId="2F52B450" w14:textId="77777777"/>
    <w:p w:rsidR="005F44E2" w:rsidP="00FB28ED" w:rsidRDefault="005F44E2" w14:paraId="1661426D" w14:textId="77777777">
      <w:r>
        <w:t>Antwoord</w:t>
      </w:r>
    </w:p>
    <w:p w:rsidR="005F44E2" w:rsidP="00FB28ED" w:rsidRDefault="005F44E2" w14:paraId="65501BCF" w14:textId="586ADEE7">
      <w:r w:rsidRPr="005F44E2">
        <w:t xml:space="preserve">Met het besluit op grond van de WOZT vindt er thans geen wijziging van de zeggenschap van </w:t>
      </w:r>
      <w:proofErr w:type="spellStart"/>
      <w:r w:rsidRPr="005F44E2">
        <w:t>Solvinity</w:t>
      </w:r>
      <w:proofErr w:type="spellEnd"/>
      <w:r w:rsidRPr="005F44E2">
        <w:t xml:space="preserve"> plaats. Het is aan de betrokken marktpartijen te beoordelen welke vervolgstappen zij willen zetten. Het kabinet zal de situatie blijven monitoren zodat de continuïteit en kwaliteit van de dienstverlening van </w:t>
      </w:r>
      <w:proofErr w:type="spellStart"/>
      <w:r w:rsidRPr="005F44E2">
        <w:t>Solvinity</w:t>
      </w:r>
      <w:proofErr w:type="spellEnd"/>
      <w:r w:rsidRPr="005F44E2">
        <w:t xml:space="preserve"> geborgd blijft.</w:t>
      </w:r>
    </w:p>
    <w:p w:rsidR="005F44E2" w:rsidP="00FB28ED" w:rsidRDefault="005F44E2" w14:paraId="2042176B" w14:textId="77777777"/>
    <w:p w:rsidR="005F44E2" w:rsidP="00FB28ED" w:rsidRDefault="005F44E2" w14:paraId="18C0AC20" w14:textId="620E178F">
      <w:r>
        <w:t>13</w:t>
      </w:r>
    </w:p>
    <w:p w:rsidR="005F44E2" w:rsidP="00FB28ED" w:rsidRDefault="005F44E2" w14:paraId="329803A5" w14:textId="1457EDE2">
      <w:r>
        <w:t>Kunt u uitleggen waarom betrokkenheid van internationale technologiepartijen binnen het GRIP-</w:t>
      </w:r>
      <w:proofErr w:type="spellStart"/>
      <w:r>
        <w:t>ITproject</w:t>
      </w:r>
      <w:proofErr w:type="spellEnd"/>
      <w:r>
        <w:t xml:space="preserve"> van Defensie wel verenigbaar werd geacht met nationale veiligheidsbelangen, nota bene bij de hervorming van de Defensie-ICT, terwijl in de onderhavige casus een negatief </w:t>
      </w:r>
      <w:proofErr w:type="spellStart"/>
      <w:r>
        <w:t>BTIoordeel</w:t>
      </w:r>
      <w:proofErr w:type="spellEnd"/>
      <w:r>
        <w:t xml:space="preserve"> is afgegeven? </w:t>
      </w:r>
    </w:p>
    <w:p w:rsidR="005F44E2" w:rsidP="00FB28ED" w:rsidRDefault="005F44E2" w14:paraId="0CD09761" w14:textId="77777777"/>
    <w:p w:rsidR="005F44E2" w:rsidP="00FB28ED" w:rsidRDefault="005F44E2" w14:paraId="394C0DD3" w14:textId="77777777">
      <w:r>
        <w:t>Antwoord</w:t>
      </w:r>
    </w:p>
    <w:p w:rsidR="005F44E2" w:rsidP="00FB28ED" w:rsidRDefault="005F44E2" w14:paraId="35BB2A39" w14:textId="50FE6A9A">
      <w:r w:rsidRPr="005F44E2">
        <w:t xml:space="preserve">Deze situaties zijn niet rechtstreeks vergelijkbaar. Een contractuele samenwerking verschilt wezenlijk van een wijziging van zeggenschap over een onderneming. Iedere casus onder investeringstoetsing wordt beoordeeld op basis van de specifieke feiten en omstandigheden en het toepasselijke wettelijke kader. Over </w:t>
      </w:r>
      <w:r w:rsidRPr="005F44E2">
        <w:lastRenderedPageBreak/>
        <w:t>de onderliggende risicoanalyses in individuele dossiers doet het kabinet geen uitspraken. Voor de precieze inrichting en afweging ten aanzien van het GRIT project bij Defensie, verwijs ik u door naar de Minister en/of staatssecretaris van Defensie.</w:t>
      </w:r>
      <w:r>
        <w:t xml:space="preserve"> </w:t>
      </w:r>
    </w:p>
    <w:p w:rsidR="005F44E2" w:rsidP="00FB28ED" w:rsidRDefault="005F44E2" w14:paraId="684FACFD" w14:textId="77777777"/>
    <w:p w:rsidR="005F44E2" w:rsidP="00FB28ED" w:rsidRDefault="005F44E2" w14:paraId="6622225A" w14:textId="792A76B1">
      <w:r>
        <w:t>14</w:t>
      </w:r>
    </w:p>
    <w:p w:rsidR="005F44E2" w:rsidP="00FB28ED" w:rsidRDefault="005F44E2" w14:paraId="468CB4F5" w14:textId="3E50BF61">
      <w:r>
        <w:t xml:space="preserve">Welke lessen worden getrokken voor toekomstige aanbestedingen van vitale digitale Infrastructuur? </w:t>
      </w:r>
    </w:p>
    <w:p w:rsidR="005F44E2" w:rsidP="00FB28ED" w:rsidRDefault="005F44E2" w14:paraId="1F06F8D1" w14:textId="77777777"/>
    <w:p w:rsidR="005F44E2" w:rsidP="00FB28ED" w:rsidRDefault="005F44E2" w14:paraId="69842D49" w14:textId="77777777">
      <w:r>
        <w:t>Antwoord</w:t>
      </w:r>
    </w:p>
    <w:p w:rsidR="005F44E2" w:rsidP="00FB28ED" w:rsidRDefault="005F44E2" w14:paraId="0ECA2EAD" w14:textId="29680FE6">
      <w:r>
        <w:rPr>
          <w:szCs w:val="18"/>
        </w:rPr>
        <w:t xml:space="preserve">Wat betreft toekomstige aanbestedingen van vitale digitale infrastructuur bouwt het kabinet voort op het </w:t>
      </w:r>
      <w:proofErr w:type="spellStart"/>
      <w:r>
        <w:rPr>
          <w:szCs w:val="18"/>
        </w:rPr>
        <w:t>ABDTOPConsult</w:t>
      </w:r>
      <w:proofErr w:type="spellEnd"/>
      <w:r>
        <w:rPr>
          <w:szCs w:val="18"/>
        </w:rPr>
        <w:t xml:space="preserve"> rapport </w:t>
      </w:r>
      <w:bookmarkStart w:name="OLE_LINK19" w:id="0"/>
      <w:r w:rsidRPr="000671C5">
        <w:rPr>
          <w:szCs w:val="18"/>
        </w:rPr>
        <w:t>“Van kwetsbaar naar weerbaar. Geleerde lessen uit dreigende acute en langdurige uitval van uitbestede ICT-dienstverlening bij overheidsorganisaties” dat vorig jaar met de Kamer is gedeeld [29362 nr.388]</w:t>
      </w:r>
      <w:r>
        <w:rPr>
          <w:szCs w:val="18"/>
        </w:rPr>
        <w:t>. Dit rapport</w:t>
      </w:r>
      <w:r w:rsidRPr="000671C5">
        <w:rPr>
          <w:szCs w:val="18"/>
        </w:rPr>
        <w:t xml:space="preserve"> </w:t>
      </w:r>
      <w:bookmarkEnd w:id="0"/>
      <w:r w:rsidRPr="000671C5">
        <w:rPr>
          <w:szCs w:val="18"/>
        </w:rPr>
        <w:t xml:space="preserve">verwoordt lessen en geeft concrete </w:t>
      </w:r>
      <w:r w:rsidR="00F47A5C">
        <w:rPr>
          <w:szCs w:val="18"/>
        </w:rPr>
        <w:t xml:space="preserve">en bruikbare </w:t>
      </w:r>
      <w:r w:rsidRPr="000671C5">
        <w:rPr>
          <w:szCs w:val="18"/>
        </w:rPr>
        <w:t>aanbevelingen</w:t>
      </w:r>
      <w:r w:rsidR="00F47A5C">
        <w:rPr>
          <w:szCs w:val="18"/>
        </w:rPr>
        <w:t xml:space="preserve"> </w:t>
      </w:r>
      <w:r w:rsidRPr="000671C5">
        <w:rPr>
          <w:szCs w:val="18"/>
        </w:rPr>
        <w:t xml:space="preserve">om risico’s stapsgewijs te mitigeren, </w:t>
      </w:r>
      <w:r w:rsidR="00F47A5C">
        <w:rPr>
          <w:szCs w:val="18"/>
        </w:rPr>
        <w:t xml:space="preserve">de </w:t>
      </w:r>
      <w:r w:rsidRPr="000671C5">
        <w:rPr>
          <w:szCs w:val="18"/>
        </w:rPr>
        <w:t xml:space="preserve">eerste stappen daartoe </w:t>
      </w:r>
      <w:r w:rsidRPr="000671C5" w:rsidR="00F47A5C">
        <w:rPr>
          <w:szCs w:val="18"/>
        </w:rPr>
        <w:t xml:space="preserve">zijn </w:t>
      </w:r>
      <w:r w:rsidRPr="000671C5">
        <w:rPr>
          <w:szCs w:val="18"/>
        </w:rPr>
        <w:t>inmiddels gezet.</w:t>
      </w:r>
      <w:r>
        <w:t xml:space="preserve"> </w:t>
      </w:r>
    </w:p>
    <w:p w:rsidR="005F44E2" w:rsidP="00FB28ED" w:rsidRDefault="005F44E2" w14:paraId="7D6D5E90" w14:textId="77777777"/>
    <w:p w:rsidR="005F44E2" w:rsidP="00FB28ED" w:rsidRDefault="005F44E2" w14:paraId="438797E8" w14:textId="183F8228">
      <w:r>
        <w:t>15</w:t>
      </w:r>
    </w:p>
    <w:p w:rsidRPr="005F44E2" w:rsidR="005F44E2" w:rsidP="00FB28ED" w:rsidRDefault="005F44E2" w14:paraId="43DB70F4" w14:textId="65D45AB4">
      <w:r w:rsidRPr="005F44E2">
        <w:rPr>
          <w:szCs w:val="18"/>
        </w:rPr>
        <w:t>Wat wordt aan burgers verteld behalve "</w:t>
      </w:r>
      <w:proofErr w:type="spellStart"/>
      <w:r w:rsidRPr="005F44E2">
        <w:rPr>
          <w:szCs w:val="18"/>
        </w:rPr>
        <w:t>DigiD</w:t>
      </w:r>
      <w:proofErr w:type="spellEnd"/>
      <w:r w:rsidRPr="005F44E2">
        <w:rPr>
          <w:szCs w:val="18"/>
        </w:rPr>
        <w:t xml:space="preserve"> blijft werken"?</w:t>
      </w:r>
      <w:r w:rsidRPr="005F44E2">
        <w:t xml:space="preserve"> </w:t>
      </w:r>
    </w:p>
    <w:p w:rsidR="005F44E2" w:rsidP="00FB28ED" w:rsidRDefault="005F44E2" w14:paraId="54891A07" w14:textId="77777777"/>
    <w:p w:rsidR="005F44E2" w:rsidP="00FB28ED" w:rsidRDefault="005F44E2" w14:paraId="2AB87322" w14:textId="77777777">
      <w:r>
        <w:t>Antwoord</w:t>
      </w:r>
    </w:p>
    <w:p w:rsidR="005F44E2" w:rsidP="00FB28ED" w:rsidRDefault="00232211" w14:paraId="69894FDD" w14:textId="3127699A">
      <w:pPr>
        <w:rPr>
          <w:b/>
          <w:bCs/>
          <w:szCs w:val="18"/>
          <w:highlight w:val="yellow"/>
        </w:rPr>
      </w:pPr>
      <w:r>
        <w:rPr>
          <w:rFonts w:eastAsia="Verdana" w:cs="Verdana"/>
          <w:szCs w:val="18"/>
        </w:rPr>
        <w:t>Gebruikers</w:t>
      </w:r>
      <w:r w:rsidRPr="000671C5" w:rsidR="005F44E2">
        <w:rPr>
          <w:rFonts w:eastAsia="Verdana" w:cs="Verdana"/>
          <w:szCs w:val="18"/>
        </w:rPr>
        <w:t xml:space="preserve"> kunnen hun </w:t>
      </w:r>
      <w:proofErr w:type="spellStart"/>
      <w:r w:rsidRPr="000671C5" w:rsidR="005F44E2">
        <w:rPr>
          <w:rFonts w:eastAsia="Verdana" w:cs="Verdana"/>
          <w:szCs w:val="18"/>
        </w:rPr>
        <w:t>DigiD</w:t>
      </w:r>
      <w:proofErr w:type="spellEnd"/>
      <w:r w:rsidRPr="000671C5" w:rsidR="005F44E2">
        <w:rPr>
          <w:rFonts w:eastAsia="Verdana" w:cs="Verdana"/>
          <w:szCs w:val="18"/>
        </w:rPr>
        <w:t xml:space="preserve"> blijven gebruiken zoals altijd. Zoals in de beantwoording van vraag 1 beschreven zijn er strenge contractuele afspraken met </w:t>
      </w:r>
      <w:proofErr w:type="spellStart"/>
      <w:r w:rsidRPr="000671C5" w:rsidR="005F44E2">
        <w:rPr>
          <w:rFonts w:eastAsia="Verdana" w:cs="Verdana"/>
          <w:szCs w:val="18"/>
        </w:rPr>
        <w:t>Solvinity</w:t>
      </w:r>
      <w:proofErr w:type="spellEnd"/>
      <w:r w:rsidRPr="000671C5" w:rsidR="005F44E2">
        <w:rPr>
          <w:rFonts w:eastAsia="Verdana" w:cs="Verdana"/>
          <w:szCs w:val="18"/>
        </w:rPr>
        <w:t xml:space="preserve"> waarin staat vastgelegd dat z</w:t>
      </w:r>
      <w:r>
        <w:rPr>
          <w:rFonts w:eastAsia="Verdana" w:cs="Verdana"/>
          <w:szCs w:val="18"/>
        </w:rPr>
        <w:t>ij</w:t>
      </w:r>
      <w:r w:rsidRPr="000671C5" w:rsidR="005F44E2">
        <w:rPr>
          <w:rFonts w:eastAsia="Verdana" w:cs="Verdana"/>
          <w:szCs w:val="18"/>
        </w:rPr>
        <w:t xml:space="preserve"> de beschikbaarheid en veiligheid van </w:t>
      </w:r>
      <w:proofErr w:type="spellStart"/>
      <w:r w:rsidRPr="000671C5" w:rsidR="005F44E2">
        <w:rPr>
          <w:rFonts w:eastAsia="Verdana" w:cs="Verdana"/>
          <w:szCs w:val="18"/>
        </w:rPr>
        <w:t>DigiD</w:t>
      </w:r>
      <w:proofErr w:type="spellEnd"/>
      <w:r w:rsidRPr="000671C5" w:rsidR="005F44E2">
        <w:rPr>
          <w:rFonts w:eastAsia="Verdana" w:cs="Verdana"/>
          <w:szCs w:val="18"/>
        </w:rPr>
        <w:t xml:space="preserve"> moet garanderen. </w:t>
      </w:r>
      <w:proofErr w:type="spellStart"/>
      <w:r w:rsidRPr="000671C5" w:rsidR="005F44E2">
        <w:rPr>
          <w:rFonts w:eastAsia="Verdana" w:cs="Verdana"/>
          <w:szCs w:val="18"/>
        </w:rPr>
        <w:t>Logius</w:t>
      </w:r>
      <w:proofErr w:type="spellEnd"/>
      <w:r w:rsidRPr="000671C5" w:rsidR="005F44E2">
        <w:rPr>
          <w:rFonts w:eastAsia="Verdana" w:cs="Verdana"/>
          <w:szCs w:val="18"/>
        </w:rPr>
        <w:t xml:space="preserve"> communiceert actief op de </w:t>
      </w:r>
      <w:proofErr w:type="spellStart"/>
      <w:r w:rsidRPr="000671C5" w:rsidR="005F44E2">
        <w:rPr>
          <w:rFonts w:eastAsia="Verdana" w:cs="Verdana"/>
          <w:szCs w:val="18"/>
        </w:rPr>
        <w:t>DigiD</w:t>
      </w:r>
      <w:proofErr w:type="spellEnd"/>
      <w:r w:rsidRPr="000671C5" w:rsidR="005F44E2">
        <w:rPr>
          <w:rFonts w:eastAsia="Verdana" w:cs="Verdana"/>
          <w:szCs w:val="18"/>
        </w:rPr>
        <w:t xml:space="preserve"> website wanneer er nieuwe ontwikkelingen zijn rondom </w:t>
      </w:r>
      <w:proofErr w:type="spellStart"/>
      <w:r w:rsidRPr="000671C5" w:rsidR="005F44E2">
        <w:rPr>
          <w:rFonts w:eastAsia="Verdana" w:cs="Verdana"/>
          <w:szCs w:val="18"/>
        </w:rPr>
        <w:t>Solvinity</w:t>
      </w:r>
      <w:proofErr w:type="spellEnd"/>
      <w:r w:rsidRPr="000671C5" w:rsidR="005F44E2">
        <w:rPr>
          <w:rFonts w:eastAsia="Verdana" w:cs="Verdana"/>
          <w:szCs w:val="18"/>
        </w:rPr>
        <w:t>.</w:t>
      </w:r>
    </w:p>
    <w:p w:rsidR="005F44E2" w:rsidP="00FB28ED" w:rsidRDefault="005F44E2" w14:paraId="1D21F6CA" w14:textId="77777777"/>
    <w:p w:rsidR="005F44E2" w:rsidP="00FB28ED" w:rsidRDefault="005F44E2" w14:paraId="25010F7C" w14:textId="46B2B737">
      <w:r>
        <w:t>16</w:t>
      </w:r>
    </w:p>
    <w:p w:rsidR="005F44E2" w:rsidP="00FB28ED" w:rsidRDefault="005F44E2" w14:paraId="34BBC138" w14:textId="52A94A60">
      <w:r w:rsidRPr="005F44E2">
        <w:t>Kunt u de vragen los van elkaar en op de kortst mogelijke termijn beantwoorden?</w:t>
      </w:r>
      <w:r>
        <w:t xml:space="preserve"> </w:t>
      </w:r>
    </w:p>
    <w:p w:rsidR="005F44E2" w:rsidP="00FB28ED" w:rsidRDefault="005F44E2" w14:paraId="21F04B86" w14:textId="77777777"/>
    <w:p w:rsidR="005F44E2" w:rsidP="00FB28ED" w:rsidRDefault="005F44E2" w14:paraId="1A8E26C7" w14:textId="77777777">
      <w:r>
        <w:t>Antwoord</w:t>
      </w:r>
    </w:p>
    <w:p w:rsidR="00D22441" w:rsidP="00FB28ED" w:rsidRDefault="005F44E2" w14:paraId="557F347A" w14:textId="19B92A3A">
      <w:r>
        <w:t>Ja.</w:t>
      </w:r>
    </w:p>
    <w:sectPr w:rsidR="00D2244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DDDD" w14:textId="77777777" w:rsidR="00D709EA" w:rsidRDefault="00D709EA">
      <w:r>
        <w:separator/>
      </w:r>
    </w:p>
    <w:p w14:paraId="26BD51E9" w14:textId="77777777" w:rsidR="00D709EA" w:rsidRDefault="00D709EA"/>
  </w:endnote>
  <w:endnote w:type="continuationSeparator" w:id="0">
    <w:p w14:paraId="2E00D661" w14:textId="77777777" w:rsidR="00D709EA" w:rsidRDefault="00D709EA">
      <w:r>
        <w:continuationSeparator/>
      </w:r>
    </w:p>
    <w:p w14:paraId="712D1888" w14:textId="77777777" w:rsidR="00D709EA" w:rsidRDefault="00D70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8E3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239D" w14:paraId="273F32AA" w14:textId="77777777" w:rsidTr="00CA6A25">
      <w:trPr>
        <w:trHeight w:hRule="exact" w:val="240"/>
      </w:trPr>
      <w:tc>
        <w:tcPr>
          <w:tcW w:w="7601" w:type="dxa"/>
        </w:tcPr>
        <w:p w14:paraId="0E0A913B" w14:textId="77777777" w:rsidR="00527BD4" w:rsidRDefault="00527BD4" w:rsidP="003F1F6B">
          <w:pPr>
            <w:pStyle w:val="Huisstijl-Rubricering"/>
          </w:pPr>
        </w:p>
      </w:tc>
      <w:tc>
        <w:tcPr>
          <w:tcW w:w="2156" w:type="dxa"/>
        </w:tcPr>
        <w:p w14:paraId="46723A9B" w14:textId="3B08FE7F" w:rsidR="00527BD4" w:rsidRPr="00645414" w:rsidRDefault="00D709E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2E2C2C">
            <w:t>6</w:t>
          </w:r>
          <w:r w:rsidR="00721AE1">
            <w:fldChar w:fldCharType="end"/>
          </w:r>
        </w:p>
      </w:tc>
    </w:tr>
  </w:tbl>
  <w:p w14:paraId="3E875BE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239D" w14:paraId="2625F0AF" w14:textId="77777777" w:rsidTr="00CA6A25">
      <w:trPr>
        <w:trHeight w:hRule="exact" w:val="240"/>
      </w:trPr>
      <w:tc>
        <w:tcPr>
          <w:tcW w:w="7601" w:type="dxa"/>
        </w:tcPr>
        <w:p w14:paraId="64D6BF1A" w14:textId="77777777" w:rsidR="00527BD4" w:rsidRDefault="00527BD4" w:rsidP="008C356D">
          <w:pPr>
            <w:pStyle w:val="Huisstijl-Rubricering"/>
          </w:pPr>
        </w:p>
      </w:tc>
      <w:tc>
        <w:tcPr>
          <w:tcW w:w="2170" w:type="dxa"/>
        </w:tcPr>
        <w:p w14:paraId="1D6E28F5" w14:textId="600C7E7A" w:rsidR="00527BD4" w:rsidRPr="00ED539E" w:rsidRDefault="00D709E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2E2C2C">
            <w:t>6</w:t>
          </w:r>
          <w:r w:rsidR="00405C2A">
            <w:fldChar w:fldCharType="end"/>
          </w:r>
        </w:p>
      </w:tc>
    </w:tr>
  </w:tbl>
  <w:p w14:paraId="188F2D76" w14:textId="77777777" w:rsidR="00527BD4" w:rsidRPr="00BC3B53" w:rsidRDefault="00527BD4" w:rsidP="008C356D">
    <w:pPr>
      <w:pStyle w:val="Voettekst"/>
      <w:spacing w:line="240" w:lineRule="auto"/>
      <w:rPr>
        <w:sz w:val="2"/>
        <w:szCs w:val="2"/>
      </w:rPr>
    </w:pPr>
  </w:p>
  <w:p w14:paraId="47CFD11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A988" w14:textId="77777777" w:rsidR="00D709EA" w:rsidRDefault="00D709EA">
      <w:r>
        <w:separator/>
      </w:r>
    </w:p>
    <w:p w14:paraId="4EE4C123" w14:textId="77777777" w:rsidR="00D709EA" w:rsidRDefault="00D709EA"/>
  </w:footnote>
  <w:footnote w:type="continuationSeparator" w:id="0">
    <w:p w14:paraId="766B3714" w14:textId="77777777" w:rsidR="00D709EA" w:rsidRDefault="00D709EA">
      <w:r>
        <w:continuationSeparator/>
      </w:r>
    </w:p>
    <w:p w14:paraId="0A2CF1A1" w14:textId="77777777" w:rsidR="00D709EA" w:rsidRDefault="00D70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239D" w14:paraId="4D3EA2A3" w14:textId="77777777" w:rsidTr="00A50CF6">
      <w:tc>
        <w:tcPr>
          <w:tcW w:w="2156" w:type="dxa"/>
        </w:tcPr>
        <w:p w14:paraId="7759DB4A" w14:textId="77777777" w:rsidR="00527BD4" w:rsidRPr="005819CE" w:rsidRDefault="00D709EA" w:rsidP="00A50CF6">
          <w:pPr>
            <w:pStyle w:val="Huisstijl-Adres"/>
            <w:rPr>
              <w:b/>
            </w:rPr>
          </w:pPr>
          <w:r>
            <w:rPr>
              <w:b/>
            </w:rPr>
            <w:t xml:space="preserve">Directoraat-generaal Economie en Digitalisering </w:t>
          </w:r>
          <w:r w:rsidRPr="005819CE">
            <w:rPr>
              <w:b/>
            </w:rPr>
            <w:br/>
          </w:r>
          <w:r>
            <w:t>Directie Digitale Economie</w:t>
          </w:r>
        </w:p>
      </w:tc>
    </w:tr>
    <w:tr w:rsidR="0026239D" w14:paraId="44690B0C" w14:textId="77777777" w:rsidTr="00A50CF6">
      <w:trPr>
        <w:trHeight w:hRule="exact" w:val="200"/>
      </w:trPr>
      <w:tc>
        <w:tcPr>
          <w:tcW w:w="2156" w:type="dxa"/>
        </w:tcPr>
        <w:p w14:paraId="76F231AF" w14:textId="77777777" w:rsidR="00527BD4" w:rsidRPr="005819CE" w:rsidRDefault="00527BD4" w:rsidP="00A50CF6"/>
      </w:tc>
    </w:tr>
    <w:tr w:rsidR="0026239D" w14:paraId="19FCDC33" w14:textId="77777777" w:rsidTr="00502512">
      <w:trPr>
        <w:trHeight w:hRule="exact" w:val="774"/>
      </w:trPr>
      <w:tc>
        <w:tcPr>
          <w:tcW w:w="2156" w:type="dxa"/>
        </w:tcPr>
        <w:p w14:paraId="0CD9AA99" w14:textId="77777777" w:rsidR="00527BD4" w:rsidRDefault="00D709EA" w:rsidP="003A5290">
          <w:pPr>
            <w:pStyle w:val="Huisstijl-Kopje"/>
          </w:pPr>
          <w:r>
            <w:t>Ons kenmerk</w:t>
          </w:r>
        </w:p>
        <w:p w14:paraId="15725DE4" w14:textId="61F0AFD7" w:rsidR="00502512" w:rsidRPr="00502512" w:rsidRDefault="00D709EA" w:rsidP="003A5290">
          <w:pPr>
            <w:pStyle w:val="Huisstijl-Kopje"/>
            <w:rPr>
              <w:b w:val="0"/>
            </w:rPr>
          </w:pPr>
          <w:r>
            <w:rPr>
              <w:b w:val="0"/>
            </w:rPr>
            <w:t>DGED-DE</w:t>
          </w:r>
          <w:r w:rsidRPr="00502512">
            <w:rPr>
              <w:b w:val="0"/>
            </w:rPr>
            <w:t xml:space="preserve"> / </w:t>
          </w:r>
          <w:sdt>
            <w:sdtPr>
              <w:rPr>
                <w:b w:val="0"/>
              </w:rPr>
              <w:alias w:val="documentId"/>
              <w:id w:val="762191242"/>
              <w:placeholder>
                <w:docPart w:val="DefaultPlaceholder_-1854013440"/>
              </w:placeholder>
            </w:sdtPr>
            <w:sdtEndPr/>
            <w:sdtContent>
              <w:r w:rsidR="00FB28ED" w:rsidRPr="00FB28ED">
                <w:rPr>
                  <w:b w:val="0"/>
                </w:rPr>
                <w:t>107004681</w:t>
              </w:r>
            </w:sdtContent>
          </w:sdt>
        </w:p>
        <w:p w14:paraId="5F88B10B" w14:textId="77777777" w:rsidR="00527BD4" w:rsidRPr="005819CE" w:rsidRDefault="00527BD4" w:rsidP="00361A56">
          <w:pPr>
            <w:pStyle w:val="Huisstijl-Kopje"/>
          </w:pPr>
        </w:p>
      </w:tc>
    </w:tr>
  </w:tbl>
  <w:p w14:paraId="149844E8" w14:textId="77777777" w:rsidR="00527BD4" w:rsidRDefault="00527BD4" w:rsidP="008C356D">
    <w:pPr>
      <w:pStyle w:val="Koptekst"/>
      <w:rPr>
        <w:rFonts w:cs="Verdana-Bold"/>
        <w:b/>
        <w:bCs/>
        <w:smallCaps/>
        <w:szCs w:val="18"/>
      </w:rPr>
    </w:pPr>
  </w:p>
  <w:p w14:paraId="30982A7C" w14:textId="77777777" w:rsidR="00527BD4" w:rsidRDefault="00527BD4" w:rsidP="008C356D"/>
  <w:p w14:paraId="58A2A559" w14:textId="77777777" w:rsidR="00527BD4" w:rsidRPr="00740712" w:rsidRDefault="00527BD4" w:rsidP="008C356D"/>
  <w:p w14:paraId="72AE1A0D" w14:textId="77777777" w:rsidR="00527BD4" w:rsidRPr="00217880" w:rsidRDefault="00527BD4" w:rsidP="008C356D">
    <w:pPr>
      <w:spacing w:line="0" w:lineRule="atLeast"/>
      <w:rPr>
        <w:sz w:val="2"/>
        <w:szCs w:val="2"/>
      </w:rPr>
    </w:pPr>
  </w:p>
  <w:p w14:paraId="1C2A52F2" w14:textId="77777777" w:rsidR="00527BD4" w:rsidRDefault="00527BD4" w:rsidP="004F44C2">
    <w:pPr>
      <w:pStyle w:val="Koptekst"/>
      <w:rPr>
        <w:rFonts w:cs="Verdana-Bold"/>
        <w:b/>
        <w:bCs/>
        <w:smallCaps/>
        <w:szCs w:val="18"/>
      </w:rPr>
    </w:pPr>
  </w:p>
  <w:p w14:paraId="1EBCC8E3" w14:textId="77777777" w:rsidR="00527BD4" w:rsidRDefault="00527BD4" w:rsidP="004F44C2"/>
  <w:p w14:paraId="4B735E11" w14:textId="77777777" w:rsidR="00527BD4" w:rsidRPr="00740712" w:rsidRDefault="00527BD4" w:rsidP="004F44C2"/>
  <w:p w14:paraId="23EC957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239D" w14:paraId="3443FBC0" w14:textId="77777777" w:rsidTr="00751A6A">
      <w:trPr>
        <w:trHeight w:val="2636"/>
      </w:trPr>
      <w:tc>
        <w:tcPr>
          <w:tcW w:w="737" w:type="dxa"/>
        </w:tcPr>
        <w:p w14:paraId="5050FC34" w14:textId="77777777" w:rsidR="00527BD4" w:rsidRDefault="00527BD4" w:rsidP="00D0609E">
          <w:pPr>
            <w:framePr w:w="6340" w:h="2750" w:hRule="exact" w:hSpace="180" w:wrap="around" w:vAnchor="page" w:hAnchor="text" w:x="3873" w:y="-140"/>
            <w:spacing w:line="240" w:lineRule="auto"/>
          </w:pPr>
        </w:p>
      </w:tc>
      <w:tc>
        <w:tcPr>
          <w:tcW w:w="5156" w:type="dxa"/>
        </w:tcPr>
        <w:p w14:paraId="4DE83C58" w14:textId="77777777" w:rsidR="00527BD4" w:rsidRDefault="00D709E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D937F1F" wp14:editId="2E80A2B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15FD38F" w14:textId="77777777" w:rsidR="00F4553F" w:rsidRDefault="00F4553F" w:rsidP="00651CEE">
          <w:pPr>
            <w:framePr w:w="6340" w:h="2750" w:hRule="exact" w:hSpace="180" w:wrap="around" w:vAnchor="page" w:hAnchor="text" w:x="3873" w:y="-140"/>
            <w:spacing w:line="240" w:lineRule="auto"/>
          </w:pPr>
        </w:p>
      </w:tc>
    </w:tr>
  </w:tbl>
  <w:p w14:paraId="2F1DD6AF" w14:textId="77777777" w:rsidR="00527BD4" w:rsidRDefault="00527BD4" w:rsidP="00D0609E">
    <w:pPr>
      <w:framePr w:w="6340" w:h="2750" w:hRule="exact" w:hSpace="180" w:wrap="around" w:vAnchor="page" w:hAnchor="text" w:x="3873" w:y="-140"/>
    </w:pPr>
  </w:p>
  <w:p w14:paraId="26C1BA9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239D" w14:paraId="73CD1FBF" w14:textId="77777777" w:rsidTr="00A50CF6">
      <w:tc>
        <w:tcPr>
          <w:tcW w:w="2160" w:type="dxa"/>
        </w:tcPr>
        <w:p w14:paraId="711EE89F" w14:textId="77777777" w:rsidR="00527BD4" w:rsidRPr="005819CE" w:rsidRDefault="00D709EA" w:rsidP="00A50CF6">
          <w:pPr>
            <w:pStyle w:val="Huisstijl-Adres"/>
            <w:rPr>
              <w:b/>
            </w:rPr>
          </w:pPr>
          <w:r>
            <w:rPr>
              <w:b/>
            </w:rPr>
            <w:t xml:space="preserve">Directoraat-generaal Economie en Digitalisering </w:t>
          </w:r>
          <w:r w:rsidRPr="005819CE">
            <w:rPr>
              <w:b/>
            </w:rPr>
            <w:br/>
          </w:r>
          <w:r>
            <w:t>Directie Digitale Economie</w:t>
          </w:r>
        </w:p>
        <w:p w14:paraId="49CF1273" w14:textId="77777777" w:rsidR="00527BD4" w:rsidRPr="00BE5ED9" w:rsidRDefault="00D709EA" w:rsidP="00A50CF6">
          <w:pPr>
            <w:pStyle w:val="Huisstijl-Adres"/>
          </w:pPr>
          <w:r>
            <w:rPr>
              <w:b/>
            </w:rPr>
            <w:t>Bezoekadres</w:t>
          </w:r>
          <w:r>
            <w:rPr>
              <w:b/>
            </w:rPr>
            <w:br/>
          </w:r>
          <w:r>
            <w:t>Bezuidenhoutseweg 73</w:t>
          </w:r>
          <w:r w:rsidRPr="005819CE">
            <w:br/>
          </w:r>
          <w:r>
            <w:t>2594 AC Den Haag</w:t>
          </w:r>
        </w:p>
        <w:p w14:paraId="280394D4" w14:textId="77777777" w:rsidR="00EF495B" w:rsidRDefault="00D709EA" w:rsidP="0098788A">
          <w:pPr>
            <w:pStyle w:val="Huisstijl-Adres"/>
          </w:pPr>
          <w:r>
            <w:rPr>
              <w:b/>
            </w:rPr>
            <w:t>Postadres</w:t>
          </w:r>
          <w:r>
            <w:rPr>
              <w:b/>
            </w:rPr>
            <w:br/>
          </w:r>
          <w:r>
            <w:t>Postbus 20401</w:t>
          </w:r>
          <w:r w:rsidRPr="005819CE">
            <w:br/>
            <w:t>2500 E</w:t>
          </w:r>
          <w:r>
            <w:t>K</w:t>
          </w:r>
          <w:r w:rsidRPr="005819CE">
            <w:t xml:space="preserve"> Den Haag</w:t>
          </w:r>
        </w:p>
        <w:p w14:paraId="2C7154B2" w14:textId="77777777" w:rsidR="00EF495B" w:rsidRPr="005B3814" w:rsidRDefault="00D709EA" w:rsidP="0098788A">
          <w:pPr>
            <w:pStyle w:val="Huisstijl-Adres"/>
          </w:pPr>
          <w:r>
            <w:rPr>
              <w:b/>
            </w:rPr>
            <w:t>Overheidsidentificatienr</w:t>
          </w:r>
          <w:r>
            <w:rPr>
              <w:b/>
            </w:rPr>
            <w:br/>
          </w:r>
          <w:r w:rsidRPr="005B3814">
            <w:t>00000001003214369000</w:t>
          </w:r>
        </w:p>
        <w:p w14:paraId="18C90B8F" w14:textId="59C06CC5" w:rsidR="00527BD4" w:rsidRPr="00FB28ED" w:rsidRDefault="00D709EA"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6239D" w14:paraId="24ACC284" w14:textId="77777777" w:rsidTr="00A50CF6">
      <w:trPr>
        <w:trHeight w:hRule="exact" w:val="200"/>
      </w:trPr>
      <w:tc>
        <w:tcPr>
          <w:tcW w:w="2160" w:type="dxa"/>
        </w:tcPr>
        <w:p w14:paraId="1F47E870" w14:textId="77777777" w:rsidR="00527BD4" w:rsidRPr="005819CE" w:rsidRDefault="00527BD4" w:rsidP="00A50CF6"/>
      </w:tc>
    </w:tr>
    <w:tr w:rsidR="0026239D" w14:paraId="084C5E9F" w14:textId="77777777" w:rsidTr="00A50CF6">
      <w:tc>
        <w:tcPr>
          <w:tcW w:w="2160" w:type="dxa"/>
        </w:tcPr>
        <w:p w14:paraId="12AF13C7" w14:textId="77777777" w:rsidR="000C0163" w:rsidRPr="005819CE" w:rsidRDefault="00D709EA" w:rsidP="000C0163">
          <w:pPr>
            <w:pStyle w:val="Huisstijl-Kopje"/>
          </w:pPr>
          <w:r>
            <w:t>Ons kenmerk</w:t>
          </w:r>
          <w:r w:rsidRPr="005819CE">
            <w:t xml:space="preserve"> </w:t>
          </w:r>
        </w:p>
        <w:p w14:paraId="61967A41" w14:textId="77777777" w:rsidR="000C0163" w:rsidRPr="005819CE" w:rsidRDefault="00D709EA" w:rsidP="000C0163">
          <w:pPr>
            <w:pStyle w:val="Huisstijl-Gegeven"/>
          </w:pPr>
          <w:r>
            <w:t>DGED-DE</w:t>
          </w:r>
          <w:r w:rsidR="00926AE2">
            <w:t xml:space="preserve"> / </w:t>
          </w:r>
          <w:r>
            <w:t>107004681</w:t>
          </w:r>
        </w:p>
        <w:p w14:paraId="64DCFBF5" w14:textId="77777777" w:rsidR="00527BD4" w:rsidRPr="005819CE" w:rsidRDefault="00D709EA" w:rsidP="00A50CF6">
          <w:pPr>
            <w:pStyle w:val="Huisstijl-Kopje"/>
          </w:pPr>
          <w:r>
            <w:t>Uw kenmerk</w:t>
          </w:r>
        </w:p>
        <w:p w14:paraId="0CBAD8DF" w14:textId="77777777" w:rsidR="00527BD4" w:rsidRPr="005819CE" w:rsidRDefault="00D709EA" w:rsidP="00A50CF6">
          <w:pPr>
            <w:pStyle w:val="Huisstijl-Gegeven"/>
          </w:pPr>
          <w:r>
            <w:t>2026Z11041</w:t>
          </w:r>
        </w:p>
        <w:p w14:paraId="6E1DCCF2" w14:textId="77777777" w:rsidR="00527BD4" w:rsidRPr="005819CE" w:rsidRDefault="00527BD4" w:rsidP="00FB28ED">
          <w:pPr>
            <w:pStyle w:val="Huisstijl-Kopje"/>
          </w:pPr>
        </w:p>
      </w:tc>
    </w:tr>
  </w:tbl>
  <w:p w14:paraId="74D6B3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239D" w14:paraId="77CCB22B" w14:textId="77777777" w:rsidTr="007610AA">
      <w:trPr>
        <w:trHeight w:val="400"/>
      </w:trPr>
      <w:tc>
        <w:tcPr>
          <w:tcW w:w="7520" w:type="dxa"/>
          <w:gridSpan w:val="2"/>
        </w:tcPr>
        <w:p w14:paraId="6BA6C47C" w14:textId="77777777" w:rsidR="00527BD4" w:rsidRPr="00BC3B53" w:rsidRDefault="00D709EA" w:rsidP="00A50CF6">
          <w:pPr>
            <w:pStyle w:val="Huisstijl-Retouradres"/>
          </w:pPr>
          <w:r>
            <w:t>&gt; Retouradres Postbus 20401 2500 EK Den Haag</w:t>
          </w:r>
        </w:p>
      </w:tc>
    </w:tr>
    <w:tr w:rsidR="0026239D" w14:paraId="503E49BF" w14:textId="77777777" w:rsidTr="007610AA">
      <w:tc>
        <w:tcPr>
          <w:tcW w:w="7520" w:type="dxa"/>
          <w:gridSpan w:val="2"/>
        </w:tcPr>
        <w:p w14:paraId="02DC15D5" w14:textId="77777777" w:rsidR="00527BD4" w:rsidRPr="00983E8F" w:rsidRDefault="00527BD4" w:rsidP="00A50CF6">
          <w:pPr>
            <w:pStyle w:val="Huisstijl-Rubricering"/>
          </w:pPr>
        </w:p>
      </w:tc>
    </w:tr>
    <w:tr w:rsidR="0026239D" w14:paraId="2AB3D0CD" w14:textId="77777777" w:rsidTr="007610AA">
      <w:trPr>
        <w:trHeight w:hRule="exact" w:val="2440"/>
      </w:trPr>
      <w:tc>
        <w:tcPr>
          <w:tcW w:w="7520" w:type="dxa"/>
          <w:gridSpan w:val="2"/>
        </w:tcPr>
        <w:p w14:paraId="009FF52A" w14:textId="77777777" w:rsidR="00527BD4" w:rsidRDefault="00D709EA" w:rsidP="00A50CF6">
          <w:pPr>
            <w:pStyle w:val="Huisstijl-NAW"/>
          </w:pPr>
          <w:r>
            <w:t xml:space="preserve">De Voorzitter van de Tweede Kamer </w:t>
          </w:r>
        </w:p>
        <w:p w14:paraId="138D0F66" w14:textId="77777777" w:rsidR="00D87195" w:rsidRDefault="00D709EA" w:rsidP="00D87195">
          <w:pPr>
            <w:pStyle w:val="Huisstijl-NAW"/>
          </w:pPr>
          <w:r>
            <w:t>der Staten-Generaal</w:t>
          </w:r>
        </w:p>
        <w:p w14:paraId="259465F1" w14:textId="77777777" w:rsidR="00EA0F13" w:rsidRDefault="00D709EA" w:rsidP="00EA0F13">
          <w:pPr>
            <w:rPr>
              <w:szCs w:val="18"/>
            </w:rPr>
          </w:pPr>
          <w:r>
            <w:rPr>
              <w:szCs w:val="18"/>
            </w:rPr>
            <w:t>Prinses Irenestraat 6</w:t>
          </w:r>
        </w:p>
        <w:p w14:paraId="4917A222" w14:textId="77777777" w:rsidR="00985E56" w:rsidRDefault="00D709EA" w:rsidP="00EA0F13">
          <w:r>
            <w:rPr>
              <w:szCs w:val="18"/>
            </w:rPr>
            <w:t>2595 BD  DEN HAAG</w:t>
          </w:r>
        </w:p>
      </w:tc>
    </w:tr>
    <w:tr w:rsidR="0026239D" w14:paraId="663AEC8E" w14:textId="77777777" w:rsidTr="007610AA">
      <w:trPr>
        <w:trHeight w:hRule="exact" w:val="400"/>
      </w:trPr>
      <w:tc>
        <w:tcPr>
          <w:tcW w:w="7520" w:type="dxa"/>
          <w:gridSpan w:val="2"/>
        </w:tcPr>
        <w:p w14:paraId="4F5E0D8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239D" w14:paraId="11F378E0" w14:textId="77777777" w:rsidTr="007610AA">
      <w:trPr>
        <w:trHeight w:val="240"/>
      </w:trPr>
      <w:tc>
        <w:tcPr>
          <w:tcW w:w="900" w:type="dxa"/>
        </w:tcPr>
        <w:p w14:paraId="7D91F9F8" w14:textId="77777777" w:rsidR="00527BD4" w:rsidRPr="007709EF" w:rsidRDefault="00D709EA" w:rsidP="00A50CF6">
          <w:pPr>
            <w:rPr>
              <w:szCs w:val="18"/>
            </w:rPr>
          </w:pPr>
          <w:r>
            <w:rPr>
              <w:szCs w:val="18"/>
            </w:rPr>
            <w:t>Datum</w:t>
          </w:r>
        </w:p>
      </w:tc>
      <w:tc>
        <w:tcPr>
          <w:tcW w:w="6620" w:type="dxa"/>
        </w:tcPr>
        <w:p w14:paraId="642F9EFF" w14:textId="6B2BEB50" w:rsidR="00527BD4" w:rsidRPr="007709EF" w:rsidRDefault="00CB2C50" w:rsidP="00A50CF6">
          <w:r>
            <w:t>18 juni 2026</w:t>
          </w:r>
        </w:p>
      </w:tc>
    </w:tr>
    <w:tr w:rsidR="0026239D" w14:paraId="2C95E279" w14:textId="77777777" w:rsidTr="007610AA">
      <w:trPr>
        <w:trHeight w:val="240"/>
      </w:trPr>
      <w:tc>
        <w:tcPr>
          <w:tcW w:w="900" w:type="dxa"/>
        </w:tcPr>
        <w:p w14:paraId="4470F3DB" w14:textId="77777777" w:rsidR="00527BD4" w:rsidRPr="007709EF" w:rsidRDefault="00D709EA" w:rsidP="00A50CF6">
          <w:pPr>
            <w:rPr>
              <w:szCs w:val="18"/>
            </w:rPr>
          </w:pPr>
          <w:r>
            <w:rPr>
              <w:szCs w:val="18"/>
            </w:rPr>
            <w:t>Betreft</w:t>
          </w:r>
        </w:p>
      </w:tc>
      <w:tc>
        <w:tcPr>
          <w:tcW w:w="6620" w:type="dxa"/>
        </w:tcPr>
        <w:p w14:paraId="3C47E12A" w14:textId="77777777" w:rsidR="00527BD4" w:rsidRPr="007709EF" w:rsidRDefault="00D709EA" w:rsidP="00A50CF6">
          <w:r>
            <w:t xml:space="preserve">Beantwoording Kamervragen van het lid Van den Berg (JA21) over de negatieve BTI-toets in het kader van de overname van het bedrijf </w:t>
          </w:r>
          <w:proofErr w:type="spellStart"/>
          <w:r>
            <w:t>Solvinity</w:t>
          </w:r>
          <w:proofErr w:type="spellEnd"/>
          <w:r>
            <w:t xml:space="preserve"> (Platform </w:t>
          </w:r>
          <w:proofErr w:type="spellStart"/>
          <w:r>
            <w:t>DigiD</w:t>
          </w:r>
          <w:proofErr w:type="spellEnd"/>
          <w:r>
            <w:t>)</w:t>
          </w:r>
        </w:p>
      </w:tc>
    </w:tr>
  </w:tbl>
  <w:p w14:paraId="0D1E0A1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F851D6">
      <w:start w:val="1"/>
      <w:numFmt w:val="bullet"/>
      <w:pStyle w:val="Lijstopsomteken"/>
      <w:lvlText w:val="•"/>
      <w:lvlJc w:val="left"/>
      <w:pPr>
        <w:tabs>
          <w:tab w:val="num" w:pos="227"/>
        </w:tabs>
        <w:ind w:left="227" w:hanging="227"/>
      </w:pPr>
      <w:rPr>
        <w:rFonts w:ascii="Verdana" w:hAnsi="Verdana" w:hint="default"/>
        <w:sz w:val="18"/>
        <w:szCs w:val="18"/>
      </w:rPr>
    </w:lvl>
    <w:lvl w:ilvl="1" w:tplc="D4102502" w:tentative="1">
      <w:start w:val="1"/>
      <w:numFmt w:val="bullet"/>
      <w:lvlText w:val="o"/>
      <w:lvlJc w:val="left"/>
      <w:pPr>
        <w:tabs>
          <w:tab w:val="num" w:pos="1440"/>
        </w:tabs>
        <w:ind w:left="1440" w:hanging="360"/>
      </w:pPr>
      <w:rPr>
        <w:rFonts w:ascii="Courier New" w:hAnsi="Courier New" w:cs="Courier New" w:hint="default"/>
      </w:rPr>
    </w:lvl>
    <w:lvl w:ilvl="2" w:tplc="009C983C" w:tentative="1">
      <w:start w:val="1"/>
      <w:numFmt w:val="bullet"/>
      <w:lvlText w:val=""/>
      <w:lvlJc w:val="left"/>
      <w:pPr>
        <w:tabs>
          <w:tab w:val="num" w:pos="2160"/>
        </w:tabs>
        <w:ind w:left="2160" w:hanging="360"/>
      </w:pPr>
      <w:rPr>
        <w:rFonts w:ascii="Wingdings" w:hAnsi="Wingdings" w:hint="default"/>
      </w:rPr>
    </w:lvl>
    <w:lvl w:ilvl="3" w:tplc="C9FEAA1E" w:tentative="1">
      <w:start w:val="1"/>
      <w:numFmt w:val="bullet"/>
      <w:lvlText w:val=""/>
      <w:lvlJc w:val="left"/>
      <w:pPr>
        <w:tabs>
          <w:tab w:val="num" w:pos="2880"/>
        </w:tabs>
        <w:ind w:left="2880" w:hanging="360"/>
      </w:pPr>
      <w:rPr>
        <w:rFonts w:ascii="Symbol" w:hAnsi="Symbol" w:hint="default"/>
      </w:rPr>
    </w:lvl>
    <w:lvl w:ilvl="4" w:tplc="B276F8D4" w:tentative="1">
      <w:start w:val="1"/>
      <w:numFmt w:val="bullet"/>
      <w:lvlText w:val="o"/>
      <w:lvlJc w:val="left"/>
      <w:pPr>
        <w:tabs>
          <w:tab w:val="num" w:pos="3600"/>
        </w:tabs>
        <w:ind w:left="3600" w:hanging="360"/>
      </w:pPr>
      <w:rPr>
        <w:rFonts w:ascii="Courier New" w:hAnsi="Courier New" w:cs="Courier New" w:hint="default"/>
      </w:rPr>
    </w:lvl>
    <w:lvl w:ilvl="5" w:tplc="8A7E6EE0" w:tentative="1">
      <w:start w:val="1"/>
      <w:numFmt w:val="bullet"/>
      <w:lvlText w:val=""/>
      <w:lvlJc w:val="left"/>
      <w:pPr>
        <w:tabs>
          <w:tab w:val="num" w:pos="4320"/>
        </w:tabs>
        <w:ind w:left="4320" w:hanging="360"/>
      </w:pPr>
      <w:rPr>
        <w:rFonts w:ascii="Wingdings" w:hAnsi="Wingdings" w:hint="default"/>
      </w:rPr>
    </w:lvl>
    <w:lvl w:ilvl="6" w:tplc="FDBCBFA0" w:tentative="1">
      <w:start w:val="1"/>
      <w:numFmt w:val="bullet"/>
      <w:lvlText w:val=""/>
      <w:lvlJc w:val="left"/>
      <w:pPr>
        <w:tabs>
          <w:tab w:val="num" w:pos="5040"/>
        </w:tabs>
        <w:ind w:left="5040" w:hanging="360"/>
      </w:pPr>
      <w:rPr>
        <w:rFonts w:ascii="Symbol" w:hAnsi="Symbol" w:hint="default"/>
      </w:rPr>
    </w:lvl>
    <w:lvl w:ilvl="7" w:tplc="D1809144" w:tentative="1">
      <w:start w:val="1"/>
      <w:numFmt w:val="bullet"/>
      <w:lvlText w:val="o"/>
      <w:lvlJc w:val="left"/>
      <w:pPr>
        <w:tabs>
          <w:tab w:val="num" w:pos="5760"/>
        </w:tabs>
        <w:ind w:left="5760" w:hanging="360"/>
      </w:pPr>
      <w:rPr>
        <w:rFonts w:ascii="Courier New" w:hAnsi="Courier New" w:cs="Courier New" w:hint="default"/>
      </w:rPr>
    </w:lvl>
    <w:lvl w:ilvl="8" w:tplc="6234EE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4EAD0B8">
      <w:start w:val="1"/>
      <w:numFmt w:val="bullet"/>
      <w:pStyle w:val="Lijstopsomteken2"/>
      <w:lvlText w:val="–"/>
      <w:lvlJc w:val="left"/>
      <w:pPr>
        <w:tabs>
          <w:tab w:val="num" w:pos="227"/>
        </w:tabs>
        <w:ind w:left="227" w:firstLine="0"/>
      </w:pPr>
      <w:rPr>
        <w:rFonts w:ascii="Verdana" w:hAnsi="Verdana" w:hint="default"/>
      </w:rPr>
    </w:lvl>
    <w:lvl w:ilvl="1" w:tplc="B89E05B6" w:tentative="1">
      <w:start w:val="1"/>
      <w:numFmt w:val="bullet"/>
      <w:lvlText w:val="o"/>
      <w:lvlJc w:val="left"/>
      <w:pPr>
        <w:tabs>
          <w:tab w:val="num" w:pos="1440"/>
        </w:tabs>
        <w:ind w:left="1440" w:hanging="360"/>
      </w:pPr>
      <w:rPr>
        <w:rFonts w:ascii="Courier New" w:hAnsi="Courier New" w:cs="Courier New" w:hint="default"/>
      </w:rPr>
    </w:lvl>
    <w:lvl w:ilvl="2" w:tplc="7F72C514" w:tentative="1">
      <w:start w:val="1"/>
      <w:numFmt w:val="bullet"/>
      <w:lvlText w:val=""/>
      <w:lvlJc w:val="left"/>
      <w:pPr>
        <w:tabs>
          <w:tab w:val="num" w:pos="2160"/>
        </w:tabs>
        <w:ind w:left="2160" w:hanging="360"/>
      </w:pPr>
      <w:rPr>
        <w:rFonts w:ascii="Wingdings" w:hAnsi="Wingdings" w:hint="default"/>
      </w:rPr>
    </w:lvl>
    <w:lvl w:ilvl="3" w:tplc="25A0AD3E" w:tentative="1">
      <w:start w:val="1"/>
      <w:numFmt w:val="bullet"/>
      <w:lvlText w:val=""/>
      <w:lvlJc w:val="left"/>
      <w:pPr>
        <w:tabs>
          <w:tab w:val="num" w:pos="2880"/>
        </w:tabs>
        <w:ind w:left="2880" w:hanging="360"/>
      </w:pPr>
      <w:rPr>
        <w:rFonts w:ascii="Symbol" w:hAnsi="Symbol" w:hint="default"/>
      </w:rPr>
    </w:lvl>
    <w:lvl w:ilvl="4" w:tplc="D8B427DC" w:tentative="1">
      <w:start w:val="1"/>
      <w:numFmt w:val="bullet"/>
      <w:lvlText w:val="o"/>
      <w:lvlJc w:val="left"/>
      <w:pPr>
        <w:tabs>
          <w:tab w:val="num" w:pos="3600"/>
        </w:tabs>
        <w:ind w:left="3600" w:hanging="360"/>
      </w:pPr>
      <w:rPr>
        <w:rFonts w:ascii="Courier New" w:hAnsi="Courier New" w:cs="Courier New" w:hint="default"/>
      </w:rPr>
    </w:lvl>
    <w:lvl w:ilvl="5" w:tplc="9730734E" w:tentative="1">
      <w:start w:val="1"/>
      <w:numFmt w:val="bullet"/>
      <w:lvlText w:val=""/>
      <w:lvlJc w:val="left"/>
      <w:pPr>
        <w:tabs>
          <w:tab w:val="num" w:pos="4320"/>
        </w:tabs>
        <w:ind w:left="4320" w:hanging="360"/>
      </w:pPr>
      <w:rPr>
        <w:rFonts w:ascii="Wingdings" w:hAnsi="Wingdings" w:hint="default"/>
      </w:rPr>
    </w:lvl>
    <w:lvl w:ilvl="6" w:tplc="D5689A44" w:tentative="1">
      <w:start w:val="1"/>
      <w:numFmt w:val="bullet"/>
      <w:lvlText w:val=""/>
      <w:lvlJc w:val="left"/>
      <w:pPr>
        <w:tabs>
          <w:tab w:val="num" w:pos="5040"/>
        </w:tabs>
        <w:ind w:left="5040" w:hanging="360"/>
      </w:pPr>
      <w:rPr>
        <w:rFonts w:ascii="Symbol" w:hAnsi="Symbol" w:hint="default"/>
      </w:rPr>
    </w:lvl>
    <w:lvl w:ilvl="7" w:tplc="C8D0812A" w:tentative="1">
      <w:start w:val="1"/>
      <w:numFmt w:val="bullet"/>
      <w:lvlText w:val="o"/>
      <w:lvlJc w:val="left"/>
      <w:pPr>
        <w:tabs>
          <w:tab w:val="num" w:pos="5760"/>
        </w:tabs>
        <w:ind w:left="5760" w:hanging="360"/>
      </w:pPr>
      <w:rPr>
        <w:rFonts w:ascii="Courier New" w:hAnsi="Courier New" w:cs="Courier New" w:hint="default"/>
      </w:rPr>
    </w:lvl>
    <w:lvl w:ilvl="8" w:tplc="8AD69C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9533396">
    <w:abstractNumId w:val="10"/>
  </w:num>
  <w:num w:numId="2" w16cid:durableId="100691014">
    <w:abstractNumId w:val="7"/>
  </w:num>
  <w:num w:numId="3" w16cid:durableId="78914793">
    <w:abstractNumId w:val="6"/>
  </w:num>
  <w:num w:numId="4" w16cid:durableId="304940373">
    <w:abstractNumId w:val="5"/>
  </w:num>
  <w:num w:numId="5" w16cid:durableId="2048020905">
    <w:abstractNumId w:val="4"/>
  </w:num>
  <w:num w:numId="6" w16cid:durableId="363873522">
    <w:abstractNumId w:val="8"/>
  </w:num>
  <w:num w:numId="7" w16cid:durableId="576324597">
    <w:abstractNumId w:val="3"/>
  </w:num>
  <w:num w:numId="8" w16cid:durableId="556284426">
    <w:abstractNumId w:val="2"/>
  </w:num>
  <w:num w:numId="9" w16cid:durableId="1135678069">
    <w:abstractNumId w:val="1"/>
  </w:num>
  <w:num w:numId="10" w16cid:durableId="40903995">
    <w:abstractNumId w:val="0"/>
  </w:num>
  <w:num w:numId="11" w16cid:durableId="1550412826">
    <w:abstractNumId w:val="9"/>
  </w:num>
  <w:num w:numId="12" w16cid:durableId="1148283094">
    <w:abstractNumId w:val="11"/>
  </w:num>
  <w:num w:numId="13" w16cid:durableId="1104425745">
    <w:abstractNumId w:val="13"/>
  </w:num>
  <w:num w:numId="14" w16cid:durableId="13624408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65787"/>
    <w:rsid w:val="00071F28"/>
    <w:rsid w:val="00074079"/>
    <w:rsid w:val="00092799"/>
    <w:rsid w:val="00092C5F"/>
    <w:rsid w:val="00096680"/>
    <w:rsid w:val="000A0F36"/>
    <w:rsid w:val="000A174A"/>
    <w:rsid w:val="000A3E0A"/>
    <w:rsid w:val="000A65AC"/>
    <w:rsid w:val="000A7159"/>
    <w:rsid w:val="000B25E5"/>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6B8B"/>
    <w:rsid w:val="001A2BEA"/>
    <w:rsid w:val="001A368F"/>
    <w:rsid w:val="001A6D93"/>
    <w:rsid w:val="001B13C5"/>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2211"/>
    <w:rsid w:val="00236CFE"/>
    <w:rsid w:val="002428E3"/>
    <w:rsid w:val="00243031"/>
    <w:rsid w:val="0025042A"/>
    <w:rsid w:val="00260BAF"/>
    <w:rsid w:val="0026239D"/>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E2C2C"/>
    <w:rsid w:val="002F5147"/>
    <w:rsid w:val="002F7ABD"/>
    <w:rsid w:val="00312597"/>
    <w:rsid w:val="003219B5"/>
    <w:rsid w:val="0032698D"/>
    <w:rsid w:val="00327BA5"/>
    <w:rsid w:val="0033326F"/>
    <w:rsid w:val="00334154"/>
    <w:rsid w:val="003372C4"/>
    <w:rsid w:val="00340ECA"/>
    <w:rsid w:val="00341FA0"/>
    <w:rsid w:val="00344F3D"/>
    <w:rsid w:val="00345299"/>
    <w:rsid w:val="00351A8D"/>
    <w:rsid w:val="00351B77"/>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A6510"/>
    <w:rsid w:val="003B0155"/>
    <w:rsid w:val="003B7EE7"/>
    <w:rsid w:val="003C2CCB"/>
    <w:rsid w:val="003D39EC"/>
    <w:rsid w:val="003D5DED"/>
    <w:rsid w:val="003E3DD5"/>
    <w:rsid w:val="003E4AA1"/>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0D17"/>
    <w:rsid w:val="004F42FF"/>
    <w:rsid w:val="004F44C2"/>
    <w:rsid w:val="00502512"/>
    <w:rsid w:val="00503FD2"/>
    <w:rsid w:val="00505262"/>
    <w:rsid w:val="00516022"/>
    <w:rsid w:val="00521CEE"/>
    <w:rsid w:val="00527BD4"/>
    <w:rsid w:val="00537095"/>
    <w:rsid w:val="005403C8"/>
    <w:rsid w:val="005429DC"/>
    <w:rsid w:val="005565F9"/>
    <w:rsid w:val="00560A06"/>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2705"/>
    <w:rsid w:val="005B3814"/>
    <w:rsid w:val="005B463E"/>
    <w:rsid w:val="005C34E1"/>
    <w:rsid w:val="005C3FE0"/>
    <w:rsid w:val="005C740C"/>
    <w:rsid w:val="005D625B"/>
    <w:rsid w:val="005E6FDA"/>
    <w:rsid w:val="005F0D54"/>
    <w:rsid w:val="005F44E2"/>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14C"/>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0E2F"/>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2BD5"/>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F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1F37"/>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232B"/>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28D7"/>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7B60"/>
    <w:rsid w:val="00A97D46"/>
    <w:rsid w:val="00AA0C1B"/>
    <w:rsid w:val="00AA7FC9"/>
    <w:rsid w:val="00AB0EED"/>
    <w:rsid w:val="00AB237D"/>
    <w:rsid w:val="00AB5933"/>
    <w:rsid w:val="00AC6E69"/>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1694"/>
    <w:rsid w:val="00B425F0"/>
    <w:rsid w:val="00B42DFA"/>
    <w:rsid w:val="00B531DD"/>
    <w:rsid w:val="00B55014"/>
    <w:rsid w:val="00B55136"/>
    <w:rsid w:val="00B62232"/>
    <w:rsid w:val="00B70BF3"/>
    <w:rsid w:val="00B71DC2"/>
    <w:rsid w:val="00B77A4E"/>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4AB8"/>
    <w:rsid w:val="00C73D5F"/>
    <w:rsid w:val="00C82AFE"/>
    <w:rsid w:val="00C83DBC"/>
    <w:rsid w:val="00C97C80"/>
    <w:rsid w:val="00CA47D3"/>
    <w:rsid w:val="00CA6533"/>
    <w:rsid w:val="00CA6A25"/>
    <w:rsid w:val="00CA6A3F"/>
    <w:rsid w:val="00CA7C99"/>
    <w:rsid w:val="00CB2C50"/>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09EA"/>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C6AEB"/>
    <w:rsid w:val="00ED072A"/>
    <w:rsid w:val="00ED539E"/>
    <w:rsid w:val="00ED7804"/>
    <w:rsid w:val="00EE4A1F"/>
    <w:rsid w:val="00EE4C2D"/>
    <w:rsid w:val="00EF11DC"/>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4D41"/>
    <w:rsid w:val="00F41A6F"/>
    <w:rsid w:val="00F4553F"/>
    <w:rsid w:val="00F45A25"/>
    <w:rsid w:val="00F47A5C"/>
    <w:rsid w:val="00F50F86"/>
    <w:rsid w:val="00F53F91"/>
    <w:rsid w:val="00F61569"/>
    <w:rsid w:val="00F61A72"/>
    <w:rsid w:val="00F61F08"/>
    <w:rsid w:val="00F62B67"/>
    <w:rsid w:val="00F66F13"/>
    <w:rsid w:val="00F74073"/>
    <w:rsid w:val="00F74566"/>
    <w:rsid w:val="00F75603"/>
    <w:rsid w:val="00F845B4"/>
    <w:rsid w:val="00F8713B"/>
    <w:rsid w:val="00F93F9E"/>
    <w:rsid w:val="00FA2CD7"/>
    <w:rsid w:val="00FB06ED"/>
    <w:rsid w:val="00FB28ED"/>
    <w:rsid w:val="00FC2311"/>
    <w:rsid w:val="00FC3165"/>
    <w:rsid w:val="00FC36AB"/>
    <w:rsid w:val="00FC4300"/>
    <w:rsid w:val="00FC7F66"/>
    <w:rsid w:val="00FD440C"/>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A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EC6AEB"/>
    <w:rPr>
      <w:sz w:val="16"/>
      <w:szCs w:val="16"/>
    </w:rPr>
  </w:style>
  <w:style w:type="paragraph" w:styleId="Tekstopmerking">
    <w:name w:val="annotation text"/>
    <w:basedOn w:val="Standaard"/>
    <w:link w:val="TekstopmerkingChar"/>
    <w:unhideWhenUsed/>
    <w:rsid w:val="00EC6AEB"/>
    <w:pPr>
      <w:spacing w:line="240" w:lineRule="auto"/>
    </w:pPr>
    <w:rPr>
      <w:sz w:val="20"/>
      <w:szCs w:val="20"/>
    </w:rPr>
  </w:style>
  <w:style w:type="character" w:customStyle="1" w:styleId="TekstopmerkingChar">
    <w:name w:val="Tekst opmerking Char"/>
    <w:basedOn w:val="Standaardalinea-lettertype"/>
    <w:link w:val="Tekstopmerking"/>
    <w:rsid w:val="00EC6AE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C6AEB"/>
    <w:rPr>
      <w:b/>
      <w:bCs/>
    </w:rPr>
  </w:style>
  <w:style w:type="character" w:customStyle="1" w:styleId="OnderwerpvanopmerkingChar">
    <w:name w:val="Onderwerp van opmerking Char"/>
    <w:basedOn w:val="TekstopmerkingChar"/>
    <w:link w:val="Onderwerpvanopmerking"/>
    <w:semiHidden/>
    <w:rsid w:val="00EC6AEB"/>
    <w:rPr>
      <w:rFonts w:ascii="Verdana" w:hAnsi="Verdana"/>
      <w:b/>
      <w:bCs/>
      <w:lang w:val="nl-NL" w:eastAsia="nl-NL"/>
    </w:rPr>
  </w:style>
  <w:style w:type="paragraph" w:styleId="Revisie">
    <w:name w:val="Revision"/>
    <w:hidden/>
    <w:uiPriority w:val="99"/>
    <w:semiHidden/>
    <w:rsid w:val="00F61F0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A1A8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D6750"/>
    <w:rsid w:val="002A7611"/>
    <w:rsid w:val="0032698D"/>
    <w:rsid w:val="003E10E1"/>
    <w:rsid w:val="003E4AA1"/>
    <w:rsid w:val="005624F2"/>
    <w:rsid w:val="005A1A82"/>
    <w:rsid w:val="005B2705"/>
    <w:rsid w:val="0066614C"/>
    <w:rsid w:val="006D0E2F"/>
    <w:rsid w:val="00762BD5"/>
    <w:rsid w:val="008C1F37"/>
    <w:rsid w:val="008C7118"/>
    <w:rsid w:val="0092316D"/>
    <w:rsid w:val="009716E6"/>
    <w:rsid w:val="00A164D0"/>
    <w:rsid w:val="00A228D7"/>
    <w:rsid w:val="00A22FC5"/>
    <w:rsid w:val="00A97B60"/>
    <w:rsid w:val="00AD287E"/>
    <w:rsid w:val="00B569ED"/>
    <w:rsid w:val="00D83301"/>
    <w:rsid w:val="00DA6D30"/>
    <w:rsid w:val="00ED7804"/>
    <w:rsid w:val="00FB2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1756</ap:Words>
  <ap:Characters>9659</ap:Characters>
  <ap:DocSecurity>0</ap:DocSecurity>
  <ap:Lines>80</ap:Lines>
  <ap:Paragraphs>22</ap:Paragraphs>
  <ap:ScaleCrop>false</ap:ScaleCrop>
  <ap:LinksUpToDate>false</ap:LinksUpToDate>
  <ap:CharactersWithSpaces>11393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2026-06-18T05:43:00.0000000Z</dcterms:created>
  <dcterms:modified xsi:type="dcterms:W3CDTF">2026-06-18T05:43:00.0000000Z</dcterms:modified>
  <dc:description>------------------------</dc:description>
  <dc:subject/>
  <keywords/>
  <version/>
  <category/>
</coreProperties>
</file>