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bookmarkStart w:name="_Hlk232603431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27B68" w14:paraId="70127839" w14:textId="109AC79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juni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627B68" w:rsidP="00627B68" w:rsidRDefault="00F20145" w14:paraId="4D16F2E0" w14:textId="1AE29701">
            <w:pPr>
              <w:autoSpaceDE w:val="0"/>
              <w:autoSpaceDN w:val="0"/>
              <w:adjustRightInd w:val="0"/>
              <w:spacing w:line="240" w:lineRule="auto"/>
              <w:rPr>
                <w:rFonts w:eastAsia="DejaVuSerifCondensed" w:cs="DejaVuSerifCondensed"/>
                <w:szCs w:val="18"/>
              </w:rPr>
            </w:pPr>
            <w:r>
              <w:t>Uitstelbericht Kamervragen over</w:t>
            </w:r>
            <w:r w:rsidRPr="00421532" w:rsidR="00627B68">
              <w:rPr>
                <w:rFonts w:eastAsia="DejaVuSerifCondensed" w:cs="DejaVuSerifCondensed"/>
                <w:szCs w:val="18"/>
              </w:rPr>
              <w:t xml:space="preserve"> </w:t>
            </w:r>
            <w:r w:rsidRPr="00421532" w:rsidR="00627B68">
              <w:rPr>
                <w:rFonts w:eastAsia="DejaVuSerifCondensed" w:cs="DejaVuSerifCondensed"/>
                <w:szCs w:val="18"/>
              </w:rPr>
              <w:t>het bericht 'Duizenden boetes voor</w:t>
            </w:r>
            <w:r w:rsidR="00627B68">
              <w:rPr>
                <w:rFonts w:eastAsia="DejaVuSerifCondensed" w:cs="DejaVuSerifCondensed"/>
                <w:szCs w:val="18"/>
              </w:rPr>
              <w:t xml:space="preserve"> </w:t>
            </w:r>
            <w:r w:rsidRPr="00421532" w:rsidR="00627B68">
              <w:rPr>
                <w:rFonts w:eastAsia="DejaVuSerifCondensed" w:cs="DejaVuSerifCondensed"/>
                <w:szCs w:val="18"/>
              </w:rPr>
              <w:t>asielzoekers die zwartrijden op lijn Emmen – Zwolle ongeldig'</w:t>
            </w:r>
          </w:p>
          <w:p w:rsidRPr="00421532" w:rsidR="00627B68" w:rsidP="00627B68" w:rsidRDefault="00627B68" w14:paraId="047060E8" w14:textId="77777777">
            <w:pPr>
              <w:autoSpaceDE w:val="0"/>
              <w:autoSpaceDN w:val="0"/>
              <w:adjustRightInd w:val="0"/>
              <w:spacing w:line="240" w:lineRule="auto"/>
              <w:rPr>
                <w:rFonts w:eastAsia="DejaVuSerifCondensed" w:cs="DejaVuSerifCondensed"/>
                <w:szCs w:val="18"/>
              </w:rPr>
            </w:pPr>
          </w:p>
          <w:p w:rsidRPr="00251844" w:rsidR="00F75106" w:rsidP="00F64F6A" w:rsidRDefault="00F75106" w14:paraId="0B4D3A27" w14:textId="66425C7A">
            <w:pPr>
              <w:pStyle w:val="Voettekst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627B68" w:rsidR="00627B68" w:rsidP="00627B68" w:rsidRDefault="00627B68" w14:paraId="3EA7FD74" w14:textId="2AE90BE7">
            <w:pPr>
              <w:pStyle w:val="referentiegegevens"/>
            </w:pPr>
            <w:r w:rsidRPr="00627B68">
              <w:t>7645083</w:t>
            </w:r>
          </w:p>
          <w:p w:rsidRPr="00627B68" w:rsidR="00F20145" w:rsidP="00627B68" w:rsidRDefault="00627B68" w14:paraId="7B7E79E6" w14:textId="47CBD1E2">
            <w:pPr>
              <w:pStyle w:val="referentiegegevens"/>
              <w:rPr>
                <w:sz w:val="18"/>
                <w:szCs w:val="24"/>
              </w:rPr>
            </w:pPr>
            <w:r w:rsidRPr="00627B68">
              <w:t> 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27B68" w:rsidR="00F20145" w:rsidP="00F20145" w:rsidRDefault="00627B68" w14:paraId="0682E0CA" w14:textId="16BE297A">
            <w:pPr>
              <w:pStyle w:val="referentiegegevens"/>
              <w:rPr>
                <w:sz w:val="18"/>
                <w:szCs w:val="24"/>
              </w:rPr>
            </w:pPr>
            <w:r w:rsidRPr="00627B68">
              <w:t>2026Z11042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6CF041C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627B68" w:rsidR="00627B68">
        <w:rPr>
          <w:rFonts w:cs="Utopia"/>
          <w:color w:val="000000"/>
        </w:rPr>
        <w:t>minister van Infrastructuur en Waterstaat</w:t>
      </w:r>
      <w:r w:rsidRPr="00F20145">
        <w:rPr>
          <w:rFonts w:cs="Utopia"/>
          <w:color w:val="000000"/>
        </w:rPr>
        <w:t xml:space="preserve">, mede dat de schriftelijke vragen van </w:t>
      </w:r>
      <w:r w:rsidR="00627B68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Pr="00421532" w:rsidR="00627B68">
        <w:rPr>
          <w:rFonts w:eastAsia="DejaVuSerifCondensed" w:cs="DejaVuSerifCondensed"/>
        </w:rPr>
        <w:t>Ellian</w:t>
      </w:r>
      <w:proofErr w:type="spellEnd"/>
      <w:r w:rsidRPr="00421532" w:rsidR="00627B68">
        <w:rPr>
          <w:rFonts w:eastAsia="DejaVuSerifCondensed" w:cs="DejaVuSerifCondensed"/>
        </w:rPr>
        <w:t xml:space="preserve"> (VVD)</w:t>
      </w:r>
      <w:r w:rsidRPr="00F20145">
        <w:rPr>
          <w:rFonts w:cs="Utopia"/>
          <w:color w:val="000000"/>
        </w:rPr>
        <w:t xml:space="preserve">, van uw Kamer aan de </w:t>
      </w:r>
      <w:r w:rsidRPr="0030051D" w:rsidR="00627B68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 w:rsidRPr="00421532" w:rsidR="00627B68">
        <w:rPr>
          <w:rFonts w:eastAsia="DejaVuSerifCondensed" w:cs="DejaVuSerifCondensed"/>
        </w:rPr>
        <w:t>het bericht 'Duizenden boetes voor</w:t>
      </w:r>
      <w:r w:rsidR="00627B68">
        <w:rPr>
          <w:rFonts w:eastAsia="DejaVuSerifCondensed" w:cs="DejaVuSerifCondensed"/>
        </w:rPr>
        <w:t xml:space="preserve"> </w:t>
      </w:r>
      <w:r w:rsidRPr="00421532" w:rsidR="00627B68">
        <w:rPr>
          <w:rFonts w:eastAsia="DejaVuSerifCondensed" w:cs="DejaVuSerifCondensed"/>
        </w:rPr>
        <w:t>asielzoekers die zwartrijden op lijn Emmen – Zwolle ongeldig'</w:t>
      </w:r>
      <w:r w:rsidR="00627B68">
        <w:rPr>
          <w:rFonts w:eastAsia="DejaVuSerifCondensed" w:cs="DejaVuSerifCondensed"/>
        </w:rPr>
        <w:t xml:space="preserve">  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627B68">
        <w:rPr>
          <w:rFonts w:cs="Utopia"/>
          <w:color w:val="000000"/>
        </w:rPr>
        <w:t>27 mei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7AE70E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627B68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>,</w:t>
      </w:r>
    </w:p>
    <w:p w:rsidR="00F20145" w:rsidP="00F20145" w:rsidRDefault="00F20145" w14:paraId="3683F4F9" w14:textId="436E3C20">
      <w:pPr>
        <w:pStyle w:val="broodtekst"/>
        <w:rPr>
          <w:rFonts w:cs="Utopia"/>
          <w:noProof/>
          <w:color w:val="000000"/>
        </w:rPr>
      </w:pPr>
    </w:p>
    <w:p w:rsidR="004C3208" w:rsidP="00F20145" w:rsidRDefault="004C3208" w14:paraId="255205C0" w14:textId="77777777">
      <w:pPr>
        <w:pStyle w:val="broodtekst"/>
        <w:rPr>
          <w:rFonts w:cs="Utopia"/>
          <w:noProof/>
          <w:color w:val="000000"/>
        </w:rPr>
      </w:pPr>
    </w:p>
    <w:p w:rsidR="004C3208" w:rsidP="00F20145" w:rsidRDefault="004C3208" w14:paraId="197EA82B" w14:textId="77777777">
      <w:pPr>
        <w:pStyle w:val="broodtekst"/>
        <w:rPr>
          <w:rFonts w:cs="Utopia"/>
          <w:noProof/>
          <w:color w:val="000000"/>
        </w:rPr>
      </w:pPr>
    </w:p>
    <w:p w:rsidRPr="00F20145" w:rsidR="004C3208" w:rsidP="00F20145" w:rsidRDefault="004C3208" w14:paraId="268CCEC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627B68" w14:paraId="7F59D051" w14:textId="58873A92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Bart van den Brink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5BC80DCD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C3208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C3208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20FF253C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4C3208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4C3208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65AF6984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 w:rsidR="004C3208">
      <w:fldChar w:fldCharType="separate"/>
    </w:r>
    <w:r w:rsidR="004C3208">
      <w:rPr>
        <w:b/>
        <w:bCs/>
      </w:rPr>
      <w:t>Fout! Onbekende naam voor documenteigenschap.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2059024597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646944595" name="Afbeelding 6469445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40653421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3208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A5FA2"/>
    <w:rsid w:val="005C4A56"/>
    <w:rsid w:val="005C5ED7"/>
    <w:rsid w:val="005D4B3F"/>
    <w:rsid w:val="005F4E0C"/>
    <w:rsid w:val="005F65B9"/>
    <w:rsid w:val="006102CA"/>
    <w:rsid w:val="0061035C"/>
    <w:rsid w:val="006220AB"/>
    <w:rsid w:val="00627B68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728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A5F9A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51E1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B7267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0740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1262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2026-06-17T13:35:00.0000000Z</dcterms:created>
  <dcterms:modified xsi:type="dcterms:W3CDTF">2026-06-17T13:45:00.0000000Z</dcterms:modified>
  <category/>
  <dc:description>------------------------</dc:description>
  <version/>
</coreProperties>
</file>