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2026Z13388</w:t>
        <w:br/>
      </w:r>
      <w:proofErr w:type="spellEnd"/>
    </w:p>
    <w:p>
      <w:pPr>
        <w:pStyle w:val="Normal"/>
        <w:rPr>
          <w:b w:val="1"/>
          <w:bCs w:val="1"/>
        </w:rPr>
      </w:pPr>
      <w:r w:rsidR="250AE766">
        <w:rPr>
          <w:b w:val="0"/>
          <w:bCs w:val="0"/>
        </w:rPr>
        <w:t>(ingezonden 17 juni 2026)</w:t>
        <w:br/>
      </w:r>
    </w:p>
    <w:p>
      <w:r>
        <w:t xml:space="preserve">Vragen van het lid Westerveld (PRO) aan de staatssecretaris van Justitie en Veiligheid en de minister van Langdurige Zorg, Jeugd en Sport over de aanpak van complexe omgangsproblemen</w:t>
      </w:r>
      <w:r>
        <w:br/>
      </w:r>
    </w:p>
    <w:p>
      <w:r>
        <w:t xml:space="preserve">Vraag 1</w:t>
      </w:r>
      <w:r>
        <w:br/>
      </w:r>
    </w:p>
    <w:p>
      <w:r>
        <w:t xml:space="preserve">Bent u bekend met het artikel 'Hoe een omstreden concept kinderen van hun ouders scheidt: ‘Zolang ik niet leuk doe met mijn moeder, mag ik mijn vader niet zien’'?[1]</w:t>
      </w:r>
      <w:r>
        <w:br/>
      </w:r>
    </w:p>
    <w:p>
      <w:r>
        <w:t xml:space="preserve">Vraag 2</w:t>
      </w:r>
      <w:r>
        <w:br/>
      </w:r>
    </w:p>
    <w:p>
      <w:r>
        <w:t xml:space="preserve">Hoe reflecteert u op de in het artikel beschreven zaken waarin kinderen tegen hun uitdrukkelijke wens langdurig worden gescheiden van een ouder op basis van aannames over ouderverstoting? Hoe wordt toezicht gehouden op de (mogelijke) schade en effectiviteit van de maatregel?</w:t>
      </w:r>
      <w:r>
        <w:br/>
      </w:r>
    </w:p>
    <w:p>
      <w:r>
        <w:t xml:space="preserve">Vraag 3</w:t>
      </w:r>
      <w:r>
        <w:br/>
      </w:r>
    </w:p>
    <w:p>
      <w:r>
        <w:t xml:space="preserve">In hoeverre sluiten de in het artikel beschreven maatregelen aan bij de uitgangspunten van het programma Scheiden zonder Schade en Een Goed Begin, met name de punten omtrent het beperken van schade aan kinderen en het voorkomen van escalatie centraal staan? Welke lessen uit het programma Scheiden zonder Schade en Een Goed Begin zijn inmiddels verwerkt in de werkwijze van de jeugdbescherming, de Raad voor de Kinderbescherming en de rechtspraak?</w:t>
      </w:r>
      <w:r>
        <w:br/>
      </w:r>
    </w:p>
    <w:p>
      <w:r>
        <w:t xml:space="preserve">Vraag 4</w:t>
      </w:r>
      <w:r>
        <w:br/>
      </w:r>
    </w:p>
    <w:p>
      <w:r>
        <w:t xml:space="preserve">Welke mogelijkheden hebben kinderen zelf om bezwaar te maken tegen beslissingen die hun woonplaats of contact met ouders ingrijpend veranderen? Vindt u de bestaande mogelijkheden voldoende toegankelijk en effectief?</w:t>
      </w:r>
      <w:r>
        <w:br/>
      </w:r>
    </w:p>
    <w:p>
      <w:r>
        <w:t xml:space="preserve">Vraag 5</w:t>
      </w:r>
      <w:r>
        <w:br/>
      </w:r>
    </w:p>
    <w:p>
      <w:r>
        <w:t xml:space="preserve">Hoe verhoudt de aanpak zoals beschreven in dit artikel zich tot artikel 12 van het VN-Kinderrechtenverdrag, waarin het recht van kinderen om gehoord te worden in procedures die hen raken vastgelegd staat? Hoe wordt geborgd dat kinderen daadwerkelijk worden gehoord en dat hun verklaringen niet op voorhand terzijde worden geschoven vanuit de veronderstelling dat zij gemanipuleerd zouden zijn?</w:t>
      </w:r>
      <w:r>
        <w:br/>
      </w:r>
    </w:p>
    <w:p>
      <w:r>
        <w:t xml:space="preserve">
          Vraag 6
          <w:br/>
          Welke lessen trekt u bij de aanpak van complexe omgangsproblemen uit de ervaringen van organisaties zoals Villa Pinedo, die de belangen en ervaringen van kinderen van gescheiden ouders centraal stellen?
        </w:t>
      </w:r>
      <w:r>
        <w:br/>
      </w:r>
    </w:p>
    <w:p>
      <w:r>
        <w:t xml:space="preserve">Vraag 7</w:t>
      </w:r>
      <w:r>
        <w:br/>
      </w:r>
    </w:p>
    <w:p>
      <w:r>
        <w:t xml:space="preserve">Hoe reflecteert u op de internationale ontwikkelingen op het gebied van complexe omgangsproblemen, zoals bijvoorbeeld de keuze van het hooggerechtshof in Italië om het gebruik van de theorie omtrent ouderverstoring als onwettelijk te bestempelen en de keuze van Spanje om een verbod in te stellen op het gebruik van het concept ouderverstoting in familierechtzaken? Hoe verhouden deze ontwikkelingen zich tot de Nederlandse praktijk?</w:t>
      </w:r>
      <w:r>
        <w:br/>
      </w:r>
    </w:p>
    <w:p>
      <w:r>
        <w:t xml:space="preserve">Vraag 8</w:t>
      </w:r>
      <w:r>
        <w:br/>
      </w:r>
    </w:p>
    <w:p>
      <w:r>
        <w:t xml:space="preserve">Hoe reflecteert u op het feit dat een omstreden en wetenschappelijk betwiste theorie over ouderverstoting ten grondslag ligt aan methoden en interventies die diep ingrijpen in het gezinsleven en kinder- en mensenrechten? Welke eisen stelt u aan de wetenschappelijke onderbouwing van dergelijke interventies?</w:t>
      </w:r>
      <w:r>
        <w:br/>
      </w:r>
    </w:p>
    <w:p>
      <w:r>
        <w:t xml:space="preserve">Vraag 9</w:t>
      </w:r>
      <w:r>
        <w:br/>
      </w:r>
    </w:p>
    <w:p>
      <w:r>
        <w:t xml:space="preserve">Wat is momenteel de stand van zaken van de uitvoering van elk van de aanbevelingen uit het Adviesrapport van het Expertteam Ouderverstoting? Kunt u per aanbeveling aangeven welke acties zijn ondernemen en of ze volledig, gedeeltelijk of nog niet zijn uitgevoerd? Wat zijn de concrete opbrengsten van de implementatie van elk van de aanbevelingen?</w:t>
      </w:r>
      <w:r>
        <w:br/>
      </w:r>
    </w:p>
    <w:p>
      <w:r>
        <w:t xml:space="preserve">Vraag 10</w:t>
      </w:r>
      <w:r>
        <w:br/>
      </w:r>
    </w:p>
    <w:p>
      <w:r>
        <w:t xml:space="preserve">Zijn het aantal gevallen van contactverlies teruggedrongen sinds de start van Scheiden zonder Schade en Een Goed Begin, zoals uw ambtsvoorganger aangaf te verwachten?[2] Zo ja, waar blijkt dat uit? Zo nee, hoe verklaart u dit?</w:t>
      </w:r>
      <w:r>
        <w:br/>
      </w:r>
    </w:p>
    <w:p>
      <w:r>
        <w:t xml:space="preserve">Vraag 11</w:t>
      </w:r>
      <w:r>
        <w:br/>
      </w:r>
    </w:p>
    <w:p>
      <w:r>
        <w:t xml:space="preserve">Wat is momenteel de stand van zaken van de implementatie van Scheiden zonder Schade en Een Goed Begin? Kunt u per onderdeel aangeven welke maatregelen ingevoerd zijn en welke concrete opbrengsten deze programma’s hebben (gehad) voor kinderen en ouders?</w:t>
      </w:r>
      <w:r>
        <w:br/>
      </w:r>
    </w:p>
    <w:p>
      <w:r>
        <w:t xml:space="preserve"> </w:t>
      </w:r>
      <w:r>
        <w:br/>
      </w:r>
    </w:p>
    <w:p>
      <w:r>
        <w:t xml:space="preserve"> </w:t>
      </w:r>
      <w:r>
        <w:br/>
      </w:r>
    </w:p>
    <w:p>
      <w:r>
        <w:t xml:space="preserve">[1] Volkskrant, 13 juni 2026, Hoe een omstreden concept kinderen van hun ouders scheidt: ‘Zolang ik niet leuk doe met mijn moeder, mag ik mijn vader niet zien (https://www.volkskrant.nl/binnenland/hoe-een-omstreden-concept-kinderen-van-hun-ouders-scheidt-zolang-ik-niet-leuk-doe-met-mijn-moeder-mag-ik-mijn-vader-niet-zien~b98cd8ce/).</w:t>
      </w:r>
      <w:r>
        <w:br/>
      </w:r>
    </w:p>
    <w:p>
      <w:r>
        <w:t xml:space="preserve">[2] Aanhangsel Handelingen II, vergaderjaar 2022-2023, nr. 726.</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1113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11130">
    <w:abstractNumId w:val="10051113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