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2026Z13382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juni 2026)</w:t>
        <w:br/>
      </w:r>
    </w:p>
    <w:p>
      <w:r>
        <w:t xml:space="preserve">Vragen van het lid Lammers (Groep Markuszower) aan de minister van Asiel en Migratie over het bericht ‘Zweden krijgt omstreden wet voor snellere uitzetting overlastgevende migranten’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Bent u bekend met het bericht dat het Zweedse parlement op maandag 15 juni 2026 heeft ingestemd met de zogenoemde ‘goed-gedragwet’, op grond waarvan autoriteiten verblijfsvergunningen kunnen intrekken wegens wangedrag?[1]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Bent u het eens met de stelling dat dit een goed en voorbeeldwaardig voorstel is? Zo nee, waarom niet?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Deelt u de opvatting dat vreemdelingen die zich misdragen, schulden veroorzaken, zwart werken, belasting ontduiken of banden onderhouden met extremistische organisaties hun verblijfsrecht in geen geval mogen behouden? Zo nee, waarom niet?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Kunt u exact uiteenzetten op welke punten deze Zweedse wet verder gaat dan de huidige Nederlandse wet- en regelgeving en daarbij per onderdeel aangeven waarom Nederland op dit punt achterblijft?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Kunt u aangeven waarom landen als België, Duitsland en Zweden veel verdergaande maatregelen kunnen nemen, terwijl de partijleider van het CDA, de heer Bontebal, stelt: “Je kunt niet veel meer doen dan wij als Nederland nu hebben gedaan”?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Kunt u aangeven hoeveel vreemdelingen in Nederland onder een regeling naar Zweeds voorbeeld zouden vallen, uitgesplitst naar lopende vergunningsaanvragen en reeds verleende verblijfsvergunningen?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Indien exacte cijfers ontbreken, kunt u dan een onderbouwde inschatting geven en toelichten waarom deze cijfers niet beschikbaar zijn?</w:t>
      </w:r>
      <w:r>
        <w:br/>
      </w:r>
    </w:p>
    <w:p>
      <w:pPr>
        <w:pStyle w:val="ListParagraph"/>
        <w:numPr>
          <w:ilvl w:val="0"/>
          <w:numId w:val="100511180"/>
        </w:numPr>
        <w:ind w:left="360"/>
      </w:pPr>
      <w:r>
        <w:t xml:space="preserve">Welke reden heeft u om een vergelijkbaar wetsvoorstel niet op de kortst mogelijke termijn naar de Kamer te sturen?</w:t>
      </w:r>
      <w:r>
        <w:br/>
      </w:r>
    </w:p>
    <w:p>
      <w:r>
        <w:t xml:space="preserve"> </w:t>
      </w:r>
      <w:r>
        <w:br/>
      </w:r>
    </w:p>
    <w:p>
      <w:r>
        <w:t xml:space="preserve">[1] NU.nl, 16 juni 2026, 'Zweden krijgt omstreden wet voor snellere uitzetting overlastgevende migranten', https://www.nu.nl/buitenland/6399563/zweden-krijgt-omstreden-wet-voor-snellere-uitzetting-overlastgevende-migranten.html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130">
    <w:abstractNumId w:val="100511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