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2026Z13378</w:t>
        <w:br/>
      </w:r>
      <w:proofErr w:type="spellEnd"/>
    </w:p>
    <w:p>
      <w:pPr>
        <w:pStyle w:val="Normal"/>
        <w:rPr>
          <w:b w:val="1"/>
          <w:bCs w:val="1"/>
        </w:rPr>
      </w:pPr>
      <w:r w:rsidR="250AE766">
        <w:rPr>
          <w:b w:val="0"/>
          <w:bCs w:val="0"/>
        </w:rPr>
        <w:t>(ingezonden 17 juni 2026)</w:t>
        <w:br/>
      </w:r>
    </w:p>
    <w:p>
      <w:r>
        <w:t xml:space="preserve">Vragen leden Oualhadj en El Boujdaini (beiden D66) aan de minister en de staatssecretaris van Economische Zaken en Klimaat over het wereldwijd uitschakelen van Anthropic's Fable- en Mythos-modellen </w:t>
      </w:r>
      <w:r>
        <w:br/>
      </w:r>
    </w:p>
    <w:p>
      <w:pPr>
        <w:pStyle w:val="ListParagraph"/>
        <w:numPr>
          <w:ilvl w:val="0"/>
          <w:numId w:val="100511130"/>
        </w:numPr>
        <w:ind w:left="360"/>
      </w:pPr>
      <w:r>
        <w:t xml:space="preserve">Bent u bekend met de berichtgeving dat Anthropic op 12 juni 2026, na een Amerikaans exportcontrolebesluit, de modellen Fable 5 en Mythos 5 wereldwijd heeft uitgeschakeld voor niet-Amerikaanse staatsburgers?</w:t>
      </w:r>
      <w:r>
        <w:br/>
      </w:r>
    </w:p>
    <w:p>
      <w:pPr>
        <w:pStyle w:val="ListParagraph"/>
        <w:numPr>
          <w:ilvl w:val="0"/>
          <w:numId w:val="100511130"/>
        </w:numPr>
        <w:ind w:left="360"/>
      </w:pPr>
      <w:r>
        <w:t xml:space="preserve">Klopt het dat Nederlandse en Europese gebruikers hierdoor abrupt hun toegang tot een </w:t>
      </w:r>
      <w:r>
        <w:rPr>
          <w:i w:val="1"/>
          <w:iCs w:val="1"/>
        </w:rPr>
        <w:t xml:space="preserve">frontier</w:t>
      </w:r>
      <w:r>
        <w:rPr/>
        <w:t xml:space="preserve">-AI-model (grensmodel) verloren, uitsluitend op grond van een binnenlands Amerikaans besluit en zonder enige Europese inspraak of beroepsmogelijkheid?</w:t>
      </w:r>
      <w:r>
        <w:br/>
      </w:r>
    </w:p>
    <w:p>
      <w:pPr>
        <w:pStyle w:val="ListParagraph"/>
        <w:numPr>
          <w:ilvl w:val="0"/>
          <w:numId w:val="100511130"/>
        </w:numPr>
        <w:ind w:left="360"/>
      </w:pPr>
      <w:r>
        <w:t xml:space="preserve">Was u vooraf op de hoogte van dit besluit of het risico daarop en op welke wijze zijn Nederland en de EU hierover geïnformeerd of geconsulteerd?</w:t>
      </w:r>
      <w:r>
        <w:br/>
      </w:r>
    </w:p>
    <w:p>
      <w:pPr>
        <w:pStyle w:val="ListParagraph"/>
        <w:numPr>
          <w:ilvl w:val="0"/>
          <w:numId w:val="100511130"/>
        </w:numPr>
        <w:ind w:left="360"/>
      </w:pPr>
      <w:r>
        <w:t xml:space="preserve">Deelt u de analyse dat dit incident blootlegt hoe afhankelijk Nederland en Europa zijn van een handvol Amerikaanse aanbieders voor de meest geavanceerde AI, en dat die toegang aantoonbaar als geopolitiek drukmiddel kan worden in- en uitgeschakeld? Hoe verhoudt zich dat tot uw constatering in de beleidsbrief Economische Zaken en Klimaat van 24 april 2026 dat Nederland "niet chantabel" moet zijn door strategische afhankelijkheden af te bouwen? 1)</w:t>
      </w:r>
      <w:r>
        <w:br/>
      </w:r>
    </w:p>
    <w:p>
      <w:pPr>
        <w:pStyle w:val="ListParagraph"/>
        <w:numPr>
          <w:ilvl w:val="0"/>
          <w:numId w:val="100511130"/>
        </w:numPr>
        <w:ind w:left="360"/>
      </w:pPr>
      <w:r>
        <w:t xml:space="preserve">Welk Europees of Nederlands alternatief kan op dit moment een </w:t>
      </w:r>
      <w:r>
        <w:rPr>
          <w:i w:val="1"/>
          <w:iCs w:val="1"/>
        </w:rPr>
        <w:t xml:space="preserve">frontier</w:t>
      </w:r>
      <w:r>
        <w:rPr/>
        <w:t xml:space="preserve">-model van vergelijkbaar niveau leveren wanneer Amerikaanse toegang wegvalt, en hoe beoordeelt u de situatie indien een dergelijk alternatief ontbreekt?</w:t>
      </w:r>
      <w:r>
        <w:br/>
      </w:r>
    </w:p>
    <w:p>
      <w:pPr>
        <w:pStyle w:val="ListParagraph"/>
        <w:numPr>
          <w:ilvl w:val="0"/>
          <w:numId w:val="100511130"/>
        </w:numPr>
        <w:ind w:left="360"/>
      </w:pPr>
      <w:r>
        <w:t xml:space="preserve">Welke concrete risico's brengt de blokkade van dit model met zich mee voor het Nederlandse bedrijfsleven, in het bijzonder wanneer toegang als drukmiddel wordt ingezet, en geldt dit risico naar uw oordeel ook voor andere </w:t>
      </w:r>
      <w:r>
        <w:rPr>
          <w:i w:val="1"/>
          <w:iCs w:val="1"/>
        </w:rPr>
        <w:t xml:space="preserve">frontier</w:t>
      </w:r>
      <w:r>
        <w:rPr/>
        <w:t xml:space="preserve">-modellen van Amerikaanse aanbieders zoals OpenAI (ChatGPT) en Google (Gemini)?</w:t>
      </w:r>
      <w:r>
        <w:br/>
      </w:r>
    </w:p>
    <w:p>
      <w:pPr>
        <w:pStyle w:val="ListParagraph"/>
        <w:numPr>
          <w:ilvl w:val="0"/>
          <w:numId w:val="100511130"/>
        </w:numPr>
        <w:ind w:left="360"/>
      </w:pPr>
      <w:r>
        <w:t xml:space="preserve">Heeft de plotselinge uitschakeling van Mythos — een model dat eerder met een select aantal organisaties in vitale sectoren werd gedeeld om softwarekwetsbaarheden op te sporen voordat kwaadwillenden deze konden misbruiken — gevolgen gehad voor de cyberweerbaarheid van Nederlandse of Europese organisaties die dit model gebruikten?</w:t>
      </w:r>
      <w:r>
        <w:br/>
      </w:r>
    </w:p>
    <w:p>
      <w:pPr>
        <w:pStyle w:val="ListParagraph"/>
        <w:numPr>
          <w:ilvl w:val="0"/>
          <w:numId w:val="100511130"/>
        </w:numPr>
        <w:ind w:left="360"/>
      </w:pPr>
      <w:r>
        <w:t xml:space="preserve">Welke risico's ziet u in het gegeven dat een AI-model met dergelijke geavanceerde capaciteiten voor het opsporen van cyberkwetsbaarheden zowel defensief als offensief inzetbaar wordt geacht, en in hoeverre weegt dit mee in de Nederlandse of Europese beoordeling van AI-systemen met een hoog risicoprofiel?</w:t>
      </w:r>
      <w:r>
        <w:br/>
      </w:r>
    </w:p>
    <w:p>
      <w:pPr>
        <w:pStyle w:val="ListParagraph"/>
        <w:numPr>
          <w:ilvl w:val="0"/>
          <w:numId w:val="100511130"/>
        </w:numPr>
        <w:ind w:left="360"/>
      </w:pPr>
      <w:r>
        <w:t xml:space="preserve">Beschikken de rijksoverheid en de beheerders van vitale infrastructuur over een continuïteits- of exitstrategie voor het geval dat Amerikaanse </w:t>
      </w:r>
      <w:r>
        <w:rPr>
          <w:i w:val="1"/>
          <w:iCs w:val="1"/>
        </w:rPr>
        <w:t xml:space="preserve">frontier</w:t>
      </w:r>
      <w:r>
        <w:rPr/>
        <w:t xml:space="preserve">-modellen waarop hun diensten draaien plotseling wegvallen, en zo nee, bent u voornemens een dergelijke strategie te ontwikkelen?</w:t>
      </w:r>
      <w:r>
        <w:br/>
      </w:r>
    </w:p>
    <w:p>
      <w:pPr>
        <w:pStyle w:val="ListParagraph"/>
        <w:numPr>
          <w:ilvl w:val="0"/>
          <w:numId w:val="100511130"/>
        </w:numPr>
        <w:ind w:left="360"/>
      </w:pPr>
      <w:r>
        <w:t xml:space="preserve">Welke maatregelen treft u op korte termijn, al dan niet in Europees verband, om een dergelijke situatie te voorkomen of op te vangen?</w:t>
      </w:r>
      <w:r>
        <w:br/>
      </w:r>
    </w:p>
    <w:p>
      <w:pPr>
        <w:pStyle w:val="ListParagraph"/>
        <w:numPr>
          <w:ilvl w:val="0"/>
          <w:numId w:val="100511130"/>
        </w:numPr>
        <w:ind w:left="360"/>
      </w:pPr>
      <w:r>
        <w:t xml:space="preserve">Hoe versnelt u de totstandkoming van een Europees alternatief op topniveau, bijvoorbeeld door opschaling van de samenwerking met Mistral of door investeringen in rekencapaciteit?</w:t>
      </w:r>
      <w:r>
        <w:br/>
      </w:r>
    </w:p>
    <w:p>
      <w:pPr>
        <w:pStyle w:val="ListParagraph"/>
        <w:numPr>
          <w:ilvl w:val="0"/>
          <w:numId w:val="100511130"/>
        </w:numPr>
        <w:ind w:left="360"/>
      </w:pPr>
      <w:r>
        <w:t xml:space="preserve">Bent u bekend met het scenario 'Europe 2031', waarin wordt beschreven hoe Europa bij voortzetting van de huidige AI-koers afglijdt naar irrelevantie? 2)</w:t>
      </w:r>
      <w:r>
        <w:br/>
      </w:r>
    </w:p>
    <w:p>
      <w:pPr>
        <w:pStyle w:val="ListParagraph"/>
        <w:numPr>
          <w:ilvl w:val="0"/>
          <w:numId w:val="100511130"/>
        </w:numPr>
        <w:ind w:left="360"/>
      </w:pPr>
      <w:r>
        <w:t xml:space="preserve">Onderschrijft u de bevinding dat Europa nog circa 5 procent van de wereldwijde AI-</w:t>
      </w:r>
      <w:r>
        <w:rPr>
          <w:i w:val="1"/>
          <w:iCs w:val="1"/>
        </w:rPr>
        <w:t xml:space="preserve">compute</w:t>
      </w:r>
      <w:r>
        <w:rPr/>
        <w:t xml:space="preserve"> beheerst tegenover circa 80 procent in de Verenigde Staten en dat de 200 miljard euro aan InvestAI grotendeels herverpakt geld betreft dat in het niet valt bij één jaar Amerikaanse investeringen? Zo nee, op welke punten en op basis van welke cijfers wijkt uw beeld af?</w:t>
      </w:r>
      <w:r>
        <w:br/>
      </w:r>
    </w:p>
    <w:p>
      <w:pPr>
        <w:pStyle w:val="ListParagraph"/>
        <w:numPr>
          <w:ilvl w:val="0"/>
          <w:numId w:val="100511130"/>
        </w:numPr>
        <w:ind w:left="360"/>
      </w:pPr>
      <w:r>
        <w:t xml:space="preserve">Deelt u de tijdsdiagnose dat de zomer van 2026 het laatste reële moment is om bij te sturen voordat de achterstand zichzelf versterkt? Zo nee, welk eigen ijkpunt hanteert u en waarop baseert u dat?</w:t>
      </w:r>
      <w:r>
        <w:br/>
      </w:r>
    </w:p>
    <w:p>
      <w:pPr>
        <w:pStyle w:val="ListParagraph"/>
        <w:numPr>
          <w:ilvl w:val="0"/>
          <w:numId w:val="100511130"/>
        </w:numPr>
        <w:ind w:left="360"/>
      </w:pPr>
      <w:r>
        <w:t xml:space="preserve">Bent u bereid dit incident en andere mogelijke strategische AI-afhankelijkheden te (laten) bestuderen en de Kamer te informeren hoe Nederland zich voorbereidt op een scenario waarin de toegang tot buitenlandse AI-modellen voor Nederlandse burgers abrupt wordt beperkt of als drukmiddel wordt ingezet, en daarbij in te gaan op de economische, strategische en soevereiniteitsgevolgen voor Nederland?</w:t>
      </w:r>
      <w:r>
        <w:br/>
      </w:r>
    </w:p>
    <w:p>
      <w:pPr>
        <w:pStyle w:val="ListParagraph"/>
        <w:numPr>
          <w:ilvl w:val="0"/>
          <w:numId w:val="100511130"/>
        </w:numPr>
        <w:ind w:left="360"/>
      </w:pPr>
      <w:r>
        <w:t xml:space="preserve">Wat doet u om meer strategische technologie te ontwikkelen waarvan anderen juist afhankelijk zijn — naar het voorbeeld van ASML — zodat de kans kleiner wordt dat Nederland wordt afgesloten van kritieke technologie zoals AI?</w:t>
      </w:r>
      <w:r>
        <w:br/>
      </w:r>
    </w:p>
    <w:p>
      <w:pPr>
        <w:pStyle w:val="ListParagraph"/>
        <w:numPr>
          <w:ilvl w:val="0"/>
          <w:numId w:val="100511130"/>
        </w:numPr>
        <w:ind w:left="360"/>
      </w:pPr>
      <w:r>
        <w:t xml:space="preserve">Bent u bereid de positie uit de brief aan de Kamer van 31 maart 2026 — dat er binnen de huidige begroting geen ruimte is voor de financiële verplichting om deel te nemen aan de Europese aanbesteding van rekencapaciteit en daarmee aanspraak te maken op het fonds van 20 miljard euro voor maximaal vijf AI-gigafabrieken — te heroverwegen, nu het Fable-incident precies de geopolitieke verstoring is die in diezelfde brief als reden werd genoemd waarom Nederland en Europa zelfstandig AI-modellen moeten kunnen ontwikkelen en </w:t>
      </w:r>
      <w:r>
        <w:rPr>
          <w:i w:val="1"/>
          <w:iCs w:val="1"/>
        </w:rPr>
        <w:t xml:space="preserve">hosten</w:t>
      </w:r>
      <w:r>
        <w:rPr/>
        <w:t xml:space="preserve">? 3)</w:t>
      </w:r>
      <w:r>
        <w:br/>
      </w:r>
    </w:p>
    <w:p>
      <w:pPr>
        <w:pStyle w:val="ListParagraph"/>
        <w:numPr>
          <w:ilvl w:val="0"/>
          <w:numId w:val="100511130"/>
        </w:numPr>
        <w:ind w:left="360"/>
      </w:pPr>
      <w:r>
        <w:t xml:space="preserve">Hoe verhoudt de ambitie om nationale rekencapaciteit op te bouwen zich tot de huidige netcongestie, de schaarse ruimte en het verbod op </w:t>
      </w:r>
      <w:r>
        <w:rPr>
          <w:i w:val="1"/>
          <w:iCs w:val="1"/>
        </w:rPr>
        <w:t xml:space="preserve">hyperscale-datacenters</w:t>
      </w:r>
      <w:r>
        <w:rPr/>
        <w:t xml:space="preserve"> op nieuwe locaties, en welke concrete randvoorwaarden op het gebied van energie, netaansluiting en vergunningverlening neemt u op welke termijn weg?</w:t>
      </w:r>
      <w:r>
        <w:br/>
      </w:r>
    </w:p>
    <w:p>
      <w:pPr>
        <w:pStyle w:val="ListParagraph"/>
        <w:numPr>
          <w:ilvl w:val="0"/>
          <w:numId w:val="100511130"/>
        </w:numPr>
        <w:ind w:left="360"/>
      </w:pPr>
      <w:r>
        <w:t xml:space="preserve">Bent u bereid de oprichting van een Nederlands European Lab for Learning and Intelligent Systems (ELLIS) Instituut als nationaal AI-onderzoekscentrum, zoals aanbevolen in het rapport-Wennink, op korte termijn mogelijk te maken en te financieren? Zo nee, waarom niet?</w:t>
      </w:r>
      <w:r>
        <w:br/>
      </w:r>
    </w:p>
    <w:p>
      <w:pPr>
        <w:pStyle w:val="ListParagraph"/>
        <w:numPr>
          <w:ilvl w:val="0"/>
          <w:numId w:val="100511130"/>
        </w:numPr>
        <w:ind w:left="360"/>
      </w:pPr>
      <w:r>
        <w:t xml:space="preserve">Hoe beoordeelt u het feit dat Nederland, anders dan het Verenigd Koninkrijk en de Verenigde Staten, niet over een eigen AI Safety Institute beschikt en daarmee geen onafhankelijke capaciteit heeft om de </w:t>
      </w:r>
      <w:r>
        <w:rPr>
          <w:i w:val="1"/>
          <w:iCs w:val="1"/>
        </w:rPr>
        <w:t xml:space="preserve">frontier</w:t>
      </w:r>
      <w:r>
        <w:rPr/>
        <w:t xml:space="preserve">-modellen waarvan onze economie en vitale sectoren afhankelijk zijn zelf te beoordelen of te testen — zoals het Britse AI Safety Institute wel doet via toegangsafspraken met onder meer Anthropic, Google en OpenAI — mede in het licht van het gegeven dat juist een </w:t>
      </w:r>
      <w:r>
        <w:rPr>
          <w:i w:val="1"/>
          <w:iCs w:val="1"/>
        </w:rPr>
        <w:t xml:space="preserve">jailbreak</w:t>
      </w:r>
      <w:r>
        <w:rPr/>
        <w:t xml:space="preserve"> (gevangenisuitbraak) van Mythos de aanleiding vormde voor het uitschakelen van Fable? Bent u bereid een Nederlands AI Safety Institute met die taak en passende bevoegdheden op te richten?</w:t>
      </w:r>
      <w:r>
        <w:br/>
      </w:r>
    </w:p>
    <w:p>
      <w:pPr>
        <w:pStyle w:val="ListParagraph"/>
        <w:numPr>
          <w:ilvl w:val="0"/>
          <w:numId w:val="100511130"/>
        </w:numPr>
        <w:ind w:left="360"/>
      </w:pPr>
      <w:r>
        <w:t xml:space="preserve">Onderschrijft u het feit dat het versterken van de brede strategische relevantie van op Nederland gerichte investeringen vraagt om technologische doorbraken over meerdere domeinen, en niet alleen in AI? Welke rol ziet u daarbij voor het Nationaal Agentschap voor Disruptieve Innovatie (NADI) als motor voor disruptieve doorbraken over de volle breedte van de door Wennink benoemde strategische domeinen (digitalisering en AI, veiligheid en weerbaarheid, gezondheid en biotechnologie, energie- en klimaattechnologie)?</w:t>
      </w:r>
      <w:r>
        <w:br/>
      </w:r>
    </w:p>
    <w:p>
      <w:pPr>
        <w:pStyle w:val="ListParagraph"/>
        <w:numPr>
          <w:ilvl w:val="0"/>
          <w:numId w:val="100511130"/>
        </w:numPr>
        <w:ind w:left="360"/>
      </w:pPr>
      <w:r>
        <w:t xml:space="preserve">Bent u bereid te laten onderzoeken of het NADI volgens de ARPA-methode een programma kan opzetten dat de ontwikkeling van AI-infrastructuur op Europese bodem versterkt, in het bijzonder chips en de bijbehorende ontwerp- en productie</w:t>
      </w:r>
      <w:r>
        <w:rPr>
          <w:i w:val="1"/>
          <w:iCs w:val="1"/>
        </w:rPr>
        <w:t xml:space="preserve">tooling</w:t>
      </w:r>
      <w:r>
        <w:rPr/>
        <w:t xml:space="preserve">?</w:t>
      </w:r>
      <w:r>
        <w:br/>
      </w:r>
    </w:p>
    <w:p>
      <w:pPr>
        <w:pStyle w:val="ListParagraph"/>
        <w:numPr>
          <w:ilvl w:val="0"/>
          <w:numId w:val="100511130"/>
        </w:numPr>
        <w:ind w:left="360"/>
      </w:pPr>
      <w:r>
        <w:t xml:space="preserve">Bent u bereid de Kamer vóór Prinsjesdag een samenhangend tijdpad te sturen voor het vergroten van de strategische relevantie van Nederland op AI- en breder technologisch gebied, met daarin in elk geval de besluitvorming over nationale rekencapaciteit en energie, een ELLIS Instituut, een AI Safety Institute, de versnelde oprichting van het NADI en de opschaling van de Nationale Investeringsinstelling?</w:t>
      </w:r>
      <w:r>
        <w:br/>
      </w:r>
    </w:p>
    <w:p>
      <w:r>
        <w:t xml:space="preserve">1) Kamerstuk 36800-XIII, nr. 41</w:t>
      </w:r>
      <w:r>
        <w:br/>
      </w:r>
    </w:p>
    <w:p>
      <w:r>
        <w:t xml:space="preserve">2) LinkedIn, 11 juni 2026, 'Bijdrage van Michiel Bakker' </w:t>
      </w:r>
      <w:r>
        <w:br/>
      </w:r>
    </w:p>
    <w:p>
      <w:r>
        <w:t xml:space="preserve">3) Kamerstuk 26643, nr. 1499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