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1BD" w:rsidP="00AE11BD" w:rsidRDefault="00AE11BD" w14:paraId="1238CEC0" w14:textId="0825996E">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De kinderopvang </w:t>
      </w:r>
      <w:r>
        <w:rPr>
          <w:rFonts w:eastAsia="Aptos" w:cs="Times New Roman"/>
          <w:color w:val="auto"/>
          <w:kern w:val="2"/>
          <w:lang w:eastAsia="en-US"/>
          <w14:ligatures w14:val="standardContextual"/>
        </w:rPr>
        <w:t xml:space="preserve">moet </w:t>
      </w:r>
      <w:r w:rsidRPr="002A4C87">
        <w:rPr>
          <w:rFonts w:eastAsia="Aptos" w:cs="Times New Roman"/>
          <w:color w:val="auto"/>
          <w:kern w:val="2"/>
          <w:lang w:eastAsia="en-US"/>
          <w14:ligatures w14:val="standardContextual"/>
        </w:rPr>
        <w:t xml:space="preserve">een veilige </w:t>
      </w:r>
      <w:r>
        <w:rPr>
          <w:rFonts w:eastAsia="Aptos" w:cs="Times New Roman"/>
          <w:color w:val="auto"/>
          <w:kern w:val="2"/>
          <w:lang w:eastAsia="en-US"/>
          <w14:ligatures w14:val="standardContextual"/>
        </w:rPr>
        <w:t>omgeving bieden</w:t>
      </w:r>
      <w:r w:rsidRPr="002A4C87">
        <w:rPr>
          <w:rFonts w:eastAsia="Aptos" w:cs="Times New Roman"/>
          <w:color w:val="auto"/>
          <w:kern w:val="2"/>
          <w:lang w:eastAsia="en-US"/>
          <w14:ligatures w14:val="standardContextual"/>
        </w:rPr>
        <w:t xml:space="preserve">, waar ouders hun kinderen met </w:t>
      </w:r>
      <w:r>
        <w:rPr>
          <w:rFonts w:eastAsia="Aptos" w:cs="Times New Roman"/>
          <w:color w:val="auto"/>
          <w:kern w:val="2"/>
          <w:lang w:eastAsia="en-US"/>
          <w14:ligatures w14:val="standardContextual"/>
        </w:rPr>
        <w:t>vertrouwen</w:t>
      </w:r>
      <w:r w:rsidRPr="002A4C87">
        <w:rPr>
          <w:rFonts w:eastAsia="Aptos" w:cs="Times New Roman"/>
          <w:color w:val="auto"/>
          <w:kern w:val="2"/>
          <w:lang w:eastAsia="en-US"/>
          <w14:ligatures w14:val="standardContextual"/>
        </w:rPr>
        <w:t xml:space="preserve"> heen brengen</w:t>
      </w:r>
      <w:r>
        <w:rPr>
          <w:rFonts w:eastAsia="Aptos" w:cs="Times New Roman"/>
          <w:color w:val="auto"/>
          <w:kern w:val="2"/>
          <w:lang w:eastAsia="en-US"/>
          <w14:ligatures w14:val="standardContextual"/>
        </w:rPr>
        <w:t>. K</w:t>
      </w:r>
      <w:r w:rsidRPr="002A4C87">
        <w:rPr>
          <w:rFonts w:eastAsia="Aptos" w:cs="Times New Roman"/>
          <w:color w:val="auto"/>
          <w:kern w:val="2"/>
          <w:lang w:eastAsia="en-US"/>
          <w14:ligatures w14:val="standardContextual"/>
        </w:rPr>
        <w:t xml:space="preserve">inderen </w:t>
      </w:r>
      <w:r>
        <w:rPr>
          <w:rFonts w:eastAsia="Aptos" w:cs="Times New Roman"/>
          <w:color w:val="auto"/>
          <w:kern w:val="2"/>
          <w:lang w:eastAsia="en-US"/>
          <w14:ligatures w14:val="standardContextual"/>
        </w:rPr>
        <w:t xml:space="preserve">moeten </w:t>
      </w:r>
      <w:r w:rsidRPr="002A4C87">
        <w:rPr>
          <w:rFonts w:eastAsia="Aptos" w:cs="Times New Roman"/>
          <w:color w:val="auto"/>
          <w:kern w:val="2"/>
          <w:lang w:eastAsia="en-US"/>
          <w14:ligatures w14:val="standardContextual"/>
        </w:rPr>
        <w:t xml:space="preserve">zich </w:t>
      </w:r>
      <w:r>
        <w:rPr>
          <w:rFonts w:eastAsia="Aptos" w:cs="Times New Roman"/>
          <w:color w:val="auto"/>
          <w:kern w:val="2"/>
          <w:lang w:eastAsia="en-US"/>
          <w14:ligatures w14:val="standardContextual"/>
        </w:rPr>
        <w:t xml:space="preserve">er </w:t>
      </w:r>
      <w:r w:rsidRPr="002A4C87">
        <w:rPr>
          <w:rFonts w:eastAsia="Aptos" w:cs="Times New Roman"/>
          <w:color w:val="auto"/>
          <w:kern w:val="2"/>
          <w:lang w:eastAsia="en-US"/>
          <w14:ligatures w14:val="standardContextual"/>
        </w:rPr>
        <w:t xml:space="preserve">kunnen ontwikkelen </w:t>
      </w:r>
      <w:r>
        <w:rPr>
          <w:rFonts w:eastAsia="Aptos" w:cs="Times New Roman"/>
          <w:color w:val="auto"/>
          <w:kern w:val="2"/>
          <w:lang w:eastAsia="en-US"/>
          <w14:ligatures w14:val="standardContextual"/>
        </w:rPr>
        <w:t>terwijl</w:t>
      </w:r>
      <w:r w:rsidRPr="002A4C87">
        <w:rPr>
          <w:rFonts w:eastAsia="Aptos" w:cs="Times New Roman"/>
          <w:color w:val="auto"/>
          <w:kern w:val="2"/>
          <w:lang w:eastAsia="en-US"/>
          <w14:ligatures w14:val="standardContextual"/>
        </w:rPr>
        <w:t xml:space="preserve"> ouders participeren in de arbeidsmarkt. Daarom zijn kwaliteit- en veiligheidseisen in wet- en regelgeving opgenomen</w:t>
      </w:r>
      <w:r w:rsidR="0017548D">
        <w:rPr>
          <w:rFonts w:eastAsia="Aptos" w:cs="Times New Roman"/>
          <w:color w:val="auto"/>
          <w:kern w:val="2"/>
          <w:lang w:eastAsia="en-US"/>
          <w14:ligatures w14:val="standardContextual"/>
        </w:rPr>
        <w:t xml:space="preserve">, waarop de </w:t>
      </w:r>
      <w:proofErr w:type="gramStart"/>
      <w:r w:rsidR="0017548D">
        <w:rPr>
          <w:rFonts w:eastAsia="Aptos" w:cs="Times New Roman"/>
          <w:color w:val="auto"/>
          <w:kern w:val="2"/>
          <w:lang w:eastAsia="en-US"/>
          <w14:ligatures w14:val="standardContextual"/>
        </w:rPr>
        <w:t>GGD toezicht</w:t>
      </w:r>
      <w:proofErr w:type="gramEnd"/>
      <w:r w:rsidR="00632D51">
        <w:rPr>
          <w:rFonts w:eastAsia="Aptos" w:cs="Times New Roman"/>
          <w:color w:val="auto"/>
          <w:kern w:val="2"/>
          <w:lang w:eastAsia="en-US"/>
          <w14:ligatures w14:val="standardContextual"/>
        </w:rPr>
        <w:t xml:space="preserve"> </w:t>
      </w:r>
      <w:r w:rsidR="0017548D">
        <w:rPr>
          <w:rFonts w:eastAsia="Aptos" w:cs="Times New Roman"/>
          <w:color w:val="auto"/>
          <w:kern w:val="2"/>
          <w:lang w:eastAsia="en-US"/>
          <w14:ligatures w14:val="standardContextual"/>
        </w:rPr>
        <w:t>houdt en de gemeente handhaaft</w:t>
      </w:r>
      <w:r w:rsidRPr="002A4C87">
        <w:rPr>
          <w:rFonts w:eastAsia="Aptos" w:cs="Times New Roman"/>
          <w:color w:val="auto"/>
          <w:kern w:val="2"/>
          <w:lang w:eastAsia="en-US"/>
          <w14:ligatures w14:val="standardContextual"/>
        </w:rPr>
        <w:t xml:space="preserve">. Onderdeel van deze eisen is de meld-, overleg- en aangifteplicht (MOA), die geldt bij een </w:t>
      </w:r>
      <w:r w:rsidR="00196FD5">
        <w:rPr>
          <w:rFonts w:eastAsia="Aptos" w:cs="Times New Roman"/>
          <w:color w:val="auto"/>
          <w:kern w:val="2"/>
          <w:lang w:eastAsia="en-US"/>
          <w14:ligatures w14:val="standardContextual"/>
        </w:rPr>
        <w:t xml:space="preserve">mogelijk </w:t>
      </w:r>
      <w:r w:rsidRPr="002A4C87">
        <w:rPr>
          <w:rFonts w:eastAsia="Aptos" w:cs="Times New Roman"/>
          <w:color w:val="auto"/>
          <w:kern w:val="2"/>
          <w:lang w:eastAsia="en-US"/>
          <w14:ligatures w14:val="standardContextual"/>
        </w:rPr>
        <w:t xml:space="preserve">vermoeden van seksueel misbruik of mishandeling van een opgevangen kind door een medewerker of gastouder. </w:t>
      </w:r>
      <w:r w:rsidR="00544A8B">
        <w:rPr>
          <w:rFonts w:eastAsia="Aptos" w:cs="Times New Roman"/>
          <w:color w:val="auto"/>
          <w:kern w:val="2"/>
          <w:lang w:eastAsia="en-US"/>
          <w14:ligatures w14:val="standardContextual"/>
        </w:rPr>
        <w:t>Elk geval van misbruik en mishandeling is er één te veel en betreur ik ten zeerste. D</w:t>
      </w:r>
      <w:r w:rsidR="003A437F">
        <w:rPr>
          <w:rFonts w:eastAsia="Aptos" w:cs="Times New Roman"/>
          <w:color w:val="auto"/>
          <w:kern w:val="2"/>
          <w:lang w:eastAsia="en-US"/>
          <w14:ligatures w14:val="standardContextual"/>
        </w:rPr>
        <w:t>aarom is d</w:t>
      </w:r>
      <w:r w:rsidR="00544A8B">
        <w:rPr>
          <w:rFonts w:eastAsia="Aptos" w:cs="Times New Roman"/>
          <w:color w:val="auto"/>
          <w:kern w:val="2"/>
          <w:lang w:eastAsia="en-US"/>
          <w14:ligatures w14:val="standardContextual"/>
        </w:rPr>
        <w:t xml:space="preserve">e MOA </w:t>
      </w:r>
      <w:r w:rsidR="003A437F">
        <w:rPr>
          <w:rFonts w:eastAsia="Aptos" w:cs="Times New Roman"/>
          <w:color w:val="auto"/>
          <w:kern w:val="2"/>
          <w:lang w:eastAsia="en-US"/>
          <w14:ligatures w14:val="standardContextual"/>
        </w:rPr>
        <w:t>essentieel</w:t>
      </w:r>
      <w:r w:rsidR="00544A8B">
        <w:rPr>
          <w:rFonts w:eastAsia="Aptos" w:cs="Times New Roman"/>
          <w:color w:val="auto"/>
          <w:kern w:val="2"/>
          <w:lang w:eastAsia="en-US"/>
          <w14:ligatures w14:val="standardContextual"/>
        </w:rPr>
        <w:t xml:space="preserve"> om de</w:t>
      </w:r>
      <w:r w:rsidR="003A437F">
        <w:rPr>
          <w:rFonts w:eastAsia="Aptos" w:cs="Times New Roman"/>
          <w:color w:val="auto"/>
          <w:kern w:val="2"/>
          <w:lang w:eastAsia="en-US"/>
          <w14:ligatures w14:val="standardContextual"/>
        </w:rPr>
        <w:t xml:space="preserve"> veiligheid van kinderen op de kinderopvang te waarborgen. </w:t>
      </w:r>
      <w:r w:rsidR="00544A8B">
        <w:rPr>
          <w:rFonts w:eastAsia="Aptos" w:cs="Times New Roman"/>
          <w:color w:val="auto"/>
          <w:kern w:val="2"/>
          <w:lang w:eastAsia="en-US"/>
          <w14:ligatures w14:val="standardContextual"/>
        </w:rPr>
        <w:t xml:space="preserve">  </w:t>
      </w:r>
    </w:p>
    <w:p w:rsidRPr="002A4C87" w:rsidR="00AE11BD" w:rsidP="00AE11BD" w:rsidRDefault="00AE11BD" w14:paraId="2860561F" w14:textId="77777777">
      <w:pPr>
        <w:autoSpaceDN/>
        <w:textAlignment w:val="auto"/>
        <w:rPr>
          <w:rFonts w:eastAsia="Aptos" w:cs="Times New Roman"/>
          <w:color w:val="auto"/>
          <w:kern w:val="2"/>
          <w:lang w:eastAsia="en-US"/>
          <w14:ligatures w14:val="standardContextual"/>
        </w:rPr>
      </w:pPr>
    </w:p>
    <w:p w:rsidRPr="002A4C87" w:rsidR="00AE11BD" w:rsidP="00AE11BD" w:rsidRDefault="00AE11BD" w14:paraId="12D4A9D9" w14:textId="77777777">
      <w:pPr>
        <w:autoSpaceDN/>
        <w:textAlignment w:val="auto"/>
        <w:rPr>
          <w:rFonts w:eastAsia="Aptos" w:cs="Times New Roman"/>
          <w:b/>
          <w:bCs/>
          <w:color w:val="auto"/>
          <w:kern w:val="2"/>
          <w:lang w:eastAsia="en-US"/>
          <w14:ligatures w14:val="standardContextual"/>
        </w:rPr>
      </w:pPr>
      <w:r w:rsidRPr="002A4C87">
        <w:rPr>
          <w:rFonts w:eastAsia="Aptos" w:cs="Times New Roman"/>
          <w:b/>
          <w:bCs/>
          <w:color w:val="auto"/>
          <w:kern w:val="2"/>
          <w:lang w:eastAsia="en-US"/>
          <w14:ligatures w14:val="standardContextual"/>
        </w:rPr>
        <w:t>De meld-, overleg- en aangifteplicht</w:t>
      </w:r>
    </w:p>
    <w:p w:rsidR="00AE11BD" w:rsidP="00AE11BD" w:rsidRDefault="00AE11BD" w14:paraId="0384A15C" w14:textId="6D9BF049">
      <w:pPr>
        <w:autoSpaceDN/>
        <w:textAlignment w:val="auto"/>
        <w:rPr>
          <w:rFonts w:eastAsia="Aptos" w:cs="Times New Roman"/>
          <w:color w:val="auto"/>
          <w:kern w:val="2"/>
          <w:lang w:eastAsia="en-US"/>
          <w14:ligatures w14:val="standardContextual"/>
        </w:rPr>
      </w:pPr>
      <w:r w:rsidRPr="00915269">
        <w:rPr>
          <w:rFonts w:eastAsia="Aptos" w:cs="Times New Roman"/>
          <w:color w:val="auto"/>
          <w:kern w:val="2"/>
          <w:lang w:eastAsia="en-US"/>
          <w14:ligatures w14:val="standardContextual"/>
        </w:rPr>
        <w:t xml:space="preserve">De </w:t>
      </w:r>
      <w:r>
        <w:rPr>
          <w:rFonts w:eastAsia="Aptos" w:cs="Times New Roman"/>
          <w:color w:val="auto"/>
          <w:kern w:val="2"/>
          <w:lang w:eastAsia="en-US"/>
          <w14:ligatures w14:val="standardContextual"/>
        </w:rPr>
        <w:t xml:space="preserve">medewerkers hebben een </w:t>
      </w:r>
      <w:r w:rsidRPr="00915269">
        <w:rPr>
          <w:rFonts w:eastAsia="Aptos" w:cs="Times New Roman"/>
          <w:color w:val="auto"/>
          <w:kern w:val="2"/>
          <w:lang w:eastAsia="en-US"/>
          <w14:ligatures w14:val="standardContextual"/>
        </w:rPr>
        <w:t xml:space="preserve">meldplicht. Zij melden een vermoeden van seksueel misbruik of mishandeling van een opgevangen kind door een medewerker of gastouder, bij de houder van de kinderopvangorganisatie of het gastouderbureau. De houder van de kinderopvangorganisatie of het gastouderbureau is </w:t>
      </w:r>
      <w:r>
        <w:rPr>
          <w:rFonts w:eastAsia="Aptos" w:cs="Times New Roman"/>
          <w:color w:val="auto"/>
          <w:kern w:val="2"/>
          <w:lang w:eastAsia="en-US"/>
          <w14:ligatures w14:val="standardContextual"/>
        </w:rPr>
        <w:t>vervolgens</w:t>
      </w:r>
      <w:r w:rsidRPr="00915269">
        <w:rPr>
          <w:rFonts w:eastAsia="Aptos" w:cs="Times New Roman"/>
          <w:color w:val="auto"/>
          <w:kern w:val="2"/>
          <w:lang w:eastAsia="en-US"/>
          <w14:ligatures w14:val="standardContextual"/>
        </w:rPr>
        <w:t xml:space="preserve"> verplicht om direct te overleggen met de vertrouwensinspecteurs van de Inspectie van het Onderwijs (</w:t>
      </w:r>
      <w:proofErr w:type="spellStart"/>
      <w:r w:rsidRPr="00915269">
        <w:rPr>
          <w:rFonts w:eastAsia="Aptos" w:cs="Times New Roman"/>
          <w:color w:val="auto"/>
          <w:kern w:val="2"/>
          <w:lang w:eastAsia="en-US"/>
          <w14:ligatures w14:val="standardContextual"/>
        </w:rPr>
        <w:t>IvhO</w:t>
      </w:r>
      <w:proofErr w:type="spellEnd"/>
      <w:r w:rsidRPr="00915269">
        <w:rPr>
          <w:rFonts w:eastAsia="Aptos" w:cs="Times New Roman"/>
          <w:color w:val="auto"/>
          <w:kern w:val="2"/>
          <w:lang w:eastAsia="en-US"/>
          <w14:ligatures w14:val="standardContextual"/>
        </w:rPr>
        <w:t>). Als uit het overleg inderdaad een redelijk vermoeden van een mogelijk strafbaar feit wordt vastgesteld, dan heeft de houder een aangifteplicht. De vertrouwensinspecteurs</w:t>
      </w:r>
      <w:r w:rsidRPr="002A4C87">
        <w:rPr>
          <w:rFonts w:eastAsia="Aptos" w:cs="Times New Roman"/>
          <w:color w:val="auto"/>
          <w:kern w:val="2"/>
          <w:lang w:eastAsia="en-US"/>
          <w14:ligatures w14:val="standardContextual"/>
        </w:rPr>
        <w:t xml:space="preserve"> zien erop toe dat de houder ook daadwerkelijk aangifte doet. </w:t>
      </w:r>
    </w:p>
    <w:p w:rsidR="00AE11BD" w:rsidP="00AE11BD" w:rsidRDefault="00AE11BD" w14:paraId="122EEA64" w14:textId="77777777">
      <w:pPr>
        <w:autoSpaceDN/>
        <w:textAlignment w:val="auto"/>
        <w:rPr>
          <w:rFonts w:eastAsia="Aptos" w:cs="Times New Roman"/>
          <w:color w:val="auto"/>
          <w:kern w:val="2"/>
          <w:lang w:eastAsia="en-US"/>
          <w14:ligatures w14:val="standardContextual"/>
        </w:rPr>
      </w:pPr>
    </w:p>
    <w:p w:rsidR="00AE11BD" w:rsidP="00AE11BD" w:rsidRDefault="00AE11BD" w14:paraId="2CE2B900" w14:textId="77777777">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Naast deze wettelijke verplichting kunnen ouders en andere professionals bij vermoedens van misbruik of mishandeling </w:t>
      </w:r>
      <w:r>
        <w:rPr>
          <w:rFonts w:eastAsia="Aptos" w:cs="Times New Roman"/>
          <w:color w:val="auto"/>
          <w:kern w:val="2"/>
          <w:lang w:eastAsia="en-US"/>
          <w14:ligatures w14:val="standardContextual"/>
        </w:rPr>
        <w:t xml:space="preserve">van een kind </w:t>
      </w:r>
      <w:r w:rsidRPr="002A4C87">
        <w:rPr>
          <w:rFonts w:eastAsia="Aptos" w:cs="Times New Roman"/>
          <w:color w:val="auto"/>
          <w:kern w:val="2"/>
          <w:lang w:eastAsia="en-US"/>
          <w14:ligatures w14:val="standardContextual"/>
        </w:rPr>
        <w:t xml:space="preserve">tijdens de opvang vrijblijvend advies </w:t>
      </w:r>
      <w:r>
        <w:rPr>
          <w:rFonts w:eastAsia="Aptos" w:cs="Times New Roman"/>
          <w:color w:val="auto"/>
          <w:kern w:val="2"/>
          <w:lang w:eastAsia="en-US"/>
          <w14:ligatures w14:val="standardContextual"/>
        </w:rPr>
        <w:t>vragen aan</w:t>
      </w:r>
      <w:r w:rsidRPr="002A4C87">
        <w:rPr>
          <w:rFonts w:eastAsia="Aptos" w:cs="Times New Roman"/>
          <w:color w:val="auto"/>
          <w:kern w:val="2"/>
          <w:lang w:eastAsia="en-US"/>
          <w14:ligatures w14:val="standardContextual"/>
        </w:rPr>
        <w:t xml:space="preserve"> de vertrouwensinspecteurs.</w:t>
      </w:r>
      <w:r w:rsidRPr="002A4C87">
        <w:rPr>
          <w:rFonts w:eastAsia="Aptos" w:cs="Times New Roman"/>
          <w:color w:val="auto"/>
          <w:kern w:val="2"/>
          <w:vertAlign w:val="superscript"/>
          <w:lang w:eastAsia="en-US"/>
          <w14:ligatures w14:val="standardContextual"/>
        </w:rPr>
        <w:footnoteReference w:id="1"/>
      </w:r>
      <w:r w:rsidRPr="002A4C87">
        <w:rPr>
          <w:rFonts w:eastAsia="Aptos" w:cs="Times New Roman"/>
          <w:color w:val="auto"/>
          <w:kern w:val="2"/>
          <w:lang w:eastAsia="en-US"/>
          <w14:ligatures w14:val="standardContextual"/>
        </w:rPr>
        <w:t xml:space="preserve"> Ouders en andere professionals kunnen bij vermoedens uiteraard ook altijd </w:t>
      </w:r>
      <w:r>
        <w:rPr>
          <w:rFonts w:eastAsia="Aptos" w:cs="Times New Roman"/>
          <w:color w:val="auto"/>
          <w:kern w:val="2"/>
          <w:lang w:eastAsia="en-US"/>
          <w14:ligatures w14:val="standardContextual"/>
        </w:rPr>
        <w:t xml:space="preserve">rechtstreeks </w:t>
      </w:r>
      <w:r w:rsidRPr="002A4C87">
        <w:rPr>
          <w:rFonts w:eastAsia="Aptos" w:cs="Times New Roman"/>
          <w:color w:val="auto"/>
          <w:kern w:val="2"/>
          <w:lang w:eastAsia="en-US"/>
          <w14:ligatures w14:val="standardContextual"/>
        </w:rPr>
        <w:t xml:space="preserve">aangifte doen bij de politie. </w:t>
      </w:r>
    </w:p>
    <w:p w:rsidRPr="002A4C87" w:rsidR="00AE11BD" w:rsidP="00AE11BD" w:rsidRDefault="00AE11BD" w14:paraId="10DFF118" w14:textId="77777777">
      <w:pPr>
        <w:autoSpaceDN/>
        <w:textAlignment w:val="auto"/>
        <w:rPr>
          <w:rFonts w:eastAsia="Aptos" w:cs="Times New Roman"/>
          <w:color w:val="auto"/>
          <w:kern w:val="2"/>
          <w:lang w:eastAsia="en-US"/>
          <w14:ligatures w14:val="standardContextual"/>
        </w:rPr>
      </w:pPr>
    </w:p>
    <w:p w:rsidRPr="002A4C87" w:rsidR="00AE11BD" w:rsidP="00AE11BD" w:rsidRDefault="00AE11BD" w14:paraId="7A30F31E" w14:textId="4ED5F045">
      <w:pPr>
        <w:autoSpaceDN/>
        <w:textAlignment w:val="auto"/>
        <w:rPr>
          <w:rFonts w:eastAsia="Aptos" w:cs="Times New Roman"/>
          <w:b/>
          <w:bCs/>
          <w:color w:val="auto"/>
          <w:kern w:val="2"/>
          <w:lang w:eastAsia="en-US"/>
          <w14:ligatures w14:val="standardContextual"/>
        </w:rPr>
      </w:pPr>
      <w:r w:rsidRPr="002A4C87">
        <w:rPr>
          <w:rFonts w:eastAsia="Aptos" w:cs="Times New Roman"/>
          <w:b/>
          <w:bCs/>
          <w:color w:val="auto"/>
          <w:kern w:val="2"/>
          <w:lang w:eastAsia="en-US"/>
          <w14:ligatures w14:val="standardContextual"/>
        </w:rPr>
        <w:t xml:space="preserve">Stijging </w:t>
      </w:r>
      <w:r w:rsidR="00AC58FA">
        <w:rPr>
          <w:rFonts w:eastAsia="Aptos" w:cs="Times New Roman"/>
          <w:b/>
          <w:bCs/>
          <w:color w:val="auto"/>
          <w:kern w:val="2"/>
          <w:lang w:eastAsia="en-US"/>
          <w14:ligatures w14:val="standardContextual"/>
        </w:rPr>
        <w:t xml:space="preserve">totaal </w:t>
      </w:r>
      <w:r w:rsidRPr="002A4C87">
        <w:rPr>
          <w:rFonts w:eastAsia="Aptos" w:cs="Times New Roman"/>
          <w:b/>
          <w:bCs/>
          <w:color w:val="auto"/>
          <w:kern w:val="2"/>
          <w:lang w:eastAsia="en-US"/>
          <w14:ligatures w14:val="standardContextual"/>
        </w:rPr>
        <w:t>aantal dossiers</w:t>
      </w:r>
      <w:r w:rsidR="00555C8F">
        <w:rPr>
          <w:rFonts w:eastAsia="Aptos" w:cs="Times New Roman"/>
          <w:b/>
          <w:bCs/>
          <w:color w:val="auto"/>
          <w:kern w:val="2"/>
          <w:lang w:eastAsia="en-US"/>
          <w14:ligatures w14:val="standardContextual"/>
        </w:rPr>
        <w:t xml:space="preserve"> en daling MOA dossiers </w:t>
      </w:r>
    </w:p>
    <w:p w:rsidRPr="002A4C87" w:rsidR="00AE11BD" w:rsidP="00AE11BD" w:rsidRDefault="00AE11BD" w14:paraId="42EBB817" w14:textId="2CC5D556">
      <w:pPr>
        <w:autoSpaceDN/>
        <w:textAlignment w:val="auto"/>
        <w:rPr>
          <w:rFonts w:eastAsia="Aptos" w:cs="Times New Roman"/>
          <w:color w:val="auto"/>
          <w:kern w:val="2"/>
          <w:lang w:eastAsia="en-US"/>
          <w14:ligatures w14:val="standardContextual"/>
        </w:rPr>
      </w:pPr>
      <w:bookmarkStart w:name="_Hlk232080250" w:id="0"/>
      <w:r w:rsidRPr="00196FD5">
        <w:rPr>
          <w:rFonts w:eastAsia="Aptos" w:cs="Times New Roman"/>
          <w:color w:val="auto"/>
          <w:kern w:val="2"/>
          <w:lang w:eastAsia="en-US"/>
          <w14:ligatures w14:val="standardContextual"/>
        </w:rPr>
        <w:t>Vandaag heeft</w:t>
      </w:r>
      <w:r w:rsidRPr="002A4C87">
        <w:rPr>
          <w:rFonts w:eastAsia="Aptos" w:cs="Times New Roman"/>
          <w:color w:val="auto"/>
          <w:kern w:val="2"/>
          <w:lang w:eastAsia="en-US"/>
          <w14:ligatures w14:val="standardContextual"/>
        </w:rPr>
        <w:t xml:space="preserve"> de </w:t>
      </w:r>
      <w:proofErr w:type="spellStart"/>
      <w:r w:rsidRPr="002A4C87">
        <w:rPr>
          <w:rFonts w:eastAsia="Aptos" w:cs="Times New Roman"/>
          <w:color w:val="auto"/>
          <w:kern w:val="2"/>
          <w:lang w:eastAsia="en-US"/>
          <w14:ligatures w14:val="standardContextual"/>
        </w:rPr>
        <w:t>IvhO</w:t>
      </w:r>
      <w:proofErr w:type="spellEnd"/>
      <w:r w:rsidRPr="002A4C87">
        <w:rPr>
          <w:rFonts w:eastAsia="Aptos" w:cs="Times New Roman"/>
          <w:color w:val="auto"/>
          <w:kern w:val="2"/>
          <w:lang w:eastAsia="en-US"/>
          <w14:ligatures w14:val="standardContextual"/>
        </w:rPr>
        <w:t xml:space="preserve"> het jaarlijkse </w:t>
      </w:r>
      <w:r w:rsidR="00196FD5">
        <w:rPr>
          <w:rFonts w:eastAsia="Aptos" w:cs="Times New Roman"/>
          <w:color w:val="auto"/>
          <w:kern w:val="2"/>
          <w:lang w:eastAsia="en-US"/>
          <w14:ligatures w14:val="standardContextual"/>
        </w:rPr>
        <w:t>rapport v</w:t>
      </w:r>
      <w:r w:rsidRPr="002A4C87">
        <w:rPr>
          <w:rFonts w:eastAsia="Aptos" w:cs="Times New Roman"/>
          <w:color w:val="auto"/>
          <w:kern w:val="2"/>
          <w:lang w:eastAsia="en-US"/>
          <w14:ligatures w14:val="standardContextual"/>
        </w:rPr>
        <w:t xml:space="preserve">an het aantal dossiers in het kader van de MOA gepubliceerd. In de bijlage bij deze brief treft u het </w:t>
      </w:r>
      <w:r w:rsidR="000D53F0">
        <w:rPr>
          <w:rFonts w:eastAsia="Aptos" w:cs="Times New Roman"/>
          <w:i/>
          <w:iCs/>
          <w:color w:val="auto"/>
          <w:kern w:val="2"/>
          <w:lang w:eastAsia="en-US"/>
          <w14:ligatures w14:val="standardContextual"/>
        </w:rPr>
        <w:t>Rapport</w:t>
      </w:r>
      <w:r w:rsidRPr="005149A9">
        <w:rPr>
          <w:rFonts w:eastAsia="Aptos" w:cs="Times New Roman"/>
          <w:i/>
          <w:iCs/>
          <w:color w:val="auto"/>
          <w:kern w:val="2"/>
          <w:lang w:eastAsia="en-US"/>
          <w14:ligatures w14:val="standardContextual"/>
        </w:rPr>
        <w:t xml:space="preserve"> dossiers vertrouwensinspecteurs kinderopvang over de jaren 202</w:t>
      </w:r>
      <w:r>
        <w:rPr>
          <w:rFonts w:eastAsia="Aptos" w:cs="Times New Roman"/>
          <w:i/>
          <w:iCs/>
          <w:color w:val="auto"/>
          <w:kern w:val="2"/>
          <w:lang w:eastAsia="en-US"/>
          <w14:ligatures w14:val="standardContextual"/>
        </w:rPr>
        <w:t>3</w:t>
      </w:r>
      <w:r w:rsidRPr="005149A9">
        <w:rPr>
          <w:rFonts w:eastAsia="Aptos" w:cs="Times New Roman"/>
          <w:i/>
          <w:iCs/>
          <w:color w:val="auto"/>
          <w:kern w:val="2"/>
          <w:lang w:eastAsia="en-US"/>
          <w14:ligatures w14:val="standardContextual"/>
        </w:rPr>
        <w:t>-202</w:t>
      </w:r>
      <w:r>
        <w:rPr>
          <w:rFonts w:eastAsia="Aptos" w:cs="Times New Roman"/>
          <w:i/>
          <w:iCs/>
          <w:color w:val="auto"/>
          <w:kern w:val="2"/>
          <w:lang w:eastAsia="en-US"/>
          <w14:ligatures w14:val="standardContextual"/>
        </w:rPr>
        <w:t>5</w:t>
      </w:r>
      <w:r w:rsidRPr="002A4C87">
        <w:rPr>
          <w:rFonts w:eastAsia="Aptos" w:cs="Times New Roman"/>
          <w:color w:val="auto"/>
          <w:kern w:val="2"/>
          <w:lang w:eastAsia="en-US"/>
          <w14:ligatures w14:val="standardContextual"/>
        </w:rPr>
        <w:t xml:space="preserve"> aan. </w:t>
      </w:r>
    </w:p>
    <w:p w:rsidR="00AE11BD" w:rsidP="00AE11BD" w:rsidRDefault="00AE11BD" w14:paraId="68021D4D" w14:textId="77777777">
      <w:pPr>
        <w:autoSpaceDN/>
        <w:textAlignment w:val="auto"/>
        <w:rPr>
          <w:rFonts w:eastAsia="Aptos" w:cs="Times New Roman"/>
          <w:color w:val="auto"/>
          <w:kern w:val="2"/>
          <w:lang w:eastAsia="en-US"/>
          <w14:ligatures w14:val="standardContextual"/>
        </w:rPr>
      </w:pPr>
    </w:p>
    <w:p w:rsidR="00AE11BD" w:rsidP="00AE11BD" w:rsidRDefault="00AE11BD" w14:paraId="342AEFBC" w14:textId="77777777">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lastRenderedPageBreak/>
        <w:t>In 202</w:t>
      </w:r>
      <w:r>
        <w:rPr>
          <w:rFonts w:eastAsia="Aptos" w:cs="Times New Roman"/>
          <w:color w:val="auto"/>
          <w:kern w:val="2"/>
          <w:lang w:eastAsia="en-US"/>
          <w14:ligatures w14:val="standardContextual"/>
        </w:rPr>
        <w:t>5</w:t>
      </w:r>
      <w:r w:rsidRPr="002A4C87">
        <w:rPr>
          <w:rFonts w:eastAsia="Aptos" w:cs="Times New Roman"/>
          <w:color w:val="auto"/>
          <w:kern w:val="2"/>
          <w:lang w:eastAsia="en-US"/>
          <w14:ligatures w14:val="standardContextual"/>
        </w:rPr>
        <w:t xml:space="preserve"> bedroeg het </w:t>
      </w:r>
      <w:r>
        <w:rPr>
          <w:rFonts w:eastAsia="Aptos" w:cs="Times New Roman"/>
          <w:color w:val="auto"/>
          <w:kern w:val="2"/>
          <w:lang w:eastAsia="en-US"/>
          <w14:ligatures w14:val="standardContextual"/>
        </w:rPr>
        <w:t xml:space="preserve">totaal </w:t>
      </w:r>
      <w:r w:rsidRPr="002A4C87">
        <w:rPr>
          <w:rFonts w:eastAsia="Aptos" w:cs="Times New Roman"/>
          <w:color w:val="auto"/>
          <w:kern w:val="2"/>
          <w:lang w:eastAsia="en-US"/>
          <w14:ligatures w14:val="standardContextual"/>
        </w:rPr>
        <w:t xml:space="preserve">aantal dossiers </w:t>
      </w:r>
      <w:r>
        <w:rPr>
          <w:rFonts w:eastAsia="Aptos" w:cs="Times New Roman"/>
          <w:color w:val="auto"/>
          <w:kern w:val="2"/>
          <w:lang w:eastAsia="en-US"/>
          <w14:ligatures w14:val="standardContextual"/>
        </w:rPr>
        <w:t>462</w:t>
      </w:r>
      <w:r w:rsidRPr="002A4C87">
        <w:rPr>
          <w:rFonts w:eastAsia="Aptos" w:cs="Times New Roman"/>
          <w:color w:val="auto"/>
          <w:kern w:val="2"/>
          <w:lang w:eastAsia="en-US"/>
          <w14:ligatures w14:val="standardContextual"/>
        </w:rPr>
        <w:t xml:space="preserve">. Dit is een stijging van </w:t>
      </w:r>
      <w:r>
        <w:rPr>
          <w:rFonts w:eastAsia="Aptos" w:cs="Times New Roman"/>
          <w:color w:val="auto"/>
          <w:kern w:val="2"/>
          <w:lang w:eastAsia="en-US"/>
          <w14:ligatures w14:val="standardContextual"/>
        </w:rPr>
        <w:t>89</w:t>
      </w:r>
      <w:r w:rsidRPr="002A4C87">
        <w:rPr>
          <w:rFonts w:eastAsia="Aptos" w:cs="Times New Roman"/>
          <w:color w:val="auto"/>
          <w:kern w:val="2"/>
          <w:lang w:eastAsia="en-US"/>
          <w14:ligatures w14:val="standardContextual"/>
        </w:rPr>
        <w:t xml:space="preserve"> dossiers ten opzichte </w:t>
      </w:r>
      <w:r w:rsidRPr="00BB6F71">
        <w:rPr>
          <w:rFonts w:eastAsia="Aptos" w:cs="Times New Roman"/>
          <w:color w:val="auto"/>
          <w:kern w:val="2"/>
          <w:lang w:eastAsia="en-US"/>
          <w14:ligatures w14:val="standardContextual"/>
        </w:rPr>
        <w:t xml:space="preserve">van 2024. De </w:t>
      </w:r>
      <w:proofErr w:type="spellStart"/>
      <w:r w:rsidRPr="00BB6F71">
        <w:rPr>
          <w:rFonts w:eastAsia="Aptos" w:cs="Times New Roman"/>
          <w:color w:val="auto"/>
          <w:kern w:val="2"/>
          <w:lang w:eastAsia="en-US"/>
          <w14:ligatures w14:val="standardContextual"/>
        </w:rPr>
        <w:t>IvhO</w:t>
      </w:r>
      <w:proofErr w:type="spellEnd"/>
      <w:r>
        <w:rPr>
          <w:rFonts w:eastAsia="Aptos" w:cs="Times New Roman"/>
          <w:color w:val="auto"/>
          <w:kern w:val="2"/>
          <w:lang w:eastAsia="en-US"/>
          <w14:ligatures w14:val="standardContextual"/>
        </w:rPr>
        <w:t xml:space="preserve"> hanteert de volgende categorie</w:t>
      </w:r>
      <w:r w:rsidRPr="002A4C87">
        <w:rPr>
          <w:rFonts w:eastAsia="Aptos" w:cs="Times New Roman"/>
          <w:color w:val="auto"/>
          <w:kern w:val="2"/>
          <w:lang w:eastAsia="en-US"/>
          <w14:ligatures w14:val="standardContextual"/>
        </w:rPr>
        <w:t>ën</w:t>
      </w:r>
      <w:r>
        <w:rPr>
          <w:rFonts w:eastAsia="Aptos" w:cs="Times New Roman"/>
          <w:color w:val="auto"/>
          <w:kern w:val="2"/>
          <w:lang w:eastAsia="en-US"/>
          <w14:ligatures w14:val="standardContextual"/>
        </w:rPr>
        <w:t xml:space="preserve">: seksueel misbruik, </w:t>
      </w:r>
      <w:r w:rsidRPr="002A4C87">
        <w:rPr>
          <w:rFonts w:eastAsia="Aptos" w:cs="Times New Roman"/>
          <w:color w:val="auto"/>
          <w:kern w:val="2"/>
          <w:lang w:eastAsia="en-US"/>
          <w14:ligatures w14:val="standardContextual"/>
        </w:rPr>
        <w:t>seksuele intimidatie, psychisch geweld</w:t>
      </w:r>
      <w:r>
        <w:rPr>
          <w:rFonts w:eastAsia="Aptos" w:cs="Times New Roman"/>
          <w:color w:val="auto"/>
          <w:kern w:val="2"/>
          <w:lang w:eastAsia="en-US"/>
          <w14:ligatures w14:val="standardContextual"/>
        </w:rPr>
        <w:t xml:space="preserve">, </w:t>
      </w:r>
      <w:r w:rsidRPr="002A4C87">
        <w:rPr>
          <w:rFonts w:eastAsia="Aptos" w:cs="Times New Roman"/>
          <w:color w:val="auto"/>
          <w:kern w:val="2"/>
          <w:lang w:eastAsia="en-US"/>
          <w14:ligatures w14:val="standardContextual"/>
        </w:rPr>
        <w:t xml:space="preserve">fysiek geweld </w:t>
      </w:r>
      <w:r>
        <w:rPr>
          <w:rFonts w:eastAsia="Aptos" w:cs="Times New Roman"/>
          <w:color w:val="auto"/>
          <w:kern w:val="2"/>
          <w:lang w:eastAsia="en-US"/>
          <w14:ligatures w14:val="standardContextual"/>
        </w:rPr>
        <w:t xml:space="preserve">en discriminatie. </w:t>
      </w:r>
    </w:p>
    <w:p w:rsidR="00AE11BD" w:rsidP="00AE11BD" w:rsidRDefault="00AE11BD" w14:paraId="6E3BD430" w14:textId="1070C350">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De </w:t>
      </w:r>
      <w:r w:rsidR="007E5C41">
        <w:rPr>
          <w:rFonts w:eastAsia="Aptos" w:cs="Times New Roman"/>
          <w:color w:val="auto"/>
          <w:kern w:val="2"/>
          <w:lang w:eastAsia="en-US"/>
          <w14:ligatures w14:val="standardContextual"/>
        </w:rPr>
        <w:t>MOA</w:t>
      </w:r>
      <w:r w:rsidRPr="002A4C87">
        <w:rPr>
          <w:rFonts w:eastAsia="Aptos" w:cs="Times New Roman"/>
          <w:color w:val="auto"/>
          <w:kern w:val="2"/>
          <w:lang w:eastAsia="en-US"/>
          <w14:ligatures w14:val="standardContextual"/>
        </w:rPr>
        <w:t xml:space="preserve"> geldt </w:t>
      </w:r>
      <w:r>
        <w:rPr>
          <w:rFonts w:eastAsia="Aptos" w:cs="Times New Roman"/>
          <w:color w:val="auto"/>
          <w:kern w:val="2"/>
          <w:lang w:eastAsia="en-US"/>
          <w14:ligatures w14:val="standardContextual"/>
        </w:rPr>
        <w:t xml:space="preserve">in de kinderopvang </w:t>
      </w:r>
      <w:r w:rsidRPr="002A4C87">
        <w:rPr>
          <w:rFonts w:eastAsia="Aptos" w:cs="Times New Roman"/>
          <w:color w:val="auto"/>
          <w:kern w:val="2"/>
          <w:lang w:eastAsia="en-US"/>
          <w14:ligatures w14:val="standardContextual"/>
        </w:rPr>
        <w:t>voor seksueel misbruik en mishandeling (subcategorie van fysiek geweld).</w:t>
      </w:r>
      <w:r w:rsidR="00555C8F">
        <w:rPr>
          <w:rFonts w:eastAsia="Aptos" w:cs="Times New Roman"/>
          <w:color w:val="auto"/>
          <w:kern w:val="2"/>
          <w:lang w:eastAsia="en-US"/>
          <w14:ligatures w14:val="standardContextual"/>
        </w:rPr>
        <w:t xml:space="preserve"> </w:t>
      </w:r>
      <w:r w:rsidR="008946CB">
        <w:rPr>
          <w:rFonts w:eastAsia="Aptos" w:cs="Times New Roman"/>
          <w:color w:val="auto"/>
          <w:kern w:val="2"/>
          <w:lang w:eastAsia="en-US"/>
          <w14:ligatures w14:val="standardContextual"/>
        </w:rPr>
        <w:t xml:space="preserve">Om die reden benoem ik deze dossiers hieronder. </w:t>
      </w:r>
      <w:r w:rsidR="00555C8F">
        <w:rPr>
          <w:rFonts w:eastAsia="Aptos" w:cs="Times New Roman"/>
          <w:color w:val="auto"/>
          <w:kern w:val="2"/>
          <w:lang w:eastAsia="en-US"/>
          <w14:ligatures w14:val="standardContextual"/>
        </w:rPr>
        <w:t xml:space="preserve">In deze twee </w:t>
      </w:r>
      <w:r w:rsidR="00CC2D26">
        <w:rPr>
          <w:rFonts w:eastAsia="Aptos" w:cs="Times New Roman"/>
          <w:color w:val="auto"/>
          <w:kern w:val="2"/>
          <w:lang w:eastAsia="en-US"/>
          <w14:ligatures w14:val="standardContextual"/>
        </w:rPr>
        <w:t>(sub)</w:t>
      </w:r>
      <w:r w:rsidR="00555C8F">
        <w:rPr>
          <w:rFonts w:eastAsia="Aptos" w:cs="Times New Roman"/>
          <w:color w:val="auto"/>
          <w:kern w:val="2"/>
          <w:lang w:eastAsia="en-US"/>
          <w14:ligatures w14:val="standardContextual"/>
        </w:rPr>
        <w:t xml:space="preserve">categorieën is het aantal dossiers gedaald. </w:t>
      </w:r>
    </w:p>
    <w:bookmarkEnd w:id="0"/>
    <w:p w:rsidR="00AE11BD" w:rsidP="00AE11BD" w:rsidRDefault="00AE11BD" w14:paraId="08482DED" w14:textId="77777777">
      <w:pPr>
        <w:autoSpaceDN/>
        <w:textAlignment w:val="auto"/>
      </w:pPr>
    </w:p>
    <w:p w:rsidR="00AE11BD" w:rsidP="00AE11BD" w:rsidRDefault="00AE11BD" w14:paraId="54169392" w14:textId="2A1E8F4E">
      <w:pPr>
        <w:autoSpaceDN/>
        <w:textAlignment w:val="auto"/>
        <w:rPr>
          <w:rFonts w:eastAsia="Aptos" w:cs="Times New Roman"/>
          <w:color w:val="auto"/>
          <w:kern w:val="2"/>
          <w:lang w:eastAsia="en-US"/>
          <w14:ligatures w14:val="standardContextual"/>
        </w:rPr>
      </w:pPr>
      <w:r w:rsidRPr="00F544CC">
        <w:rPr>
          <w:rFonts w:eastAsia="Aptos" w:cs="Times New Roman"/>
          <w:color w:val="auto"/>
          <w:kern w:val="2"/>
          <w:lang w:eastAsia="en-US"/>
          <w14:ligatures w14:val="standardContextual"/>
        </w:rPr>
        <w:t>In 2025 zijn er 37 dossiers geregistreerd die gaan over mogelijk seksueel misbruik (t.o.v. 41 dossiers in 2024).</w:t>
      </w:r>
      <w:r w:rsidRPr="00F544CC" w:rsidR="00963D1C">
        <w:rPr>
          <w:rFonts w:eastAsia="Aptos" w:cs="Times New Roman"/>
          <w:color w:val="auto"/>
          <w:kern w:val="2"/>
          <w:lang w:eastAsia="en-US"/>
          <w14:ligatures w14:val="standardContextual"/>
        </w:rPr>
        <w:t xml:space="preserve"> </w:t>
      </w:r>
      <w:r w:rsidRPr="00F544CC">
        <w:rPr>
          <w:rFonts w:eastAsia="Aptos" w:cs="Times New Roman"/>
          <w:color w:val="auto"/>
          <w:kern w:val="2"/>
          <w:lang w:eastAsia="en-US"/>
          <w14:ligatures w14:val="standardContextual"/>
        </w:rPr>
        <w:t xml:space="preserve">Het aantal dossiers waarbij </w:t>
      </w:r>
      <w:r w:rsidRPr="00F544CC" w:rsidR="00C823A7">
        <w:rPr>
          <w:rFonts w:eastAsia="Aptos" w:cs="Times New Roman"/>
          <w:color w:val="auto"/>
          <w:kern w:val="2"/>
          <w:lang w:eastAsia="en-US"/>
          <w14:ligatures w14:val="standardContextual"/>
        </w:rPr>
        <w:t>de beklaagde een met taken belast persoon</w:t>
      </w:r>
      <w:r w:rsidRPr="00F544CC" w:rsidR="005F77AE">
        <w:rPr>
          <w:rStyle w:val="Voetnootmarkering"/>
          <w:rFonts w:eastAsia="Aptos" w:cs="Times New Roman"/>
          <w:color w:val="auto"/>
          <w:kern w:val="2"/>
          <w:lang w:eastAsia="en-US"/>
          <w14:ligatures w14:val="standardContextual"/>
        </w:rPr>
        <w:footnoteReference w:id="2"/>
      </w:r>
      <w:r w:rsidRPr="00F544CC" w:rsidR="00C823A7">
        <w:rPr>
          <w:rFonts w:eastAsia="Aptos" w:cs="Times New Roman"/>
          <w:color w:val="auto"/>
          <w:kern w:val="2"/>
          <w:lang w:eastAsia="en-US"/>
          <w14:ligatures w14:val="standardContextual"/>
        </w:rPr>
        <w:t xml:space="preserve"> is, is gedaald naar 28 dossiers </w:t>
      </w:r>
      <w:r w:rsidR="007E5C41">
        <w:rPr>
          <w:rFonts w:eastAsia="Aptos" w:cs="Times New Roman"/>
          <w:color w:val="auto"/>
          <w:kern w:val="2"/>
          <w:lang w:eastAsia="en-US"/>
          <w14:ligatures w14:val="standardContextual"/>
        </w:rPr>
        <w:t>(</w:t>
      </w:r>
      <w:r w:rsidR="00AB15BD">
        <w:rPr>
          <w:rFonts w:eastAsia="Aptos" w:cs="Times New Roman"/>
          <w:color w:val="auto"/>
          <w:kern w:val="2"/>
          <w:lang w:eastAsia="en-US"/>
          <w14:ligatures w14:val="standardContextual"/>
        </w:rPr>
        <w:t>bij</w:t>
      </w:r>
      <w:r w:rsidR="007E5C41">
        <w:rPr>
          <w:rFonts w:eastAsia="Aptos" w:cs="Times New Roman"/>
          <w:color w:val="auto"/>
          <w:kern w:val="2"/>
          <w:lang w:eastAsia="en-US"/>
          <w14:ligatures w14:val="standardContextual"/>
        </w:rPr>
        <w:t xml:space="preserve"> de overige 9 dossiers was de MOA niet van toepassing)</w:t>
      </w:r>
      <w:r w:rsidRPr="00F544CC" w:rsidDel="007E5C41" w:rsidR="007E5C41">
        <w:rPr>
          <w:rFonts w:eastAsia="Aptos" w:cs="Times New Roman"/>
          <w:color w:val="auto"/>
          <w:kern w:val="2"/>
          <w:lang w:eastAsia="en-US"/>
          <w14:ligatures w14:val="standardContextual"/>
        </w:rPr>
        <w:t xml:space="preserve"> </w:t>
      </w:r>
      <w:r w:rsidRPr="00F544CC" w:rsidR="00C823A7">
        <w:rPr>
          <w:rFonts w:eastAsia="Aptos" w:cs="Times New Roman"/>
          <w:color w:val="auto"/>
          <w:kern w:val="2"/>
          <w:lang w:eastAsia="en-US"/>
          <w14:ligatures w14:val="standardContextual"/>
        </w:rPr>
        <w:t xml:space="preserve">t.o.v. 35 dossiers in 2024. Het aantal dossiers waarbij de </w:t>
      </w:r>
      <w:r w:rsidRPr="00F544CC">
        <w:rPr>
          <w:rFonts w:eastAsia="Aptos" w:cs="Times New Roman"/>
          <w:color w:val="auto"/>
          <w:kern w:val="2"/>
          <w:lang w:eastAsia="en-US"/>
          <w14:ligatures w14:val="standardContextual"/>
        </w:rPr>
        <w:t xml:space="preserve">houder verplicht was om aangifte te doen </w:t>
      </w:r>
      <w:r w:rsidRPr="00F544CC" w:rsidR="00963D1C">
        <w:rPr>
          <w:rFonts w:eastAsia="Aptos" w:cs="Times New Roman"/>
          <w:color w:val="auto"/>
          <w:kern w:val="2"/>
          <w:lang w:eastAsia="en-US"/>
          <w14:ligatures w14:val="standardContextual"/>
        </w:rPr>
        <w:t xml:space="preserve">bedraagt </w:t>
      </w:r>
      <w:r w:rsidRPr="00F544CC" w:rsidR="00C823A7">
        <w:rPr>
          <w:rFonts w:eastAsia="Aptos" w:cs="Times New Roman"/>
          <w:color w:val="auto"/>
          <w:kern w:val="2"/>
          <w:lang w:eastAsia="en-US"/>
          <w14:ligatures w14:val="standardContextual"/>
        </w:rPr>
        <w:t xml:space="preserve">22 in 2025 (t.o.v. </w:t>
      </w:r>
      <w:r w:rsidRPr="00F544CC">
        <w:rPr>
          <w:rFonts w:eastAsia="Aptos" w:cs="Times New Roman"/>
          <w:color w:val="auto"/>
          <w:kern w:val="2"/>
          <w:lang w:eastAsia="en-US"/>
          <w14:ligatures w14:val="standardContextual"/>
        </w:rPr>
        <w:t xml:space="preserve">23 dossiers </w:t>
      </w:r>
      <w:r w:rsidRPr="00F544CC" w:rsidR="00C823A7">
        <w:rPr>
          <w:rFonts w:eastAsia="Aptos" w:cs="Times New Roman"/>
          <w:color w:val="auto"/>
          <w:kern w:val="2"/>
          <w:lang w:eastAsia="en-US"/>
          <w14:ligatures w14:val="standardContextual"/>
        </w:rPr>
        <w:t xml:space="preserve">in </w:t>
      </w:r>
      <w:r w:rsidRPr="00F544CC">
        <w:rPr>
          <w:rFonts w:eastAsia="Aptos" w:cs="Times New Roman"/>
          <w:color w:val="auto"/>
          <w:kern w:val="2"/>
          <w:lang w:eastAsia="en-US"/>
          <w14:ligatures w14:val="standardContextual"/>
        </w:rPr>
        <w:t>202</w:t>
      </w:r>
      <w:r w:rsidRPr="00F544CC" w:rsidR="00C823A7">
        <w:rPr>
          <w:rFonts w:eastAsia="Aptos" w:cs="Times New Roman"/>
          <w:color w:val="auto"/>
          <w:kern w:val="2"/>
          <w:lang w:eastAsia="en-US"/>
          <w14:ligatures w14:val="standardContextual"/>
        </w:rPr>
        <w:t>4</w:t>
      </w:r>
      <w:r w:rsidRPr="00F544CC">
        <w:rPr>
          <w:rFonts w:eastAsia="Aptos" w:cs="Times New Roman"/>
          <w:color w:val="auto"/>
          <w:kern w:val="2"/>
          <w:lang w:eastAsia="en-US"/>
          <w14:ligatures w14:val="standardContextual"/>
        </w:rPr>
        <w:t>).</w:t>
      </w:r>
      <w:r w:rsidRPr="00F544CC" w:rsidR="00121E63">
        <w:rPr>
          <w:rFonts w:eastAsia="Aptos" w:cs="Times New Roman"/>
          <w:color w:val="auto"/>
          <w:kern w:val="2"/>
          <w:lang w:eastAsia="en-US"/>
          <w14:ligatures w14:val="standardContextual"/>
        </w:rPr>
        <w:t xml:space="preserve"> </w:t>
      </w:r>
    </w:p>
    <w:p w:rsidR="0010661F" w:rsidP="00AE11BD" w:rsidRDefault="0010661F" w14:paraId="4EA946D7" w14:textId="77777777">
      <w:pPr>
        <w:autoSpaceDN/>
        <w:textAlignment w:val="auto"/>
        <w:rPr>
          <w:rFonts w:eastAsia="Aptos" w:cs="Times New Roman"/>
          <w:color w:val="auto"/>
          <w:kern w:val="2"/>
          <w:lang w:eastAsia="en-US"/>
          <w14:ligatures w14:val="standardContextual"/>
        </w:rPr>
      </w:pPr>
    </w:p>
    <w:tbl>
      <w:tblPr>
        <w:tblStyle w:val="Lichtearcering-accent1"/>
        <w:tblW w:w="5000" w:type="pct"/>
        <w:tblLook w:val="0660" w:firstRow="1" w:lastRow="1" w:firstColumn="0" w:lastColumn="0" w:noHBand="1" w:noVBand="1"/>
      </w:tblPr>
      <w:tblGrid>
        <w:gridCol w:w="1886"/>
        <w:gridCol w:w="1885"/>
        <w:gridCol w:w="1885"/>
        <w:gridCol w:w="1885"/>
      </w:tblGrid>
      <w:tr w:rsidRPr="00535CEE" w:rsidR="00535CEE" w:rsidTr="006A68B3" w14:paraId="1A91C1BA" w14:textId="77777777">
        <w:trPr>
          <w:cnfStyle w:val="100000000000" w:firstRow="1" w:lastRow="0" w:firstColumn="0" w:lastColumn="0" w:oddVBand="0" w:evenVBand="0" w:oddHBand="0" w:evenHBand="0" w:firstRowFirstColumn="0" w:firstRowLastColumn="0" w:lastRowFirstColumn="0" w:lastRowLastColumn="0"/>
        </w:trPr>
        <w:tc>
          <w:tcPr>
            <w:tcW w:w="1250" w:type="pct"/>
            <w:noWrap/>
          </w:tcPr>
          <w:p w:rsidRPr="00CD285B" w:rsidR="00535CEE" w:rsidP="00535CEE" w:rsidRDefault="00535CEE" w14:paraId="255B9EDB" w14:textId="77777777">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 xml:space="preserve">Dossiers </w:t>
            </w:r>
          </w:p>
        </w:tc>
        <w:tc>
          <w:tcPr>
            <w:tcW w:w="1250" w:type="pct"/>
          </w:tcPr>
          <w:p w:rsidRPr="00CD285B" w:rsidR="00535CEE" w:rsidP="00535CEE" w:rsidRDefault="00535CEE" w14:paraId="46E9FF57" w14:textId="77777777">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 xml:space="preserve">Seksueel misbruik </w:t>
            </w:r>
          </w:p>
        </w:tc>
        <w:tc>
          <w:tcPr>
            <w:tcW w:w="1250" w:type="pct"/>
          </w:tcPr>
          <w:p w:rsidRPr="00CD285B" w:rsidR="00535CEE" w:rsidP="00535CEE" w:rsidRDefault="0010661F" w14:paraId="19F586E6" w14:textId="0400BA9D">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 xml:space="preserve">Waarvan </w:t>
            </w:r>
            <w:r w:rsidRPr="00CD285B" w:rsidR="00535CEE">
              <w:rPr>
                <w:rFonts w:eastAsiaTheme="minorHAnsi"/>
                <w:color w:val="auto"/>
                <w:kern w:val="2"/>
                <w:lang w:eastAsia="en-US"/>
                <w14:ligatures w14:val="standardContextual"/>
              </w:rPr>
              <w:t xml:space="preserve">met </w:t>
            </w:r>
            <w:r w:rsidRPr="00CD285B">
              <w:rPr>
                <w:rFonts w:eastAsiaTheme="minorHAnsi"/>
                <w:color w:val="auto"/>
                <w:kern w:val="2"/>
                <w:lang w:eastAsia="en-US"/>
                <w14:ligatures w14:val="standardContextual"/>
              </w:rPr>
              <w:t>t</w:t>
            </w:r>
            <w:r w:rsidRPr="00CD285B" w:rsidR="00535CEE">
              <w:rPr>
                <w:rFonts w:eastAsiaTheme="minorHAnsi"/>
                <w:color w:val="auto"/>
                <w:kern w:val="2"/>
                <w:lang w:eastAsia="en-US"/>
                <w14:ligatures w14:val="standardContextual"/>
              </w:rPr>
              <w:t xml:space="preserve">aken belast persoon </w:t>
            </w:r>
          </w:p>
        </w:tc>
        <w:tc>
          <w:tcPr>
            <w:tcW w:w="1250" w:type="pct"/>
          </w:tcPr>
          <w:p w:rsidRPr="00CD285B" w:rsidR="00535CEE" w:rsidP="00535CEE" w:rsidRDefault="00535CEE" w14:paraId="7B44D44F" w14:textId="77777777">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 xml:space="preserve">Waarvan aangifte </w:t>
            </w:r>
          </w:p>
        </w:tc>
      </w:tr>
      <w:tr w:rsidRPr="00535CEE" w:rsidR="00535CEE" w:rsidTr="006A68B3" w14:paraId="7AF5F304" w14:textId="77777777">
        <w:tc>
          <w:tcPr>
            <w:tcW w:w="1250" w:type="pct"/>
            <w:noWrap/>
          </w:tcPr>
          <w:p w:rsidRPr="00CD285B" w:rsidR="00535CEE" w:rsidP="00535CEE" w:rsidRDefault="00535CEE" w14:paraId="3F6091B4" w14:textId="77777777">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2024</w:t>
            </w:r>
          </w:p>
        </w:tc>
        <w:tc>
          <w:tcPr>
            <w:tcW w:w="1250" w:type="pct"/>
          </w:tcPr>
          <w:p w:rsidRPr="00CD285B" w:rsidR="00535CEE" w:rsidP="00535CEE" w:rsidRDefault="00535CEE" w14:paraId="76C2858C" w14:textId="77777777">
            <w:pPr>
              <w:tabs>
                <w:tab w:val="decimal" w:pos="360"/>
              </w:tabs>
              <w:spacing w:after="200" w:line="276" w:lineRule="auto"/>
              <w:rPr>
                <w:rFonts w:cs="Times New Roman"/>
                <w:color w:val="auto"/>
              </w:rPr>
            </w:pPr>
            <w:r w:rsidRPr="00CD285B">
              <w:rPr>
                <w:rFonts w:cs="Times New Roman"/>
                <w:color w:val="auto"/>
              </w:rPr>
              <w:t>41</w:t>
            </w:r>
          </w:p>
        </w:tc>
        <w:tc>
          <w:tcPr>
            <w:tcW w:w="1250" w:type="pct"/>
          </w:tcPr>
          <w:p w:rsidRPr="00CD285B" w:rsidR="00535CEE" w:rsidP="00535CEE" w:rsidRDefault="00535CEE" w14:paraId="1F8A3FED" w14:textId="77777777">
            <w:pPr>
              <w:tabs>
                <w:tab w:val="decimal" w:pos="360"/>
              </w:tabs>
              <w:spacing w:after="200" w:line="276" w:lineRule="auto"/>
              <w:rPr>
                <w:rFonts w:cs="Times New Roman"/>
                <w:color w:val="auto"/>
              </w:rPr>
            </w:pPr>
            <w:r w:rsidRPr="00CD285B">
              <w:rPr>
                <w:rFonts w:cs="Times New Roman"/>
                <w:color w:val="auto"/>
              </w:rPr>
              <w:t>35</w:t>
            </w:r>
          </w:p>
        </w:tc>
        <w:tc>
          <w:tcPr>
            <w:tcW w:w="1250" w:type="pct"/>
          </w:tcPr>
          <w:p w:rsidRPr="00CD285B" w:rsidR="00535CEE" w:rsidP="00535CEE" w:rsidRDefault="00535CEE" w14:paraId="15C32883" w14:textId="77777777">
            <w:pPr>
              <w:tabs>
                <w:tab w:val="decimal" w:pos="360"/>
              </w:tabs>
              <w:spacing w:after="200" w:line="276" w:lineRule="auto"/>
              <w:rPr>
                <w:rFonts w:cs="Times New Roman"/>
                <w:color w:val="auto"/>
              </w:rPr>
            </w:pPr>
            <w:r w:rsidRPr="00CD285B">
              <w:rPr>
                <w:rFonts w:cs="Times New Roman"/>
                <w:color w:val="auto"/>
              </w:rPr>
              <w:t>23</w:t>
            </w:r>
          </w:p>
        </w:tc>
      </w:tr>
      <w:tr w:rsidRPr="00535CEE" w:rsidR="00535CEE" w:rsidTr="006A68B3" w14:paraId="3436FD89" w14:textId="77777777">
        <w:trPr>
          <w:cnfStyle w:val="010000000000" w:firstRow="0" w:lastRow="1" w:firstColumn="0" w:lastColumn="0" w:oddVBand="0" w:evenVBand="0" w:oddHBand="0" w:evenHBand="0" w:firstRowFirstColumn="0" w:firstRowLastColumn="0" w:lastRowFirstColumn="0" w:lastRowLastColumn="0"/>
        </w:trPr>
        <w:tc>
          <w:tcPr>
            <w:tcW w:w="1250" w:type="pct"/>
            <w:noWrap/>
          </w:tcPr>
          <w:p w:rsidRPr="00CD285B" w:rsidR="00535CEE" w:rsidP="00535CEE" w:rsidRDefault="00535CEE" w14:paraId="4878E0F4" w14:textId="77777777">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 xml:space="preserve">2025 </w:t>
            </w:r>
          </w:p>
        </w:tc>
        <w:tc>
          <w:tcPr>
            <w:tcW w:w="1250" w:type="pct"/>
          </w:tcPr>
          <w:p w:rsidRPr="00CD285B" w:rsidR="00535CEE" w:rsidP="00535CEE" w:rsidRDefault="00535CEE" w14:paraId="605ADE42" w14:textId="77777777">
            <w:pPr>
              <w:tabs>
                <w:tab w:val="decimal" w:pos="360"/>
              </w:tabs>
              <w:spacing w:after="200" w:line="276" w:lineRule="auto"/>
              <w:rPr>
                <w:rFonts w:cs="Times New Roman"/>
                <w:color w:val="auto"/>
              </w:rPr>
            </w:pPr>
            <w:r w:rsidRPr="00CD285B">
              <w:rPr>
                <w:rFonts w:cs="Times New Roman"/>
                <w:color w:val="auto"/>
              </w:rPr>
              <w:t xml:space="preserve">37 </w:t>
            </w:r>
          </w:p>
        </w:tc>
        <w:tc>
          <w:tcPr>
            <w:tcW w:w="1250" w:type="pct"/>
          </w:tcPr>
          <w:p w:rsidRPr="00CD285B" w:rsidR="00535CEE" w:rsidP="00535CEE" w:rsidRDefault="00535CEE" w14:paraId="190D8037" w14:textId="77777777">
            <w:pPr>
              <w:tabs>
                <w:tab w:val="decimal" w:pos="360"/>
              </w:tabs>
              <w:spacing w:after="200" w:line="276" w:lineRule="auto"/>
              <w:rPr>
                <w:rFonts w:cs="Times New Roman"/>
                <w:color w:val="auto"/>
              </w:rPr>
            </w:pPr>
            <w:r w:rsidRPr="00CD285B">
              <w:rPr>
                <w:rFonts w:cs="Times New Roman"/>
                <w:color w:val="auto"/>
              </w:rPr>
              <w:t>28</w:t>
            </w:r>
          </w:p>
        </w:tc>
        <w:tc>
          <w:tcPr>
            <w:tcW w:w="1250" w:type="pct"/>
          </w:tcPr>
          <w:p w:rsidRPr="00CD285B" w:rsidR="00535CEE" w:rsidP="00535CEE" w:rsidRDefault="00535CEE" w14:paraId="35FC8996" w14:textId="77777777">
            <w:pPr>
              <w:tabs>
                <w:tab w:val="decimal" w:pos="360"/>
              </w:tabs>
              <w:spacing w:after="200" w:line="276" w:lineRule="auto"/>
              <w:rPr>
                <w:rFonts w:cs="Times New Roman"/>
                <w:color w:val="auto"/>
              </w:rPr>
            </w:pPr>
            <w:r w:rsidRPr="00CD285B">
              <w:rPr>
                <w:rFonts w:cs="Times New Roman"/>
                <w:color w:val="auto"/>
              </w:rPr>
              <w:t>22</w:t>
            </w:r>
          </w:p>
        </w:tc>
      </w:tr>
    </w:tbl>
    <w:p w:rsidRPr="0010661F" w:rsidR="0010661F" w:rsidP="0010661F" w:rsidRDefault="0010661F" w14:paraId="7D4B01B9" w14:textId="77777777">
      <w:pPr>
        <w:autoSpaceDN/>
        <w:textAlignment w:val="auto"/>
        <w:rPr>
          <w:rFonts w:eastAsia="Aptos" w:cs="Times New Roman"/>
          <w:color w:val="auto"/>
          <w:kern w:val="2"/>
          <w:sz w:val="16"/>
          <w:szCs w:val="16"/>
          <w:lang w:eastAsia="en-US"/>
          <w14:ligatures w14:val="standardContextual"/>
        </w:rPr>
      </w:pPr>
      <w:r>
        <w:rPr>
          <w:rFonts w:eastAsia="Aptos" w:cs="Times New Roman"/>
          <w:color w:val="auto"/>
          <w:kern w:val="2"/>
          <w:sz w:val="16"/>
          <w:szCs w:val="16"/>
          <w:lang w:eastAsia="en-US"/>
          <w14:ligatures w14:val="standardContextual"/>
        </w:rPr>
        <w:t>Tabel 1. Aantal dossiers over mogelijk seksueel misbruik</w:t>
      </w:r>
    </w:p>
    <w:p w:rsidRPr="00F544CC" w:rsidR="00C823A7" w:rsidP="00AE11BD" w:rsidRDefault="00C823A7" w14:paraId="788A54BC" w14:textId="77777777">
      <w:pPr>
        <w:autoSpaceDN/>
        <w:textAlignment w:val="auto"/>
        <w:rPr>
          <w:rFonts w:eastAsia="Aptos" w:cs="Times New Roman"/>
          <w:color w:val="auto"/>
          <w:kern w:val="2"/>
          <w:lang w:eastAsia="en-US"/>
          <w14:ligatures w14:val="standardContextual"/>
        </w:rPr>
      </w:pPr>
    </w:p>
    <w:p w:rsidR="00AE11BD" w:rsidP="00AE11BD" w:rsidRDefault="00AE11BD" w14:paraId="012823E8" w14:textId="503D979F">
      <w:pPr>
        <w:autoSpaceDN/>
        <w:textAlignment w:val="auto"/>
        <w:rPr>
          <w:rFonts w:eastAsia="Aptos" w:cs="Times New Roman"/>
          <w:color w:val="auto"/>
          <w:kern w:val="2"/>
          <w:lang w:eastAsia="en-US"/>
          <w14:ligatures w14:val="standardContextual"/>
        </w:rPr>
      </w:pPr>
      <w:r w:rsidRPr="00F544CC">
        <w:rPr>
          <w:rFonts w:eastAsia="Aptos" w:cs="Times New Roman"/>
          <w:color w:val="auto"/>
          <w:kern w:val="2"/>
          <w:lang w:eastAsia="en-US"/>
          <w14:ligatures w14:val="standardContextual"/>
        </w:rPr>
        <w:t xml:space="preserve">Het aantal dossiers waar sprake is van mogelijke mishandeling is gedaald </w:t>
      </w:r>
      <w:r w:rsidRPr="00F544CC" w:rsidR="009032EB">
        <w:rPr>
          <w:rFonts w:eastAsia="Aptos" w:cs="Times New Roman"/>
          <w:color w:val="auto"/>
          <w:kern w:val="2"/>
          <w:lang w:eastAsia="en-US"/>
          <w14:ligatures w14:val="standardContextual"/>
        </w:rPr>
        <w:t>naar 57 dossiers in 2025 (t.o.v. 77</w:t>
      </w:r>
      <w:r w:rsidRPr="00F544CC">
        <w:rPr>
          <w:rFonts w:eastAsia="Aptos" w:cs="Times New Roman"/>
          <w:color w:val="auto"/>
          <w:kern w:val="2"/>
          <w:lang w:eastAsia="en-US"/>
          <w14:ligatures w14:val="standardContextual"/>
        </w:rPr>
        <w:t xml:space="preserve"> in 2024</w:t>
      </w:r>
      <w:r w:rsidRPr="00F544CC" w:rsidR="009032EB">
        <w:rPr>
          <w:rFonts w:eastAsia="Aptos" w:cs="Times New Roman"/>
          <w:color w:val="auto"/>
          <w:kern w:val="2"/>
          <w:lang w:eastAsia="en-US"/>
          <w14:ligatures w14:val="standardContextual"/>
        </w:rPr>
        <w:t>). Dez</w:t>
      </w:r>
      <w:r w:rsidRPr="00F544CC" w:rsidR="00963D1C">
        <w:rPr>
          <w:rFonts w:eastAsia="Aptos" w:cs="Times New Roman"/>
          <w:color w:val="auto"/>
          <w:kern w:val="2"/>
          <w:lang w:eastAsia="en-US"/>
          <w14:ligatures w14:val="standardContextual"/>
        </w:rPr>
        <w:t>e daling wordt ook teruggezien in het aantal dossiers waar de beklaagde een met taken belast persoon is</w:t>
      </w:r>
      <w:r w:rsidR="007E5C41">
        <w:rPr>
          <w:rFonts w:eastAsia="Aptos" w:cs="Times New Roman"/>
          <w:color w:val="auto"/>
          <w:kern w:val="2"/>
          <w:lang w:eastAsia="en-US"/>
          <w14:ligatures w14:val="standardContextual"/>
        </w:rPr>
        <w:t>:</w:t>
      </w:r>
      <w:r w:rsidRPr="00F544CC" w:rsidR="00963D1C">
        <w:rPr>
          <w:rFonts w:eastAsia="Aptos" w:cs="Times New Roman"/>
          <w:color w:val="auto"/>
          <w:kern w:val="2"/>
          <w:lang w:eastAsia="en-US"/>
          <w14:ligatures w14:val="standardContextual"/>
        </w:rPr>
        <w:t xml:space="preserve"> 51 dossiers </w:t>
      </w:r>
      <w:r w:rsidR="007E5C41">
        <w:rPr>
          <w:rFonts w:eastAsia="Aptos" w:cs="Times New Roman"/>
          <w:color w:val="auto"/>
          <w:kern w:val="2"/>
          <w:lang w:eastAsia="en-US"/>
          <w14:ligatures w14:val="standardContextual"/>
        </w:rPr>
        <w:t>(</w:t>
      </w:r>
      <w:r w:rsidR="00AB15BD">
        <w:rPr>
          <w:rFonts w:eastAsia="Aptos" w:cs="Times New Roman"/>
          <w:color w:val="auto"/>
          <w:kern w:val="2"/>
          <w:lang w:eastAsia="en-US"/>
          <w14:ligatures w14:val="standardContextual"/>
        </w:rPr>
        <w:t>bij</w:t>
      </w:r>
      <w:r w:rsidR="007E5C41">
        <w:rPr>
          <w:rFonts w:eastAsia="Aptos" w:cs="Times New Roman"/>
          <w:color w:val="auto"/>
          <w:kern w:val="2"/>
          <w:lang w:eastAsia="en-US"/>
          <w14:ligatures w14:val="standardContextual"/>
        </w:rPr>
        <w:t xml:space="preserve"> de overige 6 dossiers was de MOA niet van toepassing)</w:t>
      </w:r>
      <w:r w:rsidRPr="00F544CC" w:rsidR="00963D1C">
        <w:rPr>
          <w:rFonts w:eastAsia="Aptos" w:cs="Times New Roman"/>
          <w:color w:val="auto"/>
          <w:kern w:val="2"/>
          <w:lang w:eastAsia="en-US"/>
          <w14:ligatures w14:val="standardContextual"/>
        </w:rPr>
        <w:t xml:space="preserve"> t.o.v. 69 dossiers in 2024. </w:t>
      </w:r>
      <w:r w:rsidRPr="00F544CC">
        <w:rPr>
          <w:rFonts w:eastAsia="Aptos" w:cs="Times New Roman"/>
          <w:color w:val="auto"/>
          <w:kern w:val="2"/>
          <w:lang w:eastAsia="en-US"/>
          <w14:ligatures w14:val="standardContextual"/>
        </w:rPr>
        <w:t xml:space="preserve">Het aantal dossiers waarbij de houder verplicht was </w:t>
      </w:r>
      <w:r w:rsidR="00AC58FA">
        <w:rPr>
          <w:rFonts w:eastAsia="Aptos" w:cs="Times New Roman"/>
          <w:color w:val="auto"/>
          <w:kern w:val="2"/>
          <w:lang w:eastAsia="en-US"/>
          <w14:ligatures w14:val="standardContextual"/>
        </w:rPr>
        <w:t xml:space="preserve">om </w:t>
      </w:r>
      <w:r w:rsidRPr="00F544CC">
        <w:rPr>
          <w:rFonts w:eastAsia="Aptos" w:cs="Times New Roman"/>
          <w:color w:val="auto"/>
          <w:kern w:val="2"/>
          <w:lang w:eastAsia="en-US"/>
          <w14:ligatures w14:val="standardContextual"/>
        </w:rPr>
        <w:t>aangifte</w:t>
      </w:r>
      <w:r w:rsidR="00AC58FA">
        <w:rPr>
          <w:rFonts w:eastAsia="Aptos" w:cs="Times New Roman"/>
          <w:color w:val="auto"/>
          <w:kern w:val="2"/>
          <w:lang w:eastAsia="en-US"/>
          <w14:ligatures w14:val="standardContextual"/>
        </w:rPr>
        <w:t xml:space="preserve"> te doen</w:t>
      </w:r>
      <w:r w:rsidRPr="00F544CC">
        <w:rPr>
          <w:rFonts w:eastAsia="Aptos" w:cs="Times New Roman"/>
          <w:color w:val="auto"/>
          <w:kern w:val="2"/>
          <w:lang w:eastAsia="en-US"/>
          <w14:ligatures w14:val="standardContextual"/>
        </w:rPr>
        <w:t xml:space="preserve"> is gestegen van 22 </w:t>
      </w:r>
      <w:r w:rsidRPr="00F544CC" w:rsidR="00963D1C">
        <w:rPr>
          <w:rFonts w:eastAsia="Aptos" w:cs="Times New Roman"/>
          <w:color w:val="auto"/>
          <w:kern w:val="2"/>
          <w:lang w:eastAsia="en-US"/>
          <w14:ligatures w14:val="standardContextual"/>
        </w:rPr>
        <w:t xml:space="preserve">dossiers </w:t>
      </w:r>
      <w:r w:rsidRPr="00F544CC">
        <w:rPr>
          <w:rFonts w:eastAsia="Aptos" w:cs="Times New Roman"/>
          <w:color w:val="auto"/>
          <w:kern w:val="2"/>
          <w:lang w:eastAsia="en-US"/>
          <w14:ligatures w14:val="standardContextual"/>
        </w:rPr>
        <w:t xml:space="preserve">in 2024 naar 31 </w:t>
      </w:r>
      <w:r w:rsidRPr="00F544CC" w:rsidR="00963D1C">
        <w:rPr>
          <w:rFonts w:eastAsia="Aptos" w:cs="Times New Roman"/>
          <w:color w:val="auto"/>
          <w:kern w:val="2"/>
          <w:lang w:eastAsia="en-US"/>
          <w14:ligatures w14:val="standardContextual"/>
        </w:rPr>
        <w:t xml:space="preserve">dossiers </w:t>
      </w:r>
      <w:r w:rsidRPr="00F544CC">
        <w:rPr>
          <w:rFonts w:eastAsia="Aptos" w:cs="Times New Roman"/>
          <w:color w:val="auto"/>
          <w:kern w:val="2"/>
          <w:lang w:eastAsia="en-US"/>
          <w14:ligatures w14:val="standardContextual"/>
        </w:rPr>
        <w:t>in 2025.</w:t>
      </w:r>
      <w:r w:rsidRPr="00D3787E">
        <w:rPr>
          <w:rFonts w:eastAsia="Aptos" w:cs="Times New Roman"/>
          <w:color w:val="auto"/>
          <w:kern w:val="2"/>
          <w:lang w:eastAsia="en-US"/>
          <w14:ligatures w14:val="standardContextual"/>
        </w:rPr>
        <w:t xml:space="preserve"> </w:t>
      </w:r>
    </w:p>
    <w:p w:rsidR="0010661F" w:rsidP="00AE11BD" w:rsidRDefault="0010661F" w14:paraId="357DB40C" w14:textId="77777777">
      <w:pPr>
        <w:autoSpaceDN/>
        <w:textAlignment w:val="auto"/>
        <w:rPr>
          <w:rFonts w:eastAsia="Aptos" w:cs="Times New Roman"/>
          <w:color w:val="auto"/>
          <w:kern w:val="2"/>
          <w:lang w:eastAsia="en-US"/>
          <w14:ligatures w14:val="standardContextual"/>
        </w:rPr>
      </w:pPr>
    </w:p>
    <w:tbl>
      <w:tblPr>
        <w:tblStyle w:val="Lichtearcering-accent1"/>
        <w:tblW w:w="5000" w:type="pct"/>
        <w:tblLook w:val="0660" w:firstRow="1" w:lastRow="1" w:firstColumn="0" w:lastColumn="0" w:noHBand="1" w:noVBand="1"/>
      </w:tblPr>
      <w:tblGrid>
        <w:gridCol w:w="1886"/>
        <w:gridCol w:w="1885"/>
        <w:gridCol w:w="1885"/>
        <w:gridCol w:w="1885"/>
      </w:tblGrid>
      <w:tr w:rsidR="0010661F" w:rsidTr="006A68B3" w14:paraId="78A4E829" w14:textId="77777777">
        <w:trPr>
          <w:cnfStyle w:val="100000000000" w:firstRow="1" w:lastRow="0" w:firstColumn="0" w:lastColumn="0" w:oddVBand="0" w:evenVBand="0" w:oddHBand="0" w:evenHBand="0" w:firstRowFirstColumn="0" w:firstRowLastColumn="0" w:lastRowFirstColumn="0" w:lastRowLastColumn="0"/>
        </w:trPr>
        <w:tc>
          <w:tcPr>
            <w:tcW w:w="1250" w:type="pct"/>
            <w:noWrap/>
          </w:tcPr>
          <w:p w:rsidRPr="0010661F" w:rsidR="0010661F" w:rsidP="006A68B3" w:rsidRDefault="0010661F" w14:paraId="6EF53E3A" w14:textId="77777777">
            <w:r w:rsidRPr="0010661F">
              <w:t xml:space="preserve">Dossiers </w:t>
            </w:r>
          </w:p>
        </w:tc>
        <w:tc>
          <w:tcPr>
            <w:tcW w:w="1250" w:type="pct"/>
          </w:tcPr>
          <w:p w:rsidRPr="00CD285B" w:rsidR="0010661F" w:rsidP="00CD285B" w:rsidRDefault="0010661F" w14:paraId="51611EFF" w14:textId="77777777">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Mishandeling</w:t>
            </w:r>
          </w:p>
        </w:tc>
        <w:tc>
          <w:tcPr>
            <w:tcW w:w="1250" w:type="pct"/>
          </w:tcPr>
          <w:p w:rsidRPr="00CD285B" w:rsidR="0010661F" w:rsidP="00CD285B" w:rsidRDefault="0010661F" w14:paraId="15EEF415" w14:textId="1352232C">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 xml:space="preserve">Waarvan met taken belast persoon </w:t>
            </w:r>
          </w:p>
        </w:tc>
        <w:tc>
          <w:tcPr>
            <w:tcW w:w="1250" w:type="pct"/>
          </w:tcPr>
          <w:p w:rsidRPr="00CD285B" w:rsidR="0010661F" w:rsidP="00CD285B" w:rsidRDefault="0010661F" w14:paraId="0B167C22" w14:textId="77777777">
            <w:pPr>
              <w:spacing w:after="160" w:line="278" w:lineRule="auto"/>
              <w:rPr>
                <w:rFonts w:eastAsiaTheme="minorHAnsi"/>
                <w:color w:val="auto"/>
                <w:kern w:val="2"/>
                <w:lang w:eastAsia="en-US"/>
                <w14:ligatures w14:val="standardContextual"/>
              </w:rPr>
            </w:pPr>
            <w:r w:rsidRPr="00CD285B">
              <w:rPr>
                <w:rFonts w:eastAsiaTheme="minorHAnsi"/>
                <w:color w:val="auto"/>
                <w:kern w:val="2"/>
                <w:lang w:eastAsia="en-US"/>
                <w14:ligatures w14:val="standardContextual"/>
              </w:rPr>
              <w:t xml:space="preserve">Waarvan aangifte </w:t>
            </w:r>
          </w:p>
        </w:tc>
      </w:tr>
      <w:tr w:rsidR="0010661F" w:rsidTr="006A68B3" w14:paraId="64B7D820" w14:textId="77777777">
        <w:tc>
          <w:tcPr>
            <w:tcW w:w="1250" w:type="pct"/>
            <w:noWrap/>
          </w:tcPr>
          <w:p w:rsidRPr="0010661F" w:rsidR="0010661F" w:rsidP="006A68B3" w:rsidRDefault="0010661F" w14:paraId="4417FD9F" w14:textId="77777777">
            <w:r w:rsidRPr="0010661F">
              <w:t>2024</w:t>
            </w:r>
          </w:p>
        </w:tc>
        <w:tc>
          <w:tcPr>
            <w:tcW w:w="1250" w:type="pct"/>
          </w:tcPr>
          <w:p w:rsidRPr="00CD285B" w:rsidR="0010661F" w:rsidP="006A68B3" w:rsidRDefault="0010661F" w14:paraId="67698F08" w14:textId="77777777">
            <w:pPr>
              <w:pStyle w:val="DecimalAligned"/>
              <w:rPr>
                <w:rFonts w:ascii="Verdana" w:hAnsi="Verdana"/>
                <w:sz w:val="18"/>
                <w:szCs w:val="18"/>
              </w:rPr>
            </w:pPr>
            <w:r w:rsidRPr="00CD285B">
              <w:rPr>
                <w:rFonts w:ascii="Verdana" w:hAnsi="Verdana"/>
                <w:sz w:val="18"/>
                <w:szCs w:val="18"/>
              </w:rPr>
              <w:t>77</w:t>
            </w:r>
          </w:p>
        </w:tc>
        <w:tc>
          <w:tcPr>
            <w:tcW w:w="1250" w:type="pct"/>
          </w:tcPr>
          <w:p w:rsidRPr="00CD285B" w:rsidR="0010661F" w:rsidP="006A68B3" w:rsidRDefault="0010661F" w14:paraId="57A110AE" w14:textId="77777777">
            <w:pPr>
              <w:pStyle w:val="DecimalAligned"/>
              <w:rPr>
                <w:rFonts w:ascii="Verdana" w:hAnsi="Verdana"/>
                <w:sz w:val="18"/>
                <w:szCs w:val="18"/>
              </w:rPr>
            </w:pPr>
            <w:r w:rsidRPr="00CD285B">
              <w:rPr>
                <w:rFonts w:ascii="Verdana" w:hAnsi="Verdana"/>
                <w:sz w:val="18"/>
                <w:szCs w:val="18"/>
              </w:rPr>
              <w:t>69</w:t>
            </w:r>
          </w:p>
        </w:tc>
        <w:tc>
          <w:tcPr>
            <w:tcW w:w="1250" w:type="pct"/>
          </w:tcPr>
          <w:p w:rsidRPr="00CD285B" w:rsidR="0010661F" w:rsidP="006A68B3" w:rsidRDefault="0010661F" w14:paraId="5909B6D4" w14:textId="77777777">
            <w:pPr>
              <w:pStyle w:val="DecimalAligned"/>
              <w:rPr>
                <w:rFonts w:ascii="Verdana" w:hAnsi="Verdana"/>
                <w:sz w:val="18"/>
                <w:szCs w:val="18"/>
              </w:rPr>
            </w:pPr>
            <w:r w:rsidRPr="00CD285B">
              <w:rPr>
                <w:rFonts w:ascii="Verdana" w:hAnsi="Verdana"/>
                <w:sz w:val="18"/>
                <w:szCs w:val="18"/>
              </w:rPr>
              <w:t>22</w:t>
            </w:r>
          </w:p>
        </w:tc>
      </w:tr>
      <w:tr w:rsidR="0010661F" w:rsidTr="006A68B3" w14:paraId="61AE2B96" w14:textId="77777777">
        <w:trPr>
          <w:cnfStyle w:val="010000000000" w:firstRow="0" w:lastRow="1" w:firstColumn="0" w:lastColumn="0" w:oddVBand="0" w:evenVBand="0" w:oddHBand="0" w:evenHBand="0" w:firstRowFirstColumn="0" w:firstRowLastColumn="0" w:lastRowFirstColumn="0" w:lastRowLastColumn="0"/>
        </w:trPr>
        <w:tc>
          <w:tcPr>
            <w:tcW w:w="1250" w:type="pct"/>
            <w:noWrap/>
          </w:tcPr>
          <w:p w:rsidRPr="0010661F" w:rsidR="0010661F" w:rsidP="006A68B3" w:rsidRDefault="0010661F" w14:paraId="7BEB4027" w14:textId="77777777">
            <w:r w:rsidRPr="0010661F">
              <w:t xml:space="preserve">2025 </w:t>
            </w:r>
          </w:p>
        </w:tc>
        <w:tc>
          <w:tcPr>
            <w:tcW w:w="1250" w:type="pct"/>
          </w:tcPr>
          <w:p w:rsidRPr="00CD285B" w:rsidR="0010661F" w:rsidP="006A68B3" w:rsidRDefault="0010661F" w14:paraId="0B091407" w14:textId="77777777">
            <w:pPr>
              <w:pStyle w:val="DecimalAligned"/>
              <w:rPr>
                <w:rFonts w:ascii="Verdana" w:hAnsi="Verdana"/>
                <w:sz w:val="18"/>
                <w:szCs w:val="18"/>
              </w:rPr>
            </w:pPr>
            <w:r w:rsidRPr="00CD285B">
              <w:rPr>
                <w:rFonts w:ascii="Verdana" w:hAnsi="Verdana"/>
                <w:sz w:val="18"/>
                <w:szCs w:val="18"/>
              </w:rPr>
              <w:t xml:space="preserve"> 57</w:t>
            </w:r>
          </w:p>
        </w:tc>
        <w:tc>
          <w:tcPr>
            <w:tcW w:w="1250" w:type="pct"/>
          </w:tcPr>
          <w:p w:rsidRPr="00CD285B" w:rsidR="0010661F" w:rsidP="006A68B3" w:rsidRDefault="0010661F" w14:paraId="76520DC2" w14:textId="77777777">
            <w:pPr>
              <w:pStyle w:val="DecimalAligned"/>
              <w:rPr>
                <w:rFonts w:ascii="Verdana" w:hAnsi="Verdana"/>
                <w:sz w:val="18"/>
                <w:szCs w:val="18"/>
              </w:rPr>
            </w:pPr>
            <w:r w:rsidRPr="00CD285B">
              <w:rPr>
                <w:rFonts w:ascii="Verdana" w:hAnsi="Verdana"/>
                <w:sz w:val="18"/>
                <w:szCs w:val="18"/>
              </w:rPr>
              <w:t>51</w:t>
            </w:r>
          </w:p>
        </w:tc>
        <w:tc>
          <w:tcPr>
            <w:tcW w:w="1250" w:type="pct"/>
          </w:tcPr>
          <w:p w:rsidRPr="00CD285B" w:rsidR="0010661F" w:rsidP="006A68B3" w:rsidRDefault="0010661F" w14:paraId="44E6B4AD" w14:textId="77777777">
            <w:pPr>
              <w:pStyle w:val="DecimalAligned"/>
              <w:rPr>
                <w:rFonts w:ascii="Verdana" w:hAnsi="Verdana"/>
                <w:sz w:val="18"/>
                <w:szCs w:val="18"/>
              </w:rPr>
            </w:pPr>
            <w:r w:rsidRPr="00CD285B">
              <w:rPr>
                <w:rFonts w:ascii="Verdana" w:hAnsi="Verdana"/>
                <w:sz w:val="18"/>
                <w:szCs w:val="18"/>
              </w:rPr>
              <w:t>31</w:t>
            </w:r>
          </w:p>
        </w:tc>
      </w:tr>
    </w:tbl>
    <w:p w:rsidRPr="0010661F" w:rsidR="0010661F" w:rsidP="0010661F" w:rsidRDefault="0010661F" w14:paraId="2E21214F" w14:textId="77777777">
      <w:pPr>
        <w:autoSpaceDN/>
        <w:textAlignment w:val="auto"/>
        <w:rPr>
          <w:rFonts w:eastAsia="Aptos" w:cs="Times New Roman"/>
          <w:color w:val="auto"/>
          <w:kern w:val="2"/>
          <w:sz w:val="16"/>
          <w:szCs w:val="16"/>
          <w:lang w:eastAsia="en-US"/>
          <w14:ligatures w14:val="standardContextual"/>
        </w:rPr>
      </w:pPr>
      <w:r>
        <w:rPr>
          <w:rFonts w:eastAsia="Aptos" w:cs="Times New Roman"/>
          <w:color w:val="auto"/>
          <w:kern w:val="2"/>
          <w:sz w:val="16"/>
          <w:szCs w:val="16"/>
          <w:lang w:eastAsia="en-US"/>
          <w14:ligatures w14:val="standardContextual"/>
        </w:rPr>
        <w:t>Tabel 2. Aantal dossiers over mogelijke mishandeling</w:t>
      </w:r>
    </w:p>
    <w:p w:rsidR="00AE11BD" w:rsidP="00AE11BD" w:rsidRDefault="00AE11BD" w14:paraId="7BF622EA" w14:textId="77777777">
      <w:pPr>
        <w:autoSpaceDN/>
        <w:textAlignment w:val="auto"/>
        <w:rPr>
          <w:rFonts w:eastAsia="Aptos" w:cs="Times New Roman"/>
          <w:color w:val="auto"/>
          <w:kern w:val="2"/>
          <w:lang w:eastAsia="en-US"/>
          <w14:ligatures w14:val="standardContextual"/>
        </w:rPr>
      </w:pPr>
    </w:p>
    <w:p w:rsidR="00AE11BD" w:rsidP="00AE11BD" w:rsidRDefault="00AE11BD" w14:paraId="2CA66E96" w14:textId="1C128F87">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Het is niet </w:t>
      </w:r>
      <w:r>
        <w:rPr>
          <w:rFonts w:eastAsia="Aptos" w:cs="Times New Roman"/>
          <w:color w:val="auto"/>
          <w:kern w:val="2"/>
          <w:lang w:eastAsia="en-US"/>
          <w14:ligatures w14:val="standardContextual"/>
        </w:rPr>
        <w:t xml:space="preserve">met zekerheid vast te stellen </w:t>
      </w:r>
      <w:r w:rsidRPr="002A4C87">
        <w:rPr>
          <w:rFonts w:eastAsia="Aptos" w:cs="Times New Roman"/>
          <w:color w:val="auto"/>
          <w:kern w:val="2"/>
          <w:lang w:eastAsia="en-US"/>
          <w14:ligatures w14:val="standardContextual"/>
        </w:rPr>
        <w:t xml:space="preserve">of de stijging van het totaal aantal dossiers </w:t>
      </w:r>
      <w:r>
        <w:rPr>
          <w:rFonts w:eastAsia="Aptos" w:cs="Times New Roman"/>
          <w:color w:val="auto"/>
          <w:kern w:val="2"/>
          <w:lang w:eastAsia="en-US"/>
          <w14:ligatures w14:val="standardContextual"/>
        </w:rPr>
        <w:t>het gevolg is van een toename van</w:t>
      </w:r>
      <w:r w:rsidRPr="002A4C87">
        <w:rPr>
          <w:rFonts w:eastAsia="Aptos" w:cs="Times New Roman"/>
          <w:color w:val="auto"/>
          <w:kern w:val="2"/>
          <w:lang w:eastAsia="en-US"/>
          <w14:ligatures w14:val="standardContextual"/>
        </w:rPr>
        <w:t xml:space="preserve"> </w:t>
      </w:r>
      <w:r w:rsidR="00121E63">
        <w:rPr>
          <w:rFonts w:eastAsia="Aptos" w:cs="Times New Roman"/>
          <w:color w:val="auto"/>
          <w:kern w:val="2"/>
          <w:lang w:eastAsia="en-US"/>
          <w14:ligatures w14:val="standardContextual"/>
        </w:rPr>
        <w:t>(seksueel) grensoverschrijdend gedrag</w:t>
      </w:r>
      <w:r w:rsidRPr="002A4C87">
        <w:rPr>
          <w:rFonts w:eastAsia="Aptos" w:cs="Times New Roman"/>
          <w:color w:val="auto"/>
          <w:kern w:val="2"/>
          <w:lang w:eastAsia="en-US"/>
          <w14:ligatures w14:val="standardContextual"/>
        </w:rPr>
        <w:t xml:space="preserve"> of </w:t>
      </w:r>
      <w:r>
        <w:rPr>
          <w:rFonts w:eastAsia="Aptos" w:cs="Times New Roman"/>
          <w:color w:val="auto"/>
          <w:kern w:val="2"/>
          <w:lang w:eastAsia="en-US"/>
          <w14:ligatures w14:val="standardContextual"/>
        </w:rPr>
        <w:t xml:space="preserve">van een </w:t>
      </w:r>
      <w:r w:rsidRPr="002A4C87">
        <w:rPr>
          <w:rFonts w:eastAsia="Aptos" w:cs="Times New Roman"/>
          <w:color w:val="auto"/>
          <w:kern w:val="2"/>
          <w:lang w:eastAsia="en-US"/>
          <w14:ligatures w14:val="standardContextual"/>
        </w:rPr>
        <w:t xml:space="preserve">grotere bekendheid </w:t>
      </w:r>
      <w:r w:rsidR="00196FD5">
        <w:rPr>
          <w:rFonts w:eastAsia="Aptos" w:cs="Times New Roman"/>
          <w:color w:val="auto"/>
          <w:kern w:val="2"/>
          <w:lang w:eastAsia="en-US"/>
          <w14:ligatures w14:val="standardContextual"/>
        </w:rPr>
        <w:t>met d</w:t>
      </w:r>
      <w:r w:rsidRPr="002A4C87">
        <w:rPr>
          <w:rFonts w:eastAsia="Aptos" w:cs="Times New Roman"/>
          <w:color w:val="auto"/>
          <w:kern w:val="2"/>
          <w:lang w:eastAsia="en-US"/>
          <w14:ligatures w14:val="standardContextual"/>
        </w:rPr>
        <w:t>e MOA en de vertrouwensinspectie</w:t>
      </w:r>
      <w:r w:rsidR="00196FD5">
        <w:rPr>
          <w:rFonts w:eastAsia="Aptos" w:cs="Times New Roman"/>
          <w:color w:val="auto"/>
          <w:kern w:val="2"/>
          <w:lang w:eastAsia="en-US"/>
          <w14:ligatures w14:val="standardContextual"/>
        </w:rPr>
        <w:t>.</w:t>
      </w:r>
      <w:r w:rsidR="00932222">
        <w:rPr>
          <w:rFonts w:eastAsia="Aptos" w:cs="Times New Roman"/>
          <w:color w:val="auto"/>
          <w:kern w:val="2"/>
          <w:lang w:eastAsia="en-US"/>
          <w14:ligatures w14:val="standardContextual"/>
        </w:rPr>
        <w:t xml:space="preserve"> De afgelopen jaren is er binnen de sector meer aandacht geweest voor de MOA. Mogelijk weet men hierdoor de vertrouwensinspectie vaker te vinden.</w:t>
      </w:r>
      <w:r w:rsidR="00196FD5">
        <w:rPr>
          <w:rFonts w:eastAsia="Aptos" w:cs="Times New Roman"/>
          <w:color w:val="auto"/>
          <w:kern w:val="2"/>
          <w:lang w:eastAsia="en-US"/>
          <w14:ligatures w14:val="standardContextual"/>
        </w:rPr>
        <w:t xml:space="preserve"> </w:t>
      </w:r>
    </w:p>
    <w:p w:rsidRPr="002A4C87" w:rsidR="0010661F" w:rsidP="00AE11BD" w:rsidRDefault="0010661F" w14:paraId="553A525C" w14:textId="77777777">
      <w:pPr>
        <w:autoSpaceDN/>
        <w:textAlignment w:val="auto"/>
        <w:rPr>
          <w:rFonts w:eastAsia="Aptos" w:cs="Times New Roman"/>
          <w:color w:val="auto"/>
          <w:kern w:val="2"/>
          <w:lang w:eastAsia="en-US"/>
          <w14:ligatures w14:val="standardContextual"/>
        </w:rPr>
      </w:pPr>
    </w:p>
    <w:p w:rsidRPr="002A4C87" w:rsidR="00AE11BD" w:rsidP="00AE11BD" w:rsidRDefault="00AE11BD" w14:paraId="310AE170" w14:textId="77777777">
      <w:pPr>
        <w:autoSpaceDN/>
        <w:textAlignment w:val="auto"/>
        <w:rPr>
          <w:rFonts w:eastAsia="Aptos" w:cs="Times New Roman"/>
          <w:b/>
          <w:bCs/>
          <w:color w:val="auto"/>
          <w:kern w:val="2"/>
          <w:lang w:eastAsia="en-US"/>
          <w14:ligatures w14:val="standardContextual"/>
        </w:rPr>
      </w:pPr>
      <w:r w:rsidRPr="002A4C87">
        <w:rPr>
          <w:rFonts w:eastAsia="Aptos" w:cs="Times New Roman"/>
          <w:b/>
          <w:bCs/>
          <w:color w:val="auto"/>
          <w:kern w:val="2"/>
          <w:lang w:eastAsia="en-US"/>
          <w14:ligatures w14:val="standardContextual"/>
        </w:rPr>
        <w:t>Bekendheid en kennis MOA</w:t>
      </w:r>
    </w:p>
    <w:p w:rsidR="00AE11BD" w:rsidP="00AE11BD" w:rsidRDefault="00AE11BD" w14:paraId="09774FF2" w14:textId="5D5DEB75">
      <w:pPr>
        <w:autoSpaceDN/>
        <w:textAlignment w:val="auto"/>
        <w:rPr>
          <w:rFonts w:eastAsia="Aptos" w:cs="Times New Roman"/>
          <w:color w:val="auto"/>
          <w:kern w:val="2"/>
          <w:lang w:eastAsia="en-US"/>
          <w14:ligatures w14:val="standardContextual"/>
        </w:rPr>
      </w:pPr>
      <w:r w:rsidRPr="008E0A2F">
        <w:rPr>
          <w:rFonts w:eastAsia="Aptos" w:cs="Times New Roman"/>
          <w:color w:val="auto"/>
          <w:kern w:val="2"/>
          <w:lang w:eastAsia="en-US"/>
          <w14:ligatures w14:val="standardContextual"/>
        </w:rPr>
        <w:lastRenderedPageBreak/>
        <w:t xml:space="preserve">Het blijft belangrijk om de bekendheid van en de kennis over de MOA te </w:t>
      </w:r>
      <w:r w:rsidRPr="00735470">
        <w:rPr>
          <w:rFonts w:eastAsia="Aptos" w:cs="Times New Roman"/>
          <w:color w:val="auto"/>
          <w:kern w:val="2"/>
          <w:lang w:eastAsia="en-US"/>
          <w14:ligatures w14:val="standardContextual"/>
        </w:rPr>
        <w:t>vergroten</w:t>
      </w:r>
      <w:r>
        <w:rPr>
          <w:rFonts w:eastAsia="Aptos" w:cs="Times New Roman"/>
          <w:color w:val="auto"/>
          <w:kern w:val="2"/>
          <w:lang w:eastAsia="en-US"/>
          <w14:ligatures w14:val="standardContextual"/>
        </w:rPr>
        <w:t xml:space="preserve"> en hierbij aandacht te houden voor eventuele handelingsverlegenheid bij medewerkers en kinderopvangorganisaties. </w:t>
      </w:r>
      <w:r w:rsidR="00516262">
        <w:rPr>
          <w:rFonts w:eastAsia="Aptos" w:cs="Times New Roman"/>
          <w:color w:val="auto"/>
          <w:kern w:val="2"/>
          <w:lang w:eastAsia="en-US"/>
          <w14:ligatures w14:val="standardContextual"/>
        </w:rPr>
        <w:t xml:space="preserve">Gezien de kwetsbaarheid van jonge kinderen en de </w:t>
      </w:r>
      <w:r w:rsidR="002F7E55">
        <w:rPr>
          <w:rFonts w:eastAsia="Aptos" w:cs="Times New Roman"/>
          <w:color w:val="auto"/>
          <w:kern w:val="2"/>
          <w:lang w:eastAsia="en-US"/>
          <w14:ligatures w14:val="standardContextual"/>
        </w:rPr>
        <w:t>ingrijpende gevolgen</w:t>
      </w:r>
      <w:r w:rsidR="00516262">
        <w:rPr>
          <w:rFonts w:eastAsia="Aptos" w:cs="Times New Roman"/>
          <w:color w:val="auto"/>
          <w:kern w:val="2"/>
          <w:lang w:eastAsia="en-US"/>
          <w14:ligatures w14:val="standardContextual"/>
        </w:rPr>
        <w:t xml:space="preserve"> van misbruik of mishandeling, is snelle signalering en adequaat handelen door professionals en houders van groot belang. </w:t>
      </w:r>
    </w:p>
    <w:p w:rsidR="00AE11BD" w:rsidP="00AE11BD" w:rsidRDefault="00AE11BD" w14:paraId="4142AA9D" w14:textId="77777777">
      <w:pPr>
        <w:autoSpaceDN/>
        <w:textAlignment w:val="auto"/>
        <w:rPr>
          <w:rFonts w:eastAsia="Aptos" w:cs="Times New Roman"/>
          <w:color w:val="auto"/>
          <w:kern w:val="2"/>
          <w:lang w:eastAsia="en-US"/>
          <w14:ligatures w14:val="standardContextual"/>
        </w:rPr>
      </w:pPr>
    </w:p>
    <w:p w:rsidR="00AE11BD" w:rsidP="00AE11BD" w:rsidRDefault="00AE11BD" w14:paraId="35982F9D" w14:textId="7790C623">
      <w:pPr>
        <w:autoSpaceDN/>
        <w:textAlignment w:val="auto"/>
      </w:pPr>
      <w:r w:rsidRPr="00735470">
        <w:rPr>
          <w:rFonts w:eastAsia="Aptos" w:cs="Times New Roman"/>
          <w:color w:val="auto"/>
          <w:kern w:val="2"/>
          <w:lang w:eastAsia="en-US"/>
          <w14:ligatures w14:val="standardContextual"/>
        </w:rPr>
        <w:t xml:space="preserve">In de beantwoording van de Kamervragen over </w:t>
      </w:r>
      <w:r w:rsidRPr="00735470">
        <w:t>het bericht 'Misbruikverdachte Jan B. kon ondanks schorsing in de kinderopvang blijven werken’</w:t>
      </w:r>
      <w:r w:rsidR="001F0CB6">
        <w:rPr>
          <w:rStyle w:val="Voetnootmarkering"/>
        </w:rPr>
        <w:footnoteReference w:id="3"/>
      </w:r>
      <w:r w:rsidRPr="00735470">
        <w:t xml:space="preserve"> </w:t>
      </w:r>
      <w:r w:rsidRPr="00735470">
        <w:rPr>
          <w:rFonts w:eastAsia="Aptos" w:cs="Times New Roman"/>
          <w:color w:val="auto"/>
          <w:kern w:val="2"/>
          <w:lang w:eastAsia="en-US"/>
          <w14:ligatures w14:val="standardContextual"/>
        </w:rPr>
        <w:t xml:space="preserve">heb ik aangegeven dat ik </w:t>
      </w:r>
      <w:r>
        <w:rPr>
          <w:rFonts w:eastAsia="Aptos" w:cs="Times New Roman"/>
          <w:color w:val="auto"/>
          <w:kern w:val="2"/>
          <w:lang w:eastAsia="en-US"/>
          <w14:ligatures w14:val="standardContextual"/>
        </w:rPr>
        <w:t xml:space="preserve">het als onze </w:t>
      </w:r>
      <w:r w:rsidRPr="00037E32">
        <w:t xml:space="preserve">(overheid en sector) gezamenlijke plicht </w:t>
      </w:r>
      <w:r>
        <w:t xml:space="preserve">zie </w:t>
      </w:r>
      <w:r w:rsidRPr="00037E32">
        <w:t xml:space="preserve">om te blijven kijken hoe </w:t>
      </w:r>
      <w:r w:rsidR="001F0CB6">
        <w:t xml:space="preserve">we </w:t>
      </w:r>
      <w:r w:rsidRPr="00037E32">
        <w:t xml:space="preserve">veiligheidsrisico’s binnen de kinderopvang zoveel mogelijk </w:t>
      </w:r>
      <w:r w:rsidR="001F0CB6">
        <w:t xml:space="preserve">kunnen </w:t>
      </w:r>
      <w:r w:rsidRPr="00037E32">
        <w:t>minimalise</w:t>
      </w:r>
      <w:r w:rsidR="001F0CB6">
        <w:t>r</w:t>
      </w:r>
      <w:r w:rsidRPr="00037E32">
        <w:t xml:space="preserve">en. </w:t>
      </w:r>
    </w:p>
    <w:p w:rsidR="00AE11BD" w:rsidP="00AE11BD" w:rsidRDefault="00AE11BD" w14:paraId="2A676710" w14:textId="77777777">
      <w:pPr>
        <w:autoSpaceDN/>
        <w:textAlignment w:val="auto"/>
      </w:pPr>
    </w:p>
    <w:p w:rsidR="00AE11BD" w:rsidP="00AE11BD" w:rsidRDefault="00AE11BD" w14:paraId="5BE9A029" w14:textId="77777777">
      <w:pPr>
        <w:autoSpaceDN/>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In het najaar zal ik uw Kamer informeren over de uitkomsten van gesprekken met de sector over verbetermogelijkheden en mogelijke aanvullende maatregelen die die we zien om de praktijk te optimaliseren en de veiligheid op de kinderopvang te vergroten. </w:t>
      </w:r>
    </w:p>
    <w:p w:rsidR="00AE11BD" w:rsidP="00AE11BD" w:rsidRDefault="00AE11BD" w14:paraId="2CB22C72" w14:textId="77777777">
      <w:pPr>
        <w:autoSpaceDN/>
        <w:textAlignment w:val="auto"/>
        <w:rPr>
          <w:rFonts w:eastAsia="Aptos" w:cs="Times New Roman"/>
          <w:color w:val="auto"/>
          <w:kern w:val="2"/>
          <w:lang w:eastAsia="en-US"/>
          <w14:ligatures w14:val="standardContextual"/>
        </w:rPr>
      </w:pPr>
    </w:p>
    <w:p w:rsidRPr="002A4C87" w:rsidR="00AE11BD" w:rsidP="00AE11BD" w:rsidRDefault="00AE11BD" w14:paraId="4A5FEC4D" w14:textId="77777777">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Samen blijven we ons inzetten voor een veilige kinderopvang. </w:t>
      </w:r>
    </w:p>
    <w:p w:rsidR="00AE11BD" w:rsidP="00AE11BD" w:rsidRDefault="00AE11BD" w14:paraId="5CF92C79" w14:textId="77777777"/>
    <w:p w:rsidR="00BF1D8D" w:rsidRDefault="00AE11BD" w14:paraId="083D7BBB" w14:textId="77777777">
      <w:r>
        <w:t>De Minister van Werk en Participatie,</w:t>
      </w:r>
    </w:p>
    <w:p w:rsidR="00BF1D8D" w:rsidRDefault="00BF1D8D" w14:paraId="083D7BBC" w14:textId="77777777"/>
    <w:p w:rsidR="00BF1D8D" w:rsidRDefault="00BF1D8D" w14:paraId="083D7BBD" w14:textId="77777777"/>
    <w:p w:rsidR="00AC58FA" w:rsidRDefault="00AC58FA" w14:paraId="4BFEBF0C" w14:textId="77777777"/>
    <w:p w:rsidR="00196FD5" w:rsidRDefault="00196FD5" w14:paraId="38244333" w14:textId="77777777"/>
    <w:p w:rsidR="004A5AA2" w:rsidRDefault="004A5AA2" w14:paraId="4D74E524" w14:textId="77777777"/>
    <w:p w:rsidR="00BF1D8D" w:rsidRDefault="00AE11BD" w14:paraId="083D7BC1" w14:textId="77777777">
      <w:r>
        <w:t>A.A. Aartsen</w:t>
      </w:r>
    </w:p>
    <w:sectPr w:rsidR="00BF1D8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7BCA" w14:textId="77777777" w:rsidR="00AE11BD" w:rsidRDefault="00AE11BD">
      <w:pPr>
        <w:spacing w:line="240" w:lineRule="auto"/>
      </w:pPr>
      <w:r>
        <w:separator/>
      </w:r>
    </w:p>
  </w:endnote>
  <w:endnote w:type="continuationSeparator" w:id="0">
    <w:p w14:paraId="083D7BCC" w14:textId="77777777" w:rsidR="00AE11BD" w:rsidRDefault="00AE1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CBCA" w14:textId="77777777" w:rsidR="00C07E7A" w:rsidRDefault="00C07E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F5E8" w14:textId="77777777" w:rsidR="00C07E7A" w:rsidRDefault="00C07E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ABF7" w14:textId="77777777" w:rsidR="00C07E7A" w:rsidRDefault="00C07E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7BC6" w14:textId="77777777" w:rsidR="00AE11BD" w:rsidRDefault="00AE11BD">
      <w:pPr>
        <w:spacing w:line="240" w:lineRule="auto"/>
      </w:pPr>
      <w:r>
        <w:separator/>
      </w:r>
    </w:p>
  </w:footnote>
  <w:footnote w:type="continuationSeparator" w:id="0">
    <w:p w14:paraId="083D7BC8" w14:textId="77777777" w:rsidR="00AE11BD" w:rsidRDefault="00AE11BD">
      <w:pPr>
        <w:spacing w:line="240" w:lineRule="auto"/>
      </w:pPr>
      <w:r>
        <w:continuationSeparator/>
      </w:r>
    </w:p>
  </w:footnote>
  <w:footnote w:id="1">
    <w:p w14:paraId="208A217A" w14:textId="28574AB2" w:rsidR="00AE11BD" w:rsidRPr="005149A9" w:rsidRDefault="00AE11BD" w:rsidP="00AE11BD">
      <w:pPr>
        <w:pStyle w:val="Voetnoottekst"/>
        <w:rPr>
          <w:sz w:val="16"/>
          <w:szCs w:val="16"/>
        </w:rPr>
      </w:pPr>
      <w:r w:rsidRPr="00AC58FA">
        <w:rPr>
          <w:rStyle w:val="Voetnootmarkering"/>
          <w:sz w:val="16"/>
          <w:szCs w:val="16"/>
        </w:rPr>
        <w:footnoteRef/>
      </w:r>
      <w:r w:rsidR="00AC58FA" w:rsidRPr="00AC58FA">
        <w:rPr>
          <w:rStyle w:val="Voetnootmarkering"/>
          <w:sz w:val="16"/>
          <w:szCs w:val="16"/>
        </w:rPr>
        <w:t xml:space="preserve"> </w:t>
      </w:r>
      <w:proofErr w:type="gramStart"/>
      <w:r w:rsidR="001F0CB6" w:rsidRPr="002669EA">
        <w:rPr>
          <w:sz w:val="16"/>
          <w:szCs w:val="16"/>
        </w:rPr>
        <w:t>https://www.onderwijsinspectie.nl/onderwerpen/vertrouwensinspecteurs/vertrouwensinsp</w:t>
      </w:r>
      <w:r w:rsidR="00AC58FA">
        <w:rPr>
          <w:sz w:val="16"/>
          <w:szCs w:val="16"/>
        </w:rPr>
        <w:t>e</w:t>
      </w:r>
      <w:proofErr w:type="gramEnd"/>
      <w:r w:rsidR="00AC58FA">
        <w:rPr>
          <w:sz w:val="16"/>
          <w:szCs w:val="16"/>
        </w:rPr>
        <w:t xml:space="preserve"> </w:t>
      </w:r>
      <w:proofErr w:type="spellStart"/>
      <w:r w:rsidR="00AC58FA">
        <w:rPr>
          <w:sz w:val="16"/>
          <w:szCs w:val="16"/>
        </w:rPr>
        <w:t>c</w:t>
      </w:r>
      <w:r w:rsidR="001F0CB6" w:rsidRPr="002669EA">
        <w:rPr>
          <w:sz w:val="16"/>
          <w:szCs w:val="16"/>
        </w:rPr>
        <w:t>teur</w:t>
      </w:r>
      <w:proofErr w:type="spellEnd"/>
      <w:r w:rsidR="001F0CB6" w:rsidRPr="002669EA">
        <w:rPr>
          <w:sz w:val="16"/>
          <w:szCs w:val="16"/>
        </w:rPr>
        <w:t>-kinderopvang.</w:t>
      </w:r>
    </w:p>
  </w:footnote>
  <w:footnote w:id="2">
    <w:p w14:paraId="7AA26A63" w14:textId="7285FC94" w:rsidR="005F77AE" w:rsidRDefault="005F77AE">
      <w:pPr>
        <w:pStyle w:val="Voetnoottekst"/>
      </w:pPr>
      <w:r w:rsidRPr="00AC58FA">
        <w:rPr>
          <w:rStyle w:val="Voetnootmarkering"/>
          <w:sz w:val="16"/>
          <w:szCs w:val="16"/>
        </w:rPr>
        <w:footnoteRef/>
      </w:r>
      <w:r w:rsidRPr="00AC58FA">
        <w:rPr>
          <w:rStyle w:val="Voetnootmarkering"/>
          <w:sz w:val="16"/>
          <w:szCs w:val="16"/>
        </w:rPr>
        <w:t xml:space="preserve"> </w:t>
      </w:r>
      <w:r>
        <w:rPr>
          <w:sz w:val="16"/>
          <w:szCs w:val="16"/>
        </w:rPr>
        <w:t xml:space="preserve">Dit is een persoon </w:t>
      </w:r>
      <w:r w:rsidRPr="00EB0D1A">
        <w:rPr>
          <w:sz w:val="16"/>
          <w:szCs w:val="16"/>
        </w:rPr>
        <w:t>die verantwoordelijkheid heeft naar kinderen</w:t>
      </w:r>
      <w:r>
        <w:rPr>
          <w:sz w:val="16"/>
          <w:szCs w:val="16"/>
        </w:rPr>
        <w:t xml:space="preserve">, zoals </w:t>
      </w:r>
      <w:r w:rsidRPr="00EB0D1A">
        <w:rPr>
          <w:sz w:val="16"/>
          <w:szCs w:val="16"/>
        </w:rPr>
        <w:t>professionals die werkzaam zijn binnen de kinderopvang</w:t>
      </w:r>
      <w:r>
        <w:rPr>
          <w:sz w:val="16"/>
          <w:szCs w:val="16"/>
        </w:rPr>
        <w:t xml:space="preserve">, maar ook </w:t>
      </w:r>
      <w:r w:rsidRPr="00EB0D1A">
        <w:rPr>
          <w:sz w:val="16"/>
          <w:szCs w:val="16"/>
        </w:rPr>
        <w:t>bijvoorbeeld een vrijwilliger zonder dienstverband, die taken of werkzaamheden verricht binnen de opvangvoorziening. Binnen de gastouderopvang zijn dit ook de huisgenoten van de gastouder.</w:t>
      </w:r>
    </w:p>
  </w:footnote>
  <w:footnote w:id="3">
    <w:p w14:paraId="54C045D6" w14:textId="5FC4B318" w:rsidR="001F0CB6" w:rsidRPr="002669EA" w:rsidRDefault="001F0CB6">
      <w:pPr>
        <w:pStyle w:val="Voetnoottekst"/>
        <w:rPr>
          <w:sz w:val="16"/>
          <w:szCs w:val="16"/>
        </w:rPr>
      </w:pPr>
      <w:r w:rsidRPr="00AC58FA">
        <w:rPr>
          <w:rStyle w:val="Voetnootmarkering"/>
          <w:sz w:val="16"/>
          <w:szCs w:val="16"/>
        </w:rPr>
        <w:footnoteRef/>
      </w:r>
      <w:r w:rsidRPr="00AC58FA">
        <w:rPr>
          <w:rStyle w:val="Voetnootmarkering"/>
          <w:sz w:val="16"/>
          <w:szCs w:val="16"/>
        </w:rPr>
        <w:t xml:space="preserve"> </w:t>
      </w:r>
      <w:r w:rsidRPr="002669EA">
        <w:rPr>
          <w:sz w:val="16"/>
          <w:szCs w:val="16"/>
        </w:rPr>
        <w:t>Aanhangsel Handelingen II 2025-2026, nr. 1786.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B983" w14:textId="77777777" w:rsidR="00C07E7A" w:rsidRDefault="00C07E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7BC2" w14:textId="77777777" w:rsidR="00BF1D8D" w:rsidRDefault="00AE11BD">
    <w:r>
      <w:rPr>
        <w:noProof/>
      </w:rPr>
      <mc:AlternateContent>
        <mc:Choice Requires="wps">
          <w:drawing>
            <wp:anchor distT="0" distB="0" distL="0" distR="0" simplePos="0" relativeHeight="251654144" behindDoc="0" locked="1" layoutInCell="1" allowOverlap="1" wp14:anchorId="083D7BC6" wp14:editId="083D7BC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3D7BF7" w14:textId="77777777" w:rsidR="00BF1D8D" w:rsidRDefault="00BF1D8D">
                          <w:pPr>
                            <w:pStyle w:val="WitregelW2"/>
                          </w:pPr>
                        </w:p>
                        <w:p w14:paraId="083D7BF8" w14:textId="77777777" w:rsidR="00BF1D8D" w:rsidRDefault="00AE11BD">
                          <w:pPr>
                            <w:pStyle w:val="Referentiegegevenskopjes"/>
                          </w:pPr>
                          <w:r>
                            <w:t>Datum</w:t>
                          </w:r>
                        </w:p>
                        <w:p w14:paraId="7C4C8D73" w14:textId="7FA3651A" w:rsidR="00341F4D" w:rsidRDefault="00F752B6">
                          <w:pPr>
                            <w:pStyle w:val="Referentiegegevens"/>
                          </w:pPr>
                          <w:r>
                            <w:t>17-06-2026</w:t>
                          </w:r>
                          <w:r w:rsidR="00E52D6E">
                            <w:fldChar w:fldCharType="begin"/>
                          </w:r>
                          <w:r w:rsidR="00E52D6E">
                            <w:instrText xml:space="preserve"> DOCPROPERTY  "iDatum"  \* MERGEFORMAT </w:instrText>
                          </w:r>
                          <w:r w:rsidR="00E52D6E">
                            <w:fldChar w:fldCharType="end"/>
                          </w:r>
                        </w:p>
                        <w:p w14:paraId="083D7BFA" w14:textId="77777777" w:rsidR="00BF1D8D" w:rsidRDefault="00BF1D8D">
                          <w:pPr>
                            <w:pStyle w:val="WitregelW1"/>
                          </w:pPr>
                        </w:p>
                        <w:p w14:paraId="083D7BFB" w14:textId="77777777" w:rsidR="00BF1D8D" w:rsidRDefault="00AE11BD">
                          <w:pPr>
                            <w:pStyle w:val="Referentiegegevenskopjes"/>
                          </w:pPr>
                          <w:r>
                            <w:t>Onze referentie</w:t>
                          </w:r>
                        </w:p>
                        <w:p w14:paraId="1FDB62D9" w14:textId="248442AD" w:rsidR="00341F4D" w:rsidRDefault="00E52D6E">
                          <w:pPr>
                            <w:pStyle w:val="ReferentiegegevensHL"/>
                          </w:pPr>
                          <w:r>
                            <w:fldChar w:fldCharType="begin"/>
                          </w:r>
                          <w:r>
                            <w:instrText xml:space="preserve"> DOCPROPERTY  "iOnsKenmerk"  \* MERGEFORMAT </w:instrText>
                          </w:r>
                          <w:r>
                            <w:fldChar w:fldCharType="separate"/>
                          </w:r>
                          <w:r w:rsidR="00C07E7A">
                            <w:t>2026-0000189188</w:t>
                          </w:r>
                          <w:r>
                            <w:fldChar w:fldCharType="end"/>
                          </w:r>
                        </w:p>
                      </w:txbxContent>
                    </wps:txbx>
                    <wps:bodyPr vert="horz" wrap="square" lIns="0" tIns="0" rIns="0" bIns="0" anchor="t" anchorCtr="0"/>
                  </wps:wsp>
                </a:graphicData>
              </a:graphic>
            </wp:anchor>
          </w:drawing>
        </mc:Choice>
        <mc:Fallback>
          <w:pict>
            <v:shapetype w14:anchorId="083D7BC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83D7BF7" w14:textId="77777777" w:rsidR="00BF1D8D" w:rsidRDefault="00BF1D8D">
                    <w:pPr>
                      <w:pStyle w:val="WitregelW2"/>
                    </w:pPr>
                  </w:p>
                  <w:p w14:paraId="083D7BF8" w14:textId="77777777" w:rsidR="00BF1D8D" w:rsidRDefault="00AE11BD">
                    <w:pPr>
                      <w:pStyle w:val="Referentiegegevenskopjes"/>
                    </w:pPr>
                    <w:r>
                      <w:t>Datum</w:t>
                    </w:r>
                  </w:p>
                  <w:p w14:paraId="7C4C8D73" w14:textId="7FA3651A" w:rsidR="00341F4D" w:rsidRDefault="00F752B6">
                    <w:pPr>
                      <w:pStyle w:val="Referentiegegevens"/>
                    </w:pPr>
                    <w:r>
                      <w:t>17-06-2026</w:t>
                    </w:r>
                    <w:r w:rsidR="00E52D6E">
                      <w:fldChar w:fldCharType="begin"/>
                    </w:r>
                    <w:r w:rsidR="00E52D6E">
                      <w:instrText xml:space="preserve"> DOCPROPERTY  "iDatum"  \* MERGEFORMAT </w:instrText>
                    </w:r>
                    <w:r w:rsidR="00E52D6E">
                      <w:fldChar w:fldCharType="end"/>
                    </w:r>
                  </w:p>
                  <w:p w14:paraId="083D7BFA" w14:textId="77777777" w:rsidR="00BF1D8D" w:rsidRDefault="00BF1D8D">
                    <w:pPr>
                      <w:pStyle w:val="WitregelW1"/>
                    </w:pPr>
                  </w:p>
                  <w:p w14:paraId="083D7BFB" w14:textId="77777777" w:rsidR="00BF1D8D" w:rsidRDefault="00AE11BD">
                    <w:pPr>
                      <w:pStyle w:val="Referentiegegevenskopjes"/>
                    </w:pPr>
                    <w:r>
                      <w:t>Onze referentie</w:t>
                    </w:r>
                  </w:p>
                  <w:p w14:paraId="1FDB62D9" w14:textId="248442AD" w:rsidR="00341F4D" w:rsidRDefault="00E52D6E">
                    <w:pPr>
                      <w:pStyle w:val="ReferentiegegevensHL"/>
                    </w:pPr>
                    <w:r>
                      <w:fldChar w:fldCharType="begin"/>
                    </w:r>
                    <w:r>
                      <w:instrText xml:space="preserve"> DOCPROPERTY  "iOnsKenmerk"  \* MERGEFORMAT </w:instrText>
                    </w:r>
                    <w:r>
                      <w:fldChar w:fldCharType="separate"/>
                    </w:r>
                    <w:r w:rsidR="00C07E7A">
                      <w:t>2026-0000189188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83D7BC8" wp14:editId="083D7BC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DE3552" w14:textId="77777777" w:rsidR="00341F4D" w:rsidRDefault="00E52D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3D7BC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7DE3552" w14:textId="77777777" w:rsidR="00341F4D" w:rsidRDefault="00E52D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7BC4" w14:textId="77777777" w:rsidR="00BF1D8D" w:rsidRDefault="00AE11BD">
    <w:pPr>
      <w:spacing w:after="7029" w:line="14" w:lineRule="exact"/>
    </w:pPr>
    <w:r>
      <w:rPr>
        <w:noProof/>
      </w:rPr>
      <mc:AlternateContent>
        <mc:Choice Requires="wps">
          <w:drawing>
            <wp:anchor distT="0" distB="0" distL="0" distR="0" simplePos="0" relativeHeight="251656192" behindDoc="0" locked="1" layoutInCell="1" allowOverlap="1" wp14:anchorId="083D7BCA" wp14:editId="083D7BCB">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3D7BD6" w14:textId="77777777" w:rsidR="00BF1D8D" w:rsidRDefault="00AE11B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3D7BC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3D7BD6" w14:textId="77777777" w:rsidR="00BF1D8D" w:rsidRDefault="00AE11B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83D7BCC" wp14:editId="083D7BC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3D7BD8" w14:textId="77777777" w:rsidR="00BF1D8D" w:rsidRDefault="00BF1D8D">
                          <w:pPr>
                            <w:pStyle w:val="WitregelW1"/>
                          </w:pPr>
                        </w:p>
                        <w:p w14:paraId="083D7BD9" w14:textId="77777777" w:rsidR="00BF1D8D" w:rsidRPr="00F752B6" w:rsidRDefault="00AE11BD">
                          <w:pPr>
                            <w:pStyle w:val="Afzendgegevens"/>
                            <w:rPr>
                              <w:lang w:val="de-DE"/>
                            </w:rPr>
                          </w:pPr>
                          <w:r w:rsidRPr="00F752B6">
                            <w:rPr>
                              <w:lang w:val="de-DE"/>
                            </w:rPr>
                            <w:t>Postbus 90801</w:t>
                          </w:r>
                        </w:p>
                        <w:p w14:paraId="083D7BDA" w14:textId="62F0198D" w:rsidR="00BF1D8D" w:rsidRPr="00F752B6" w:rsidRDefault="00AE11BD">
                          <w:pPr>
                            <w:pStyle w:val="Afzendgegevens"/>
                            <w:rPr>
                              <w:lang w:val="de-DE"/>
                            </w:rPr>
                          </w:pPr>
                          <w:r w:rsidRPr="00F752B6">
                            <w:rPr>
                              <w:lang w:val="de-DE"/>
                            </w:rPr>
                            <w:t xml:space="preserve">2509 </w:t>
                          </w:r>
                          <w:r w:rsidR="00F752B6" w:rsidRPr="00F752B6">
                            <w:rPr>
                              <w:lang w:val="de-DE"/>
                            </w:rPr>
                            <w:t>LV Den</w:t>
                          </w:r>
                          <w:r w:rsidRPr="00F752B6">
                            <w:rPr>
                              <w:lang w:val="de-DE"/>
                            </w:rPr>
                            <w:t xml:space="preserve"> Haag</w:t>
                          </w:r>
                        </w:p>
                        <w:p w14:paraId="083D7BDB" w14:textId="77777777" w:rsidR="00BF1D8D" w:rsidRPr="00F752B6" w:rsidRDefault="00AE11BD">
                          <w:pPr>
                            <w:pStyle w:val="Afzendgegevens"/>
                            <w:rPr>
                              <w:lang w:val="de-DE"/>
                            </w:rPr>
                          </w:pPr>
                          <w:r w:rsidRPr="00F752B6">
                            <w:rPr>
                              <w:lang w:val="de-DE"/>
                            </w:rPr>
                            <w:t>T   070 333 44 44</w:t>
                          </w:r>
                        </w:p>
                        <w:p w14:paraId="083D7BDC" w14:textId="77777777" w:rsidR="00BF1D8D" w:rsidRPr="00F752B6" w:rsidRDefault="00BF1D8D">
                          <w:pPr>
                            <w:pStyle w:val="WitregelW2"/>
                            <w:rPr>
                              <w:lang w:val="de-DE"/>
                            </w:rPr>
                          </w:pPr>
                        </w:p>
                        <w:p w14:paraId="083D7BDD" w14:textId="77777777" w:rsidR="00BF1D8D" w:rsidRDefault="00AE11BD">
                          <w:pPr>
                            <w:pStyle w:val="Referentiegegevenskopjes"/>
                          </w:pPr>
                          <w:r>
                            <w:t>Onze referentie</w:t>
                          </w:r>
                        </w:p>
                        <w:p w14:paraId="625A15FB" w14:textId="461F2989" w:rsidR="00341F4D" w:rsidRDefault="00E52D6E">
                          <w:pPr>
                            <w:pStyle w:val="ReferentiegegevensHL"/>
                          </w:pPr>
                          <w:r>
                            <w:fldChar w:fldCharType="begin"/>
                          </w:r>
                          <w:r>
                            <w:instrText xml:space="preserve"> DOCPROPERTY  "iOnsKenmerk"  \* MERGEFORMAT </w:instrText>
                          </w:r>
                          <w:r>
                            <w:fldChar w:fldCharType="separate"/>
                          </w:r>
                          <w:r w:rsidR="00C07E7A">
                            <w:t>2026-0000189188</w:t>
                          </w:r>
                          <w:r>
                            <w:fldChar w:fldCharType="end"/>
                          </w:r>
                        </w:p>
                        <w:p w14:paraId="083D7BDF" w14:textId="77777777" w:rsidR="00BF1D8D" w:rsidRDefault="00BF1D8D">
                          <w:pPr>
                            <w:pStyle w:val="WitregelW1"/>
                          </w:pPr>
                        </w:p>
                        <w:p w14:paraId="350A2FDA" w14:textId="109A94FE" w:rsidR="00341F4D" w:rsidRDefault="00E52D6E">
                          <w:pPr>
                            <w:pStyle w:val="Referentiegegevens"/>
                          </w:pPr>
                          <w:r>
                            <w:fldChar w:fldCharType="begin"/>
                          </w:r>
                          <w:r>
                            <w:instrText xml:space="preserve"> DOCPROPERTY  "iCC"  \* MERGEFORMAT </w:instrText>
                          </w:r>
                          <w:r>
                            <w:fldChar w:fldCharType="end"/>
                          </w:r>
                        </w:p>
                        <w:p w14:paraId="083D7BE1" w14:textId="77777777" w:rsidR="00BF1D8D" w:rsidRDefault="00BF1D8D">
                          <w:pPr>
                            <w:pStyle w:val="WitregelW1"/>
                          </w:pPr>
                        </w:p>
                        <w:p w14:paraId="083D7BE2" w14:textId="77777777" w:rsidR="00BF1D8D" w:rsidRDefault="00AE11BD">
                          <w:pPr>
                            <w:pStyle w:val="Referentiegegevenskopjes"/>
                          </w:pPr>
                          <w:r>
                            <w:t>Bijlage(n)</w:t>
                          </w:r>
                        </w:p>
                        <w:p w14:paraId="62DA86B9" w14:textId="1C848786" w:rsidR="00341F4D" w:rsidRDefault="00E52D6E">
                          <w:pPr>
                            <w:pStyle w:val="Referentiegegevens"/>
                          </w:pPr>
                          <w:r>
                            <w:fldChar w:fldCharType="begin"/>
                          </w:r>
                          <w:r>
                            <w:instrText xml:space="preserve"> DOCPROPERTY  "iBijlagen"  \* MERGEFORMAT </w:instrText>
                          </w:r>
                          <w:r>
                            <w:fldChar w:fldCharType="separate"/>
                          </w:r>
                          <w:r w:rsidR="00C07E7A">
                            <w:t>1</w:t>
                          </w:r>
                          <w:r>
                            <w:fldChar w:fldCharType="end"/>
                          </w:r>
                        </w:p>
                      </w:txbxContent>
                    </wps:txbx>
                    <wps:bodyPr vert="horz" wrap="square" lIns="0" tIns="0" rIns="0" bIns="0" anchor="t" anchorCtr="0"/>
                  </wps:wsp>
                </a:graphicData>
              </a:graphic>
            </wp:anchor>
          </w:drawing>
        </mc:Choice>
        <mc:Fallback>
          <w:pict>
            <v:shape w14:anchorId="083D7BC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83D7BD8" w14:textId="77777777" w:rsidR="00BF1D8D" w:rsidRDefault="00BF1D8D">
                    <w:pPr>
                      <w:pStyle w:val="WitregelW1"/>
                    </w:pPr>
                  </w:p>
                  <w:p w14:paraId="083D7BD9" w14:textId="77777777" w:rsidR="00BF1D8D" w:rsidRPr="00F752B6" w:rsidRDefault="00AE11BD">
                    <w:pPr>
                      <w:pStyle w:val="Afzendgegevens"/>
                      <w:rPr>
                        <w:lang w:val="de-DE"/>
                      </w:rPr>
                    </w:pPr>
                    <w:r w:rsidRPr="00F752B6">
                      <w:rPr>
                        <w:lang w:val="de-DE"/>
                      </w:rPr>
                      <w:t>Postbus 90801</w:t>
                    </w:r>
                  </w:p>
                  <w:p w14:paraId="083D7BDA" w14:textId="62F0198D" w:rsidR="00BF1D8D" w:rsidRPr="00F752B6" w:rsidRDefault="00AE11BD">
                    <w:pPr>
                      <w:pStyle w:val="Afzendgegevens"/>
                      <w:rPr>
                        <w:lang w:val="de-DE"/>
                      </w:rPr>
                    </w:pPr>
                    <w:r w:rsidRPr="00F752B6">
                      <w:rPr>
                        <w:lang w:val="de-DE"/>
                      </w:rPr>
                      <w:t xml:space="preserve">2509 </w:t>
                    </w:r>
                    <w:r w:rsidR="00F752B6" w:rsidRPr="00F752B6">
                      <w:rPr>
                        <w:lang w:val="de-DE"/>
                      </w:rPr>
                      <w:t>LV Den</w:t>
                    </w:r>
                    <w:r w:rsidRPr="00F752B6">
                      <w:rPr>
                        <w:lang w:val="de-DE"/>
                      </w:rPr>
                      <w:t xml:space="preserve"> Haag</w:t>
                    </w:r>
                  </w:p>
                  <w:p w14:paraId="083D7BDB" w14:textId="77777777" w:rsidR="00BF1D8D" w:rsidRPr="00F752B6" w:rsidRDefault="00AE11BD">
                    <w:pPr>
                      <w:pStyle w:val="Afzendgegevens"/>
                      <w:rPr>
                        <w:lang w:val="de-DE"/>
                      </w:rPr>
                    </w:pPr>
                    <w:r w:rsidRPr="00F752B6">
                      <w:rPr>
                        <w:lang w:val="de-DE"/>
                      </w:rPr>
                      <w:t>T   070 333 44 44</w:t>
                    </w:r>
                  </w:p>
                  <w:p w14:paraId="083D7BDC" w14:textId="77777777" w:rsidR="00BF1D8D" w:rsidRPr="00F752B6" w:rsidRDefault="00BF1D8D">
                    <w:pPr>
                      <w:pStyle w:val="WitregelW2"/>
                      <w:rPr>
                        <w:lang w:val="de-DE"/>
                      </w:rPr>
                    </w:pPr>
                  </w:p>
                  <w:p w14:paraId="083D7BDD" w14:textId="77777777" w:rsidR="00BF1D8D" w:rsidRDefault="00AE11BD">
                    <w:pPr>
                      <w:pStyle w:val="Referentiegegevenskopjes"/>
                    </w:pPr>
                    <w:r>
                      <w:t>Onze referentie</w:t>
                    </w:r>
                  </w:p>
                  <w:p w14:paraId="625A15FB" w14:textId="461F2989" w:rsidR="00341F4D" w:rsidRDefault="00E52D6E">
                    <w:pPr>
                      <w:pStyle w:val="ReferentiegegevensHL"/>
                    </w:pPr>
                    <w:r>
                      <w:fldChar w:fldCharType="begin"/>
                    </w:r>
                    <w:r>
                      <w:instrText xml:space="preserve"> DOCPROPERTY  "iOnsKenmerk"  \* MERGEFORMAT </w:instrText>
                    </w:r>
                    <w:r>
                      <w:fldChar w:fldCharType="separate"/>
                    </w:r>
                    <w:r w:rsidR="00C07E7A">
                      <w:t>2026-0000189188</w:t>
                    </w:r>
                    <w:r>
                      <w:fldChar w:fldCharType="end"/>
                    </w:r>
                  </w:p>
                  <w:p w14:paraId="083D7BDF" w14:textId="77777777" w:rsidR="00BF1D8D" w:rsidRDefault="00BF1D8D">
                    <w:pPr>
                      <w:pStyle w:val="WitregelW1"/>
                    </w:pPr>
                  </w:p>
                  <w:p w14:paraId="350A2FDA" w14:textId="109A94FE" w:rsidR="00341F4D" w:rsidRDefault="00E52D6E">
                    <w:pPr>
                      <w:pStyle w:val="Referentiegegevens"/>
                    </w:pPr>
                    <w:r>
                      <w:fldChar w:fldCharType="begin"/>
                    </w:r>
                    <w:r>
                      <w:instrText xml:space="preserve"> DOCPROPERTY  "iCC"  \* MERGEFORMAT </w:instrText>
                    </w:r>
                    <w:r>
                      <w:fldChar w:fldCharType="end"/>
                    </w:r>
                  </w:p>
                  <w:p w14:paraId="083D7BE1" w14:textId="77777777" w:rsidR="00BF1D8D" w:rsidRDefault="00BF1D8D">
                    <w:pPr>
                      <w:pStyle w:val="WitregelW1"/>
                    </w:pPr>
                  </w:p>
                  <w:p w14:paraId="083D7BE2" w14:textId="77777777" w:rsidR="00BF1D8D" w:rsidRDefault="00AE11BD">
                    <w:pPr>
                      <w:pStyle w:val="Referentiegegevenskopjes"/>
                    </w:pPr>
                    <w:r>
                      <w:t>Bijlage(n)</w:t>
                    </w:r>
                  </w:p>
                  <w:p w14:paraId="62DA86B9" w14:textId="1C848786" w:rsidR="00341F4D" w:rsidRDefault="00E52D6E">
                    <w:pPr>
                      <w:pStyle w:val="Referentiegegevens"/>
                    </w:pPr>
                    <w:r>
                      <w:fldChar w:fldCharType="begin"/>
                    </w:r>
                    <w:r>
                      <w:instrText xml:space="preserve"> DOCPROPERTY  "iBijlagen"  \* MERGEFORMAT </w:instrText>
                    </w:r>
                    <w:r>
                      <w:fldChar w:fldCharType="separate"/>
                    </w:r>
                    <w:r w:rsidR="00C07E7A">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3D7BCE" wp14:editId="083D7BCF">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83D7BE4" w14:textId="77777777" w:rsidR="00BF1D8D" w:rsidRDefault="00AE11B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BF1D8D" w:rsidRDefault="00AE11BD" w14:paraId="083D7BE4"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83D7BD0" wp14:editId="083D7BD1">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83D7BE5" w14:textId="77777777" w:rsidR="00BF1D8D" w:rsidRDefault="00AE11BD">
                          <w:r>
                            <w:t>De voorzitter van de Tweede Kamer der Staten-Generaal</w:t>
                          </w:r>
                        </w:p>
                        <w:p w14:paraId="083D7BE6" w14:textId="77777777" w:rsidR="00BF1D8D" w:rsidRDefault="00AE11BD">
                          <w:r>
                            <w:t xml:space="preserve">Postbus 20018 </w:t>
                          </w:r>
                        </w:p>
                        <w:p w14:paraId="083D7BE7" w14:textId="77777777" w:rsidR="00BF1D8D" w:rsidRDefault="00AE11BD">
                          <w:r>
                            <w:t>2500 EA  Den Haag</w:t>
                          </w:r>
                        </w:p>
                        <w:p w14:paraId="083D7BE8" w14:textId="77777777" w:rsidR="00BF1D8D" w:rsidRDefault="00AE11BD">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BF1D8D" w:rsidRDefault="00AE11BD" w14:paraId="083D7BE5" w14:textId="77777777">
                    <w:r>
                      <w:t>De voorzitter van de Tweede Kamer der Staten-Generaal</w:t>
                    </w:r>
                  </w:p>
                  <w:p w:rsidR="00BF1D8D" w:rsidRDefault="00AE11BD" w14:paraId="083D7BE6" w14:textId="77777777">
                    <w:r>
                      <w:t xml:space="preserve">Postbus 20018 </w:t>
                    </w:r>
                  </w:p>
                  <w:p w:rsidR="00BF1D8D" w:rsidRDefault="00AE11BD" w14:paraId="083D7BE7" w14:textId="77777777">
                    <w:r>
                      <w:t>2500 EA  Den Haag</w:t>
                    </w:r>
                  </w:p>
                  <w:p w:rsidR="00BF1D8D" w:rsidRDefault="00AE11BD" w14:paraId="083D7BE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83D7BD2" wp14:editId="083D7BD3">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F1D8D" w14:paraId="083D7BEB" w14:textId="77777777">
                            <w:trPr>
                              <w:trHeight w:val="200"/>
                            </w:trPr>
                            <w:tc>
                              <w:tcPr>
                                <w:tcW w:w="1134" w:type="dxa"/>
                              </w:tcPr>
                              <w:p w14:paraId="083D7BE9" w14:textId="77777777" w:rsidR="00BF1D8D" w:rsidRDefault="00BF1D8D"/>
                            </w:tc>
                            <w:tc>
                              <w:tcPr>
                                <w:tcW w:w="5244" w:type="dxa"/>
                              </w:tcPr>
                              <w:p w14:paraId="083D7BEA" w14:textId="77777777" w:rsidR="00BF1D8D" w:rsidRDefault="00BF1D8D"/>
                            </w:tc>
                          </w:tr>
                          <w:tr w:rsidR="00BF1D8D" w14:paraId="083D7BEE" w14:textId="77777777">
                            <w:trPr>
                              <w:trHeight w:val="240"/>
                            </w:trPr>
                            <w:tc>
                              <w:tcPr>
                                <w:tcW w:w="1134" w:type="dxa"/>
                              </w:tcPr>
                              <w:p w14:paraId="083D7BEC" w14:textId="77777777" w:rsidR="00BF1D8D" w:rsidRDefault="00AE11BD">
                                <w:r>
                                  <w:t>Datum</w:t>
                                </w:r>
                              </w:p>
                            </w:tc>
                            <w:tc>
                              <w:tcPr>
                                <w:tcW w:w="5244" w:type="dxa"/>
                              </w:tcPr>
                              <w:p w14:paraId="35B262D9" w14:textId="4C190C86" w:rsidR="00341F4D" w:rsidRDefault="00F752B6">
                                <w:r>
                                  <w:t>17 juni 2026</w:t>
                                </w:r>
                                <w:r w:rsidR="00E52D6E">
                                  <w:fldChar w:fldCharType="begin"/>
                                </w:r>
                                <w:r w:rsidR="00E52D6E">
                                  <w:instrText xml:space="preserve"> DOCPROPERTY  "iDatum"  \* MERGEFORMAT </w:instrText>
                                </w:r>
                                <w:r w:rsidR="00E52D6E">
                                  <w:fldChar w:fldCharType="end"/>
                                </w:r>
                              </w:p>
                            </w:tc>
                          </w:tr>
                          <w:tr w:rsidR="00BF1D8D" w14:paraId="083D7BF1" w14:textId="77777777">
                            <w:trPr>
                              <w:trHeight w:val="240"/>
                            </w:trPr>
                            <w:tc>
                              <w:tcPr>
                                <w:tcW w:w="1134" w:type="dxa"/>
                              </w:tcPr>
                              <w:p w14:paraId="083D7BEF" w14:textId="77777777" w:rsidR="00BF1D8D" w:rsidRDefault="00AE11BD">
                                <w:r>
                                  <w:t>Betreft</w:t>
                                </w:r>
                              </w:p>
                            </w:tc>
                            <w:tc>
                              <w:tcPr>
                                <w:tcW w:w="5244" w:type="dxa"/>
                              </w:tcPr>
                              <w:p w14:paraId="668CFA0F" w14:textId="31D5937B" w:rsidR="0062588B" w:rsidRDefault="00AC58FA">
                                <w:r>
                                  <w:t>Jaarlijks rapport dossiers vertrouwensinspectie kinderopvang</w:t>
                                </w:r>
                              </w:p>
                            </w:tc>
                          </w:tr>
                          <w:tr w:rsidR="00BF1D8D" w14:paraId="083D7BF4" w14:textId="77777777">
                            <w:trPr>
                              <w:trHeight w:val="200"/>
                            </w:trPr>
                            <w:tc>
                              <w:tcPr>
                                <w:tcW w:w="1134" w:type="dxa"/>
                              </w:tcPr>
                              <w:p w14:paraId="083D7BF2" w14:textId="77777777" w:rsidR="00BF1D8D" w:rsidRDefault="00BF1D8D"/>
                            </w:tc>
                            <w:tc>
                              <w:tcPr>
                                <w:tcW w:w="5244" w:type="dxa"/>
                              </w:tcPr>
                              <w:p w14:paraId="083D7BF3" w14:textId="77777777" w:rsidR="00BF1D8D" w:rsidRDefault="00BF1D8D"/>
                            </w:tc>
                          </w:tr>
                        </w:tbl>
                        <w:p w14:paraId="083D7C02" w14:textId="77777777" w:rsidR="00AE11BD" w:rsidRDefault="00AE11BD"/>
                      </w:txbxContent>
                    </wps:txbx>
                    <wps:bodyPr vert="horz" wrap="square" lIns="0" tIns="0" rIns="0" bIns="0" anchor="t" anchorCtr="0"/>
                  </wps:wsp>
                </a:graphicData>
              </a:graphic>
            </wp:anchor>
          </w:drawing>
        </mc:Choice>
        <mc:Fallback>
          <w:pict>
            <v:shape w14:anchorId="083D7BD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F1D8D" w14:paraId="083D7BEB" w14:textId="77777777">
                      <w:trPr>
                        <w:trHeight w:val="200"/>
                      </w:trPr>
                      <w:tc>
                        <w:tcPr>
                          <w:tcW w:w="1134" w:type="dxa"/>
                        </w:tcPr>
                        <w:p w14:paraId="083D7BE9" w14:textId="77777777" w:rsidR="00BF1D8D" w:rsidRDefault="00BF1D8D"/>
                      </w:tc>
                      <w:tc>
                        <w:tcPr>
                          <w:tcW w:w="5244" w:type="dxa"/>
                        </w:tcPr>
                        <w:p w14:paraId="083D7BEA" w14:textId="77777777" w:rsidR="00BF1D8D" w:rsidRDefault="00BF1D8D"/>
                      </w:tc>
                    </w:tr>
                    <w:tr w:rsidR="00BF1D8D" w14:paraId="083D7BEE" w14:textId="77777777">
                      <w:trPr>
                        <w:trHeight w:val="240"/>
                      </w:trPr>
                      <w:tc>
                        <w:tcPr>
                          <w:tcW w:w="1134" w:type="dxa"/>
                        </w:tcPr>
                        <w:p w14:paraId="083D7BEC" w14:textId="77777777" w:rsidR="00BF1D8D" w:rsidRDefault="00AE11BD">
                          <w:r>
                            <w:t>Datum</w:t>
                          </w:r>
                        </w:p>
                      </w:tc>
                      <w:tc>
                        <w:tcPr>
                          <w:tcW w:w="5244" w:type="dxa"/>
                        </w:tcPr>
                        <w:p w14:paraId="35B262D9" w14:textId="4C190C86" w:rsidR="00341F4D" w:rsidRDefault="00F752B6">
                          <w:r>
                            <w:t>17 juni 2026</w:t>
                          </w:r>
                          <w:r w:rsidR="00E52D6E">
                            <w:fldChar w:fldCharType="begin"/>
                          </w:r>
                          <w:r w:rsidR="00E52D6E">
                            <w:instrText xml:space="preserve"> DOCPROPERTY  "iDatum"  \* MERGEFORMAT </w:instrText>
                          </w:r>
                          <w:r w:rsidR="00E52D6E">
                            <w:fldChar w:fldCharType="end"/>
                          </w:r>
                        </w:p>
                      </w:tc>
                    </w:tr>
                    <w:tr w:rsidR="00BF1D8D" w14:paraId="083D7BF1" w14:textId="77777777">
                      <w:trPr>
                        <w:trHeight w:val="240"/>
                      </w:trPr>
                      <w:tc>
                        <w:tcPr>
                          <w:tcW w:w="1134" w:type="dxa"/>
                        </w:tcPr>
                        <w:p w14:paraId="083D7BEF" w14:textId="77777777" w:rsidR="00BF1D8D" w:rsidRDefault="00AE11BD">
                          <w:r>
                            <w:t>Betreft</w:t>
                          </w:r>
                        </w:p>
                      </w:tc>
                      <w:tc>
                        <w:tcPr>
                          <w:tcW w:w="5244" w:type="dxa"/>
                        </w:tcPr>
                        <w:p w14:paraId="668CFA0F" w14:textId="31D5937B" w:rsidR="0062588B" w:rsidRDefault="00AC58FA">
                          <w:r>
                            <w:t>Jaarlijks rapport dossiers vertrouwensinspectie kinderopvang</w:t>
                          </w:r>
                        </w:p>
                      </w:tc>
                    </w:tr>
                    <w:tr w:rsidR="00BF1D8D" w14:paraId="083D7BF4" w14:textId="77777777">
                      <w:trPr>
                        <w:trHeight w:val="200"/>
                      </w:trPr>
                      <w:tc>
                        <w:tcPr>
                          <w:tcW w:w="1134" w:type="dxa"/>
                        </w:tcPr>
                        <w:p w14:paraId="083D7BF2" w14:textId="77777777" w:rsidR="00BF1D8D" w:rsidRDefault="00BF1D8D"/>
                      </w:tc>
                      <w:tc>
                        <w:tcPr>
                          <w:tcW w:w="5244" w:type="dxa"/>
                        </w:tcPr>
                        <w:p w14:paraId="083D7BF3" w14:textId="77777777" w:rsidR="00BF1D8D" w:rsidRDefault="00BF1D8D"/>
                      </w:tc>
                    </w:tr>
                  </w:tbl>
                  <w:p w14:paraId="083D7C02" w14:textId="77777777" w:rsidR="00AE11BD" w:rsidRDefault="00AE11B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83D7BD4" wp14:editId="083D7BD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D2FB1C" w14:textId="77777777" w:rsidR="00341F4D" w:rsidRDefault="00E52D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3D7BD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CD2FB1C" w14:textId="77777777" w:rsidR="00341F4D" w:rsidRDefault="00E52D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A048D"/>
    <w:multiLevelType w:val="multilevel"/>
    <w:tmpl w:val="D8C1758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184A7A1"/>
    <w:multiLevelType w:val="multilevel"/>
    <w:tmpl w:val="EB37544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AF5A3"/>
    <w:multiLevelType w:val="multilevel"/>
    <w:tmpl w:val="23CF930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37385"/>
    <w:multiLevelType w:val="hybridMultilevel"/>
    <w:tmpl w:val="CA84DB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EC74B06"/>
    <w:multiLevelType w:val="multilevel"/>
    <w:tmpl w:val="9237C8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BE6C456"/>
    <w:multiLevelType w:val="multilevel"/>
    <w:tmpl w:val="2B4AA8D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0D1C66"/>
    <w:multiLevelType w:val="multilevel"/>
    <w:tmpl w:val="ECB812A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160EF5"/>
    <w:multiLevelType w:val="multilevel"/>
    <w:tmpl w:val="0564432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71F7E4"/>
    <w:multiLevelType w:val="multilevel"/>
    <w:tmpl w:val="F41393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04957779">
    <w:abstractNumId w:val="5"/>
  </w:num>
  <w:num w:numId="2" w16cid:durableId="365907895">
    <w:abstractNumId w:val="6"/>
  </w:num>
  <w:num w:numId="3" w16cid:durableId="1641886710">
    <w:abstractNumId w:val="8"/>
  </w:num>
  <w:num w:numId="4" w16cid:durableId="1744254364">
    <w:abstractNumId w:val="4"/>
  </w:num>
  <w:num w:numId="5" w16cid:durableId="1704558175">
    <w:abstractNumId w:val="7"/>
  </w:num>
  <w:num w:numId="6" w16cid:durableId="1268923466">
    <w:abstractNumId w:val="1"/>
  </w:num>
  <w:num w:numId="7" w16cid:durableId="1878279429">
    <w:abstractNumId w:val="0"/>
  </w:num>
  <w:num w:numId="8" w16cid:durableId="1834180796">
    <w:abstractNumId w:val="2"/>
  </w:num>
  <w:num w:numId="9" w16cid:durableId="284312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8D"/>
    <w:rsid w:val="000043FF"/>
    <w:rsid w:val="00032FED"/>
    <w:rsid w:val="000B6D88"/>
    <w:rsid w:val="000D3496"/>
    <w:rsid w:val="000D53F0"/>
    <w:rsid w:val="0010661F"/>
    <w:rsid w:val="00110653"/>
    <w:rsid w:val="00121A9B"/>
    <w:rsid w:val="00121E63"/>
    <w:rsid w:val="00145FA9"/>
    <w:rsid w:val="0017548D"/>
    <w:rsid w:val="00196FD5"/>
    <w:rsid w:val="001F0B36"/>
    <w:rsid w:val="001F0CB6"/>
    <w:rsid w:val="00254D79"/>
    <w:rsid w:val="002669EA"/>
    <w:rsid w:val="00293129"/>
    <w:rsid w:val="002C1052"/>
    <w:rsid w:val="002F7E55"/>
    <w:rsid w:val="00341F4D"/>
    <w:rsid w:val="0037334B"/>
    <w:rsid w:val="003A437F"/>
    <w:rsid w:val="003C044B"/>
    <w:rsid w:val="003F2531"/>
    <w:rsid w:val="00400FF4"/>
    <w:rsid w:val="00456738"/>
    <w:rsid w:val="004A5AA2"/>
    <w:rsid w:val="004D318C"/>
    <w:rsid w:val="0051604D"/>
    <w:rsid w:val="00516262"/>
    <w:rsid w:val="00535CEE"/>
    <w:rsid w:val="00544A8B"/>
    <w:rsid w:val="00555C8F"/>
    <w:rsid w:val="00577BE3"/>
    <w:rsid w:val="005D1321"/>
    <w:rsid w:val="005F77AE"/>
    <w:rsid w:val="00604CE1"/>
    <w:rsid w:val="00611AB0"/>
    <w:rsid w:val="0062588B"/>
    <w:rsid w:val="00632D51"/>
    <w:rsid w:val="006431E1"/>
    <w:rsid w:val="006B0F2E"/>
    <w:rsid w:val="006C5E9B"/>
    <w:rsid w:val="0077654D"/>
    <w:rsid w:val="007E5C41"/>
    <w:rsid w:val="00813253"/>
    <w:rsid w:val="008156FF"/>
    <w:rsid w:val="00822C12"/>
    <w:rsid w:val="008946CB"/>
    <w:rsid w:val="008F48BD"/>
    <w:rsid w:val="009032EB"/>
    <w:rsid w:val="00930CA3"/>
    <w:rsid w:val="00932222"/>
    <w:rsid w:val="00963D1C"/>
    <w:rsid w:val="00967108"/>
    <w:rsid w:val="009B7605"/>
    <w:rsid w:val="00AB15BD"/>
    <w:rsid w:val="00AC58FA"/>
    <w:rsid w:val="00AE11BD"/>
    <w:rsid w:val="00B410B8"/>
    <w:rsid w:val="00B4549A"/>
    <w:rsid w:val="00B730B9"/>
    <w:rsid w:val="00BE0A35"/>
    <w:rsid w:val="00BF1D8D"/>
    <w:rsid w:val="00C0194B"/>
    <w:rsid w:val="00C07E7A"/>
    <w:rsid w:val="00C11907"/>
    <w:rsid w:val="00C823A7"/>
    <w:rsid w:val="00CC2D26"/>
    <w:rsid w:val="00CD285B"/>
    <w:rsid w:val="00D07FD4"/>
    <w:rsid w:val="00D3154F"/>
    <w:rsid w:val="00D3787E"/>
    <w:rsid w:val="00D76B18"/>
    <w:rsid w:val="00DE3255"/>
    <w:rsid w:val="00E043C4"/>
    <w:rsid w:val="00E37129"/>
    <w:rsid w:val="00E57057"/>
    <w:rsid w:val="00EA483C"/>
    <w:rsid w:val="00EA67FF"/>
    <w:rsid w:val="00EC4BF9"/>
    <w:rsid w:val="00F37D06"/>
    <w:rsid w:val="00F544CC"/>
    <w:rsid w:val="00F72A95"/>
    <w:rsid w:val="00F752B6"/>
    <w:rsid w:val="00F75B28"/>
    <w:rsid w:val="00FA4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83D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AE11B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E11BD"/>
    <w:rPr>
      <w:rFonts w:ascii="Verdana" w:hAnsi="Verdana"/>
      <w:color w:val="000000"/>
    </w:rPr>
  </w:style>
  <w:style w:type="character" w:styleId="Voetnootmarkering">
    <w:name w:val="footnote reference"/>
    <w:basedOn w:val="Standaardalinea-lettertype"/>
    <w:uiPriority w:val="99"/>
    <w:semiHidden/>
    <w:unhideWhenUsed/>
    <w:rsid w:val="00AE11BD"/>
    <w:rPr>
      <w:vertAlign w:val="superscript"/>
    </w:rPr>
  </w:style>
  <w:style w:type="character" w:styleId="GevolgdeHyperlink">
    <w:name w:val="FollowedHyperlink"/>
    <w:basedOn w:val="Standaardalinea-lettertype"/>
    <w:uiPriority w:val="99"/>
    <w:semiHidden/>
    <w:unhideWhenUsed/>
    <w:rsid w:val="00AE11BD"/>
    <w:rPr>
      <w:color w:val="96607D" w:themeColor="followedHyperlink"/>
      <w:u w:val="single"/>
    </w:rPr>
  </w:style>
  <w:style w:type="character" w:styleId="Verwijzingopmerking">
    <w:name w:val="annotation reference"/>
    <w:basedOn w:val="Standaardalinea-lettertype"/>
    <w:uiPriority w:val="99"/>
    <w:semiHidden/>
    <w:unhideWhenUsed/>
    <w:rsid w:val="00EC4BF9"/>
    <w:rPr>
      <w:sz w:val="16"/>
      <w:szCs w:val="16"/>
    </w:rPr>
  </w:style>
  <w:style w:type="paragraph" w:styleId="Tekstopmerking">
    <w:name w:val="annotation text"/>
    <w:basedOn w:val="Standaard"/>
    <w:link w:val="TekstopmerkingChar"/>
    <w:uiPriority w:val="99"/>
    <w:unhideWhenUsed/>
    <w:rsid w:val="00EC4BF9"/>
    <w:pPr>
      <w:spacing w:line="240" w:lineRule="auto"/>
    </w:pPr>
    <w:rPr>
      <w:sz w:val="20"/>
      <w:szCs w:val="20"/>
    </w:rPr>
  </w:style>
  <w:style w:type="character" w:customStyle="1" w:styleId="TekstopmerkingChar">
    <w:name w:val="Tekst opmerking Char"/>
    <w:basedOn w:val="Standaardalinea-lettertype"/>
    <w:link w:val="Tekstopmerking"/>
    <w:uiPriority w:val="99"/>
    <w:rsid w:val="00EC4B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4BF9"/>
    <w:rPr>
      <w:b/>
      <w:bCs/>
    </w:rPr>
  </w:style>
  <w:style w:type="character" w:customStyle="1" w:styleId="OnderwerpvanopmerkingChar">
    <w:name w:val="Onderwerp van opmerking Char"/>
    <w:basedOn w:val="TekstopmerkingChar"/>
    <w:link w:val="Onderwerpvanopmerking"/>
    <w:uiPriority w:val="99"/>
    <w:semiHidden/>
    <w:rsid w:val="00EC4BF9"/>
    <w:rPr>
      <w:rFonts w:ascii="Verdana" w:hAnsi="Verdana"/>
      <w:b/>
      <w:bCs/>
      <w:color w:val="000000"/>
    </w:rPr>
  </w:style>
  <w:style w:type="paragraph" w:styleId="Revisie">
    <w:name w:val="Revision"/>
    <w:hidden/>
    <w:uiPriority w:val="99"/>
    <w:semiHidden/>
    <w:rsid w:val="00EC4BF9"/>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F0CB6"/>
    <w:rPr>
      <w:color w:val="605E5C"/>
      <w:shd w:val="clear" w:color="auto" w:fill="E1DFDD"/>
    </w:rPr>
  </w:style>
  <w:style w:type="table" w:styleId="Lichtearcering-accent1">
    <w:name w:val="Light Shading Accent 1"/>
    <w:basedOn w:val="Standaardtabel"/>
    <w:uiPriority w:val="60"/>
    <w:rsid w:val="00535CEE"/>
    <w:pPr>
      <w:autoSpaceDN/>
      <w:textAlignment w:val="auto"/>
    </w:pPr>
    <w:rPr>
      <w:rFonts w:asciiTheme="minorHAnsi" w:eastAsiaTheme="minorEastAsia" w:hAnsiTheme="minorHAnsi" w:cstheme="minorBidi"/>
      <w:color w:val="0F4761" w:themeColor="accent1" w:themeShade="BF"/>
      <w:sz w:val="22"/>
      <w:szCs w:val="22"/>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DecimalAligned">
    <w:name w:val="Decimal Aligned"/>
    <w:basedOn w:val="Standaard"/>
    <w:uiPriority w:val="40"/>
    <w:qFormat/>
    <w:rsid w:val="0010661F"/>
    <w:pPr>
      <w:tabs>
        <w:tab w:val="decimal" w:pos="360"/>
      </w:tabs>
      <w:autoSpaceDN/>
      <w:spacing w:after="200" w:line="276" w:lineRule="auto"/>
      <w:textAlignment w:val="auto"/>
    </w:pPr>
    <w:rPr>
      <w:rFonts w:asciiTheme="minorHAnsi" w:eastAsiaTheme="minorEastAsia" w:hAnsiTheme="minorHAnsi" w:cs="Times New Roman"/>
      <w:color w:val="auto"/>
      <w:sz w:val="22"/>
      <w:szCs w:val="22"/>
    </w:rPr>
  </w:style>
  <w:style w:type="character" w:styleId="Subtielebenadrukking">
    <w:name w:val="Subtle Emphasis"/>
    <w:basedOn w:val="Standaardalinea-lettertype"/>
    <w:uiPriority w:val="19"/>
    <w:qFormat/>
    <w:rsid w:val="00106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797</ap:Words>
  <ap:Characters>4387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Kamer - Jaarlijks overzicht dossiers vertrouwensinspectie kinderopvang </vt:lpstr>
    </vt:vector>
  </ap:TitlesOfParts>
  <ap:LinksUpToDate>false</ap:LinksUpToDate>
  <ap:CharactersWithSpaces>5174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2026-06-17T08:47:00.0000000Z</dcterms:created>
  <dcterms:modified xsi:type="dcterms:W3CDTF">2026-06-17T08:47:00.0000000Z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Jaarlijks overzicht dossiers vertrouwensinspectie kinderopvang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M.E.J. Prinsen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Jaarlijks overzicht dossiers vertrouwensinspectie kinderopvang </vt:lpwstr>
  </property>
  <property fmtid="{D5CDD505-2E9C-101B-9397-08002B2CF9AE}" pid="36" name="iOnsKenmerk">
    <vt:lpwstr>2026-0000189188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