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768" w:rsidP="00A565AE" w:rsidRDefault="00F1EB17" w14:paraId="3F332722" w14:textId="77777777">
      <w:pPr>
        <w:spacing w:line="240" w:lineRule="auto"/>
      </w:pPr>
      <w:bookmarkStart w:name="_Hlk232436777" w:id="0"/>
      <w:r>
        <w:t>Geachte voorzitter,</w:t>
      </w:r>
    </w:p>
    <w:p w:rsidR="003F5768" w:rsidP="00A565AE" w:rsidRDefault="003F5768" w14:paraId="3F332723" w14:textId="77777777">
      <w:pPr>
        <w:spacing w:line="240" w:lineRule="auto"/>
      </w:pPr>
    </w:p>
    <w:p w:rsidR="003F5768" w:rsidP="00A565AE" w:rsidRDefault="00583852" w14:paraId="3F332724" w14:textId="5DF0E48A">
      <w:pPr>
        <w:spacing w:line="240" w:lineRule="auto"/>
      </w:pPr>
      <w:r>
        <w:t xml:space="preserve">Het lid Dassen </w:t>
      </w:r>
      <w:r w:rsidR="00103DA8">
        <w:t xml:space="preserve">(Volt) </w:t>
      </w:r>
      <w:r>
        <w:t xml:space="preserve">diende tijdens het Tweeminutendebat </w:t>
      </w:r>
      <w:r w:rsidR="00E568C6">
        <w:t>van 11 juni jl.</w:t>
      </w:r>
      <w:r w:rsidR="00F50D0D">
        <w:t xml:space="preserve"> inzake </w:t>
      </w:r>
      <w:r w:rsidR="00E568C6">
        <w:t xml:space="preserve">de Raad Buitenlandse Zaken </w:t>
      </w:r>
      <w:r>
        <w:t>van</w:t>
      </w:r>
      <w:r w:rsidR="00E568C6">
        <w:t xml:space="preserve"> 15 juni een motie in </w:t>
      </w:r>
      <w:r w:rsidR="00F50D0D">
        <w:t>over het stoppen met het fiscaal bevorderen van bedrijven die actief een tweestatenoplossing ondermijnen.</w:t>
      </w:r>
      <w:r w:rsidR="00F50D0D">
        <w:rPr>
          <w:rStyle w:val="FootnoteReference"/>
        </w:rPr>
        <w:footnoteReference w:id="1"/>
      </w:r>
      <w:r w:rsidR="00F50D0D">
        <w:t xml:space="preserve"> </w:t>
      </w:r>
    </w:p>
    <w:p w:rsidR="003F5768" w:rsidP="00A565AE" w:rsidRDefault="003F5768" w14:paraId="3F332725" w14:textId="77777777">
      <w:pPr>
        <w:spacing w:line="240" w:lineRule="auto"/>
      </w:pPr>
    </w:p>
    <w:p w:rsidR="00F50D0D" w:rsidP="00A565AE" w:rsidRDefault="00F1EB17" w14:paraId="01ABD43E" w14:textId="65749F7F">
      <w:pPr>
        <w:spacing w:line="240" w:lineRule="auto"/>
      </w:pPr>
      <w:r>
        <w:t>De motie is op mijn verzoek aangehouden omdat deze (mede) betrekking heeft op het beleidsterrein van de staatssecretaris van Financiën en derhalve afstemming nodig was. Hieronder treft u de betreffende motie-appreciatie</w:t>
      </w:r>
      <w:r w:rsidR="00103DA8">
        <w:t xml:space="preserve"> aan</w:t>
      </w:r>
      <w:r>
        <w:t>.</w:t>
      </w:r>
    </w:p>
    <w:p w:rsidR="007B1E61" w:rsidP="00A565AE" w:rsidRDefault="007B1E61" w14:paraId="07E75547" w14:textId="77777777">
      <w:pPr>
        <w:spacing w:line="240" w:lineRule="auto"/>
      </w:pPr>
    </w:p>
    <w:p w:rsidR="00823059" w:rsidP="00A565AE" w:rsidRDefault="00F1EB17" w14:paraId="33FB7E43" w14:textId="09BB6609">
      <w:pPr>
        <w:spacing w:line="240" w:lineRule="auto"/>
      </w:pPr>
      <w:r>
        <w:t>De Israëlische bezetting van de Palestijnse Gebieden en nederzettingen aldaar zijn onrechtmatig. Het kabinet ontmoedigt daarom al jaren economische activiteiten van Nederlandse bedrijven die direct bijdragen aan de aanleg en instandhouding van onrechtmatige nederzettingen in de door Israël bezette gebieden, of die de aanleg of instandhouding ervan direct faciliteren.</w:t>
      </w:r>
    </w:p>
    <w:p w:rsidRPr="00823059" w:rsidR="00823059" w:rsidP="00A565AE" w:rsidRDefault="00823059" w14:paraId="7C2BE7D9" w14:textId="77777777">
      <w:pPr>
        <w:spacing w:line="240" w:lineRule="auto"/>
      </w:pPr>
    </w:p>
    <w:p w:rsidR="007B1E61" w:rsidP="00A565AE" w:rsidRDefault="00F1EB17" w14:paraId="53A29C41" w14:textId="519A0296">
      <w:pPr>
        <w:spacing w:line="240" w:lineRule="auto"/>
      </w:pPr>
      <w:r>
        <w:t xml:space="preserve">In Nederland gevestigde bedrijven kunnen evenwel gebruik maken van bestaande Nederlandse fiscale faciliteiten als zij aan de voorwaarden daarvoor voldoen. Deze faciliteiten zijn niet gericht op specifieke bedrijven, en het is daarom ook niet mogelijk om specifieke bedrijven hiervan uit te sluiten. Dit zou ook niet uitvoerbaar en handhaafbaar zijn. </w:t>
      </w:r>
    </w:p>
    <w:p w:rsidRPr="007B1E61" w:rsidR="007B1E61" w:rsidP="00A565AE" w:rsidRDefault="007B1E61" w14:paraId="479A551E" w14:textId="77777777">
      <w:pPr>
        <w:spacing w:line="240" w:lineRule="auto"/>
      </w:pPr>
    </w:p>
    <w:p w:rsidR="007B1E61" w:rsidP="00A565AE" w:rsidRDefault="00F1EB17" w14:paraId="58C5BEC7" w14:textId="2530DFCA">
      <w:pPr>
        <w:spacing w:line="240" w:lineRule="auto"/>
      </w:pPr>
      <w:r>
        <w:t>Daarnaast is het belastingstelsel niet bedoeld als instrument voor internationale politiek. Dat zou de effectiviteit van de fiscale regelingen ondermijnen, maakt het</w:t>
      </w:r>
      <w:r w:rsidRPr="00F1EB17">
        <w:rPr>
          <w:rFonts w:ascii="Arial" w:hAnsi="Arial" w:cs="Arial"/>
          <w:sz w:val="28"/>
          <w:szCs w:val="28"/>
        </w:rPr>
        <w:t xml:space="preserve"> </w:t>
      </w:r>
      <w:r>
        <w:t xml:space="preserve">belastingstelsel complexer en creëert onzekerheid voor bedrijven. </w:t>
      </w:r>
    </w:p>
    <w:p w:rsidR="00B10D48" w:rsidP="00B10D48" w:rsidRDefault="00B10D48" w14:paraId="5ABBA136" w14:textId="77777777">
      <w:pPr>
        <w:spacing w:line="240" w:lineRule="auto"/>
      </w:pPr>
    </w:p>
    <w:p w:rsidR="00B10D48" w:rsidP="00B10D48" w:rsidRDefault="00B10D48" w14:paraId="7D45FEAB" w14:textId="2EADC06B">
      <w:pPr>
        <w:spacing w:line="240" w:lineRule="auto"/>
      </w:pPr>
      <w:r>
        <w:t xml:space="preserve">Het kabinet ontraadt om deze redenen de motie. </w:t>
      </w:r>
    </w:p>
    <w:p w:rsidRPr="007B1E61" w:rsidR="007B1E61" w:rsidP="00A565AE" w:rsidRDefault="007B1E61" w14:paraId="04A99944" w14:textId="3534C970">
      <w:pPr>
        <w:spacing w:line="240" w:lineRule="auto"/>
      </w:pPr>
    </w:p>
    <w:p w:rsidR="00A565AE" w:rsidP="00A565AE" w:rsidRDefault="00A565AE" w14:paraId="34C649D5" w14:textId="77777777">
      <w:pPr>
        <w:spacing w:line="240" w:lineRule="auto"/>
      </w:pPr>
    </w:p>
    <w:p w:rsidR="00A565AE" w:rsidP="00A565AE" w:rsidRDefault="00A565AE" w14:paraId="52D772B3" w14:textId="118BA1AE">
      <w:pPr>
        <w:spacing w:line="240" w:lineRule="auto"/>
      </w:pPr>
      <w:r>
        <w:t>De minister van Buitenlandse Zaken,</w:t>
      </w:r>
    </w:p>
    <w:p w:rsidR="00A565AE" w:rsidP="00A565AE" w:rsidRDefault="00A565AE" w14:paraId="2E581598" w14:textId="77777777">
      <w:pPr>
        <w:spacing w:line="240" w:lineRule="auto"/>
      </w:pPr>
    </w:p>
    <w:p w:rsidR="00A565AE" w:rsidP="00A565AE" w:rsidRDefault="00A565AE" w14:paraId="04413686" w14:textId="77777777">
      <w:pPr>
        <w:spacing w:line="240" w:lineRule="auto"/>
      </w:pPr>
    </w:p>
    <w:p w:rsidR="00A565AE" w:rsidP="00A565AE" w:rsidRDefault="00A565AE" w14:paraId="60B7F7FE" w14:textId="77777777">
      <w:pPr>
        <w:spacing w:line="240" w:lineRule="auto"/>
      </w:pPr>
    </w:p>
    <w:p w:rsidR="00A565AE" w:rsidP="00A565AE" w:rsidRDefault="00A565AE" w14:paraId="1B39C01C" w14:textId="77777777">
      <w:pPr>
        <w:spacing w:line="240" w:lineRule="auto"/>
      </w:pPr>
    </w:p>
    <w:p w:rsidR="00A565AE" w:rsidP="00A565AE" w:rsidRDefault="00A565AE" w14:paraId="54D55F09" w14:textId="77777777">
      <w:pPr>
        <w:spacing w:line="240" w:lineRule="auto"/>
      </w:pPr>
    </w:p>
    <w:p w:rsidR="007B1E61" w:rsidP="00A565AE" w:rsidRDefault="00A565AE" w14:paraId="7341DEC8" w14:textId="18ABCA7E">
      <w:pPr>
        <w:spacing w:line="240" w:lineRule="auto"/>
      </w:pPr>
      <w:r>
        <w:t>T.B.W. Berendsen</w:t>
      </w:r>
    </w:p>
    <w:bookmarkEnd w:id="0"/>
    <w:p w:rsidR="003F5768" w:rsidP="00A565AE" w:rsidRDefault="003F5768" w14:paraId="3F332729" w14:textId="77777777">
      <w:pPr>
        <w:spacing w:line="240" w:lineRule="auto"/>
      </w:pPr>
    </w:p>
    <w:sectPr w:rsidR="003F5768" w:rsidSect="009624F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3548" w14:textId="77777777" w:rsidR="00371F93" w:rsidRDefault="00371F93">
      <w:pPr>
        <w:spacing w:line="240" w:lineRule="auto"/>
      </w:pPr>
      <w:r>
        <w:separator/>
      </w:r>
    </w:p>
  </w:endnote>
  <w:endnote w:type="continuationSeparator" w:id="0">
    <w:p w14:paraId="68692D3B" w14:textId="77777777" w:rsidR="00371F93" w:rsidRDefault="00371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EA3" w14:textId="77777777" w:rsidR="00E563D3" w:rsidRDefault="00E5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650" w14:textId="77777777" w:rsidR="00E563D3" w:rsidRDefault="00E56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81F6" w14:textId="77777777" w:rsidR="00E563D3" w:rsidRDefault="00E56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5615" w14:textId="77777777" w:rsidR="00371F93" w:rsidRDefault="00371F93">
      <w:pPr>
        <w:spacing w:line="240" w:lineRule="auto"/>
      </w:pPr>
      <w:r>
        <w:separator/>
      </w:r>
    </w:p>
  </w:footnote>
  <w:footnote w:type="continuationSeparator" w:id="0">
    <w:p w14:paraId="5EC343DC" w14:textId="77777777" w:rsidR="00371F93" w:rsidRDefault="00371F93">
      <w:pPr>
        <w:spacing w:line="240" w:lineRule="auto"/>
      </w:pPr>
      <w:r>
        <w:continuationSeparator/>
      </w:r>
    </w:p>
  </w:footnote>
  <w:footnote w:id="1">
    <w:p w14:paraId="17C9C5CD" w14:textId="5076DB42" w:rsidR="00F50D0D" w:rsidRPr="00A565AE" w:rsidRDefault="00F50D0D" w:rsidP="00F50D0D">
      <w:pPr>
        <w:pStyle w:val="FootnoteText"/>
        <w:rPr>
          <w:sz w:val="16"/>
          <w:szCs w:val="16"/>
        </w:rPr>
      </w:pPr>
      <w:r w:rsidRPr="00A565AE">
        <w:rPr>
          <w:rStyle w:val="FootnoteReference"/>
          <w:sz w:val="16"/>
          <w:szCs w:val="16"/>
        </w:rPr>
        <w:footnoteRef/>
      </w:r>
      <w:r w:rsidR="00371F93" w:rsidRPr="00A565AE">
        <w:rPr>
          <w:sz w:val="16"/>
          <w:szCs w:val="16"/>
        </w:rPr>
        <w:t xml:space="preserve"> Tweede Kamer, vergaderjaar 2025–2026, 21 501-02, nr. 3439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8CDE" w14:textId="77777777" w:rsidR="00E563D3" w:rsidRDefault="00E56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272A" w14:textId="77777777" w:rsidR="003F5768" w:rsidRDefault="00371F93">
    <w:r>
      <w:rPr>
        <w:noProof/>
      </w:rPr>
      <mc:AlternateContent>
        <mc:Choice Requires="wps">
          <w:drawing>
            <wp:anchor distT="0" distB="0" distL="0" distR="0" simplePos="0" relativeHeight="251658240" behindDoc="0" locked="1" layoutInCell="1" allowOverlap="1" wp14:anchorId="3F33272E" wp14:editId="049AB7D4">
              <wp:simplePos x="0" y="0"/>
              <wp:positionH relativeFrom="page">
                <wp:posOffset>5920740</wp:posOffset>
              </wp:positionH>
              <wp:positionV relativeFrom="page">
                <wp:posOffset>1965960</wp:posOffset>
              </wp:positionV>
              <wp:extent cx="14249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4940" cy="8009890"/>
                      </a:xfrm>
                      <a:prstGeom prst="rect">
                        <a:avLst/>
                      </a:prstGeom>
                      <a:noFill/>
                    </wps:spPr>
                    <wps:txbx>
                      <w:txbxContent>
                        <w:p w14:paraId="3F33275D" w14:textId="77777777" w:rsidR="003F5768" w:rsidRDefault="00371F93">
                          <w:pPr>
                            <w:pStyle w:val="Referentiegegevensbold"/>
                          </w:pPr>
                          <w:r>
                            <w:t>Ministerie van Buitenlandse Zaken</w:t>
                          </w:r>
                        </w:p>
                        <w:p w14:paraId="3F33275E" w14:textId="77777777" w:rsidR="003F5768" w:rsidRDefault="003F5768">
                          <w:pPr>
                            <w:pStyle w:val="WitregelW2"/>
                          </w:pPr>
                        </w:p>
                        <w:p w14:paraId="3F33275F" w14:textId="77777777" w:rsidR="003F5768" w:rsidRDefault="00371F93">
                          <w:pPr>
                            <w:pStyle w:val="Referentiegegevensbold"/>
                          </w:pPr>
                          <w:r>
                            <w:t>Onze referentie</w:t>
                          </w:r>
                        </w:p>
                        <w:p w14:paraId="3F332760" w14:textId="77777777" w:rsidR="003F5768" w:rsidRDefault="00371F93">
                          <w:pPr>
                            <w:pStyle w:val="Referentiegegevens"/>
                          </w:pPr>
                          <w:r>
                            <w:t>BZ2629318</w:t>
                          </w:r>
                        </w:p>
                      </w:txbxContent>
                    </wps:txbx>
                    <wps:bodyPr vert="horz" wrap="square" lIns="0" tIns="0" rIns="0" bIns="0" anchor="t" anchorCtr="0"/>
                  </wps:wsp>
                </a:graphicData>
              </a:graphic>
              <wp14:sizeRelH relativeFrom="margin">
                <wp14:pctWidth>0</wp14:pctWidth>
              </wp14:sizeRelH>
            </wp:anchor>
          </w:drawing>
        </mc:Choice>
        <mc:Fallback>
          <w:pict>
            <v:shapetype w14:anchorId="3F33272E" id="_x0000_t202" coordsize="21600,21600" o:spt="202" path="m,l,21600r21600,l21600,xe">
              <v:stroke joinstyle="miter"/>
              <v:path gradientshapeok="t" o:connecttype="rect"/>
            </v:shapetype>
            <v:shape id="41b1110a-80a4-11ea-b356-6230a4311406" o:spid="_x0000_s1026" type="#_x0000_t202" style="position:absolute;margin-left:466.2pt;margin-top:154.8pt;width:112.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" filled="f" stroked="f">
              <v:textbox inset="0,0,0,0">
                <w:txbxContent>
                  <w:p w14:paraId="3F33275D" w14:textId="77777777" w:rsidR="003F5768" w:rsidRDefault="00371F93">
                    <w:pPr>
                      <w:pStyle w:val="Referentiegegevensbold"/>
                    </w:pPr>
                    <w:r>
                      <w:t>Ministerie van Buitenlandse Zaken</w:t>
                    </w:r>
                  </w:p>
                  <w:p w14:paraId="3F33275E" w14:textId="77777777" w:rsidR="003F5768" w:rsidRDefault="003F5768">
                    <w:pPr>
                      <w:pStyle w:val="WitregelW2"/>
                    </w:pPr>
                  </w:p>
                  <w:p w14:paraId="3F33275F" w14:textId="77777777" w:rsidR="003F5768" w:rsidRDefault="00371F93">
                    <w:pPr>
                      <w:pStyle w:val="Referentiegegevensbold"/>
                    </w:pPr>
                    <w:r>
                      <w:t>Onze referentie</w:t>
                    </w:r>
                  </w:p>
                  <w:p w14:paraId="3F332760" w14:textId="77777777" w:rsidR="003F5768" w:rsidRDefault="00371F93">
                    <w:pPr>
                      <w:pStyle w:val="Referentiegegevens"/>
                    </w:pPr>
                    <w:r>
                      <w:t>BZ2629318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F332730" wp14:editId="3F332731">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F332761" w14:textId="77777777" w:rsidR="003F5768" w:rsidRDefault="00371F93">
                          <w:pPr>
                            <w:pStyle w:val="Rubricering"/>
                          </w:pPr>
                          <w:r>
                            <w:t>ONGERUBRICEERD / OPENBAAR</w:t>
                          </w:r>
                        </w:p>
                      </w:txbxContent>
                    </wps:txbx>
                    <wps:bodyPr vert="horz" wrap="square" lIns="0" tIns="0" rIns="0" bIns="0" anchor="t" anchorCtr="0"/>
                  </wps:wsp>
                </a:graphicData>
              </a:graphic>
            </wp:anchor>
          </w:drawing>
        </mc:Choice>
        <mc:Fallback>
          <w:pict>
            <v:shape w14:anchorId="3F332730"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F332761" w14:textId="77777777" w:rsidR="003F5768" w:rsidRDefault="00371F93">
                    <w:pPr>
                      <w:pStyle w:val="Rubricering"/>
                    </w:pPr>
                    <w:r>
                      <w:t>ONGERUBRICEERD / OPENBAAR</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332732" wp14:editId="3F33273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33276E" w14:textId="77777777" w:rsidR="00371F93" w:rsidRDefault="00371F93"/>
                      </w:txbxContent>
                    </wps:txbx>
                    <wps:bodyPr vert="horz" wrap="square" lIns="0" tIns="0" rIns="0" bIns="0" anchor="t" anchorCtr="0"/>
                  </wps:wsp>
                </a:graphicData>
              </a:graphic>
            </wp:anchor>
          </w:drawing>
        </mc:Choice>
        <mc:Fallback>
          <w:pict>
            <v:shape w14:anchorId="3F332732"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F33276E" w14:textId="77777777" w:rsidR="00371F93" w:rsidRDefault="00371F9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272C" w14:textId="12294ED5" w:rsidR="003F5768" w:rsidRDefault="00371F93">
    <w:pPr>
      <w:spacing w:after="7131" w:line="14" w:lineRule="exact"/>
    </w:pPr>
    <w:r>
      <w:rPr>
        <w:noProof/>
      </w:rPr>
      <mc:AlternateContent>
        <mc:Choice Requires="wps">
          <w:drawing>
            <wp:anchor distT="0" distB="0" distL="0" distR="0" simplePos="0" relativeHeight="251658243" behindDoc="0" locked="1" layoutInCell="1" allowOverlap="1" wp14:anchorId="3F332734" wp14:editId="3F3327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F332762" w14:textId="77777777" w:rsidR="00371F93" w:rsidRDefault="00371F93"/>
                      </w:txbxContent>
                    </wps:txbx>
                    <wps:bodyPr vert="horz" wrap="square" lIns="0" tIns="0" rIns="0" bIns="0" anchor="t" anchorCtr="0"/>
                  </wps:wsp>
                </a:graphicData>
              </a:graphic>
            </wp:anchor>
          </w:drawing>
        </mc:Choice>
        <mc:Fallback>
          <w:pict>
            <v:shapetype w14:anchorId="3F33273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F332762" w14:textId="77777777" w:rsidR="00371F93" w:rsidRDefault="00371F9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F332736" wp14:editId="3F3327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332745" w14:textId="77777777" w:rsidR="003F5768" w:rsidRDefault="00371F9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F332736"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F332745" w14:textId="77777777" w:rsidR="003F5768" w:rsidRDefault="00371F9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F332738" wp14:editId="3F3327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F5768" w14:paraId="3F332748" w14:textId="77777777">
                            <w:tc>
                              <w:tcPr>
                                <w:tcW w:w="678" w:type="dxa"/>
                              </w:tcPr>
                              <w:p w14:paraId="3F332746" w14:textId="77777777" w:rsidR="003F5768" w:rsidRDefault="00371F93">
                                <w:r>
                                  <w:t>Datum</w:t>
                                </w:r>
                              </w:p>
                            </w:tc>
                            <w:tc>
                              <w:tcPr>
                                <w:tcW w:w="6851" w:type="dxa"/>
                              </w:tcPr>
                              <w:p w14:paraId="3F332747" w14:textId="355430DD" w:rsidR="003F5768" w:rsidRDefault="00A565AE">
                                <w:r>
                                  <w:t xml:space="preserve"> </w:t>
                                </w:r>
                                <w:r w:rsidR="00E563D3">
                                  <w:t>17</w:t>
                                </w:r>
                                <w:r>
                                  <w:t xml:space="preserve"> </w:t>
                                </w:r>
                                <w:r w:rsidR="00371F93">
                                  <w:t>juni 2026</w:t>
                                </w:r>
                              </w:p>
                            </w:tc>
                          </w:tr>
                          <w:tr w:rsidR="003F5768" w14:paraId="3F33274D" w14:textId="77777777">
                            <w:tc>
                              <w:tcPr>
                                <w:tcW w:w="678" w:type="dxa"/>
                              </w:tcPr>
                              <w:p w14:paraId="3F332749" w14:textId="77777777" w:rsidR="003F5768" w:rsidRDefault="00371F93">
                                <w:r>
                                  <w:t>Betreft</w:t>
                                </w:r>
                              </w:p>
                              <w:p w14:paraId="3F33274A" w14:textId="77777777" w:rsidR="003F5768" w:rsidRDefault="003F5768"/>
                            </w:tc>
                            <w:tc>
                              <w:tcPr>
                                <w:tcW w:w="6851" w:type="dxa"/>
                              </w:tcPr>
                              <w:p w14:paraId="3F33274B" w14:textId="572D6C89" w:rsidR="003F5768" w:rsidRDefault="00371F93">
                                <w:r>
                                  <w:t xml:space="preserve">Appreciatie motie Volt </w:t>
                                </w:r>
                                <w:r w:rsidR="007B1E61">
                                  <w:t xml:space="preserve">inzake </w:t>
                                </w:r>
                                <w:r>
                                  <w:t xml:space="preserve">fiscale voordelen </w:t>
                                </w:r>
                                <w:r w:rsidR="007B1E61">
                                  <w:t>voor bedrijven die een tweestatenoplossing ondermijnen</w:t>
                                </w:r>
                              </w:p>
                              <w:p w14:paraId="3F33274C" w14:textId="77777777" w:rsidR="003F5768" w:rsidRDefault="003F5768"/>
                            </w:tc>
                          </w:tr>
                        </w:tbl>
                        <w:p w14:paraId="3F33274E" w14:textId="77777777" w:rsidR="003F5768" w:rsidRDefault="003F5768"/>
                        <w:p w14:paraId="3F33274F" w14:textId="77777777" w:rsidR="003F5768" w:rsidRDefault="003F5768"/>
                      </w:txbxContent>
                    </wps:txbx>
                    <wps:bodyPr vert="horz" wrap="square" lIns="0" tIns="0" rIns="0" bIns="0" anchor="t" anchorCtr="0"/>
                  </wps:wsp>
                </a:graphicData>
              </a:graphic>
            </wp:anchor>
          </w:drawing>
        </mc:Choice>
        <mc:Fallback>
          <w:pict>
            <v:shape w14:anchorId="3F332738"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F5768" w14:paraId="3F332748" w14:textId="77777777">
                      <w:tc>
                        <w:tcPr>
                          <w:tcW w:w="678" w:type="dxa"/>
                        </w:tcPr>
                        <w:p w14:paraId="3F332746" w14:textId="77777777" w:rsidR="003F5768" w:rsidRDefault="00371F93">
                          <w:r>
                            <w:t>Datum</w:t>
                          </w:r>
                        </w:p>
                      </w:tc>
                      <w:tc>
                        <w:tcPr>
                          <w:tcW w:w="6851" w:type="dxa"/>
                        </w:tcPr>
                        <w:p w14:paraId="3F332747" w14:textId="355430DD" w:rsidR="003F5768" w:rsidRDefault="00A565AE">
                          <w:r>
                            <w:t xml:space="preserve"> </w:t>
                          </w:r>
                          <w:r w:rsidR="00E563D3">
                            <w:t>17</w:t>
                          </w:r>
                          <w:r>
                            <w:t xml:space="preserve"> </w:t>
                          </w:r>
                          <w:r w:rsidR="00371F93">
                            <w:t>juni 2026</w:t>
                          </w:r>
                        </w:p>
                      </w:tc>
                    </w:tr>
                    <w:tr w:rsidR="003F5768" w14:paraId="3F33274D" w14:textId="77777777">
                      <w:tc>
                        <w:tcPr>
                          <w:tcW w:w="678" w:type="dxa"/>
                        </w:tcPr>
                        <w:p w14:paraId="3F332749" w14:textId="77777777" w:rsidR="003F5768" w:rsidRDefault="00371F93">
                          <w:r>
                            <w:t>Betreft</w:t>
                          </w:r>
                        </w:p>
                        <w:p w14:paraId="3F33274A" w14:textId="77777777" w:rsidR="003F5768" w:rsidRDefault="003F5768"/>
                      </w:tc>
                      <w:tc>
                        <w:tcPr>
                          <w:tcW w:w="6851" w:type="dxa"/>
                        </w:tcPr>
                        <w:p w14:paraId="3F33274B" w14:textId="572D6C89" w:rsidR="003F5768" w:rsidRDefault="00371F93">
                          <w:r>
                            <w:t xml:space="preserve">Appreciatie motie Volt </w:t>
                          </w:r>
                          <w:r w:rsidR="007B1E61">
                            <w:t xml:space="preserve">inzake </w:t>
                          </w:r>
                          <w:r>
                            <w:t xml:space="preserve">fiscale voordelen </w:t>
                          </w:r>
                          <w:r w:rsidR="007B1E61">
                            <w:t>voor bedrijven die een tweestatenoplossing ondermijnen</w:t>
                          </w:r>
                        </w:p>
                        <w:p w14:paraId="3F33274C" w14:textId="77777777" w:rsidR="003F5768" w:rsidRDefault="003F5768"/>
                      </w:tc>
                    </w:tr>
                  </w:tbl>
                  <w:p w14:paraId="3F33274E" w14:textId="77777777" w:rsidR="003F5768" w:rsidRDefault="003F5768"/>
                  <w:p w14:paraId="3F33274F" w14:textId="77777777" w:rsidR="003F5768" w:rsidRDefault="003F576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F33273A" wp14:editId="28AA5E9C">
              <wp:simplePos x="0" y="0"/>
              <wp:positionH relativeFrom="page">
                <wp:posOffset>5920740</wp:posOffset>
              </wp:positionH>
              <wp:positionV relativeFrom="page">
                <wp:posOffset>1965960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3D5F96E" w14:textId="77777777" w:rsidR="00A565AE" w:rsidRPr="00F51C07" w:rsidRDefault="00A565AE" w:rsidP="00A565AE">
                              <w:pPr>
                                <w:rPr>
                                  <w:b/>
                                  <w:sz w:val="13"/>
                                  <w:szCs w:val="13"/>
                                </w:rPr>
                              </w:pPr>
                              <w:r w:rsidRPr="00FC13FA">
                                <w:rPr>
                                  <w:b/>
                                  <w:sz w:val="13"/>
                                  <w:szCs w:val="13"/>
                                </w:rPr>
                                <w:t>Ministerie van Buitenlandse Zaken</w:t>
                              </w:r>
                            </w:p>
                          </w:sdtContent>
                        </w:sdt>
                        <w:p w14:paraId="72CEDDD4" w14:textId="77777777" w:rsidR="00A565AE" w:rsidRPr="00EE5E5D" w:rsidRDefault="00A565AE" w:rsidP="00A565AE">
                          <w:pPr>
                            <w:rPr>
                              <w:sz w:val="13"/>
                              <w:szCs w:val="13"/>
                            </w:rPr>
                          </w:pPr>
                          <w:r>
                            <w:rPr>
                              <w:sz w:val="13"/>
                              <w:szCs w:val="13"/>
                            </w:rPr>
                            <w:t>Rijnstraat 8</w:t>
                          </w:r>
                        </w:p>
                        <w:p w14:paraId="05210B60" w14:textId="77777777" w:rsidR="00A565AE" w:rsidRPr="0059764A" w:rsidRDefault="00A565AE" w:rsidP="00A565AE">
                          <w:pPr>
                            <w:rPr>
                              <w:sz w:val="13"/>
                              <w:szCs w:val="13"/>
                              <w:lang w:val="da-DK"/>
                            </w:rPr>
                          </w:pPr>
                          <w:r w:rsidRPr="0059764A">
                            <w:rPr>
                              <w:sz w:val="13"/>
                              <w:szCs w:val="13"/>
                              <w:lang w:val="da-DK"/>
                            </w:rPr>
                            <w:t>2515 XP Den Haag</w:t>
                          </w:r>
                        </w:p>
                        <w:p w14:paraId="5FBE1101" w14:textId="77777777" w:rsidR="00A565AE" w:rsidRPr="0059764A" w:rsidRDefault="00A565AE" w:rsidP="00A565AE">
                          <w:pPr>
                            <w:rPr>
                              <w:sz w:val="13"/>
                              <w:szCs w:val="13"/>
                              <w:lang w:val="da-DK"/>
                            </w:rPr>
                          </w:pPr>
                          <w:r w:rsidRPr="0059764A">
                            <w:rPr>
                              <w:sz w:val="13"/>
                              <w:szCs w:val="13"/>
                              <w:lang w:val="da-DK"/>
                            </w:rPr>
                            <w:t>Postbus 20061</w:t>
                          </w:r>
                        </w:p>
                        <w:p w14:paraId="199F36DF" w14:textId="77777777" w:rsidR="00A565AE" w:rsidRPr="0059764A" w:rsidRDefault="00A565AE" w:rsidP="00A565AE">
                          <w:pPr>
                            <w:rPr>
                              <w:sz w:val="13"/>
                              <w:szCs w:val="13"/>
                              <w:lang w:val="da-DK"/>
                            </w:rPr>
                          </w:pPr>
                          <w:r w:rsidRPr="0059764A">
                            <w:rPr>
                              <w:sz w:val="13"/>
                              <w:szCs w:val="13"/>
                              <w:lang w:val="da-DK"/>
                            </w:rPr>
                            <w:t>Nederland</w:t>
                          </w:r>
                        </w:p>
                        <w:p w14:paraId="3F332751" w14:textId="77777777" w:rsidR="003F5768" w:rsidRDefault="003F5768">
                          <w:pPr>
                            <w:pStyle w:val="WitregelW1"/>
                          </w:pPr>
                        </w:p>
                        <w:p w14:paraId="3F332752" w14:textId="77777777" w:rsidR="003F5768" w:rsidRDefault="00371F93">
                          <w:pPr>
                            <w:pStyle w:val="Referentiegegevens"/>
                          </w:pPr>
                          <w:r>
                            <w:t xml:space="preserve"> </w:t>
                          </w:r>
                        </w:p>
                        <w:p w14:paraId="3F332753" w14:textId="77777777" w:rsidR="003F5768" w:rsidRDefault="00371F93">
                          <w:pPr>
                            <w:pStyle w:val="Referentiegegevens"/>
                          </w:pPr>
                          <w:r>
                            <w:t>www.minbuza.nl</w:t>
                          </w:r>
                        </w:p>
                        <w:p w14:paraId="3F332754" w14:textId="77777777" w:rsidR="003F5768" w:rsidRDefault="003F5768">
                          <w:pPr>
                            <w:pStyle w:val="WitregelW2"/>
                          </w:pPr>
                        </w:p>
                        <w:p w14:paraId="3F332755" w14:textId="77777777" w:rsidR="003F5768" w:rsidRDefault="00371F93">
                          <w:pPr>
                            <w:pStyle w:val="Referentiegegevensbold"/>
                          </w:pPr>
                          <w:r>
                            <w:t>Onze referentie</w:t>
                          </w:r>
                        </w:p>
                        <w:p w14:paraId="3F332756" w14:textId="77777777" w:rsidR="003F5768" w:rsidRDefault="00371F93">
                          <w:pPr>
                            <w:pStyle w:val="Referentiegegevens"/>
                          </w:pPr>
                          <w:r>
                            <w:t>BZ2629318</w:t>
                          </w:r>
                        </w:p>
                        <w:p w14:paraId="3F332757" w14:textId="77777777" w:rsidR="003F5768" w:rsidRDefault="003F5768">
                          <w:pPr>
                            <w:pStyle w:val="WitregelW1"/>
                          </w:pPr>
                        </w:p>
                        <w:p w14:paraId="3F332758" w14:textId="77777777" w:rsidR="003F5768" w:rsidRDefault="00371F93">
                          <w:pPr>
                            <w:pStyle w:val="Referentiegegevensbold"/>
                          </w:pPr>
                          <w:r>
                            <w:t>Bijlage(n)</w:t>
                          </w:r>
                        </w:p>
                        <w:p w14:paraId="3F332759" w14:textId="77777777" w:rsidR="003F5768" w:rsidRDefault="00371F9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F33273A" id="41b10cd4-80a4-11ea-b356-6230a4311406" o:spid="_x0000_s1032" type="#_x0000_t202" style="position:absolute;margin-left:466.2pt;margin-top:154.8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3D5F96E" w14:textId="77777777" w:rsidR="00A565AE" w:rsidRPr="00F51C07" w:rsidRDefault="00A565AE" w:rsidP="00A565AE">
                        <w:pPr>
                          <w:rPr>
                            <w:b/>
                            <w:sz w:val="13"/>
                            <w:szCs w:val="13"/>
                          </w:rPr>
                        </w:pPr>
                        <w:r w:rsidRPr="00FC13FA">
                          <w:rPr>
                            <w:b/>
                            <w:sz w:val="13"/>
                            <w:szCs w:val="13"/>
                          </w:rPr>
                          <w:t>Ministerie van Buitenlandse Zaken</w:t>
                        </w:r>
                      </w:p>
                    </w:sdtContent>
                  </w:sdt>
                  <w:p w14:paraId="72CEDDD4" w14:textId="77777777" w:rsidR="00A565AE" w:rsidRPr="00EE5E5D" w:rsidRDefault="00A565AE" w:rsidP="00A565AE">
                    <w:pPr>
                      <w:rPr>
                        <w:sz w:val="13"/>
                        <w:szCs w:val="13"/>
                      </w:rPr>
                    </w:pPr>
                    <w:r>
                      <w:rPr>
                        <w:sz w:val="13"/>
                        <w:szCs w:val="13"/>
                      </w:rPr>
                      <w:t>Rijnstraat 8</w:t>
                    </w:r>
                  </w:p>
                  <w:p w14:paraId="05210B60" w14:textId="77777777" w:rsidR="00A565AE" w:rsidRPr="0059764A" w:rsidRDefault="00A565AE" w:rsidP="00A565AE">
                    <w:pPr>
                      <w:rPr>
                        <w:sz w:val="13"/>
                        <w:szCs w:val="13"/>
                        <w:lang w:val="da-DK"/>
                      </w:rPr>
                    </w:pPr>
                    <w:r w:rsidRPr="0059764A">
                      <w:rPr>
                        <w:sz w:val="13"/>
                        <w:szCs w:val="13"/>
                        <w:lang w:val="da-DK"/>
                      </w:rPr>
                      <w:t>2515 XP Den Haag</w:t>
                    </w:r>
                  </w:p>
                  <w:p w14:paraId="5FBE1101" w14:textId="77777777" w:rsidR="00A565AE" w:rsidRPr="0059764A" w:rsidRDefault="00A565AE" w:rsidP="00A565AE">
                    <w:pPr>
                      <w:rPr>
                        <w:sz w:val="13"/>
                        <w:szCs w:val="13"/>
                        <w:lang w:val="da-DK"/>
                      </w:rPr>
                    </w:pPr>
                    <w:r w:rsidRPr="0059764A">
                      <w:rPr>
                        <w:sz w:val="13"/>
                        <w:szCs w:val="13"/>
                        <w:lang w:val="da-DK"/>
                      </w:rPr>
                      <w:t>Postbus 20061</w:t>
                    </w:r>
                  </w:p>
                  <w:p w14:paraId="199F36DF" w14:textId="77777777" w:rsidR="00A565AE" w:rsidRPr="0059764A" w:rsidRDefault="00A565AE" w:rsidP="00A565AE">
                    <w:pPr>
                      <w:rPr>
                        <w:sz w:val="13"/>
                        <w:szCs w:val="13"/>
                        <w:lang w:val="da-DK"/>
                      </w:rPr>
                    </w:pPr>
                    <w:r w:rsidRPr="0059764A">
                      <w:rPr>
                        <w:sz w:val="13"/>
                        <w:szCs w:val="13"/>
                        <w:lang w:val="da-DK"/>
                      </w:rPr>
                      <w:t>Nederland</w:t>
                    </w:r>
                  </w:p>
                  <w:p w14:paraId="3F332751" w14:textId="77777777" w:rsidR="003F5768" w:rsidRDefault="003F5768">
                    <w:pPr>
                      <w:pStyle w:val="WitregelW1"/>
                    </w:pPr>
                  </w:p>
                  <w:p w14:paraId="3F332752" w14:textId="77777777" w:rsidR="003F5768" w:rsidRDefault="00371F93">
                    <w:pPr>
                      <w:pStyle w:val="Referentiegegevens"/>
                    </w:pPr>
                    <w:r>
                      <w:t xml:space="preserve"> </w:t>
                    </w:r>
                  </w:p>
                  <w:p w14:paraId="3F332753" w14:textId="77777777" w:rsidR="003F5768" w:rsidRDefault="00371F93">
                    <w:pPr>
                      <w:pStyle w:val="Referentiegegevens"/>
                    </w:pPr>
                    <w:r>
                      <w:t>www.minbuza.nl</w:t>
                    </w:r>
                  </w:p>
                  <w:p w14:paraId="3F332754" w14:textId="77777777" w:rsidR="003F5768" w:rsidRDefault="003F5768">
                    <w:pPr>
                      <w:pStyle w:val="WitregelW2"/>
                    </w:pPr>
                  </w:p>
                  <w:p w14:paraId="3F332755" w14:textId="77777777" w:rsidR="003F5768" w:rsidRDefault="00371F93">
                    <w:pPr>
                      <w:pStyle w:val="Referentiegegevensbold"/>
                    </w:pPr>
                    <w:r>
                      <w:t>Onze referentie</w:t>
                    </w:r>
                  </w:p>
                  <w:p w14:paraId="3F332756" w14:textId="77777777" w:rsidR="003F5768" w:rsidRDefault="00371F93">
                    <w:pPr>
                      <w:pStyle w:val="Referentiegegevens"/>
                    </w:pPr>
                    <w:r>
                      <w:t>BZ2629318</w:t>
                    </w:r>
                  </w:p>
                  <w:p w14:paraId="3F332757" w14:textId="77777777" w:rsidR="003F5768" w:rsidRDefault="003F5768">
                    <w:pPr>
                      <w:pStyle w:val="WitregelW1"/>
                    </w:pPr>
                  </w:p>
                  <w:p w14:paraId="3F332758" w14:textId="77777777" w:rsidR="003F5768" w:rsidRDefault="00371F93">
                    <w:pPr>
                      <w:pStyle w:val="Referentiegegevensbold"/>
                    </w:pPr>
                    <w:r>
                      <w:t>Bijlage(n)</w:t>
                    </w:r>
                  </w:p>
                  <w:p w14:paraId="3F332759" w14:textId="77777777" w:rsidR="003F5768" w:rsidRDefault="00371F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33273E" wp14:editId="55C1F8C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332768" w14:textId="77777777" w:rsidR="00371F93" w:rsidRDefault="00371F93"/>
                      </w:txbxContent>
                    </wps:txbx>
                    <wps:bodyPr vert="horz" wrap="square" lIns="0" tIns="0" rIns="0" bIns="0" anchor="t" anchorCtr="0"/>
                  </wps:wsp>
                </a:graphicData>
              </a:graphic>
            </wp:anchor>
          </w:drawing>
        </mc:Choice>
        <mc:Fallback>
          <w:pict>
            <v:shape w14:anchorId="3F33273E"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F332768" w14:textId="77777777" w:rsidR="00371F93" w:rsidRDefault="00371F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332740" wp14:editId="3F3327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33275B" w14:textId="75462E60" w:rsidR="003F5768" w:rsidRDefault="00371F93">
                          <w:pPr>
                            <w:spacing w:line="240" w:lineRule="auto"/>
                          </w:pPr>
                          <w:r>
                            <w:rPr>
                              <w:noProof/>
                            </w:rPr>
                            <w:drawing>
                              <wp:inline distT="0" distB="0" distL="0" distR="0" wp14:anchorId="788251A9" wp14:editId="3F33276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332740"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F33275B" w14:textId="75462E60" w:rsidR="003F5768" w:rsidRDefault="00371F93">
                    <w:pPr>
                      <w:spacing w:line="240" w:lineRule="auto"/>
                    </w:pPr>
                    <w:r>
                      <w:rPr>
                        <w:noProof/>
                      </w:rPr>
                      <w:drawing>
                        <wp:inline distT="0" distB="0" distL="0" distR="0" wp14:anchorId="788251A9" wp14:editId="3F33276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F332742" wp14:editId="3F33274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33275C" w14:textId="77777777" w:rsidR="003F5768" w:rsidRDefault="00371F93">
                          <w:pPr>
                            <w:spacing w:line="240" w:lineRule="auto"/>
                          </w:pPr>
                          <w:r>
                            <w:rPr>
                              <w:noProof/>
                            </w:rPr>
                            <w:drawing>
                              <wp:inline distT="0" distB="0" distL="0" distR="0" wp14:anchorId="3F332764" wp14:editId="3F33276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332742"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F33275C" w14:textId="77777777" w:rsidR="003F5768" w:rsidRDefault="00371F93">
                    <w:pPr>
                      <w:spacing w:line="240" w:lineRule="auto"/>
                    </w:pPr>
                    <w:r>
                      <w:rPr>
                        <w:noProof/>
                      </w:rPr>
                      <w:drawing>
                        <wp:inline distT="0" distB="0" distL="0" distR="0" wp14:anchorId="3F332764" wp14:editId="3F33276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0D587B"/>
    <w:multiLevelType w:val="multilevel"/>
    <w:tmpl w:val="F403CCF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747C2A3"/>
    <w:multiLevelType w:val="multilevel"/>
    <w:tmpl w:val="910775B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AC00D22"/>
    <w:multiLevelType w:val="hybridMultilevel"/>
    <w:tmpl w:val="0742D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EC3DAA"/>
    <w:multiLevelType w:val="multilevel"/>
    <w:tmpl w:val="E4E6A2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1ABE21C"/>
    <w:multiLevelType w:val="multilevel"/>
    <w:tmpl w:val="482538D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E205CD2"/>
    <w:multiLevelType w:val="multilevel"/>
    <w:tmpl w:val="A52A22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9C41F63"/>
    <w:multiLevelType w:val="hybridMultilevel"/>
    <w:tmpl w:val="F9803FB0"/>
    <w:lvl w:ilvl="0" w:tplc="54B64BF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11879138">
    <w:abstractNumId w:val="1"/>
  </w:num>
  <w:num w:numId="2" w16cid:durableId="484199858">
    <w:abstractNumId w:val="5"/>
  </w:num>
  <w:num w:numId="3" w16cid:durableId="936329691">
    <w:abstractNumId w:val="3"/>
  </w:num>
  <w:num w:numId="4" w16cid:durableId="470752322">
    <w:abstractNumId w:val="4"/>
  </w:num>
  <w:num w:numId="5" w16cid:durableId="866680404">
    <w:abstractNumId w:val="0"/>
  </w:num>
  <w:num w:numId="6" w16cid:durableId="1856458491">
    <w:abstractNumId w:val="6"/>
  </w:num>
  <w:num w:numId="7" w16cid:durableId="184847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768"/>
    <w:rsid w:val="0004325E"/>
    <w:rsid w:val="000B0CA8"/>
    <w:rsid w:val="00103DA8"/>
    <w:rsid w:val="00145678"/>
    <w:rsid w:val="00157F9B"/>
    <w:rsid w:val="001C42DF"/>
    <w:rsid w:val="00200CED"/>
    <w:rsid w:val="00237BAA"/>
    <w:rsid w:val="002D0952"/>
    <w:rsid w:val="003370AD"/>
    <w:rsid w:val="00371F93"/>
    <w:rsid w:val="00382799"/>
    <w:rsid w:val="003F5768"/>
    <w:rsid w:val="004D2750"/>
    <w:rsid w:val="0050039F"/>
    <w:rsid w:val="0054051E"/>
    <w:rsid w:val="00583852"/>
    <w:rsid w:val="005D40D8"/>
    <w:rsid w:val="005E565D"/>
    <w:rsid w:val="00635DA3"/>
    <w:rsid w:val="007B1E61"/>
    <w:rsid w:val="00823059"/>
    <w:rsid w:val="008E6D90"/>
    <w:rsid w:val="009624F9"/>
    <w:rsid w:val="00994EA3"/>
    <w:rsid w:val="009D2A04"/>
    <w:rsid w:val="00A565AE"/>
    <w:rsid w:val="00A8177E"/>
    <w:rsid w:val="00AC0730"/>
    <w:rsid w:val="00B10D48"/>
    <w:rsid w:val="00B45E74"/>
    <w:rsid w:val="00B92020"/>
    <w:rsid w:val="00CE2F6C"/>
    <w:rsid w:val="00D26FFD"/>
    <w:rsid w:val="00D6414F"/>
    <w:rsid w:val="00E4779C"/>
    <w:rsid w:val="00E563D3"/>
    <w:rsid w:val="00E568C6"/>
    <w:rsid w:val="00F1EB17"/>
    <w:rsid w:val="00F50D0D"/>
    <w:rsid w:val="00FF0F2F"/>
    <w:rsid w:val="00FF2D2B"/>
    <w:rsid w:val="2FF97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F332722"/>
  <w15:docId w15:val="{21797920-F045-4B65-A534-B8EE11E5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F50D0D"/>
    <w:pPr>
      <w:spacing w:line="240" w:lineRule="auto"/>
    </w:pPr>
    <w:rPr>
      <w:sz w:val="20"/>
      <w:szCs w:val="20"/>
    </w:rPr>
  </w:style>
  <w:style w:type="character" w:customStyle="1" w:styleId="FootnoteTextChar">
    <w:name w:val="Footnote Text Char"/>
    <w:basedOn w:val="DefaultParagraphFont"/>
    <w:link w:val="FootnoteText"/>
    <w:uiPriority w:val="99"/>
    <w:semiHidden/>
    <w:rsid w:val="00F50D0D"/>
    <w:rPr>
      <w:rFonts w:ascii="Verdana" w:hAnsi="Verdana"/>
      <w:color w:val="000000"/>
    </w:rPr>
  </w:style>
  <w:style w:type="character" w:styleId="FootnoteReference">
    <w:name w:val="footnote reference"/>
    <w:basedOn w:val="DefaultParagraphFont"/>
    <w:uiPriority w:val="99"/>
    <w:semiHidden/>
    <w:unhideWhenUsed/>
    <w:rsid w:val="00F50D0D"/>
    <w:rPr>
      <w:vertAlign w:val="superscript"/>
    </w:rPr>
  </w:style>
  <w:style w:type="paragraph" w:styleId="Header">
    <w:name w:val="header"/>
    <w:basedOn w:val="Normal"/>
    <w:link w:val="HeaderChar"/>
    <w:uiPriority w:val="99"/>
    <w:unhideWhenUsed/>
    <w:rsid w:val="007B1E61"/>
    <w:pPr>
      <w:tabs>
        <w:tab w:val="center" w:pos="4513"/>
        <w:tab w:val="right" w:pos="9026"/>
      </w:tabs>
      <w:spacing w:line="240" w:lineRule="auto"/>
    </w:pPr>
  </w:style>
  <w:style w:type="character" w:customStyle="1" w:styleId="HeaderChar">
    <w:name w:val="Header Char"/>
    <w:basedOn w:val="DefaultParagraphFont"/>
    <w:link w:val="Header"/>
    <w:uiPriority w:val="99"/>
    <w:rsid w:val="007B1E61"/>
    <w:rPr>
      <w:rFonts w:ascii="Verdana" w:hAnsi="Verdana"/>
      <w:color w:val="000000"/>
      <w:sz w:val="18"/>
      <w:szCs w:val="18"/>
    </w:rPr>
  </w:style>
  <w:style w:type="paragraph" w:styleId="Footer">
    <w:name w:val="footer"/>
    <w:basedOn w:val="Normal"/>
    <w:link w:val="FooterChar"/>
    <w:uiPriority w:val="99"/>
    <w:unhideWhenUsed/>
    <w:rsid w:val="007B1E61"/>
    <w:pPr>
      <w:tabs>
        <w:tab w:val="center" w:pos="4513"/>
        <w:tab w:val="right" w:pos="9026"/>
      </w:tabs>
      <w:spacing w:line="240" w:lineRule="auto"/>
    </w:pPr>
  </w:style>
  <w:style w:type="character" w:customStyle="1" w:styleId="FooterChar">
    <w:name w:val="Footer Char"/>
    <w:basedOn w:val="DefaultParagraphFont"/>
    <w:link w:val="Footer"/>
    <w:uiPriority w:val="99"/>
    <w:rsid w:val="007B1E61"/>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B1E61"/>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B1E61"/>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FF2D2B"/>
    <w:rPr>
      <w:sz w:val="16"/>
      <w:szCs w:val="16"/>
    </w:rPr>
  </w:style>
  <w:style w:type="paragraph" w:styleId="CommentText">
    <w:name w:val="annotation text"/>
    <w:basedOn w:val="Normal"/>
    <w:link w:val="CommentTextChar"/>
    <w:uiPriority w:val="99"/>
    <w:unhideWhenUsed/>
    <w:rsid w:val="00FF2D2B"/>
    <w:pPr>
      <w:spacing w:line="240" w:lineRule="auto"/>
    </w:pPr>
    <w:rPr>
      <w:sz w:val="20"/>
      <w:szCs w:val="20"/>
    </w:rPr>
  </w:style>
  <w:style w:type="character" w:customStyle="1" w:styleId="CommentTextChar">
    <w:name w:val="Comment Text Char"/>
    <w:basedOn w:val="DefaultParagraphFont"/>
    <w:link w:val="CommentText"/>
    <w:uiPriority w:val="99"/>
    <w:rsid w:val="00FF2D2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F2D2B"/>
    <w:rPr>
      <w:b/>
      <w:bCs/>
    </w:rPr>
  </w:style>
  <w:style w:type="character" w:customStyle="1" w:styleId="CommentSubjectChar">
    <w:name w:val="Comment Subject Char"/>
    <w:basedOn w:val="CommentTextChar"/>
    <w:link w:val="CommentSubject"/>
    <w:uiPriority w:val="99"/>
    <w:semiHidden/>
    <w:rsid w:val="00FF2D2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68888">
      <w:bodyDiv w:val="1"/>
      <w:marLeft w:val="0"/>
      <w:marRight w:val="0"/>
      <w:marTop w:val="0"/>
      <w:marBottom w:val="0"/>
      <w:divBdr>
        <w:top w:val="none" w:sz="0" w:space="0" w:color="auto"/>
        <w:left w:val="none" w:sz="0" w:space="0" w:color="auto"/>
        <w:bottom w:val="none" w:sz="0" w:space="0" w:color="auto"/>
        <w:right w:val="none" w:sz="0" w:space="0" w:color="auto"/>
      </w:divBdr>
    </w:div>
    <w:div w:id="841121122">
      <w:bodyDiv w:val="1"/>
      <w:marLeft w:val="0"/>
      <w:marRight w:val="0"/>
      <w:marTop w:val="0"/>
      <w:marBottom w:val="0"/>
      <w:divBdr>
        <w:top w:val="none" w:sz="0" w:space="0" w:color="auto"/>
        <w:left w:val="none" w:sz="0" w:space="0" w:color="auto"/>
        <w:bottom w:val="none" w:sz="0" w:space="0" w:color="auto"/>
        <w:right w:val="none" w:sz="0" w:space="0" w:color="auto"/>
      </w:divBdr>
    </w:div>
    <w:div w:id="1471290380">
      <w:bodyDiv w:val="1"/>
      <w:marLeft w:val="0"/>
      <w:marRight w:val="0"/>
      <w:marTop w:val="0"/>
      <w:marBottom w:val="0"/>
      <w:divBdr>
        <w:top w:val="none" w:sz="0" w:space="0" w:color="auto"/>
        <w:left w:val="none" w:sz="0" w:space="0" w:color="auto"/>
        <w:bottom w:val="none" w:sz="0" w:space="0" w:color="auto"/>
        <w:right w:val="none" w:sz="0" w:space="0" w:color="auto"/>
      </w:divBdr>
    </w:div>
    <w:div w:id="1864706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239</ap:Words>
  <ap:Characters>1316</ap:Characters>
  <ap:DocSecurity>0</ap:DocSecurity>
  <ap:Lines>10</ap:Lines>
  <ap:Paragraphs>3</ap:Paragraphs>
  <ap:ScaleCrop>false</ap:ScaleCrop>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2026-06-16T13:20:00.0000000Z</lastPrinted>
  <dcterms:created xsi:type="dcterms:W3CDTF">2026-06-17T06:52:00.0000000Z</dcterms:created>
  <dcterms:modified xsi:type="dcterms:W3CDTF">2026-06-17T06:52:00.0000000Z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72;#X|e96063e3-5f08-458f-80b0-ca297e53cd3c</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https://247.plaza.buzaservices.nl/subject/PV-RK2026042026/BZ2629318/Reguliere kamerbrief - Appreciatie motie Volt fiscale voordelen ISR nederzettingen.docx</vt:lpwstr>
  </property>
  <property fmtid="{D5CDD505-2E9C-101B-9397-08002B2CF9AE}" pid="24" name="_dlc_DocIdItemGuid">
    <vt:lpwstr>c33c6b4b-0f1f-4d06-9613-f6552ff285a7</vt:lpwstr>
  </property>
  <property fmtid="{D5CDD505-2E9C-101B-9397-08002B2CF9AE}" pid="25" name="_docset_NoMedatataSyncRequired">
    <vt:lpwstr>False</vt:lpwstr>
  </property>
</Properties>
</file>