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F1" w:rsidRDefault="002C1B6D" w14:paraId="500A78EA" w14:textId="21CFD23B">
      <w:bookmarkStart w:name="_GoBack" w:id="0"/>
      <w:bookmarkEnd w:id="0"/>
      <w:r>
        <w:t>Geachte voorzitter,</w:t>
      </w:r>
    </w:p>
    <w:p w:rsidR="002C1B6D" w:rsidP="002C1B6D" w:rsidRDefault="002C1B6D" w14:paraId="401EA010" w14:textId="77777777"/>
    <w:p w:rsidR="002C1B6D" w:rsidP="002C1B6D" w:rsidRDefault="002C1B6D" w14:paraId="78002AFD" w14:textId="7A56F683">
      <w:r w:rsidRPr="007A042C">
        <w:t>Op 28 mei heeft het Tweede Kamerlid Dassen (Volt)</w:t>
      </w:r>
      <w:r>
        <w:t xml:space="preserve"> een</w:t>
      </w:r>
      <w:r w:rsidRPr="007A042C">
        <w:t xml:space="preserve"> amendement ingediend op de eerste suppletoire begroting 2026 van IenW (</w:t>
      </w:r>
      <w:r w:rsidR="00E96AFF">
        <w:t>Kamerstukken 36915-</w:t>
      </w:r>
      <w:r w:rsidRPr="007A042C">
        <w:t>XII</w:t>
      </w:r>
      <w:r w:rsidR="00E96AFF">
        <w:t>, nr. 17</w:t>
      </w:r>
      <w:r w:rsidRPr="007A042C">
        <w:t>). Het amendement stelt voor om structureel € 1 miljoen per jaar vrij te maken tot en met 2030 voor het Nederlands Instituut voor Onderzoek der Zee (</w:t>
      </w:r>
      <w:r w:rsidR="00480AF5">
        <w:t>NIOZ</w:t>
      </w:r>
      <w:r w:rsidRPr="007A042C">
        <w:t>)</w:t>
      </w:r>
      <w:r>
        <w:t xml:space="preserve">. Dekking hiervan </w:t>
      </w:r>
      <w:r w:rsidRPr="00A20FB4">
        <w:t xml:space="preserve">wordt gevonden binnen de beleidsmatig gereserveerde middelen </w:t>
      </w:r>
      <w:r w:rsidR="00480AF5">
        <w:t>op</w:t>
      </w:r>
      <w:r w:rsidRPr="00A20FB4">
        <w:t xml:space="preserve"> artikel 11 van de begroting van het Ministerie van Infrastructuur en Waterstaat.</w:t>
      </w:r>
    </w:p>
    <w:p w:rsidR="002C1B6D" w:rsidRDefault="002C1B6D" w14:paraId="4F0205CE" w14:textId="77777777"/>
    <w:p w:rsidR="00A306A7" w:rsidRDefault="003803D8" w14:paraId="32EB1605" w14:textId="753C07F5">
      <w:r w:rsidRPr="003803D8">
        <w:t xml:space="preserve">Met deze brief voorzie ik dit amendement van een appreciatie voor de stemmingen </w:t>
      </w:r>
      <w:r w:rsidRPr="00925B33" w:rsidR="00925B33">
        <w:t>over de begrotingsstaten samenhangende met de Voorjaarsnota</w:t>
      </w:r>
      <w:r w:rsidRPr="003803D8">
        <w:t>.</w:t>
      </w:r>
    </w:p>
    <w:p w:rsidR="00406650" w:rsidP="00406650" w:rsidRDefault="00406650" w14:paraId="0B43A1CA" w14:textId="77777777"/>
    <w:p w:rsidR="007B3616" w:rsidP="007B3616" w:rsidRDefault="00A306A7" w14:paraId="4B7C0E93" w14:textId="77777777">
      <w:r w:rsidRPr="00A306A7">
        <w:t>Ik ontraad dit amendement</w:t>
      </w:r>
      <w:r>
        <w:t xml:space="preserve"> om de volgende redenen:</w:t>
      </w:r>
    </w:p>
    <w:p w:rsidR="007B3616" w:rsidP="007B3616" w:rsidRDefault="007B3616" w14:paraId="729123EC" w14:textId="77777777"/>
    <w:p w:rsidR="00480AF5" w:rsidP="007B3616" w:rsidRDefault="00480AF5" w14:paraId="5BDD94FA" w14:textId="77777777">
      <w:r>
        <w:rPr>
          <w:bCs/>
        </w:rPr>
        <w:t>Er is inderdaad sprake van</w:t>
      </w:r>
      <w:r w:rsidRPr="007B3616" w:rsidR="00406650">
        <w:rPr>
          <w:bCs/>
        </w:rPr>
        <w:t xml:space="preserve"> nieuwe inzichten rondom de </w:t>
      </w:r>
      <w:r>
        <w:rPr>
          <w:bCs/>
        </w:rPr>
        <w:t>zeestromen op de Atlantische Oceaan (Atlantic Meridional Overturning Circulation, AMOC)</w:t>
      </w:r>
      <w:r w:rsidRPr="007B3616" w:rsidR="004C0582">
        <w:rPr>
          <w:bCs/>
        </w:rPr>
        <w:t xml:space="preserve"> en dat deze gevolgen veel verschillende belangen van de samenleving</w:t>
      </w:r>
      <w:r>
        <w:rPr>
          <w:bCs/>
        </w:rPr>
        <w:t xml:space="preserve"> kunnen</w:t>
      </w:r>
      <w:r w:rsidRPr="007B3616" w:rsidR="004C0582">
        <w:rPr>
          <w:bCs/>
        </w:rPr>
        <w:t xml:space="preserve"> raken</w:t>
      </w:r>
      <w:r w:rsidRPr="007B3616" w:rsidR="00406650">
        <w:rPr>
          <w:bCs/>
        </w:rPr>
        <w:t>.</w:t>
      </w:r>
      <w:r w:rsidR="007B3616">
        <w:t xml:space="preserve"> </w:t>
      </w:r>
    </w:p>
    <w:p w:rsidR="007B3616" w:rsidP="007B3616" w:rsidRDefault="00A306A7" w14:paraId="121316B3" w14:textId="4727630F">
      <w:r>
        <w:t>Momenteel verken</w:t>
      </w:r>
      <w:r w:rsidR="00480AF5">
        <w:t>t het ministerie van IenW</w:t>
      </w:r>
      <w:r>
        <w:t xml:space="preserve"> samen met </w:t>
      </w:r>
      <w:r w:rsidR="004C0582">
        <w:t xml:space="preserve">andere departementen en </w:t>
      </w:r>
      <w:r>
        <w:t>experts van NIOZ, KNMI en Deltares de kennisstand rondom verzwakking van de AMOC</w:t>
      </w:r>
      <w:r w:rsidR="004C0582">
        <w:t xml:space="preserve"> en </w:t>
      </w:r>
      <w:r>
        <w:t>de gevolgen hiervan</w:t>
      </w:r>
      <w:r w:rsidR="004C0582">
        <w:t xml:space="preserve"> en worden </w:t>
      </w:r>
      <w:r w:rsidR="00480AF5">
        <w:t xml:space="preserve">mogelijke </w:t>
      </w:r>
      <w:r>
        <w:t>handelingsperspectieven in beeld</w:t>
      </w:r>
      <w:r w:rsidR="004C0582">
        <w:t xml:space="preserve"> gebracht</w:t>
      </w:r>
      <w:r>
        <w:t xml:space="preserve"> op gebied van monitoring en klimaatadaptatie</w:t>
      </w:r>
      <w:r w:rsidR="004C0582">
        <w:t>.</w:t>
      </w:r>
      <w:r w:rsidR="007B3616">
        <w:t xml:space="preserve"> </w:t>
      </w:r>
      <w:r w:rsidR="00480AF5">
        <w:t>Het voornemen is om</w:t>
      </w:r>
      <w:r w:rsidR="004C0582">
        <w:t xml:space="preserve"> de resultaten van deze verkenning te bespreken met andere departementen en in Europees en breder internationaal verband. Deze stappen wil ik eerst zorgvuldig doorlopen, alvorens over te gaan tot </w:t>
      </w:r>
      <w:r w:rsidR="00480AF5">
        <w:t>een mogelijk vervolg</w:t>
      </w:r>
      <w:r w:rsidR="004C0582">
        <w:t>.</w:t>
      </w:r>
      <w:r w:rsidR="00480AF5">
        <w:t xml:space="preserve"> Daarmee komt dit amendement nu te vroeg.</w:t>
      </w:r>
    </w:p>
    <w:p w:rsidR="007B3616" w:rsidP="007B3616" w:rsidRDefault="007B3616" w14:paraId="0A32482D" w14:textId="77777777"/>
    <w:p w:rsidRPr="002C15DD" w:rsidR="00406650" w:rsidP="007B3616" w:rsidRDefault="00E96AFF" w14:paraId="6C044B42" w14:textId="7B99A936">
      <w:r w:rsidRPr="00E96AFF">
        <w:t>Daarnaast gaat de voorgestelde dekking op artikel 11 ten koste van schaarse middelen op het waterdomein, die nodig zijn voor diverse opdrachten en onderzoeken voor waterveiligheid</w:t>
      </w:r>
      <w:r>
        <w:t>.</w:t>
      </w:r>
      <w:r w:rsidR="006C21E4">
        <w:t xml:space="preserve"> De middelen zijn weliswaar juridisch nog niet verplicht, maar hebben beleidsmatig wel bestemmingen, waardoor herbestemming zorgvuldig dient te worden afgewogen.</w:t>
      </w:r>
      <w:r w:rsidR="007B3616">
        <w:t xml:space="preserve"> </w:t>
      </w:r>
      <w:r>
        <w:t>Ook</w:t>
      </w:r>
      <w:r w:rsidR="004532C5">
        <w:t xml:space="preserve"> is artikel 11 niet de gebruikelijke financieringsstroom voor de uitvoering van structurele monitoring. </w:t>
      </w:r>
    </w:p>
    <w:p w:rsidR="007B3616" w:rsidP="007B3616" w:rsidRDefault="007B3616" w14:paraId="37E0F13F" w14:textId="77777777">
      <w:pPr>
        <w:tabs>
          <w:tab w:val="left" w:pos="284"/>
        </w:tabs>
      </w:pPr>
    </w:p>
    <w:p w:rsidR="005A2540" w:rsidRDefault="005A2540" w14:paraId="45CD4771" w14:textId="77777777">
      <w:pPr>
        <w:spacing w:line="240" w:lineRule="auto"/>
      </w:pPr>
      <w:r>
        <w:br w:type="page"/>
      </w:r>
    </w:p>
    <w:p w:rsidR="00406650" w:rsidP="00480AF5" w:rsidRDefault="00480AF5" w14:paraId="6C20B595" w14:textId="0990312C">
      <w:pPr>
        <w:tabs>
          <w:tab w:val="left" w:pos="284"/>
        </w:tabs>
      </w:pPr>
      <w:r>
        <w:lastRenderedPageBreak/>
        <w:t xml:space="preserve">De Kamer wordt voor eind </w:t>
      </w:r>
      <w:r w:rsidR="00A306A7">
        <w:t xml:space="preserve">2026 </w:t>
      </w:r>
      <w:r>
        <w:t>geïnformeerd</w:t>
      </w:r>
      <w:r w:rsidR="005B0BDA">
        <w:t xml:space="preserve"> over</w:t>
      </w:r>
      <w:r>
        <w:t xml:space="preserve"> </w:t>
      </w:r>
      <w:r w:rsidR="00A306A7">
        <w:t xml:space="preserve">de uitkomsten </w:t>
      </w:r>
      <w:r w:rsidR="00406650">
        <w:t xml:space="preserve">van de verkenning en </w:t>
      </w:r>
      <w:r>
        <w:t xml:space="preserve">van </w:t>
      </w:r>
      <w:r w:rsidR="00406650">
        <w:t xml:space="preserve">de </w:t>
      </w:r>
      <w:r w:rsidRPr="007B3616" w:rsidR="00406650">
        <w:rPr>
          <w:bCs/>
        </w:rPr>
        <w:t>nationale en internationale besprekingen</w:t>
      </w:r>
      <w:r w:rsidR="00A306A7">
        <w:t>.</w:t>
      </w:r>
      <w:r>
        <w:t xml:space="preserve"> </w:t>
      </w:r>
    </w:p>
    <w:p w:rsidR="00FA37F1" w:rsidRDefault="00DC63C6" w14:paraId="332A301E" w14:textId="77777777">
      <w:pPr>
        <w:pStyle w:val="Slotzin"/>
      </w:pPr>
      <w:r>
        <w:t>Hoogachtend,</w:t>
      </w:r>
    </w:p>
    <w:p w:rsidR="00FA37F1" w:rsidRDefault="00FA37F1" w14:paraId="7484BBEC" w14:textId="77777777"/>
    <w:p w:rsidR="002C1B6D" w:rsidP="002C1B6D" w:rsidRDefault="002C1B6D" w14:paraId="4CA6022E" w14:textId="77777777">
      <w:r w:rsidRPr="0034420E">
        <w:t>DE MINISTER VAN INFRASTRUCTUUR EN WATERSTAAT,</w:t>
      </w:r>
    </w:p>
    <w:p w:rsidR="002C1B6D" w:rsidP="002C1B6D" w:rsidRDefault="002C1B6D" w14:paraId="17AE8A03" w14:textId="77777777"/>
    <w:p w:rsidR="002C1B6D" w:rsidP="002C1B6D" w:rsidRDefault="002C1B6D" w14:paraId="1DF14CC4" w14:textId="77777777"/>
    <w:p w:rsidR="002C1B6D" w:rsidP="002C1B6D" w:rsidRDefault="002C1B6D" w14:paraId="136FBD9A" w14:textId="77777777"/>
    <w:p w:rsidRPr="0034420E" w:rsidR="002C1B6D" w:rsidP="002C1B6D" w:rsidRDefault="002C1B6D" w14:paraId="40C979CA" w14:textId="77777777">
      <w:r w:rsidRPr="0034420E">
        <w:t xml:space="preserve"> </w:t>
      </w:r>
    </w:p>
    <w:p w:rsidR="002C1B6D" w:rsidP="002C1B6D" w:rsidRDefault="002C1B6D" w14:paraId="0C5200BE" w14:textId="77777777">
      <w:r w:rsidRPr="0034420E">
        <w:t xml:space="preserve">Vincent Karremans </w:t>
      </w:r>
    </w:p>
    <w:p w:rsidRPr="0034420E" w:rsidR="002C1B6D" w:rsidP="002C1B6D" w:rsidRDefault="002C1B6D" w14:paraId="40F34201" w14:textId="77777777"/>
    <w:p w:rsidR="00FA37F1" w:rsidRDefault="00FA37F1" w14:paraId="75691C7C" w14:textId="77777777"/>
    <w:sectPr w:rsidR="00FA37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8E387" w14:textId="77777777" w:rsidR="003B3BD1" w:rsidRDefault="003B3BD1">
      <w:pPr>
        <w:spacing w:line="240" w:lineRule="auto"/>
      </w:pPr>
      <w:r>
        <w:separator/>
      </w:r>
    </w:p>
  </w:endnote>
  <w:endnote w:type="continuationSeparator" w:id="0">
    <w:p w14:paraId="1878F3A2" w14:textId="77777777" w:rsidR="003B3BD1" w:rsidRDefault="003B3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857F2" w14:textId="77777777" w:rsidR="00DC63C6" w:rsidRDefault="00DC6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27CD8" w14:textId="77777777" w:rsidR="00DC63C6" w:rsidRDefault="00DC63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E0222" w14:textId="77777777" w:rsidR="00DC63C6" w:rsidRDefault="00DC6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0EAB9" w14:textId="77777777" w:rsidR="003B3BD1" w:rsidRDefault="003B3BD1">
      <w:pPr>
        <w:spacing w:line="240" w:lineRule="auto"/>
      </w:pPr>
      <w:r>
        <w:separator/>
      </w:r>
    </w:p>
  </w:footnote>
  <w:footnote w:type="continuationSeparator" w:id="0">
    <w:p w14:paraId="53F712E4" w14:textId="77777777" w:rsidR="003B3BD1" w:rsidRDefault="003B3B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9CCF4" w14:textId="77777777" w:rsidR="00DC63C6" w:rsidRDefault="00DC6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690C7" w14:textId="77777777" w:rsidR="00FA37F1" w:rsidRDefault="00DC63C6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2AD8B5D" wp14:editId="16C83BBD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5947C7" w14:textId="77777777" w:rsidR="00FA37F1" w:rsidRDefault="00DC63C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B4FF929" w14:textId="77777777" w:rsidR="005A2540" w:rsidRDefault="005A2540" w:rsidP="005A2540"/>
                        <w:p w14:paraId="6B963406" w14:textId="77777777" w:rsidR="005A2540" w:rsidRPr="005A2540" w:rsidRDefault="005A2540" w:rsidP="005A254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A254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7C56B34D" w14:textId="77777777" w:rsidR="005A2540" w:rsidRPr="005A2540" w:rsidRDefault="005A2540" w:rsidP="005A254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5A2540">
                            <w:rPr>
                              <w:sz w:val="13"/>
                              <w:szCs w:val="13"/>
                            </w:rPr>
                            <w:t>IENW/BSK-2026/98675</w:t>
                          </w:r>
                        </w:p>
                        <w:p w14:paraId="24E4762C" w14:textId="77777777" w:rsidR="005A2540" w:rsidRPr="005A2540" w:rsidRDefault="005A2540" w:rsidP="005A25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AD8B5D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205947C7" w14:textId="77777777" w:rsidR="00FA37F1" w:rsidRDefault="00DC63C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B4FF929" w14:textId="77777777" w:rsidR="005A2540" w:rsidRDefault="005A2540" w:rsidP="005A2540"/>
                  <w:p w14:paraId="6B963406" w14:textId="77777777" w:rsidR="005A2540" w:rsidRPr="005A2540" w:rsidRDefault="005A2540" w:rsidP="005A254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A2540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7C56B34D" w14:textId="77777777" w:rsidR="005A2540" w:rsidRPr="005A2540" w:rsidRDefault="005A2540" w:rsidP="005A254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5A2540">
                      <w:rPr>
                        <w:sz w:val="13"/>
                        <w:szCs w:val="13"/>
                      </w:rPr>
                      <w:t>IENW/BSK-2026/98675</w:t>
                    </w:r>
                  </w:p>
                  <w:p w14:paraId="24E4762C" w14:textId="77777777" w:rsidR="005A2540" w:rsidRPr="005A2540" w:rsidRDefault="005A2540" w:rsidP="005A254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AA88A0B" wp14:editId="4EC48D4E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FD2C45" w14:textId="31812987" w:rsidR="00FA37F1" w:rsidRDefault="00DC63C6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03D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C1B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A88A0B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6FD2C45" w14:textId="31812987" w:rsidR="00FA37F1" w:rsidRDefault="00DC63C6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03D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C1B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56DC3D9" wp14:editId="3EFF45DB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593E9" w14:textId="77777777" w:rsidR="004854A6" w:rsidRDefault="004854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DC3D9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84593E9" w14:textId="77777777" w:rsidR="004854A6" w:rsidRDefault="004854A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227BD38" wp14:editId="2993054E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B94B9" w14:textId="77777777" w:rsidR="004854A6" w:rsidRDefault="004854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27BD38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A6B94B9" w14:textId="77777777" w:rsidR="004854A6" w:rsidRDefault="004854A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374F6" w14:textId="77777777" w:rsidR="00FA37F1" w:rsidRDefault="00DC63C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83F53C3" wp14:editId="007D0BD4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2E9D81" w14:textId="77777777" w:rsidR="004854A6" w:rsidRDefault="004854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3F53C3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22E9D81" w14:textId="77777777" w:rsidR="004854A6" w:rsidRDefault="004854A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83B6907" wp14:editId="7A39276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0CF5A8" w14:textId="7C3D0624" w:rsidR="00FA37F1" w:rsidRDefault="00DC63C6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10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110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3B690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C0CF5A8" w14:textId="7C3D0624" w:rsidR="00FA37F1" w:rsidRDefault="00DC63C6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10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110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DA99B5E" wp14:editId="6EBA5636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2CA780" w14:textId="77777777" w:rsidR="00FA37F1" w:rsidRDefault="00DC63C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8229CDD" w14:textId="77777777" w:rsidR="00FA37F1" w:rsidRDefault="00FA37F1">
                          <w:pPr>
                            <w:pStyle w:val="WitregelW1"/>
                          </w:pPr>
                        </w:p>
                        <w:p w14:paraId="52E88913" w14:textId="77777777" w:rsidR="00FA37F1" w:rsidRDefault="00DC63C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DDF7FFC" w14:textId="1B953D49" w:rsidR="00FA37F1" w:rsidRPr="002C1B6D" w:rsidRDefault="00DC63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C1B6D">
                            <w:rPr>
                              <w:lang w:val="de-DE"/>
                            </w:rPr>
                            <w:t xml:space="preserve">2515 </w:t>
                          </w:r>
                          <w:r w:rsidR="005A2540" w:rsidRPr="002C1B6D">
                            <w:rPr>
                              <w:lang w:val="de-DE"/>
                            </w:rPr>
                            <w:t>XP Den</w:t>
                          </w:r>
                          <w:r w:rsidRPr="002C1B6D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23DB778" w14:textId="77777777" w:rsidR="00FA37F1" w:rsidRPr="002C1B6D" w:rsidRDefault="00DC63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C1B6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4B45707" w14:textId="77777777" w:rsidR="00FA37F1" w:rsidRPr="002C1B6D" w:rsidRDefault="00DC63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C1B6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57B789E" w14:textId="77777777" w:rsidR="00FA37F1" w:rsidRPr="002C1B6D" w:rsidRDefault="00FA37F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CCF0D68" w14:textId="77777777" w:rsidR="00FA37F1" w:rsidRPr="002C1B6D" w:rsidRDefault="00DC63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C1B6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E42179C" w14:textId="77777777" w:rsidR="00FA37F1" w:rsidRDefault="00DC63C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0CC064E" w14:textId="77777777" w:rsidR="005A2540" w:rsidRDefault="005A2540" w:rsidP="005A2540"/>
                        <w:p w14:paraId="227A23A0" w14:textId="3F3A15DA" w:rsidR="005A2540" w:rsidRPr="005A2540" w:rsidRDefault="005A2540" w:rsidP="005A254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A254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6CF83E5F" w14:textId="73147F67" w:rsidR="005A2540" w:rsidRPr="005A2540" w:rsidRDefault="005A2540" w:rsidP="005A254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5A2540">
                            <w:rPr>
                              <w:sz w:val="13"/>
                              <w:szCs w:val="13"/>
                            </w:rPr>
                            <w:t>IENW/BSK-2026/98675</w:t>
                          </w:r>
                        </w:p>
                        <w:p w14:paraId="7D8C3727" w14:textId="77777777" w:rsidR="005A2540" w:rsidRPr="005A2540" w:rsidRDefault="005A2540" w:rsidP="005A254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5E8A6BB0" w14:textId="3C990A4D" w:rsidR="005A2540" w:rsidRDefault="005A2540" w:rsidP="005A254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A254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B2C8B2A" w14:textId="26E3B52F" w:rsidR="005A2540" w:rsidRPr="005A2540" w:rsidRDefault="005A2540" w:rsidP="005A254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5A2540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99B5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C2CA780" w14:textId="77777777" w:rsidR="00FA37F1" w:rsidRDefault="00DC63C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8229CDD" w14:textId="77777777" w:rsidR="00FA37F1" w:rsidRDefault="00FA37F1">
                    <w:pPr>
                      <w:pStyle w:val="WitregelW1"/>
                    </w:pPr>
                  </w:p>
                  <w:p w14:paraId="52E88913" w14:textId="77777777" w:rsidR="00FA37F1" w:rsidRDefault="00DC63C6">
                    <w:pPr>
                      <w:pStyle w:val="Afzendgegevens"/>
                    </w:pPr>
                    <w:r>
                      <w:t>Rijnstraat 8</w:t>
                    </w:r>
                  </w:p>
                  <w:p w14:paraId="3DDF7FFC" w14:textId="1B953D49" w:rsidR="00FA37F1" w:rsidRPr="002C1B6D" w:rsidRDefault="00DC63C6">
                    <w:pPr>
                      <w:pStyle w:val="Afzendgegevens"/>
                      <w:rPr>
                        <w:lang w:val="de-DE"/>
                      </w:rPr>
                    </w:pPr>
                    <w:r w:rsidRPr="002C1B6D">
                      <w:rPr>
                        <w:lang w:val="de-DE"/>
                      </w:rPr>
                      <w:t xml:space="preserve">2515 </w:t>
                    </w:r>
                    <w:r w:rsidR="005A2540" w:rsidRPr="002C1B6D">
                      <w:rPr>
                        <w:lang w:val="de-DE"/>
                      </w:rPr>
                      <w:t>XP Den</w:t>
                    </w:r>
                    <w:r w:rsidRPr="002C1B6D">
                      <w:rPr>
                        <w:lang w:val="de-DE"/>
                      </w:rPr>
                      <w:t xml:space="preserve"> Haag</w:t>
                    </w:r>
                  </w:p>
                  <w:p w14:paraId="423DB778" w14:textId="77777777" w:rsidR="00FA37F1" w:rsidRPr="002C1B6D" w:rsidRDefault="00DC63C6">
                    <w:pPr>
                      <w:pStyle w:val="Afzendgegevens"/>
                      <w:rPr>
                        <w:lang w:val="de-DE"/>
                      </w:rPr>
                    </w:pPr>
                    <w:r w:rsidRPr="002C1B6D">
                      <w:rPr>
                        <w:lang w:val="de-DE"/>
                      </w:rPr>
                      <w:t>Postbus 20901</w:t>
                    </w:r>
                  </w:p>
                  <w:p w14:paraId="54B45707" w14:textId="77777777" w:rsidR="00FA37F1" w:rsidRPr="002C1B6D" w:rsidRDefault="00DC63C6">
                    <w:pPr>
                      <w:pStyle w:val="Afzendgegevens"/>
                      <w:rPr>
                        <w:lang w:val="de-DE"/>
                      </w:rPr>
                    </w:pPr>
                    <w:r w:rsidRPr="002C1B6D">
                      <w:rPr>
                        <w:lang w:val="de-DE"/>
                      </w:rPr>
                      <w:t>2500 EX Den Haag</w:t>
                    </w:r>
                  </w:p>
                  <w:p w14:paraId="257B789E" w14:textId="77777777" w:rsidR="00FA37F1" w:rsidRPr="002C1B6D" w:rsidRDefault="00FA37F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CCF0D68" w14:textId="77777777" w:rsidR="00FA37F1" w:rsidRPr="002C1B6D" w:rsidRDefault="00DC63C6">
                    <w:pPr>
                      <w:pStyle w:val="Afzendgegevens"/>
                      <w:rPr>
                        <w:lang w:val="de-DE"/>
                      </w:rPr>
                    </w:pPr>
                    <w:r w:rsidRPr="002C1B6D">
                      <w:rPr>
                        <w:lang w:val="de-DE"/>
                      </w:rPr>
                      <w:t>T   070-456 0000</w:t>
                    </w:r>
                  </w:p>
                  <w:p w14:paraId="7E42179C" w14:textId="77777777" w:rsidR="00FA37F1" w:rsidRDefault="00DC63C6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0CC064E" w14:textId="77777777" w:rsidR="005A2540" w:rsidRDefault="005A2540" w:rsidP="005A2540"/>
                  <w:p w14:paraId="227A23A0" w14:textId="3F3A15DA" w:rsidR="005A2540" w:rsidRPr="005A2540" w:rsidRDefault="005A2540" w:rsidP="005A254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A2540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6CF83E5F" w14:textId="73147F67" w:rsidR="005A2540" w:rsidRPr="005A2540" w:rsidRDefault="005A2540" w:rsidP="005A254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5A2540">
                      <w:rPr>
                        <w:sz w:val="13"/>
                        <w:szCs w:val="13"/>
                      </w:rPr>
                      <w:t>IENW/BSK-2026/98675</w:t>
                    </w:r>
                  </w:p>
                  <w:p w14:paraId="7D8C3727" w14:textId="77777777" w:rsidR="005A2540" w:rsidRPr="005A2540" w:rsidRDefault="005A2540" w:rsidP="005A254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5E8A6BB0" w14:textId="3C990A4D" w:rsidR="005A2540" w:rsidRDefault="005A2540" w:rsidP="005A254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A2540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B2C8B2A" w14:textId="26E3B52F" w:rsidR="005A2540" w:rsidRPr="005A2540" w:rsidRDefault="005A2540" w:rsidP="005A254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5A2540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D8A5990" wp14:editId="3F9AE492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4EF9B" w14:textId="77777777" w:rsidR="00FA37F1" w:rsidRDefault="00DC63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9A70F93" wp14:editId="290D47CE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8A5990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0F4EF9B" w14:textId="77777777" w:rsidR="00FA37F1" w:rsidRDefault="00DC63C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9A70F93" wp14:editId="290D47CE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43F873D" wp14:editId="0433EC9B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6E2C9" w14:textId="77777777" w:rsidR="00FA37F1" w:rsidRDefault="00DC63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D8875A9" wp14:editId="7716CDB3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3F873D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BB6E2C9" w14:textId="77777777" w:rsidR="00FA37F1" w:rsidRDefault="00DC63C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D8875A9" wp14:editId="7716CDB3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08A7AF" wp14:editId="0215D95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AF57BB" w14:textId="77777777" w:rsidR="00FA37F1" w:rsidRDefault="00DC63C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08A7A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FAF57BB" w14:textId="77777777" w:rsidR="00FA37F1" w:rsidRDefault="00DC63C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3EABC1" wp14:editId="4E4FCED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67368" w14:textId="77777777" w:rsidR="00FA37F1" w:rsidRDefault="00DC63C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3EABC1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9767368" w14:textId="77777777" w:rsidR="00FA37F1" w:rsidRDefault="00DC63C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6BF5377" wp14:editId="2DD669A0">
              <wp:simplePos x="0" y="0"/>
              <wp:positionH relativeFrom="page">
                <wp:posOffset>839470</wp:posOffset>
              </wp:positionH>
              <wp:positionV relativeFrom="paragraph">
                <wp:posOffset>3263900</wp:posOffset>
              </wp:positionV>
              <wp:extent cx="4981575" cy="98869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988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7802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360"/>
                            <w:gridCol w:w="6442"/>
                          </w:tblGrid>
                          <w:tr w:rsidR="00FA37F1" w14:paraId="6C4769CD" w14:textId="77777777" w:rsidTr="002C1B6D">
                            <w:trPr>
                              <w:trHeight w:val="308"/>
                            </w:trPr>
                            <w:tc>
                              <w:tcPr>
                                <w:tcW w:w="1360" w:type="dxa"/>
                              </w:tcPr>
                              <w:p w14:paraId="4E219DBF" w14:textId="77777777" w:rsidR="00FA37F1" w:rsidRDefault="00FA37F1"/>
                            </w:tc>
                            <w:tc>
                              <w:tcPr>
                                <w:tcW w:w="6442" w:type="dxa"/>
                              </w:tcPr>
                              <w:p w14:paraId="7AAD7AA8" w14:textId="77777777" w:rsidR="00FA37F1" w:rsidRDefault="00FA37F1"/>
                            </w:tc>
                          </w:tr>
                          <w:tr w:rsidR="00FA37F1" w14:paraId="3C75478B" w14:textId="77777777" w:rsidTr="002C1B6D">
                            <w:trPr>
                              <w:trHeight w:val="369"/>
                            </w:trPr>
                            <w:tc>
                              <w:tcPr>
                                <w:tcW w:w="1360" w:type="dxa"/>
                              </w:tcPr>
                              <w:p w14:paraId="0AB2D789" w14:textId="77777777" w:rsidR="00FA37F1" w:rsidRDefault="00DC63C6" w:rsidP="005A2540">
                                <w:pPr>
                                  <w:spacing w:line="276" w:lineRule="auto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442" w:type="dxa"/>
                              </w:tcPr>
                              <w:p w14:paraId="0A035234" w14:textId="7CE576A2" w:rsidR="00FA37F1" w:rsidRDefault="00DC63C6" w:rsidP="005A2540">
                                <w:pPr>
                                  <w:spacing w:line="276" w:lineRule="auto"/>
                                </w:pPr>
                                <w:r>
                                  <w:t>17 juni 2026</w:t>
                                </w:r>
                              </w:p>
                            </w:tc>
                          </w:tr>
                          <w:tr w:rsidR="00FA37F1" w14:paraId="0E33A35C" w14:textId="77777777" w:rsidTr="002C1B6D">
                            <w:trPr>
                              <w:trHeight w:val="369"/>
                            </w:trPr>
                            <w:tc>
                              <w:tcPr>
                                <w:tcW w:w="1360" w:type="dxa"/>
                              </w:tcPr>
                              <w:p w14:paraId="7A46713D" w14:textId="77777777" w:rsidR="00FA37F1" w:rsidRDefault="00DC63C6" w:rsidP="005A2540">
                                <w:pPr>
                                  <w:spacing w:line="276" w:lineRule="auto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442" w:type="dxa"/>
                              </w:tcPr>
                              <w:p w14:paraId="7B7337E1" w14:textId="492294E4" w:rsidR="00FA37F1" w:rsidRDefault="002C1B6D" w:rsidP="005A2540">
                                <w:pPr>
                                  <w:spacing w:line="276" w:lineRule="auto"/>
                                </w:pPr>
                                <w:r>
                                  <w:t xml:space="preserve">Brief eerste suppletoire begroting 2026 (HXII): appreciatie van het </w:t>
                                </w:r>
                                <w:r w:rsidR="005E25B8">
                                  <w:t>amendement</w:t>
                                </w:r>
                                <w:r>
                                  <w:t xml:space="preserve"> over middelen voor het Nederlands Instituut voor Onderzoek der Zee (Nioz) </w:t>
                                </w:r>
                              </w:p>
                            </w:tc>
                          </w:tr>
                          <w:tr w:rsidR="00FA37F1" w14:paraId="09E4422D" w14:textId="77777777" w:rsidTr="002C1B6D">
                            <w:trPr>
                              <w:trHeight w:val="308"/>
                            </w:trPr>
                            <w:tc>
                              <w:tcPr>
                                <w:tcW w:w="1360" w:type="dxa"/>
                              </w:tcPr>
                              <w:p w14:paraId="6E0EB432" w14:textId="77777777" w:rsidR="00FA37F1" w:rsidRDefault="00FA37F1"/>
                            </w:tc>
                            <w:tc>
                              <w:tcPr>
                                <w:tcW w:w="6442" w:type="dxa"/>
                              </w:tcPr>
                              <w:p w14:paraId="4523CFB6" w14:textId="77777777" w:rsidR="00FA37F1" w:rsidRDefault="00FA37F1"/>
                            </w:tc>
                          </w:tr>
                        </w:tbl>
                        <w:p w14:paraId="14CB6FA6" w14:textId="77777777" w:rsidR="004854A6" w:rsidRDefault="004854A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BF5377" id="7266255e-823c-11ee-8554-0242ac120003" o:spid="_x0000_s1037" type="#_x0000_t202" style="position:absolute;margin-left:66.1pt;margin-top:257pt;width:392.25pt;height:77.8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" filled="f" stroked="f">
              <v:textbox inset="0,0,0,0">
                <w:txbxContent>
                  <w:tbl>
                    <w:tblPr>
                      <w:tblW w:w="7802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360"/>
                      <w:gridCol w:w="6442"/>
                    </w:tblGrid>
                    <w:tr w:rsidR="00FA37F1" w14:paraId="6C4769CD" w14:textId="77777777" w:rsidTr="002C1B6D">
                      <w:trPr>
                        <w:trHeight w:val="308"/>
                      </w:trPr>
                      <w:tc>
                        <w:tcPr>
                          <w:tcW w:w="1360" w:type="dxa"/>
                        </w:tcPr>
                        <w:p w14:paraId="4E219DBF" w14:textId="77777777" w:rsidR="00FA37F1" w:rsidRDefault="00FA37F1"/>
                      </w:tc>
                      <w:tc>
                        <w:tcPr>
                          <w:tcW w:w="6442" w:type="dxa"/>
                        </w:tcPr>
                        <w:p w14:paraId="7AAD7AA8" w14:textId="77777777" w:rsidR="00FA37F1" w:rsidRDefault="00FA37F1"/>
                      </w:tc>
                    </w:tr>
                    <w:tr w:rsidR="00FA37F1" w14:paraId="3C75478B" w14:textId="77777777" w:rsidTr="002C1B6D">
                      <w:trPr>
                        <w:trHeight w:val="369"/>
                      </w:trPr>
                      <w:tc>
                        <w:tcPr>
                          <w:tcW w:w="1360" w:type="dxa"/>
                        </w:tcPr>
                        <w:p w14:paraId="0AB2D789" w14:textId="77777777" w:rsidR="00FA37F1" w:rsidRDefault="00DC63C6" w:rsidP="005A2540">
                          <w:pPr>
                            <w:spacing w:line="276" w:lineRule="auto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6442" w:type="dxa"/>
                        </w:tcPr>
                        <w:p w14:paraId="0A035234" w14:textId="7CE576A2" w:rsidR="00FA37F1" w:rsidRDefault="00DC63C6" w:rsidP="005A2540">
                          <w:pPr>
                            <w:spacing w:line="276" w:lineRule="auto"/>
                          </w:pPr>
                          <w:r>
                            <w:t>17 juni 2026</w:t>
                          </w:r>
                        </w:p>
                      </w:tc>
                    </w:tr>
                    <w:tr w:rsidR="00FA37F1" w14:paraId="0E33A35C" w14:textId="77777777" w:rsidTr="002C1B6D">
                      <w:trPr>
                        <w:trHeight w:val="369"/>
                      </w:trPr>
                      <w:tc>
                        <w:tcPr>
                          <w:tcW w:w="1360" w:type="dxa"/>
                        </w:tcPr>
                        <w:p w14:paraId="7A46713D" w14:textId="77777777" w:rsidR="00FA37F1" w:rsidRDefault="00DC63C6" w:rsidP="005A2540">
                          <w:pPr>
                            <w:spacing w:line="276" w:lineRule="auto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6442" w:type="dxa"/>
                        </w:tcPr>
                        <w:p w14:paraId="7B7337E1" w14:textId="492294E4" w:rsidR="00FA37F1" w:rsidRDefault="002C1B6D" w:rsidP="005A2540">
                          <w:pPr>
                            <w:spacing w:line="276" w:lineRule="auto"/>
                          </w:pPr>
                          <w:r>
                            <w:t xml:space="preserve">Brief eerste suppletoire begroting 2026 (HXII): appreciatie van het </w:t>
                          </w:r>
                          <w:r w:rsidR="005E25B8">
                            <w:t>amendement</w:t>
                          </w:r>
                          <w:r>
                            <w:t xml:space="preserve"> over middelen voor het Nederlands Instituut voor Onderzoek der Zee (Nioz) </w:t>
                          </w:r>
                        </w:p>
                      </w:tc>
                    </w:tr>
                    <w:tr w:rsidR="00FA37F1" w14:paraId="09E4422D" w14:textId="77777777" w:rsidTr="002C1B6D">
                      <w:trPr>
                        <w:trHeight w:val="308"/>
                      </w:trPr>
                      <w:tc>
                        <w:tcPr>
                          <w:tcW w:w="1360" w:type="dxa"/>
                        </w:tcPr>
                        <w:p w14:paraId="6E0EB432" w14:textId="77777777" w:rsidR="00FA37F1" w:rsidRDefault="00FA37F1"/>
                      </w:tc>
                      <w:tc>
                        <w:tcPr>
                          <w:tcW w:w="6442" w:type="dxa"/>
                        </w:tcPr>
                        <w:p w14:paraId="4523CFB6" w14:textId="77777777" w:rsidR="00FA37F1" w:rsidRDefault="00FA37F1"/>
                      </w:tc>
                    </w:tr>
                  </w:tbl>
                  <w:p w14:paraId="14CB6FA6" w14:textId="77777777" w:rsidR="004854A6" w:rsidRDefault="004854A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F37E4FB" wp14:editId="7E58664B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B14F7" w14:textId="77777777" w:rsidR="004854A6" w:rsidRDefault="004854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37E4FB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19B14F7" w14:textId="77777777" w:rsidR="004854A6" w:rsidRDefault="004854A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41C98A"/>
    <w:multiLevelType w:val="multilevel"/>
    <w:tmpl w:val="5535F83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BC4E3D3"/>
    <w:multiLevelType w:val="multilevel"/>
    <w:tmpl w:val="CE2B300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8A4AE4"/>
    <w:multiLevelType w:val="multilevel"/>
    <w:tmpl w:val="0930F821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3889B18"/>
    <w:multiLevelType w:val="multilevel"/>
    <w:tmpl w:val="3BD3058D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DC2BE9A"/>
    <w:multiLevelType w:val="multilevel"/>
    <w:tmpl w:val="4C0622F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6C907AC"/>
    <w:multiLevelType w:val="multilevel"/>
    <w:tmpl w:val="5E8C5DD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86F1363"/>
    <w:multiLevelType w:val="multilevel"/>
    <w:tmpl w:val="CB5B62A3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47BFECB"/>
    <w:multiLevelType w:val="multilevel"/>
    <w:tmpl w:val="313EE29B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5E33A09"/>
    <w:multiLevelType w:val="multilevel"/>
    <w:tmpl w:val="7E57ABE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707495D"/>
    <w:multiLevelType w:val="multilevel"/>
    <w:tmpl w:val="D363E884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76E2CB5"/>
    <w:multiLevelType w:val="hybridMultilevel"/>
    <w:tmpl w:val="769015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A4DFE"/>
    <w:multiLevelType w:val="multilevel"/>
    <w:tmpl w:val="1F2BCAC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8DD3683"/>
    <w:multiLevelType w:val="hybridMultilevel"/>
    <w:tmpl w:val="F8381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309ACF"/>
    <w:multiLevelType w:val="multilevel"/>
    <w:tmpl w:val="0A2689C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5938D8"/>
    <w:multiLevelType w:val="multilevel"/>
    <w:tmpl w:val="65F44B1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1DD9AD7"/>
    <w:multiLevelType w:val="multilevel"/>
    <w:tmpl w:val="E6E3FD5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25BA73E9"/>
    <w:multiLevelType w:val="multilevel"/>
    <w:tmpl w:val="80CA033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39576D"/>
    <w:multiLevelType w:val="hybridMultilevel"/>
    <w:tmpl w:val="7B6E95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11F7B"/>
    <w:multiLevelType w:val="multilevel"/>
    <w:tmpl w:val="5A2E508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AABBCBC"/>
    <w:multiLevelType w:val="multilevel"/>
    <w:tmpl w:val="C8F13D8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3C3B70"/>
    <w:multiLevelType w:val="multilevel"/>
    <w:tmpl w:val="E21B49B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F0F583"/>
    <w:multiLevelType w:val="multilevel"/>
    <w:tmpl w:val="BEBC061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67193A"/>
    <w:multiLevelType w:val="multilevel"/>
    <w:tmpl w:val="04C3A76F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EF238E"/>
    <w:multiLevelType w:val="multilevel"/>
    <w:tmpl w:val="963949C5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15CF0F"/>
    <w:multiLevelType w:val="multilevel"/>
    <w:tmpl w:val="FBA9581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037736"/>
    <w:multiLevelType w:val="hybridMultilevel"/>
    <w:tmpl w:val="3622FF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286E23"/>
    <w:multiLevelType w:val="hybridMultilevel"/>
    <w:tmpl w:val="969411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C6105A">
      <w:numFmt w:val="bullet"/>
      <w:lvlText w:val="•"/>
      <w:lvlJc w:val="left"/>
      <w:pPr>
        <w:ind w:left="1080" w:hanging="360"/>
      </w:pPr>
      <w:rPr>
        <w:rFonts w:ascii="Verdana" w:eastAsia="DejaVu Sans" w:hAnsi="Verdana" w:cs="Lohit Hind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2D1BF1"/>
    <w:multiLevelType w:val="hybridMultilevel"/>
    <w:tmpl w:val="57DAB1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DF0389"/>
    <w:multiLevelType w:val="multilevel"/>
    <w:tmpl w:val="5EA75FA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5"/>
  </w:num>
  <w:num w:numId="5">
    <w:abstractNumId w:val="15"/>
  </w:num>
  <w:num w:numId="6">
    <w:abstractNumId w:val="20"/>
  </w:num>
  <w:num w:numId="7">
    <w:abstractNumId w:val="14"/>
  </w:num>
  <w:num w:numId="8">
    <w:abstractNumId w:val="7"/>
  </w:num>
  <w:num w:numId="9">
    <w:abstractNumId w:val="9"/>
  </w:num>
  <w:num w:numId="10">
    <w:abstractNumId w:val="24"/>
  </w:num>
  <w:num w:numId="11">
    <w:abstractNumId w:val="13"/>
  </w:num>
  <w:num w:numId="12">
    <w:abstractNumId w:val="18"/>
  </w:num>
  <w:num w:numId="13">
    <w:abstractNumId w:val="8"/>
  </w:num>
  <w:num w:numId="14">
    <w:abstractNumId w:val="19"/>
  </w:num>
  <w:num w:numId="15">
    <w:abstractNumId w:val="3"/>
  </w:num>
  <w:num w:numId="16">
    <w:abstractNumId w:val="11"/>
  </w:num>
  <w:num w:numId="17">
    <w:abstractNumId w:val="6"/>
  </w:num>
  <w:num w:numId="18">
    <w:abstractNumId w:val="28"/>
  </w:num>
  <w:num w:numId="19">
    <w:abstractNumId w:val="22"/>
  </w:num>
  <w:num w:numId="20">
    <w:abstractNumId w:val="1"/>
  </w:num>
  <w:num w:numId="21">
    <w:abstractNumId w:val="21"/>
  </w:num>
  <w:num w:numId="22">
    <w:abstractNumId w:val="16"/>
  </w:num>
  <w:num w:numId="23">
    <w:abstractNumId w:val="4"/>
  </w:num>
  <w:num w:numId="24">
    <w:abstractNumId w:val="25"/>
  </w:num>
  <w:num w:numId="25">
    <w:abstractNumId w:val="10"/>
  </w:num>
  <w:num w:numId="26">
    <w:abstractNumId w:val="27"/>
  </w:num>
  <w:num w:numId="27">
    <w:abstractNumId w:val="26"/>
  </w:num>
  <w:num w:numId="28">
    <w:abstractNumId w:val="17"/>
  </w:num>
  <w:num w:numId="29">
    <w:abstractNumId w:val="1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6D"/>
    <w:rsid w:val="00130E71"/>
    <w:rsid w:val="00140C63"/>
    <w:rsid w:val="001B4CD1"/>
    <w:rsid w:val="001E3095"/>
    <w:rsid w:val="001F0BC2"/>
    <w:rsid w:val="00200A56"/>
    <w:rsid w:val="002471D2"/>
    <w:rsid w:val="00253242"/>
    <w:rsid w:val="002B68F4"/>
    <w:rsid w:val="002C1B6D"/>
    <w:rsid w:val="002E7844"/>
    <w:rsid w:val="003378C7"/>
    <w:rsid w:val="003803D8"/>
    <w:rsid w:val="003810A6"/>
    <w:rsid w:val="00392AC4"/>
    <w:rsid w:val="003B3BD1"/>
    <w:rsid w:val="003F34D2"/>
    <w:rsid w:val="00406650"/>
    <w:rsid w:val="004532C5"/>
    <w:rsid w:val="00466DE4"/>
    <w:rsid w:val="0047647D"/>
    <w:rsid w:val="00480AF5"/>
    <w:rsid w:val="004854A6"/>
    <w:rsid w:val="004C0582"/>
    <w:rsid w:val="0051398D"/>
    <w:rsid w:val="00525CB1"/>
    <w:rsid w:val="00544446"/>
    <w:rsid w:val="00552893"/>
    <w:rsid w:val="005A2540"/>
    <w:rsid w:val="005A6E45"/>
    <w:rsid w:val="005B0BDA"/>
    <w:rsid w:val="005C34F0"/>
    <w:rsid w:val="005E25B8"/>
    <w:rsid w:val="00644E0D"/>
    <w:rsid w:val="006C21E4"/>
    <w:rsid w:val="006C681C"/>
    <w:rsid w:val="00726E58"/>
    <w:rsid w:val="00746339"/>
    <w:rsid w:val="007B3616"/>
    <w:rsid w:val="008142AB"/>
    <w:rsid w:val="008253C5"/>
    <w:rsid w:val="0083734D"/>
    <w:rsid w:val="00841839"/>
    <w:rsid w:val="008420A6"/>
    <w:rsid w:val="008B349A"/>
    <w:rsid w:val="008C034E"/>
    <w:rsid w:val="00916052"/>
    <w:rsid w:val="00925B33"/>
    <w:rsid w:val="00975100"/>
    <w:rsid w:val="00985F06"/>
    <w:rsid w:val="009915E9"/>
    <w:rsid w:val="00992B3D"/>
    <w:rsid w:val="009A7343"/>
    <w:rsid w:val="009E7AB7"/>
    <w:rsid w:val="00A306A7"/>
    <w:rsid w:val="00A7265A"/>
    <w:rsid w:val="00B9254E"/>
    <w:rsid w:val="00C20755"/>
    <w:rsid w:val="00C51746"/>
    <w:rsid w:val="00D43DE4"/>
    <w:rsid w:val="00D975F3"/>
    <w:rsid w:val="00DC63C6"/>
    <w:rsid w:val="00E1105A"/>
    <w:rsid w:val="00E50EE1"/>
    <w:rsid w:val="00E5192E"/>
    <w:rsid w:val="00E96AFF"/>
    <w:rsid w:val="00F06F21"/>
    <w:rsid w:val="00F4191A"/>
    <w:rsid w:val="00F44F51"/>
    <w:rsid w:val="00FA37F1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24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 w:uiPriority="1" w:qFormat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406650"/>
    <w:pPr>
      <w:spacing w:before="240" w:line="240" w:lineRule="exac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C1B6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B6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1B6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B6D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0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3D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3D8"/>
    <w:rPr>
      <w:rFonts w:ascii="Verdana" w:hAnsi="Verdana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4066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06650"/>
    <w:rPr>
      <w:rFonts w:ascii="Verdana" w:hAnsi="Verdana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321</ap:Words>
  <ap:Characters>1830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Kamerbrief eerste suppletoire begroting 2026 (HXII): appreciatie van het lid Dassen over middelen voor het Nederlands Instituut voor Onderzoek der Zee (Nioz) - Kamerstuk 36 915 XII - 17</vt:lpstr>
    </vt:vector>
  </ap:TitlesOfParts>
  <ap:LinksUpToDate>false</ap:LinksUpToDate>
  <ap:CharactersWithSpaces>2147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2026-06-17T06:51:00.0000000Z</dcterms:created>
  <dcterms:modified xsi:type="dcterms:W3CDTF">2026-06-17T06:51:00.0000000Z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Kamerbrief eerste suppletoire begroting 2026 (HXII): appreciatie van het lid Dassen over middelen voor het Nederlands Instituut voor Onderzoek der Zee (Nioz) - Kamerstuk 36 915 XII - 17</vt:lpwstr>
  </property>
  <property fmtid="{D5CDD505-2E9C-101B-9397-08002B2CF9AE}" pid="5" name="Publicatiedatum">
    <vt:lpwstr/>
  </property>
  <property fmtid="{D5CDD505-2E9C-101B-9397-08002B2CF9AE}" pid="6" name="Verantwoordelijke organisatie">
    <vt:lpwstr>Afdeling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R.A. Ramgoelam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